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hint="default" w:ascii="方正小标宋简体" w:hAnsi="宋体" w:eastAsia="方正小标宋简体"/>
          <w:color w:val="auto"/>
          <w:sz w:val="30"/>
          <w:szCs w:val="30"/>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ascii="方正小标宋简体" w:hAnsi="宋体" w:eastAsia="方正小标宋简体"/>
          <w:color w:val="auto"/>
          <w:sz w:val="72"/>
          <w:szCs w:val="72"/>
          <w:highlight w:val="none"/>
        </w:rPr>
      </w:pPr>
      <w:bookmarkStart w:id="1" w:name="_Toc15377193"/>
      <w:bookmarkStart w:id="2" w:name="_Toc15378441"/>
      <w:bookmarkStart w:id="3" w:name="_Toc15377425"/>
      <w:bookmarkStart w:id="4" w:name="_Toc15396597"/>
      <w:bookmarkStart w:id="5" w:name="_Toc15396475"/>
      <w:r>
        <w:rPr>
          <w:rFonts w:ascii="黑体" w:hAnsi="黑体" w:eastAsia="黑体"/>
          <w:color w:val="auto"/>
          <w:sz w:val="72"/>
          <w:szCs w:val="72"/>
          <w:highlight w:val="none"/>
        </w:rPr>
        <w:t>20</w:t>
      </w:r>
      <w:r>
        <w:rPr>
          <w:rFonts w:hint="eastAsia" w:ascii="黑体" w:hAnsi="黑体" w:eastAsia="黑体"/>
          <w:color w:val="auto"/>
          <w:sz w:val="72"/>
          <w:szCs w:val="72"/>
          <w:highlight w:val="none"/>
          <w:lang w:val="en-US" w:eastAsia="zh-CN"/>
        </w:rPr>
        <w:t>20</w:t>
      </w:r>
      <w:r>
        <w:rPr>
          <w:rFonts w:hint="eastAsia" w:ascii="方正小标宋简体" w:hAnsi="宋体" w:eastAsia="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宋体" w:eastAsia="方正小标宋简体"/>
          <w:color w:val="auto"/>
          <w:sz w:val="72"/>
          <w:szCs w:val="72"/>
          <w:highlight w:val="none"/>
        </w:rPr>
      </w:pPr>
      <w:bookmarkStart w:id="6" w:name="_Toc15377194"/>
      <w:bookmarkStart w:id="7" w:name="_Toc15396476"/>
      <w:bookmarkStart w:id="8" w:name="_Toc15378442"/>
      <w:bookmarkStart w:id="9" w:name="_Toc15396598"/>
      <w:bookmarkStart w:id="10" w:name="_Toc15377426"/>
      <w:r>
        <w:rPr>
          <w:rFonts w:hint="eastAsia" w:ascii="方正小标宋简体" w:hAnsi="宋体" w:eastAsia="方正小标宋简体"/>
          <w:color w:val="auto"/>
          <w:sz w:val="72"/>
          <w:szCs w:val="72"/>
          <w:highlight w:val="none"/>
        </w:rPr>
        <w:t>四川省</w:t>
      </w:r>
      <w:bookmarkEnd w:id="0"/>
      <w:bookmarkStart w:id="11" w:name="_Toc15306268"/>
      <w:r>
        <w:rPr>
          <w:rFonts w:hint="eastAsia" w:ascii="方正小标宋简体" w:hAnsi="宋体" w:eastAsia="方正小标宋简体"/>
          <w:color w:val="auto"/>
          <w:sz w:val="72"/>
          <w:szCs w:val="72"/>
          <w:highlight w:val="none"/>
        </w:rPr>
        <w:t>经济和信息化厅</w:t>
      </w:r>
    </w:p>
    <w:p>
      <w:pPr>
        <w:adjustRightInd w:val="0"/>
        <w:snapToGrid w:val="0"/>
        <w:spacing w:line="360" w:lineRule="auto"/>
        <w:jc w:val="center"/>
        <w:outlineLvl w:val="0"/>
        <w:rPr>
          <w:rFonts w:ascii="方正小标宋简体" w:hAnsi="宋体" w:eastAsia="方正小标宋简体"/>
          <w:color w:val="auto"/>
          <w:sz w:val="72"/>
          <w:szCs w:val="72"/>
          <w:highlight w:val="none"/>
        </w:rPr>
      </w:pPr>
      <w:r>
        <w:rPr>
          <w:rFonts w:hint="eastAsia" w:ascii="方正小标宋简体" w:hAnsi="宋体" w:eastAsia="方正小标宋简体"/>
          <w:color w:val="auto"/>
          <w:sz w:val="72"/>
          <w:szCs w:val="72"/>
          <w:highlight w:val="none"/>
        </w:rPr>
        <w:t>部门决算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21</w:t>
      </w:r>
      <w:r>
        <w:rPr>
          <w:rFonts w:hint="eastAsia"/>
          <w:color w:val="auto"/>
          <w:highlight w:val="none"/>
        </w:rPr>
        <w:t>年</w:t>
      </w:r>
      <w:r>
        <w:rPr>
          <w:rFonts w:hint="eastAsia"/>
          <w:color w:val="auto"/>
          <w:highlight w:val="none"/>
          <w:lang w:val="en-US" w:eastAsia="zh-CN"/>
        </w:rPr>
        <w:t>8</w:t>
      </w:r>
      <w:r>
        <w:rPr>
          <w:rFonts w:hint="eastAsia"/>
          <w:color w:val="auto"/>
          <w:highlight w:val="none"/>
        </w:rPr>
        <w:t>月</w:t>
      </w:r>
      <w:r>
        <w:rPr>
          <w:rFonts w:hint="eastAsia"/>
          <w:color w:val="auto"/>
          <w:highlight w:val="none"/>
          <w:lang w:val="en-US" w:eastAsia="zh-CN"/>
        </w:rPr>
        <w:t>30</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rPr>
        <w:t>部门概况</w:t>
      </w:r>
    </w:p>
    <w:p>
      <w:pPr>
        <w:pStyle w:val="11"/>
        <w:adjustRightInd w:val="0"/>
        <w:snapToGrid w:val="0"/>
        <w:spacing w:line="440" w:lineRule="exact"/>
        <w:jc w:val="left"/>
        <w:rPr>
          <w:rFonts w:ascii="仿宋" w:hAnsi="仿宋" w:eastAsia="仿宋"/>
          <w:color w:val="auto"/>
          <w:sz w:val="24"/>
          <w:highlight w:val="none"/>
        </w:rPr>
      </w:pPr>
      <w:r>
        <w:rPr>
          <w:rFonts w:hint="eastAsia"/>
          <w:color w:val="auto"/>
          <w:sz w:val="24"/>
          <w:highlight w:val="none"/>
        </w:rPr>
        <w:t>一、基本职能及主要工作</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二、机构设置</w:t>
      </w:r>
    </w:p>
    <w:p>
      <w:pPr>
        <w:pStyle w:val="10"/>
        <w:adjustRightInd w:val="0"/>
        <w:snapToGrid w:val="0"/>
        <w:spacing w:before="0" w:line="440" w:lineRule="exact"/>
        <w:jc w:val="left"/>
        <w:rPr>
          <w:color w:val="auto"/>
          <w:sz w:val="24"/>
          <w:szCs w:val="24"/>
          <w:highlight w:val="none"/>
        </w:rPr>
      </w:pPr>
      <w:r>
        <w:rPr>
          <w:rFonts w:hint="eastAsia"/>
          <w:color w:val="auto"/>
          <w:sz w:val="24"/>
          <w:highlight w:val="none"/>
        </w:rPr>
        <w:t>第二部分</w:t>
      </w:r>
      <w:r>
        <w:rPr>
          <w:rFonts w:hint="eastAsia"/>
          <w:color w:val="auto"/>
          <w:sz w:val="24"/>
          <w:highlight w:val="none"/>
          <w:lang w:val="en-US" w:eastAsia="zh-CN"/>
        </w:rPr>
        <w:t xml:space="preserve"> 2020年度</w:t>
      </w:r>
      <w:r>
        <w:rPr>
          <w:rFonts w:hint="eastAsia"/>
          <w:color w:val="auto"/>
          <w:sz w:val="24"/>
          <w:highlight w:val="none"/>
        </w:rPr>
        <w:t>部门决算情况说明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一、收入支出决算总体情况说明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三、支出决算情况说明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四、财政拨款收入支出决算总体情况说明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七、</w:t>
      </w:r>
      <w:r>
        <w:rPr>
          <w:rFonts w:hint="eastAsia"/>
          <w:color w:val="auto"/>
          <w:sz w:val="24"/>
          <w:highlight w:val="none"/>
          <w:lang w:eastAsia="zh-CN"/>
        </w:rPr>
        <w:t>“</w:t>
      </w:r>
      <w:r>
        <w:rPr>
          <w:rFonts w:hint="eastAsia"/>
          <w:color w:val="auto"/>
          <w:sz w:val="24"/>
          <w:highlight w:val="none"/>
        </w:rPr>
        <w:t>三公”经费财政拨款支出决算情况说明</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八、政府性基金预算支出决算情况说明</w:t>
      </w:r>
    </w:p>
    <w:p>
      <w:pPr>
        <w:pStyle w:val="11"/>
        <w:adjustRightInd w:val="0"/>
        <w:snapToGrid w:val="0"/>
        <w:spacing w:line="440" w:lineRule="exact"/>
        <w:ind w:leftChars="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w:t>
      </w:r>
      <w:r>
        <w:rPr>
          <w:rFonts w:hint="eastAsia" w:asciiTheme="minorEastAsia" w:hAnsiTheme="minorEastAsia" w:eastAsiaTheme="minorEastAsia" w:cstheme="minorEastAsia"/>
          <w:color w:val="auto"/>
          <w:sz w:val="24"/>
          <w:highlight w:val="none"/>
          <w:lang w:eastAsia="zh-CN"/>
        </w:rPr>
        <w:t>国</w:t>
      </w:r>
      <w:r>
        <w:rPr>
          <w:rFonts w:hint="eastAsia" w:asciiTheme="minorEastAsia" w:hAnsiTheme="minorEastAsia" w:eastAsiaTheme="minorEastAsia" w:cstheme="minorEastAsia"/>
          <w:color w:val="auto"/>
          <w:sz w:val="24"/>
          <w:highlight w:val="none"/>
        </w:rPr>
        <w:t>有资本经营预算支出决算情况说明</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highlight w:val="none"/>
        </w:rPr>
      </w:pPr>
      <w:r>
        <w:rPr>
          <w:rStyle w:val="16"/>
          <w:rFonts w:hint="eastAsia" w:asciiTheme="minorEastAsia" w:hAnsiTheme="minorEastAsia" w:eastAsiaTheme="minorEastAsia" w:cstheme="minorEastAsia"/>
          <w:color w:val="auto"/>
          <w:sz w:val="24"/>
          <w:highlight w:val="none"/>
          <w:u w:val="none"/>
          <w:lang w:eastAsia="zh-CN"/>
        </w:rPr>
        <w:t>十</w:t>
      </w:r>
      <w:r>
        <w:rPr>
          <w:rStyle w:val="16"/>
          <w:rFonts w:hint="eastAsia" w:asciiTheme="minorEastAsia" w:hAnsiTheme="minorEastAsia" w:eastAsiaTheme="minorEastAsia" w:cstheme="minorEastAsia"/>
          <w:color w:val="auto"/>
          <w:sz w:val="24"/>
          <w:highlight w:val="none"/>
          <w:u w:val="none"/>
        </w:rPr>
        <w:t>、</w:t>
      </w:r>
      <w:r>
        <w:rPr>
          <w:rFonts w:hint="eastAsia" w:asciiTheme="minorEastAsia" w:hAnsiTheme="minorEastAsia" w:eastAsiaTheme="minorEastAsia" w:cstheme="minorEastAsia"/>
          <w:color w:val="auto"/>
          <w:sz w:val="24"/>
          <w:highlight w:val="none"/>
        </w:rPr>
        <w:t>其他重要事项的情况说明</w:t>
      </w:r>
      <w:r>
        <w:rPr>
          <w:rFonts w:hint="eastAsia" w:asciiTheme="minorEastAsia" w:hAnsiTheme="minorEastAsia" w:eastAsiaTheme="minorEastAsia" w:cstheme="minorEastAsia"/>
          <w:color w:val="auto"/>
          <w:sz w:val="24"/>
          <w:highlight w:val="none"/>
        </w:rPr>
        <w:tab/>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pStyle w:val="11"/>
        <w:adjustRightInd w:val="0"/>
        <w:snapToGrid w:val="0"/>
        <w:spacing w:line="440" w:lineRule="exact"/>
        <w:jc w:val="left"/>
        <w:rPr>
          <w:rFonts w:ascii="仿宋" w:hAnsi="仿宋" w:eastAsia="仿宋" w:cstheme="minorBidi"/>
          <w:color w:val="auto"/>
          <w:sz w:val="24"/>
          <w:highlight w:val="none"/>
        </w:rPr>
      </w:pPr>
      <w:r>
        <w:rPr>
          <w:rFonts w:hint="eastAsia"/>
          <w:color w:val="auto"/>
          <w:sz w:val="24"/>
          <w:highlight w:val="none"/>
        </w:rPr>
        <w:t>附件</w:t>
      </w:r>
      <w:r>
        <w:rPr>
          <w:color w:val="auto"/>
          <w:sz w:val="24"/>
          <w:highlight w:val="none"/>
        </w:rPr>
        <w:t>1</w:t>
      </w:r>
    </w:p>
    <w:p>
      <w:pPr>
        <w:pStyle w:val="11"/>
        <w:adjustRightInd w:val="0"/>
        <w:snapToGrid w:val="0"/>
        <w:spacing w:line="440" w:lineRule="exact"/>
        <w:jc w:val="left"/>
        <w:rPr>
          <w:color w:val="auto"/>
          <w:sz w:val="24"/>
          <w:highlight w:val="none"/>
        </w:rPr>
      </w:pPr>
      <w:r>
        <w:rPr>
          <w:rFonts w:hint="eastAsia"/>
          <w:color w:val="auto"/>
          <w:sz w:val="24"/>
          <w:highlight w:val="none"/>
        </w:rPr>
        <w:t>附件</w:t>
      </w:r>
      <w:r>
        <w:rPr>
          <w:color w:val="auto"/>
          <w:sz w:val="24"/>
          <w:highlight w:val="none"/>
        </w:rPr>
        <w:t>2</w:t>
      </w:r>
    </w:p>
    <w:p>
      <w:pPr>
        <w:pStyle w:val="11"/>
        <w:adjustRightInd w:val="0"/>
        <w:snapToGrid w:val="0"/>
        <w:spacing w:line="440" w:lineRule="exact"/>
        <w:jc w:val="left"/>
        <w:rPr>
          <w:rFonts w:hint="default"/>
          <w:color w:val="auto"/>
          <w:sz w:val="24"/>
          <w:highlight w:val="none"/>
          <w:lang w:val="en-US" w:eastAsia="zh-CN"/>
        </w:rPr>
      </w:pPr>
      <w:r>
        <w:rPr>
          <w:rFonts w:hint="eastAsia"/>
          <w:color w:val="auto"/>
          <w:sz w:val="24"/>
          <w:highlight w:val="none"/>
          <w:lang w:val="en-US" w:eastAsia="zh-CN"/>
        </w:rPr>
        <w:t>附件3</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ascii="仿宋" w:hAnsi="仿宋" w:eastAsia="仿宋" w:cstheme="minorBidi"/>
          <w:color w:val="auto"/>
          <w:sz w:val="24"/>
          <w:highlight w:val="none"/>
        </w:rPr>
      </w:pPr>
      <w:r>
        <w:rPr>
          <w:rFonts w:hint="eastAsia" w:ascii="仿宋" w:hAnsi="仿宋" w:eastAsia="仿宋"/>
          <w:color w:val="auto"/>
          <w:sz w:val="24"/>
          <w:highlight w:val="none"/>
        </w:rPr>
        <w:t>一、</w:t>
      </w:r>
      <w:r>
        <w:rPr>
          <w:rFonts w:hint="eastAsia"/>
          <w:color w:val="auto"/>
          <w:sz w:val="24"/>
          <w:highlight w:val="none"/>
        </w:rPr>
        <w:t>收入支出决算总表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二、收入决算表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四、财政拨款收入支出决算总表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五、财政拨款支出决算明细表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六、一般公共预算财政拨款支出决算表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七、一般公共预算财政拨款支出决算明细表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八、一般公共预算财政拨款基本支出决算表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九、一般公共预算财政拨款项目支出决算表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十、一般公共预算财政拨款“三公”经费支出决算表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十一、政府性基金预算财政拨款收入支出决算表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十二、政府性基金预算财政拨款“三公”经费支出决算表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十三、国有资本经营预算</w:t>
      </w:r>
      <w:r>
        <w:rPr>
          <w:rFonts w:hint="eastAsia" w:asciiTheme="minorEastAsia" w:hAnsiTheme="minorEastAsia" w:eastAsiaTheme="minorEastAsia" w:cstheme="minorEastAsia"/>
          <w:color w:val="auto"/>
          <w:sz w:val="24"/>
          <w:highlight w:val="none"/>
          <w:lang w:eastAsia="zh-CN"/>
        </w:rPr>
        <w:t>财政拨款收入</w:t>
      </w:r>
      <w:r>
        <w:rPr>
          <w:rFonts w:hint="eastAsia" w:asciiTheme="minorEastAsia" w:hAnsiTheme="minorEastAsia" w:eastAsiaTheme="minorEastAsia" w:cstheme="minorEastAsia"/>
          <w:color w:val="auto"/>
          <w:sz w:val="24"/>
          <w:highlight w:val="none"/>
        </w:rPr>
        <w:t>支出决算表</w:t>
      </w:r>
    </w:p>
    <w:p>
      <w:pPr>
        <w:pStyle w:val="11"/>
        <w:adjustRightInd w:val="0"/>
        <w:snapToGrid w:val="0"/>
        <w:spacing w:line="440" w:lineRule="exact"/>
        <w:jc w:val="left"/>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十四、国有资本经营预算财政拨款支出决算表</w:t>
      </w:r>
    </w:p>
    <w:p>
      <w:pPr>
        <w:widowControl/>
        <w:spacing w:line="440" w:lineRule="exact"/>
        <w:jc w:val="left"/>
        <w:rPr>
          <w:rFonts w:ascii="仿宋" w:hAnsi="仿宋" w:eastAsia="仿宋"/>
          <w:bCs/>
          <w:color w:val="auto"/>
          <w:kern w:val="44"/>
          <w:sz w:val="24"/>
          <w:highlight w:val="none"/>
        </w:rPr>
      </w:pPr>
      <w:bookmarkStart w:id="12" w:name="_Toc15377196"/>
      <w:bookmarkStart w:id="13" w:name="_Toc15396599"/>
      <w:r>
        <w:rPr>
          <w:rFonts w:ascii="仿宋" w:hAnsi="仿宋" w:eastAsia="仿宋"/>
          <w:b/>
          <w:color w:val="auto"/>
          <w:sz w:val="24"/>
          <w:highlight w:val="none"/>
        </w:rPr>
        <w:br w:type="page"/>
      </w:r>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Style w:val="25"/>
          <w:rFonts w:hint="eastAsia" w:ascii="黑体" w:hAnsi="黑体" w:eastAsia="黑体"/>
          <w:b w:val="0"/>
          <w:bCs w:val="0"/>
          <w:color w:val="auto"/>
          <w:highlight w:val="none"/>
        </w:rPr>
        <w:t>部门概况</w:t>
      </w:r>
      <w:bookmarkEnd w:id="12"/>
      <w:bookmarkEnd w:id="13"/>
    </w:p>
    <w:p>
      <w:pPr>
        <w:pStyle w:val="4"/>
        <w:rPr>
          <w:rStyle w:val="26"/>
          <w:rFonts w:ascii="仿宋" w:hAnsi="仿宋" w:eastAsia="仿宋"/>
          <w:b w:val="0"/>
          <w:bCs w:val="0"/>
          <w:color w:val="auto"/>
          <w:highlight w:val="none"/>
        </w:rPr>
      </w:pPr>
      <w:bookmarkStart w:id="14" w:name="_Toc15396600"/>
      <w:bookmarkStart w:id="15" w:name="_Toc15377197"/>
      <w:r>
        <w:rPr>
          <w:rFonts w:hint="eastAsia" w:ascii="黑体" w:hAnsi="黑体" w:eastAsia="黑体"/>
          <w:b w:val="0"/>
          <w:color w:val="auto"/>
          <w:highlight w:val="none"/>
          <w:lang w:val="en-US" w:eastAsia="zh-CN"/>
        </w:rPr>
        <w:t xml:space="preserve">    </w:t>
      </w:r>
      <w:r>
        <w:rPr>
          <w:rFonts w:hint="eastAsia" w:ascii="黑体" w:hAnsi="黑体" w:eastAsia="黑体"/>
          <w:b w:val="0"/>
          <w:color w:val="auto"/>
          <w:highlight w:val="none"/>
        </w:rPr>
        <w:t>一、基</w:t>
      </w:r>
      <w:r>
        <w:rPr>
          <w:rStyle w:val="26"/>
          <w:rFonts w:hint="eastAsia" w:ascii="黑体" w:hAnsi="黑体" w:eastAsia="黑体"/>
          <w:b w:val="0"/>
          <w:bCs w:val="0"/>
          <w:color w:val="auto"/>
          <w:highlight w:val="none"/>
        </w:rPr>
        <w:t>本职能及主要工作</w:t>
      </w:r>
      <w:bookmarkEnd w:id="14"/>
      <w:bookmarkEnd w:id="15"/>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6" w:name="_Toc15377198"/>
      <w:bookmarkStart w:id="17" w:name="_Toc15378445"/>
      <w:r>
        <w:rPr>
          <w:rFonts w:hint="eastAsia" w:ascii="仿宋" w:hAnsi="仿宋" w:eastAsia="仿宋"/>
          <w:bCs/>
          <w:color w:val="auto"/>
          <w:sz w:val="32"/>
          <w:szCs w:val="32"/>
          <w:highlight w:val="none"/>
        </w:rPr>
        <w:t>（一）主要职能。</w:t>
      </w:r>
      <w:bookmarkEnd w:id="16"/>
      <w:bookmarkEnd w:id="17"/>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贯彻实施国家有关工业经济、信息化和无线电管理的方针、政策和法律、法规，组织实施国家西部大开发战略等有关工业经济的政策措施，拟订全省有关工业经济、信息化和无线电管理的地方性法规、规章草案，负责本系统、本部门依法行政工作，落实行政执法责任制。组织推动信息化和工业化融合、工业化与城镇化联动，负责推进全省工业结构调整。</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2.负责拟订新型工业化发展战略和重大政策，协调解决新型工业化进程中的重大问题，组织实施工业强省战略。参与制订国民经济和社会发展规划，负责制定并组织实施工业（不含能源，下同）、信息化相关行业的发展规划、年度计划和产业政策，拟订行业技术规范与行业标准并组织实施，指导行业质量管理工作。</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3.监测、分析经济运行态势和质量，建立全省工业经济运行预警机制，拟订中、近期经济运行目标、政策并组织实施，协调解决经济运行中的重大问题。负责电力、煤炭、成品油、天然气等重要物资综合调控、紧急调度和交通运输协调工作，负责省级医药储备的监督管理。承办年度工业经济目标责任考核。</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4.负责全省企业技术改造推进工作，组织制定并实施全省企业技术改造投资规划和政策，制定并发布全省企业技术改造投资项目引导目录。提出工业和信息化固定资产投资规模的意见，按照规定权限审批、核准、备案规划内全省企业技术改造项目，组织企业技术改造项目申报国家有关专项计划并组织实施。</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5.负责全省企业技术创新体系建设，制定鼓励企业技术创新的政策措施，指导企业技术创新、技术引进、重大装备国产化和重大技术装备研制，编制下达全省企业技术创新项目计划并组织实施，按照规定程序会同有关部门组织企业技术中心申报、认定和建设管理工作。</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6.负责全省产业园区建设发展的牵头服务工作，拟订并组织实施产业园区、产业集群发展规划和政策措施，指导产业园区合理布局，负责推进重点产业园区建设发展，推进园区公共配套设施建设，组织实施产业园区公共服务平台项目计划。</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7.负责全省工业和信息化领域的节能降耗、清洁生产和资源节约与综合利用工作，协调推进工业化与生态环境协调发展中的重大问题，组织实施相关重大示范项目和新产品、新技术、新工艺、新设备、新材料的推广应用。</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8.负责推进企业信用制度建设，负责中小企业信用担保和融资体系建设并实施行业监管，负责制订工业发展资金等财政专项资金使用计划，负责企业技术改造、技术创新、生产运行等涉及财政、信贷、税收、保险等方面问题的协调，指导工业企业直接融资工作，参与工业企业上市培育工作。</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9.对国家重大工业经济政策实施情况进行督查，指导企业建立现代企业制度、改组改造、兼并重组，负责全省企业治乱减负工作，指导企业经营管理人员、专业技术人员培训，负责全省大企业大集团和龙头骨干企业的培育工作，负责全省中小企业发展的指导推进工作，综合协调有关部门拟订促进中小企业发展的政策措施，负责推进中小企业服务体系建设。</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10.负责对全省工业各行业实施行业管理，制定并组织实施相关政策措施，拟订新材料、节能环保、航空航天、生物医药等战略性新兴产业发展规划、年度计划、政策措施并组织实施。拟订加快农产品加工业发展的政策措施，参与推进农业产业化龙头企业建设，参与推进农业现代化和新农村建设。指导工业、信息化和无线电领域的社会中介组织发展。</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11.统筹推进全省信息化工作，制定并组织实施相关政策，指导电子政务、企业信息化、电子商务和物联网发展，推动跨行业、跨部门面向社会服务网络的互联互通和信息资源共享。</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12.负责全省信息基础设施建设的规划、协调和管理，组织相关部门制订通信管线规划并承担相应的管理工作，协调电信市场涉及社会公共利益的重大事项。</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13.组织协调全省信息安全保障体系建设，指导和监督政府部门、重点行业的重要信息系统与信息网络的安全保障工作，指导信息安全防范工作，参与处理网络与信息安全重大事件。</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14.统一配置和管理全省无线电频谱资源，依法监督管理无线电台(站)，负责无线电电磁环境保护工作，负责无线电监测、检测和干扰查处，协调军地间和省际间无线电管理相关事宜，维护空中电波秩序，依法组织实施无线电管制。</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15.会同有关部门提出工业和信息化领域对外开放和利用外资的政策建议，参与区域经济合作和承接产业转移工作。指导工业和信息化企业开展对外交流与合作、国际化经营、境外投资及兼并重组。</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16.承担省政府公布的有关行政审批事项。</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17.承办省政府交办的其他事项。</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bookmarkStart w:id="18" w:name="_Toc15378446"/>
      <w:bookmarkStart w:id="19" w:name="_Toc15377199"/>
      <w:r>
        <w:rPr>
          <w:rFonts w:hint="eastAsia" w:ascii="仿宋" w:hAnsi="仿宋" w:eastAsia="仿宋"/>
          <w:bCs/>
          <w:color w:val="auto"/>
          <w:sz w:val="32"/>
          <w:szCs w:val="32"/>
          <w:highlight w:val="none"/>
        </w:rPr>
        <w:t>（二）</w:t>
      </w:r>
      <w:r>
        <w:rPr>
          <w:rFonts w:ascii="仿宋" w:hAnsi="仿宋" w:eastAsia="仿宋"/>
          <w:bCs/>
          <w:color w:val="auto"/>
          <w:sz w:val="32"/>
          <w:szCs w:val="32"/>
          <w:highlight w:val="none"/>
        </w:rPr>
        <w:t>20</w:t>
      </w:r>
      <w:r>
        <w:rPr>
          <w:rFonts w:hint="eastAsia" w:ascii="仿宋" w:hAnsi="仿宋" w:eastAsia="仿宋"/>
          <w:bCs/>
          <w:color w:val="auto"/>
          <w:sz w:val="32"/>
          <w:szCs w:val="32"/>
          <w:highlight w:val="none"/>
          <w:lang w:val="en-US" w:eastAsia="zh-CN"/>
        </w:rPr>
        <w:t>20</w:t>
      </w:r>
      <w:r>
        <w:rPr>
          <w:rFonts w:hint="eastAsia" w:ascii="仿宋" w:hAnsi="仿宋" w:eastAsia="仿宋"/>
          <w:bCs/>
          <w:color w:val="auto"/>
          <w:sz w:val="32"/>
          <w:szCs w:val="32"/>
          <w:highlight w:val="none"/>
        </w:rPr>
        <w:t>年重点工作完成情况。</w:t>
      </w:r>
      <w:bookmarkEnd w:id="18"/>
      <w:bookmarkEnd w:id="19"/>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2020年，全省经信系统坚定以习近平新时代中国特色社会主义思想为指导，深入贯彻党的十九大和十九届二中、三中、四中、五中全会精神，全面落实省委省政府各项决策部署，统筹疫情防控和工业经济发展，突出“工业挑大梁、制造业扛大旗”，一季度拉响警报、力保增长，二季度吹响集结号、加劲提速，三季度吹响进军号、抢抓进度，四季度吹响冲锋号、确保目标，全省工业较短时间实现回升，制造强省建设迈出新的步伐。</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全力以赴抓医疗物资生产保供。疫情发生后，经信系统闻令而动、冲锋在前，紧急出台支持防护物资生产、研发攻关、转产扩能等十条政策，多渠道组织国际采购，动员防疫物资企业最短时间复工复产、扩产提能，加快口罩机、鼻梁架、熔喷布等全产业链研制突破，三个月时间累计生产口罩8.8亿只、医用防护服23.2万套、红外体温仪28.7万支、消杀品100万吨，日产量分别扩大了50倍、200倍、150倍、50倍。</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 xml:space="preserve">2.工业经济加快回升向好。提前全国多数省份一个星期组织企业有序复工，出台缓解中小企业困难13条，建立工业“税电指数”，组建工作专班，“一厂一组”解难题，3月下旬实现全面复工复产，中办国办调研组给予高度肯定。制定稳定工业生产25条、促进稳定增长10条，建立“周报告、月调度”机制，全省规上工业增加值增速由2月份的-5.2%，一季度收窄到-0.9%，上半年达2.5%，下半年工业增速回升加快，12月当月增长8.6%。  </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3.“5+1”现代工业体系建设迈上新台阶。落实省委深入推进“5+1”重点产业发展专题会、全省制造业高质量发展工作会部署，推动出台《关于推动制造业高质量发展的意见》。聚焦“5+1”重点产业和16个重点领域，落实省领导联系指导机制，实施重大政策、重大项目和重大举措清单，全省上下掀起了大抓产业新热潮。预计1-12月五大支柱产业营业收入增长7.0%左右，高于规上工业2.7个百分点，全年数字经济直接贡献增长10%左右。</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4.产业创新能力和水平持续提升。实施汇聚创新资源推动四川产业发展三年行动计划，规上工业企业研发活动覆盖率预计达25%，较上年提高2个百分点；新认定省级制造业创新中心7家，累计达13家，省级以上技术创新示范企业和企业技术中心分别达78家、1299家，5G+8K技术实现全球首发，全国首个双千兆+云VR商用，研制下线全国首辆5G智能移动核酸检测车，氢燃料电池、加氢储氢装备等核心技术实现新突破。</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 xml:space="preserve">5.工业和技术改造投资增长加快。强化“红黑榜”激励机制，建立“5+1”重点产业500个重大项目清单，全年投资500万元以上新开工和竣工项目均超过5000个。推进中电科成都产业基地、宁德时代动力电池、恒力新材料产业园等重大项目建设，工业投资增速连续7个月保持增长，全年工业投资、技改投资增长10.7%、12.1%，高于全省固定资产投资0.8个、2.2个百分点。 </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6.川渝制造业协同联动发展。聚焦成渝地区双城经济圈“两地两中心”战略定位，建立两地制造业联动协同常态化机制，在工业互联网一体化、合作园区建设、能源运行保障等领域相继签署合作协议，启动10家川渝地区产业合作示范园区创建，率先在电子、汽车、先进材料等领域延链补链、集群发展。制定“5+1”重点特色园区培育发展三年行动计划，新认定院士（专家）产业园10家，组织137家园区开展亩均效益评价，国家级新型工业化产业示范基地达23家、省级71家。成都软件和信息服务产业集群、成德高端能源装备产业集群入选国家集群培育名单。</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7.供给侧结构性改革不断深化。精心举办四川省消费品精品展、川酒全国行、不锈钢分餐餐具推广等活动，家具、制鞋、服装等行业个性化定制、智能化转型步伐加快，钢铁、水泥等行业效益水平持续提升。制定出台工业设计赋能、制造业平台经济等方案意见，培育服务型制造示范企业144家、工业设计中心68家，全年预计生产性服务业增长10%以上。完成15项中央环保督察及“回头看”整改任务、4项长江生态环境问题整改，工业单位增加值能耗提前完成“十三五”目标，前三季度再下降4.98%。</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8.市场主体活力进一步激发。推动大企业大集团提升和中小企业“育苗壮干”梯度培育，开展“中小企业服务年”和“助企暖心”行动，推动出台《四川省企业和企业经营者权益保护条例》，营收超百亿元企业达74家。精准落实纾困惠企政策，举办中小微企业云服务大会等活动，国家级专精特新“小巨人”企业达74家、省级2054家，国家级中小企业公共服务平台达28家、省级72家，国家级小微企业创业创新基地达16家、省级108家，“僵尸企业”处置完成92%以上。</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9.服务保障水平持续提升。推动实施阶段性降电价政策，推进水电消纳产业示范区建设，市场交易电量预计超1000亿千瓦时。开展产业金融对接和融资精准服务，工业贷款余额增长7.9%，其中制造业15.5%。清欠工作顺利完成，无分歧账款按期全面清零。落实工业行业领域安全生产责任清单制，推进重点行业、重点时段安全生产隐患排查，林牧区输配电火灾隐患专项整治工作取得阶段性实效。</w:t>
      </w:r>
    </w:p>
    <w:p>
      <w:pPr>
        <w:pStyle w:val="6"/>
        <w:adjustRightInd w:val="0"/>
        <w:snapToGrid w:val="0"/>
        <w:spacing w:before="93" w:line="600" w:lineRule="exact"/>
        <w:ind w:firstLine="672" w:firstLineChars="210"/>
        <w:outlineLvl w:val="2"/>
        <w:rPr>
          <w:rFonts w:hint="eastAsia" w:ascii="仿宋" w:hAnsi="仿宋" w:eastAsia="仿宋"/>
          <w:bCs/>
          <w:color w:val="auto"/>
          <w:sz w:val="32"/>
          <w:szCs w:val="32"/>
          <w:highlight w:val="none"/>
        </w:rPr>
      </w:pPr>
      <w:r>
        <w:rPr>
          <w:rFonts w:hint="eastAsia" w:ascii="仿宋" w:hAnsi="仿宋" w:eastAsia="仿宋"/>
          <w:bCs/>
          <w:color w:val="auto"/>
          <w:sz w:val="32"/>
          <w:szCs w:val="32"/>
          <w:highlight w:val="none"/>
        </w:rPr>
        <w:t>10.机关党的建设全面加强。始终把党的政治建设摆在首位，持之以恒学懂弄通做实习近平新时代中国特色社会主义思想，厅党组中心组集体学习12次，以“三级书记讲党课”形式宣讲200余场次。全面落实从严治党主体责任，对照省委巡视反馈问题，制定“1+2”整改方案，做好“后半篇文章”。严格落实中央八项规定精神和省委省政府十项规定及其实施细则，精简规范性文件等3类文件10％以上，各类会议减少37％。落实意识形态工作责任制，厅管媒体、高校意识形态工作持续加强。推进“7+2”工业产业扶贫，带动有脱贫任务的161个地区贫困户就业9600余人，新增中小微企业1153户，联系帮扶的南充阆中市、达州开江县、甘孜道孚县全部脱贫摘帽。</w:t>
      </w:r>
    </w:p>
    <w:p>
      <w:pPr>
        <w:pStyle w:val="4"/>
        <w:rPr>
          <w:rStyle w:val="26"/>
          <w:b w:val="0"/>
          <w:bCs w:val="0"/>
          <w:color w:val="auto"/>
          <w:highlight w:val="none"/>
        </w:rPr>
      </w:pPr>
      <w:bookmarkStart w:id="20" w:name="_Toc15396601"/>
      <w:bookmarkStart w:id="21" w:name="_Toc15377200"/>
      <w:r>
        <w:rPr>
          <w:rFonts w:hint="eastAsia" w:ascii="黑体" w:eastAsia="黑体"/>
          <w:b w:val="0"/>
          <w:color w:val="auto"/>
          <w:highlight w:val="none"/>
          <w:lang w:val="en-US" w:eastAsia="zh-CN"/>
        </w:rPr>
        <w:t xml:space="preserve">    </w:t>
      </w:r>
      <w:r>
        <w:rPr>
          <w:rFonts w:hint="eastAsia" w:ascii="黑体" w:eastAsia="黑体"/>
          <w:b w:val="0"/>
          <w:color w:val="auto"/>
          <w:highlight w:val="none"/>
        </w:rPr>
        <w:t>二、</w:t>
      </w:r>
      <w:r>
        <w:rPr>
          <w:rFonts w:hint="eastAsia" w:ascii="黑体" w:hAnsi="黑体" w:eastAsia="黑体"/>
          <w:b w:val="0"/>
          <w:color w:val="auto"/>
          <w:highlight w:val="none"/>
        </w:rPr>
        <w:t>机</w:t>
      </w:r>
      <w:r>
        <w:rPr>
          <w:rStyle w:val="26"/>
          <w:rFonts w:hint="eastAsia" w:ascii="黑体" w:hAnsi="黑体" w:eastAsia="黑体"/>
          <w:b w:val="0"/>
          <w:bCs w:val="0"/>
          <w:color w:val="auto"/>
          <w:highlight w:val="none"/>
        </w:rPr>
        <w:t>构设置</w:t>
      </w:r>
      <w:bookmarkEnd w:id="20"/>
      <w:bookmarkEnd w:id="21"/>
    </w:p>
    <w:p>
      <w:pPr>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经济和信息化厅下属二级单位26个，其中行政单位</w:t>
      </w:r>
      <w:r>
        <w:rPr>
          <w:rFonts w:hint="eastAsia" w:ascii="仿宋" w:hAnsi="仿宋" w:eastAsia="仿宋"/>
          <w:color w:val="auto"/>
          <w:sz w:val="32"/>
          <w:szCs w:val="32"/>
          <w:highlight w:val="none"/>
          <w:lang w:val="en-US" w:eastAsia="zh-CN"/>
        </w:rPr>
        <w:t>2</w:t>
      </w:r>
      <w:r>
        <w:rPr>
          <w:rFonts w:hint="eastAsia" w:ascii="仿宋" w:hAnsi="仿宋" w:eastAsia="仿宋"/>
          <w:color w:val="auto"/>
          <w:sz w:val="32"/>
          <w:szCs w:val="32"/>
          <w:highlight w:val="none"/>
        </w:rPr>
        <w:t>个，参照公务员法管理的事业单位</w:t>
      </w:r>
      <w:r>
        <w:rPr>
          <w:rFonts w:hint="eastAsia" w:ascii="仿宋" w:hAnsi="仿宋" w:eastAsia="仿宋"/>
          <w:bCs/>
          <w:color w:val="auto"/>
          <w:sz w:val="32"/>
          <w:szCs w:val="32"/>
          <w:highlight w:val="none"/>
          <w:lang w:val="en-US" w:eastAsia="zh-CN"/>
        </w:rPr>
        <w:t>1</w:t>
      </w:r>
      <w:r>
        <w:rPr>
          <w:rFonts w:hint="eastAsia" w:ascii="仿宋" w:hAnsi="仿宋" w:eastAsia="仿宋"/>
          <w:color w:val="auto"/>
          <w:sz w:val="32"/>
          <w:szCs w:val="32"/>
          <w:highlight w:val="none"/>
        </w:rPr>
        <w:t>个，其他事业单位23个。</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纳入经济和信息化厅20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年度部门决算编制范围的二级预算单位包括：</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1.四川省经济和信息化厅（本级）</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2.四川省无线电管理委员会</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3.四川省无线电监测站</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4.四川省工业经济联合会秘书处</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5.四川省经济和信息化厅机关服务中心</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6.四川省有色冶金研究院有限公司</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7.四川省节能监察中心（四川省节能技术服务中心）</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8.四川省包装行业发展中心（四川省包装改进办公室）</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9.四川省经济和信息化厅信息中心</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10.四川省电子产品监督检验所</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11.四川信息职业技术学院</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12.四川化工职业技术学院</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13.四川理工技师学院</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14.四川省化工设计院</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15.四川省化工防腐蚀技术情报中心站</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16.四川工程职业技术学院</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17.四川省工业经济发展研究中心</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18.四川省冶金设计研究院</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19.四川省纺织工业设计院</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20.四川省纺织工业干部学校</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21.四川工商职业技术学院</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22.四川省盐业学校</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23.四川省轻工幼儿园</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24.四川省有色金属工业公司</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25.四川省化工建设工程质量安全监督站</w:t>
      </w:r>
    </w:p>
    <w:p>
      <w:pPr>
        <w:pStyle w:val="6"/>
        <w:adjustRightInd w:val="0"/>
        <w:snapToGrid w:val="0"/>
        <w:spacing w:before="93" w:line="600" w:lineRule="exact"/>
        <w:ind w:firstLine="672" w:firstLineChars="21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26.四川省信息产业发展研究中心</w:t>
      </w:r>
    </w:p>
    <w:p>
      <w:pPr>
        <w:pStyle w:val="3"/>
        <w:ind w:right="440"/>
        <w:jc w:val="center"/>
        <w:rPr>
          <w:color w:val="auto"/>
          <w:highlight w:val="none"/>
        </w:rPr>
      </w:pPr>
      <w:bookmarkStart w:id="22" w:name="_Toc15396602"/>
      <w:bookmarkStart w:id="23" w:name="_Toc15377204"/>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2020年度</w:t>
      </w:r>
      <w:r>
        <w:rPr>
          <w:rStyle w:val="25"/>
          <w:rFonts w:hint="eastAsia" w:ascii="黑体" w:hAnsi="黑体" w:eastAsia="黑体"/>
          <w:b w:val="0"/>
          <w:bCs/>
          <w:color w:val="auto"/>
          <w:highlight w:val="none"/>
        </w:rPr>
        <w:t>部门决算情况说明</w:t>
      </w:r>
      <w:bookmarkEnd w:id="22"/>
      <w:bookmarkEnd w:id="23"/>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24" w:name="_Toc15377205"/>
      <w:bookmarkStart w:id="25"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24"/>
      <w:bookmarkEnd w:id="25"/>
    </w:p>
    <w:p>
      <w:pPr>
        <w:spacing w:line="600" w:lineRule="exact"/>
        <w:ind w:firstLine="640" w:firstLineChars="200"/>
        <w:rPr>
          <w:rFonts w:ascii="仿宋" w:hAnsi="仿宋" w:eastAsia="仿宋"/>
          <w:color w:val="auto"/>
          <w:sz w:val="32"/>
          <w:szCs w:val="32"/>
          <w:highlight w:val="yellow"/>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年度收、支总计150979.36万元。与201</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年相比，收、支总计各增加7548.14万元，增长5.26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。主要变动原因是主要原因是四川省经济和信息化厅（本级）2019年无线电频率占用费、川酒宣传片、数字经济规划、中小企业宣传片制作等项目结转资金结转到2020年使用。</w:t>
      </w:r>
    </w:p>
    <w:p>
      <w:pPr>
        <w:pStyle w:val="6"/>
        <w:jc w:val="center"/>
        <w:rPr>
          <w:rFonts w:hint="eastAsia" w:eastAsia="仿宋"/>
          <w:lang w:eastAsia="zh-CN"/>
        </w:rPr>
      </w:pPr>
      <w:r>
        <w:rPr>
          <w:rFonts w:hint="eastAsia" w:eastAsia="仿宋"/>
          <w:lang w:eastAsia="zh-CN"/>
        </w:rPr>
        <w:drawing>
          <wp:inline distT="0" distB="0" distL="114300" distR="114300">
            <wp:extent cx="4584065" cy="2755265"/>
            <wp:effectExtent l="0" t="0" r="6985" b="698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6"/>
                    <a:stretch>
                      <a:fillRect/>
                    </a:stretch>
                  </pic:blipFill>
                  <pic:spPr>
                    <a:xfrm>
                      <a:off x="0" y="0"/>
                      <a:ext cx="4584065" cy="2755265"/>
                    </a:xfrm>
                    <a:prstGeom prst="rect">
                      <a:avLst/>
                    </a:prstGeom>
                  </pic:spPr>
                </pic:pic>
              </a:graphicData>
            </a:graphic>
          </wp:inline>
        </w:drawing>
      </w: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26" w:name="_Toc15377206"/>
      <w:bookmarkStart w:id="27"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年本年收入合计148387.38万元，其中：一般公共预算财政拨款收入111486.39万元，占75.13</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；上级补助收入9.19万元，占0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；事业收入20263.11万元，占13.6</w:t>
      </w:r>
      <w:r>
        <w:rPr>
          <w:rFonts w:hint="eastAsia" w:ascii="仿宋" w:hAnsi="仿宋" w:eastAsia="仿宋"/>
          <w:color w:val="auto"/>
          <w:sz w:val="32"/>
          <w:szCs w:val="32"/>
          <w:highlight w:val="none"/>
          <w:lang w:val="en-US" w:eastAsia="zh-CN"/>
        </w:rPr>
        <w:t>6</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；经营收入3065.62万元，占2.07</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；其他收入13563.07万元，占9.14</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34"/>
        <w:jc w:val="center"/>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drawing>
          <wp:inline distT="0" distB="0" distL="114300" distR="114300">
            <wp:extent cx="4584065" cy="2755265"/>
            <wp:effectExtent l="0" t="0" r="6985" b="6985"/>
            <wp:docPr id="13" name="图片 13"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图片2"/>
                    <pic:cNvPicPr>
                      <a:picLocks noChangeAspect="1"/>
                    </pic:cNvPicPr>
                  </pic:nvPicPr>
                  <pic:blipFill>
                    <a:blip r:embed="rId7"/>
                    <a:stretch>
                      <a:fillRect/>
                    </a:stretch>
                  </pic:blipFill>
                  <pic:spPr>
                    <a:xfrm>
                      <a:off x="0" y="0"/>
                      <a:ext cx="4584065" cy="2755265"/>
                    </a:xfrm>
                    <a:prstGeom prst="rect">
                      <a:avLst/>
                    </a:prstGeom>
                  </pic:spPr>
                </pic:pic>
              </a:graphicData>
            </a:graphic>
          </wp:inline>
        </w:drawing>
      </w:r>
    </w:p>
    <w:p>
      <w:pPr>
        <w:pStyle w:val="24"/>
        <w:numPr>
          <w:ilvl w:val="0"/>
          <w:numId w:val="1"/>
        </w:numPr>
        <w:spacing w:line="600" w:lineRule="exact"/>
        <w:ind w:firstLineChars="0"/>
        <w:outlineLvl w:val="1"/>
        <w:rPr>
          <w:rStyle w:val="26"/>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年本年支出合计148172.24万元，其中：基本支出66566.04万元，占44.92</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；项目支出78692.68万元，占53.11</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；经营支出2913.51万元，占1.97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pStyle w:val="34"/>
        <w:jc w:val="center"/>
        <w:rPr>
          <w:rFonts w:ascii="仿宋_GB2312" w:eastAsia="仿宋_GB2312"/>
          <w:color w:val="auto"/>
          <w:sz w:val="32"/>
          <w:szCs w:val="32"/>
          <w:highlight w:val="none"/>
        </w:rPr>
      </w:pPr>
      <w:r>
        <w:rPr>
          <w:rFonts w:hint="eastAsia" w:eastAsia="仿宋"/>
          <w:lang w:eastAsia="zh-CN"/>
        </w:rPr>
        <w:drawing>
          <wp:inline distT="0" distB="0" distL="114300" distR="114300">
            <wp:extent cx="4584065" cy="2755265"/>
            <wp:effectExtent l="0" t="0" r="6985" b="6985"/>
            <wp:docPr id="12" name="图片 12" descr="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图片3"/>
                    <pic:cNvPicPr>
                      <a:picLocks noChangeAspect="1"/>
                    </pic:cNvPicPr>
                  </pic:nvPicPr>
                  <pic:blipFill>
                    <a:blip r:embed="rId8"/>
                    <a:stretch>
                      <a:fillRect/>
                    </a:stretch>
                  </pic:blipFill>
                  <pic:spPr>
                    <a:xfrm>
                      <a:off x="0" y="0"/>
                      <a:ext cx="4584065" cy="2755265"/>
                    </a:xfrm>
                    <a:prstGeom prst="rect">
                      <a:avLst/>
                    </a:prstGeom>
                  </pic:spPr>
                </pic:pic>
              </a:graphicData>
            </a:graphic>
          </wp:inline>
        </w:drawing>
      </w:r>
    </w:p>
    <w:p>
      <w:pPr>
        <w:spacing w:line="600" w:lineRule="exact"/>
        <w:ind w:firstLine="640" w:firstLineChars="200"/>
        <w:outlineLvl w:val="1"/>
        <w:rPr>
          <w:rStyle w:val="26"/>
          <w:rFonts w:ascii="黑体" w:hAnsi="黑体" w:eastAsia="黑体"/>
          <w:b w:val="0"/>
          <w:color w:val="auto"/>
          <w:highlight w:val="none"/>
        </w:rPr>
      </w:pPr>
      <w:bookmarkStart w:id="30" w:name="_Toc15396606"/>
      <w:bookmarkStart w:id="31" w:name="_Toc15377208"/>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30"/>
      <w:bookmarkEnd w:id="31"/>
    </w:p>
    <w:p>
      <w:pPr>
        <w:spacing w:line="600" w:lineRule="exact"/>
        <w:ind w:firstLine="640"/>
        <w:rPr>
          <w:rFonts w:hint="eastAsia" w:ascii="仿宋" w:hAnsi="仿宋" w:eastAsia="仿宋"/>
          <w:color w:val="auto"/>
          <w:sz w:val="32"/>
          <w:szCs w:val="32"/>
          <w:highlight w:val="yellow"/>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年财政拨款收、支总计112256.61万元。与</w:t>
      </w:r>
      <w:r>
        <w:rPr>
          <w:rFonts w:ascii="仿宋" w:hAnsi="仿宋" w:eastAsia="仿宋"/>
          <w:color w:val="auto"/>
          <w:sz w:val="32"/>
          <w:szCs w:val="32"/>
          <w:highlight w:val="none"/>
        </w:rPr>
        <w:t>201</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年相比，财政拨款收、支总计各增加5915.91万元，增长</w:t>
      </w:r>
      <w:r>
        <w:rPr>
          <w:rFonts w:hint="eastAsia" w:ascii="仿宋" w:hAnsi="仿宋" w:eastAsia="仿宋"/>
          <w:color w:val="000000"/>
          <w:sz w:val="32"/>
          <w:szCs w:val="32"/>
          <w:lang w:val="en-US" w:eastAsia="zh-CN"/>
        </w:rPr>
        <w:t>5.56</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。主要变动原因是是生均经费拨款、工资调整及上年结转增加</w:t>
      </w:r>
      <w:r>
        <w:rPr>
          <w:rFonts w:hint="eastAsia" w:ascii="仿宋" w:hAnsi="仿宋" w:eastAsia="仿宋"/>
          <w:color w:val="auto"/>
          <w:sz w:val="32"/>
          <w:szCs w:val="32"/>
          <w:highlight w:val="none"/>
          <w:lang w:eastAsia="zh-CN"/>
        </w:rPr>
        <w:t>。</w:t>
      </w:r>
    </w:p>
    <w:p>
      <w:pPr>
        <w:pStyle w:val="6"/>
        <w:jc w:val="center"/>
        <w:rPr>
          <w:rFonts w:ascii="仿宋" w:hAnsi="仿宋" w:eastAsia="仿宋"/>
          <w:b/>
          <w:color w:val="auto"/>
          <w:sz w:val="32"/>
          <w:szCs w:val="32"/>
          <w:highlight w:val="none"/>
        </w:rPr>
      </w:pPr>
      <w:r>
        <w:rPr>
          <w:rFonts w:hint="eastAsia" w:eastAsia="仿宋"/>
          <w:lang w:eastAsia="zh-CN"/>
        </w:rPr>
        <w:drawing>
          <wp:inline distT="0" distB="0" distL="114300" distR="114300">
            <wp:extent cx="4584065" cy="2755265"/>
            <wp:effectExtent l="0" t="0" r="6985" b="6985"/>
            <wp:docPr id="4" name="图片 4" descr="图片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4"/>
                    <pic:cNvPicPr>
                      <a:picLocks noChangeAspect="1"/>
                    </pic:cNvPicPr>
                  </pic:nvPicPr>
                  <pic:blipFill>
                    <a:blip r:embed="rId9"/>
                    <a:stretch>
                      <a:fillRect/>
                    </a:stretch>
                  </pic:blipFill>
                  <pic:spPr>
                    <a:xfrm>
                      <a:off x="0" y="0"/>
                      <a:ext cx="4584065" cy="2755265"/>
                    </a:xfrm>
                    <a:prstGeom prst="rect">
                      <a:avLst/>
                    </a:prstGeom>
                  </pic:spPr>
                </pic:pic>
              </a:graphicData>
            </a:graphic>
          </wp:inline>
        </w:drawing>
      </w:r>
    </w:p>
    <w:p>
      <w:pPr>
        <w:spacing w:line="600" w:lineRule="exact"/>
        <w:ind w:firstLine="640" w:firstLineChars="200"/>
        <w:outlineLvl w:val="1"/>
        <w:rPr>
          <w:rStyle w:val="26"/>
          <w:rFonts w:ascii="黑体" w:hAnsi="黑体" w:eastAsia="黑体"/>
          <w:b w:val="0"/>
          <w:color w:val="auto"/>
          <w:highlight w:val="none"/>
        </w:rPr>
      </w:pPr>
      <w:bookmarkStart w:id="32" w:name="_Toc15396607"/>
      <w:bookmarkStart w:id="3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640" w:firstLineChars="200"/>
        <w:rPr>
          <w:rFonts w:hint="eastAsia" w:ascii="仿宋" w:hAnsi="仿宋" w:eastAsia="仿宋"/>
          <w:color w:val="auto"/>
          <w:sz w:val="32"/>
          <w:szCs w:val="32"/>
          <w:highlight w:val="none"/>
          <w:lang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年一般公共预算财政拨款支出111710.23万元，占本年支出合计的75.39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201</w:t>
      </w: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年相比，一般公共预算财政拨款增加</w:t>
      </w:r>
      <w:r>
        <w:rPr>
          <w:rFonts w:hint="eastAsia" w:ascii="仿宋" w:hAnsi="仿宋" w:eastAsia="仿宋"/>
          <w:color w:val="000000"/>
          <w:sz w:val="32"/>
          <w:szCs w:val="32"/>
          <w:lang w:val="en-US" w:eastAsia="zh-CN"/>
        </w:rPr>
        <w:t>6559.33</w:t>
      </w:r>
      <w:r>
        <w:rPr>
          <w:rFonts w:hint="eastAsia" w:ascii="仿宋" w:hAnsi="仿宋" w:eastAsia="仿宋"/>
          <w:color w:val="auto"/>
          <w:sz w:val="32"/>
          <w:szCs w:val="32"/>
          <w:highlight w:val="none"/>
        </w:rPr>
        <w:t>万元，增长6.24</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。主要变动原因是生均经费拨款、工资调整及上年结转增加</w:t>
      </w:r>
      <w:r>
        <w:rPr>
          <w:rFonts w:hint="eastAsia" w:ascii="仿宋" w:hAnsi="仿宋" w:eastAsia="仿宋"/>
          <w:color w:val="auto"/>
          <w:sz w:val="32"/>
          <w:szCs w:val="32"/>
          <w:highlight w:val="none"/>
          <w:lang w:eastAsia="zh-CN"/>
        </w:rPr>
        <w:t>。</w:t>
      </w:r>
    </w:p>
    <w:p>
      <w:pPr>
        <w:pStyle w:val="6"/>
        <w:jc w:val="center"/>
        <w:rPr>
          <w:rFonts w:hint="eastAsia" w:eastAsia="仿宋"/>
          <w:lang w:eastAsia="zh-CN"/>
        </w:rPr>
      </w:pPr>
      <w:r>
        <w:rPr>
          <w:rFonts w:hint="eastAsia" w:eastAsia="仿宋"/>
          <w:lang w:eastAsia="zh-CN"/>
        </w:rPr>
        <w:drawing>
          <wp:inline distT="0" distB="0" distL="114300" distR="114300">
            <wp:extent cx="4584065" cy="2755265"/>
            <wp:effectExtent l="0" t="0" r="6985" b="6985"/>
            <wp:docPr id="5" name="图片 5" descr="图片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图片5"/>
                    <pic:cNvPicPr>
                      <a:picLocks noChangeAspect="1"/>
                    </pic:cNvPicPr>
                  </pic:nvPicPr>
                  <pic:blipFill>
                    <a:blip r:embed="rId10"/>
                    <a:stretch>
                      <a:fillRect/>
                    </a:stretch>
                  </pic:blipFill>
                  <pic:spPr>
                    <a:xfrm>
                      <a:off x="0" y="0"/>
                      <a:ext cx="4584065" cy="2755265"/>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年一般公共预算财政拨款支出111710.23万元，主要用于以下方面</w:t>
      </w:r>
      <w:r>
        <w:rPr>
          <w:rFonts w:ascii="仿宋" w:hAnsi="仿宋" w:eastAsia="仿宋"/>
          <w:color w:val="auto"/>
          <w:sz w:val="32"/>
          <w:szCs w:val="32"/>
          <w:highlight w:val="none"/>
        </w:rPr>
        <w:t>:</w:t>
      </w:r>
    </w:p>
    <w:p>
      <w:pPr>
        <w:spacing w:line="600" w:lineRule="exact"/>
        <w:ind w:firstLine="640"/>
        <w:rPr>
          <w:rFonts w:hint="eastAsia" w:ascii="仿宋" w:hAnsi="仿宋" w:eastAsia="仿宋"/>
          <w:color w:val="auto"/>
          <w:sz w:val="32"/>
          <w:szCs w:val="32"/>
          <w:highlight w:val="none"/>
        </w:rPr>
      </w:pP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59.44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0.05</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教育支出（类）</w:t>
      </w:r>
      <w:r>
        <w:rPr>
          <w:rFonts w:hint="eastAsia" w:ascii="仿宋" w:hAnsi="仿宋" w:eastAsia="仿宋"/>
          <w:color w:val="auto"/>
          <w:sz w:val="32"/>
          <w:szCs w:val="32"/>
          <w:highlight w:val="none"/>
          <w:lang w:val="en-US" w:eastAsia="zh-CN"/>
        </w:rPr>
        <w:t>73922.16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66.17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科学技术（类）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329.54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0.30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6961.28</w:t>
      </w:r>
      <w:r>
        <w:rPr>
          <w:rFonts w:hint="eastAsia" w:ascii="仿宋" w:hAnsi="仿宋" w:eastAsia="仿宋"/>
          <w:color w:val="auto"/>
          <w:sz w:val="32"/>
          <w:szCs w:val="32"/>
          <w:highlight w:val="none"/>
        </w:rPr>
        <w:t>元，占</w:t>
      </w:r>
      <w:r>
        <w:rPr>
          <w:rFonts w:hint="eastAsia" w:ascii="仿宋" w:hAnsi="仿宋" w:eastAsia="仿宋"/>
          <w:color w:val="auto"/>
          <w:sz w:val="32"/>
          <w:szCs w:val="32"/>
          <w:highlight w:val="none"/>
          <w:lang w:val="en-US" w:eastAsia="zh-CN"/>
        </w:rPr>
        <w:t>6.23</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卫生健康支出</w:t>
      </w:r>
      <w:r>
        <w:rPr>
          <w:rFonts w:hint="eastAsia" w:ascii="仿宋" w:hAnsi="仿宋" w:eastAsia="仿宋"/>
          <w:color w:val="auto"/>
          <w:sz w:val="32"/>
          <w:szCs w:val="32"/>
          <w:highlight w:val="none"/>
          <w:lang w:val="en-US" w:eastAsia="zh-CN"/>
        </w:rPr>
        <w:t>878.26</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0.79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节能环保支出</w:t>
      </w:r>
      <w:r>
        <w:rPr>
          <w:rFonts w:hint="eastAsia" w:ascii="仿宋" w:hAnsi="仿宋" w:eastAsia="仿宋"/>
          <w:color w:val="auto"/>
          <w:sz w:val="32"/>
          <w:szCs w:val="32"/>
          <w:highlight w:val="none"/>
        </w:rPr>
        <w:t xml:space="preserve"> </w:t>
      </w:r>
      <w:r>
        <w:rPr>
          <w:rFonts w:hint="eastAsia" w:ascii="仿宋" w:hAnsi="仿宋" w:eastAsia="仿宋"/>
          <w:color w:val="auto"/>
          <w:sz w:val="32"/>
          <w:szCs w:val="32"/>
          <w:highlight w:val="none"/>
          <w:lang w:val="en-US" w:eastAsia="zh-CN"/>
        </w:rPr>
        <w:t>820.87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0.74</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城乡社区支出</w:t>
      </w:r>
      <w:r>
        <w:rPr>
          <w:rFonts w:hint="eastAsia" w:ascii="仿宋" w:hAnsi="仿宋" w:eastAsia="仿宋"/>
          <w:color w:val="auto"/>
          <w:sz w:val="32"/>
          <w:szCs w:val="32"/>
          <w:highlight w:val="none"/>
          <w:lang w:val="en-US" w:eastAsia="zh-CN"/>
        </w:rPr>
        <w:t>217.15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0.19</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资源勘探</w:t>
      </w:r>
      <w:r>
        <w:rPr>
          <w:rFonts w:hint="eastAsia" w:ascii="仿宋" w:hAnsi="仿宋" w:eastAsia="仿宋"/>
          <w:b/>
          <w:bCs/>
          <w:color w:val="auto"/>
          <w:sz w:val="32"/>
          <w:szCs w:val="32"/>
          <w:highlight w:val="none"/>
          <w:lang w:eastAsia="zh-CN"/>
        </w:rPr>
        <w:t>工业</w:t>
      </w:r>
      <w:r>
        <w:rPr>
          <w:rFonts w:hint="eastAsia" w:ascii="仿宋" w:hAnsi="仿宋" w:eastAsia="仿宋"/>
          <w:b/>
          <w:bCs/>
          <w:color w:val="auto"/>
          <w:sz w:val="32"/>
          <w:szCs w:val="32"/>
          <w:highlight w:val="none"/>
        </w:rPr>
        <w:t>信息等支出</w:t>
      </w:r>
      <w:r>
        <w:rPr>
          <w:rFonts w:hint="eastAsia" w:ascii="仿宋" w:hAnsi="仿宋" w:eastAsia="仿宋"/>
          <w:color w:val="auto"/>
          <w:sz w:val="32"/>
          <w:szCs w:val="32"/>
          <w:highlight w:val="none"/>
          <w:lang w:val="en-US" w:eastAsia="zh-CN"/>
        </w:rPr>
        <w:t>22893.71</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20.49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b/>
          <w:bCs/>
          <w:color w:val="auto"/>
          <w:sz w:val="32"/>
          <w:szCs w:val="32"/>
          <w:highlight w:val="none"/>
        </w:rPr>
        <w:t>住房保障支出</w:t>
      </w:r>
      <w:r>
        <w:rPr>
          <w:rFonts w:hint="eastAsia" w:ascii="仿宋" w:hAnsi="仿宋" w:eastAsia="仿宋"/>
          <w:color w:val="auto"/>
          <w:sz w:val="32"/>
          <w:szCs w:val="32"/>
          <w:highlight w:val="none"/>
          <w:lang w:val="en-US" w:eastAsia="zh-CN"/>
        </w:rPr>
        <w:t>1137.20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1.02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灾害防治及应急管理支出</w:t>
      </w:r>
      <w:r>
        <w:rPr>
          <w:rFonts w:hint="eastAsia" w:ascii="仿宋" w:hAnsi="仿宋" w:eastAsia="仿宋"/>
          <w:color w:val="auto"/>
          <w:sz w:val="32"/>
          <w:szCs w:val="32"/>
          <w:highlight w:val="none"/>
        </w:rPr>
        <w:t>8万元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其他支出</w:t>
      </w:r>
      <w:r>
        <w:rPr>
          <w:rFonts w:hint="eastAsia" w:ascii="仿宋" w:hAnsi="仿宋" w:eastAsia="仿宋"/>
          <w:color w:val="auto"/>
          <w:sz w:val="32"/>
          <w:szCs w:val="32"/>
          <w:highlight w:val="none"/>
          <w:lang w:val="en-US" w:eastAsia="zh-CN"/>
        </w:rPr>
        <w:t>205.62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0.19</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b/>
          <w:bCs/>
          <w:color w:val="auto"/>
          <w:sz w:val="32"/>
          <w:szCs w:val="32"/>
          <w:highlight w:val="none"/>
        </w:rPr>
        <w:t>债务</w:t>
      </w:r>
      <w:r>
        <w:rPr>
          <w:rFonts w:hint="eastAsia" w:ascii="仿宋" w:hAnsi="仿宋" w:eastAsia="仿宋"/>
          <w:b/>
          <w:bCs/>
          <w:color w:val="auto"/>
          <w:sz w:val="32"/>
          <w:szCs w:val="32"/>
          <w:highlight w:val="none"/>
          <w:lang w:eastAsia="zh-CN"/>
        </w:rPr>
        <w:t>付息</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4277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占</w:t>
      </w:r>
      <w:r>
        <w:rPr>
          <w:rFonts w:hint="eastAsia" w:ascii="仿宋" w:hAnsi="仿宋" w:eastAsia="仿宋"/>
          <w:color w:val="auto"/>
          <w:sz w:val="32"/>
          <w:szCs w:val="32"/>
          <w:highlight w:val="none"/>
          <w:lang w:val="en-US" w:eastAsia="zh-CN"/>
        </w:rPr>
        <w:t>3.83</w:t>
      </w:r>
      <w:r>
        <w:rPr>
          <w:rFonts w:hint="eastAsia" w:ascii="仿宋" w:hAnsi="仿宋" w:eastAsia="仿宋"/>
          <w:color w:val="auto"/>
          <w:sz w:val="32"/>
          <w:szCs w:val="32"/>
          <w:highlight w:val="none"/>
        </w:rPr>
        <w:t>%。</w:t>
      </w:r>
    </w:p>
    <w:p>
      <w:pPr>
        <w:pStyle w:val="34"/>
        <w:ind w:left="0" w:leftChars="0" w:firstLine="0" w:firstLineChars="0"/>
        <w:jc w:val="both"/>
        <w:rPr>
          <w:rFonts w:hint="eastAsia" w:eastAsia="仿宋"/>
          <w:lang w:eastAsia="zh-CN"/>
        </w:rPr>
      </w:pPr>
      <w:r>
        <w:rPr>
          <w:rFonts w:hint="eastAsia" w:eastAsia="仿宋"/>
          <w:lang w:eastAsia="zh-CN"/>
        </w:rPr>
        <w:drawing>
          <wp:inline distT="0" distB="0" distL="114300" distR="114300">
            <wp:extent cx="5269865" cy="2564765"/>
            <wp:effectExtent l="0" t="0" r="6985" b="6985"/>
            <wp:docPr id="10" name="图片 10" descr="图片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6"/>
                    <pic:cNvPicPr>
                      <a:picLocks noChangeAspect="1"/>
                    </pic:cNvPicPr>
                  </pic:nvPicPr>
                  <pic:blipFill>
                    <a:blip r:embed="rId11"/>
                    <a:stretch>
                      <a:fillRect/>
                    </a:stretch>
                  </pic:blipFill>
                  <pic:spPr>
                    <a:xfrm>
                      <a:off x="0" y="0"/>
                      <a:ext cx="5269865" cy="2564765"/>
                    </a:xfrm>
                    <a:prstGeom prst="rect">
                      <a:avLst/>
                    </a:prstGeom>
                  </pic:spPr>
                </pic:pic>
              </a:graphicData>
            </a:graphic>
          </wp:inline>
        </w:drawing>
      </w:r>
    </w:p>
    <w:p>
      <w:pPr>
        <w:spacing w:line="600" w:lineRule="exact"/>
        <w:ind w:firstLine="640" w:firstLineChars="200"/>
        <w:rPr>
          <w:rFonts w:ascii="仿宋" w:hAnsi="仿宋" w:eastAsia="仿宋"/>
          <w:color w:val="auto"/>
          <w:sz w:val="32"/>
          <w:szCs w:val="32"/>
          <w:highlight w:val="none"/>
        </w:rPr>
      </w:pPr>
    </w:p>
    <w:p>
      <w:pPr>
        <w:spacing w:line="600" w:lineRule="exact"/>
        <w:ind w:firstLine="643"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7213"/>
      <w:bookmarkStart w:id="38" w:name="_Toc15377444"/>
      <w:bookmarkStart w:id="39"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20</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般公共预算支出决算数为111710.2</w:t>
      </w:r>
      <w:r>
        <w:rPr>
          <w:rFonts w:hint="eastAsia" w:ascii="仿宋" w:hAnsi="仿宋" w:eastAsia="仿宋"/>
          <w:b/>
          <w:color w:val="auto"/>
          <w:sz w:val="32"/>
          <w:szCs w:val="32"/>
          <w:highlight w:val="none"/>
          <w:lang w:val="en-US" w:eastAsia="zh-CN"/>
        </w:rPr>
        <w:t>3</w:t>
      </w:r>
      <w:r>
        <w:rPr>
          <w:rFonts w:hint="eastAsia" w:ascii="仿宋" w:hAnsi="仿宋" w:eastAsia="仿宋"/>
          <w:b/>
          <w:color w:val="auto"/>
          <w:sz w:val="32"/>
          <w:szCs w:val="32"/>
          <w:highlight w:val="none"/>
        </w:rPr>
        <w:t>万元</w:t>
      </w:r>
      <w:r>
        <w:rPr>
          <w:rFonts w:hint="eastAsia" w:ascii="仿宋" w:hAnsi="仿宋" w:eastAsia="仿宋"/>
          <w:color w:val="auto"/>
          <w:sz w:val="32"/>
          <w:szCs w:val="32"/>
          <w:highlight w:val="none"/>
        </w:rPr>
        <w:t>，</w:t>
      </w:r>
      <w:r>
        <w:rPr>
          <w:rStyle w:val="15"/>
          <w:rFonts w:hint="eastAsia" w:ascii="仿宋" w:hAnsi="仿宋" w:eastAsia="仿宋"/>
          <w:bCs/>
          <w:color w:val="auto"/>
          <w:sz w:val="32"/>
          <w:szCs w:val="32"/>
          <w:highlight w:val="none"/>
        </w:rPr>
        <w:t>完成预算99.5</w:t>
      </w:r>
      <w:r>
        <w:rPr>
          <w:rStyle w:val="15"/>
          <w:rFonts w:ascii="仿宋" w:hAnsi="仿宋" w:eastAsia="仿宋"/>
          <w:bCs/>
          <w:color w:val="auto"/>
          <w:sz w:val="32"/>
          <w:szCs w:val="32"/>
          <w:highlight w:val="none"/>
        </w:rPr>
        <w:t>%</w:t>
      </w:r>
      <w:r>
        <w:rPr>
          <w:rStyle w:val="15"/>
          <w:rFonts w:hint="eastAsia" w:ascii="仿宋" w:hAnsi="仿宋" w:eastAsia="仿宋"/>
          <w:bCs/>
          <w:color w:val="auto"/>
          <w:sz w:val="32"/>
          <w:szCs w:val="32"/>
          <w:highlight w:val="none"/>
        </w:rPr>
        <w:t>。其中：</w:t>
      </w:r>
      <w:bookmarkEnd w:id="37"/>
      <w:bookmarkEnd w:id="38"/>
      <w:bookmarkEnd w:id="39"/>
    </w:p>
    <w:p>
      <w:pPr>
        <w:pStyle w:val="34"/>
        <w:ind w:left="0" w:leftChars="0" w:firstLine="640" w:firstLineChars="200"/>
        <w:rPr>
          <w:rFonts w:hint="eastAsia"/>
        </w:rPr>
      </w:pPr>
      <w:r>
        <w:rPr>
          <w:rFonts w:hint="eastAsia"/>
        </w:rPr>
        <w:t>1</w:t>
      </w:r>
      <w:r>
        <w:rPr>
          <w:rFonts w:hint="eastAsia"/>
          <w:lang w:eastAsia="zh-CN"/>
        </w:rPr>
        <w:t>.</w:t>
      </w:r>
      <w:r>
        <w:rPr>
          <w:rStyle w:val="15"/>
          <w:rFonts w:hint="eastAsia" w:ascii="仿宋" w:hAnsi="仿宋" w:eastAsia="仿宋" w:cstheme="minorBidi"/>
          <w:bCs/>
          <w:color w:val="auto"/>
          <w:kern w:val="2"/>
          <w:sz w:val="32"/>
          <w:szCs w:val="32"/>
          <w:highlight w:val="none"/>
          <w:lang w:val="en-US" w:eastAsia="zh-CN" w:bidi="ar-SA"/>
        </w:rPr>
        <w:t>一般公共服务（类）组织事务（款）一般行政管理事务（项）:</w:t>
      </w:r>
      <w:r>
        <w:rPr>
          <w:rStyle w:val="15"/>
          <w:rFonts w:ascii="仿宋" w:hAnsi="仿宋" w:eastAsia="仿宋"/>
          <w:b w:val="0"/>
          <w:bCs/>
          <w:color w:val="auto"/>
          <w:sz w:val="32"/>
          <w:szCs w:val="32"/>
          <w:highlight w:val="none"/>
        </w:rPr>
        <w:t xml:space="preserve"> </w:t>
      </w:r>
      <w:r>
        <w:rPr>
          <w:rFonts w:hint="eastAsia"/>
        </w:rPr>
        <w:t>支出决算为</w:t>
      </w:r>
      <w:r>
        <w:rPr>
          <w:rFonts w:hint="eastAsia"/>
          <w:lang w:val="en-US" w:eastAsia="zh-CN"/>
        </w:rPr>
        <w:t>4.5</w:t>
      </w:r>
      <w:r>
        <w:rPr>
          <w:rFonts w:hint="eastAsia"/>
        </w:rPr>
        <w:t>万元，完成预算100%;</w:t>
      </w:r>
    </w:p>
    <w:p>
      <w:pPr>
        <w:pStyle w:val="34"/>
        <w:ind w:left="0" w:leftChars="0" w:firstLine="643" w:firstLineChars="200"/>
        <w:rPr>
          <w:rFonts w:hint="eastAsia" w:eastAsia="仿宋_GB2312"/>
          <w:lang w:eastAsia="zh-CN"/>
        </w:rPr>
      </w:pPr>
      <w:r>
        <w:rPr>
          <w:rStyle w:val="15"/>
          <w:rFonts w:hint="eastAsia" w:ascii="仿宋" w:hAnsi="仿宋" w:eastAsia="仿宋" w:cstheme="minorBidi"/>
          <w:bCs/>
          <w:color w:val="auto"/>
          <w:kern w:val="2"/>
          <w:sz w:val="32"/>
          <w:szCs w:val="32"/>
          <w:highlight w:val="none"/>
          <w:lang w:val="en-US" w:eastAsia="zh-CN" w:bidi="ar-SA"/>
        </w:rPr>
        <w:t xml:space="preserve">一般公共服务（类）市场监督管理事务（款）其他市场监督管理事务（项）: </w:t>
      </w:r>
      <w:r>
        <w:rPr>
          <w:rFonts w:hint="eastAsia"/>
        </w:rPr>
        <w:t>支出决算为</w:t>
      </w:r>
      <w:r>
        <w:rPr>
          <w:rFonts w:hint="eastAsia"/>
          <w:lang w:val="en-US" w:eastAsia="zh-CN"/>
        </w:rPr>
        <w:t>3</w:t>
      </w:r>
      <w:r>
        <w:rPr>
          <w:rFonts w:hint="eastAsia"/>
        </w:rPr>
        <w:t>6万元，完成预算100%</w:t>
      </w:r>
      <w:r>
        <w:rPr>
          <w:rFonts w:hint="eastAsia"/>
          <w:lang w:eastAsia="zh-CN"/>
        </w:rPr>
        <w:t>；</w:t>
      </w:r>
    </w:p>
    <w:p>
      <w:pPr>
        <w:pStyle w:val="34"/>
        <w:ind w:left="0" w:leftChars="0" w:firstLine="643" w:firstLineChars="200"/>
        <w:rPr>
          <w:rStyle w:val="15"/>
          <w:rFonts w:hint="eastAsia" w:ascii="仿宋" w:hAnsi="仿宋" w:eastAsia="仿宋" w:cstheme="minorBidi"/>
          <w:bCs/>
          <w:color w:val="auto"/>
          <w:kern w:val="2"/>
          <w:sz w:val="32"/>
          <w:szCs w:val="32"/>
          <w:highlight w:val="none"/>
          <w:lang w:val="en-US" w:eastAsia="zh-CN" w:bidi="ar-SA"/>
        </w:rPr>
      </w:pPr>
      <w:r>
        <w:rPr>
          <w:rStyle w:val="15"/>
          <w:rFonts w:hint="eastAsia" w:ascii="仿宋" w:hAnsi="仿宋" w:eastAsia="仿宋" w:cstheme="minorBidi"/>
          <w:bCs/>
          <w:color w:val="auto"/>
          <w:kern w:val="2"/>
          <w:sz w:val="32"/>
          <w:szCs w:val="32"/>
          <w:highlight w:val="none"/>
          <w:lang w:val="en-US" w:eastAsia="zh-CN" w:bidi="ar-SA"/>
        </w:rPr>
        <w:t>一般公共服务（类）其他一般公共服务支出（款）其他</w:t>
      </w:r>
    </w:p>
    <w:p>
      <w:pPr>
        <w:pStyle w:val="34"/>
        <w:ind w:left="0" w:leftChars="0" w:firstLine="0" w:firstLineChars="0"/>
        <w:rPr>
          <w:rFonts w:hint="eastAsia"/>
        </w:rPr>
      </w:pPr>
      <w:r>
        <w:rPr>
          <w:rStyle w:val="15"/>
          <w:rFonts w:hint="eastAsia" w:ascii="仿宋" w:hAnsi="仿宋" w:eastAsia="仿宋" w:cstheme="minorBidi"/>
          <w:bCs/>
          <w:color w:val="auto"/>
          <w:kern w:val="2"/>
          <w:sz w:val="32"/>
          <w:szCs w:val="32"/>
          <w:highlight w:val="none"/>
          <w:lang w:val="en-US" w:eastAsia="zh-CN" w:bidi="ar-SA"/>
        </w:rPr>
        <w:t>一般公共服务支出（项）：</w:t>
      </w:r>
      <w:r>
        <w:rPr>
          <w:rFonts w:hint="eastAsia"/>
        </w:rPr>
        <w:t>支出决算为</w:t>
      </w:r>
      <w:r>
        <w:rPr>
          <w:rFonts w:hint="eastAsia"/>
          <w:lang w:val="en-US" w:eastAsia="zh-CN"/>
        </w:rPr>
        <w:t>18.94</w:t>
      </w:r>
      <w:r>
        <w:rPr>
          <w:rFonts w:hint="eastAsia"/>
        </w:rPr>
        <w:t>万元</w:t>
      </w:r>
      <w:r>
        <w:rPr>
          <w:rFonts w:hint="eastAsia"/>
          <w:lang w:eastAsia="zh-CN"/>
        </w:rPr>
        <w:t>，</w:t>
      </w:r>
      <w:r>
        <w:rPr>
          <w:rFonts w:hint="eastAsia"/>
        </w:rPr>
        <w:t>完预算 100%。</w:t>
      </w:r>
    </w:p>
    <w:p>
      <w:pPr>
        <w:pStyle w:val="34"/>
        <w:ind w:left="0" w:leftChars="0" w:firstLine="640" w:firstLineChars="200"/>
        <w:rPr>
          <w:rFonts w:hint="eastAsia"/>
        </w:rPr>
      </w:pPr>
      <w:r>
        <w:rPr>
          <w:rFonts w:hint="eastAsia"/>
        </w:rPr>
        <w:t>2.</w:t>
      </w:r>
      <w:r>
        <w:rPr>
          <w:rStyle w:val="15"/>
          <w:rFonts w:hint="eastAsia" w:ascii="仿宋" w:hAnsi="仿宋" w:eastAsia="仿宋" w:cstheme="minorBidi"/>
          <w:bCs/>
          <w:color w:val="auto"/>
          <w:kern w:val="2"/>
          <w:sz w:val="32"/>
          <w:szCs w:val="32"/>
          <w:highlight w:val="none"/>
          <w:lang w:val="en-US" w:eastAsia="zh-CN" w:bidi="ar-SA"/>
        </w:rPr>
        <w:t>教育（类）普通教育（款）学前教育（项）：</w:t>
      </w:r>
      <w:r>
        <w:rPr>
          <w:rFonts w:hint="eastAsia"/>
        </w:rPr>
        <w:t>支出决</w:t>
      </w:r>
    </w:p>
    <w:p>
      <w:pPr>
        <w:pStyle w:val="34"/>
        <w:ind w:left="0" w:leftChars="0" w:firstLine="0" w:firstLineChars="0"/>
        <w:rPr>
          <w:rFonts w:hint="eastAsia"/>
        </w:rPr>
      </w:pPr>
      <w:r>
        <w:rPr>
          <w:rFonts w:hint="eastAsia"/>
        </w:rPr>
        <w:t>算为</w:t>
      </w:r>
      <w:r>
        <w:rPr>
          <w:rFonts w:hint="eastAsia"/>
          <w:lang w:val="en-US" w:eastAsia="zh-CN"/>
        </w:rPr>
        <w:t>127.59</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教育（类）普通教育（款）高等教育（项）：</w:t>
      </w:r>
      <w:r>
        <w:rPr>
          <w:rFonts w:hint="eastAsia"/>
        </w:rPr>
        <w:t>支出决算为</w:t>
      </w:r>
      <w:r>
        <w:rPr>
          <w:rFonts w:hint="eastAsia"/>
          <w:lang w:val="en-US" w:eastAsia="zh-CN"/>
        </w:rPr>
        <w:t>1061.54</w:t>
      </w:r>
      <w:r>
        <w:rPr>
          <w:rFonts w:hint="eastAsia"/>
        </w:rPr>
        <w:t>万元，完成预算</w:t>
      </w:r>
      <w:r>
        <w:rPr>
          <w:rFonts w:hint="eastAsia"/>
          <w:lang w:val="en-US" w:eastAsia="zh-CN"/>
        </w:rPr>
        <w:t>1</w:t>
      </w:r>
      <w:r>
        <w:rPr>
          <w:rFonts w:hint="eastAsia"/>
        </w:rPr>
        <w:t>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教育（类）职业教育（款）中等职业教育（项）：</w:t>
      </w:r>
      <w:r>
        <w:rPr>
          <w:rFonts w:hint="eastAsia"/>
        </w:rPr>
        <w:t>支出决算为</w:t>
      </w:r>
      <w:r>
        <w:rPr>
          <w:rFonts w:hint="eastAsia"/>
          <w:lang w:val="en-US" w:eastAsia="zh-CN"/>
        </w:rPr>
        <w:t>4260.06</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教育（类）职业教育（款）技校教育（项）：</w:t>
      </w:r>
      <w:r>
        <w:rPr>
          <w:rFonts w:hint="eastAsia"/>
        </w:rPr>
        <w:t>支出决算为</w:t>
      </w:r>
      <w:r>
        <w:rPr>
          <w:rFonts w:hint="eastAsia"/>
          <w:lang w:val="en-US" w:eastAsia="zh-CN"/>
        </w:rPr>
        <w:t>12396.52</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教育（类）职业教育（款）高等职业教育（项）：</w:t>
      </w:r>
      <w:r>
        <w:rPr>
          <w:rFonts w:hint="eastAsia"/>
        </w:rPr>
        <w:t>支出决算为</w:t>
      </w:r>
      <w:r>
        <w:rPr>
          <w:rFonts w:hint="eastAsia"/>
          <w:lang w:val="en-US" w:eastAsia="zh-CN"/>
        </w:rPr>
        <w:t>53078.45</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教育（类）成人教育（款）其他成人教育支出（项）：</w:t>
      </w:r>
      <w:r>
        <w:rPr>
          <w:rFonts w:hint="eastAsia"/>
        </w:rPr>
        <w:t>支出决算为</w:t>
      </w:r>
      <w:r>
        <w:rPr>
          <w:rFonts w:hint="eastAsia"/>
          <w:lang w:val="en-US" w:eastAsia="zh-CN"/>
        </w:rPr>
        <w:t>145.34</w:t>
      </w:r>
      <w:r>
        <w:rPr>
          <w:rFonts w:hint="eastAsia"/>
        </w:rPr>
        <w:t>万元，完成预算100%；</w:t>
      </w:r>
    </w:p>
    <w:p>
      <w:pPr>
        <w:pStyle w:val="34"/>
        <w:ind w:left="0" w:leftChars="0" w:firstLine="643" w:firstLineChars="200"/>
        <w:rPr>
          <w:rStyle w:val="15"/>
          <w:rFonts w:hint="eastAsia" w:ascii="仿宋" w:hAnsi="仿宋" w:eastAsia="仿宋"/>
          <w:b w:val="0"/>
          <w:bCs/>
          <w:color w:val="auto"/>
          <w:sz w:val="32"/>
          <w:szCs w:val="32"/>
          <w:lang w:eastAsia="zh-CN"/>
        </w:rPr>
      </w:pPr>
      <w:r>
        <w:rPr>
          <w:rStyle w:val="15"/>
          <w:rFonts w:hint="eastAsia" w:ascii="仿宋" w:hAnsi="仿宋" w:eastAsia="仿宋" w:cstheme="minorBidi"/>
          <w:bCs/>
          <w:color w:val="auto"/>
          <w:kern w:val="2"/>
          <w:sz w:val="32"/>
          <w:szCs w:val="32"/>
          <w:highlight w:val="none"/>
          <w:lang w:val="en-US" w:eastAsia="zh-CN" w:bidi="ar-SA"/>
        </w:rPr>
        <w:t>教育（类）进修及培训（款）培训支出（项）：</w:t>
      </w:r>
      <w:r>
        <w:rPr>
          <w:rFonts w:hint="eastAsia"/>
        </w:rPr>
        <w:t>支出决算为</w:t>
      </w:r>
      <w:r>
        <w:rPr>
          <w:rFonts w:hint="eastAsia"/>
          <w:lang w:val="en-US" w:eastAsia="zh-CN"/>
        </w:rPr>
        <w:t>10.03</w:t>
      </w:r>
      <w:r>
        <w:rPr>
          <w:rFonts w:hint="eastAsia"/>
        </w:rPr>
        <w:t>万元，完成预算</w:t>
      </w:r>
      <w:r>
        <w:rPr>
          <w:rFonts w:hint="eastAsia"/>
          <w:lang w:val="en-US" w:eastAsia="zh-CN"/>
        </w:rPr>
        <w:t>100</w:t>
      </w:r>
      <w:r>
        <w:rPr>
          <w:rFonts w:hint="eastAsia"/>
        </w:rPr>
        <w:t>%</w:t>
      </w:r>
      <w:r>
        <w:rPr>
          <w:rStyle w:val="15"/>
          <w:rFonts w:hint="eastAsia" w:ascii="仿宋" w:hAnsi="仿宋" w:eastAsia="仿宋"/>
          <w:b w:val="0"/>
          <w:bCs/>
          <w:color w:val="auto"/>
          <w:sz w:val="32"/>
          <w:szCs w:val="32"/>
          <w:lang w:eastAsia="zh-CN"/>
        </w:rPr>
        <w:t>。</w:t>
      </w:r>
    </w:p>
    <w:p>
      <w:pPr>
        <w:pStyle w:val="34"/>
        <w:ind w:left="0" w:leftChars="0" w:firstLine="643" w:firstLineChars="200"/>
        <w:rPr>
          <w:rFonts w:hint="eastAsia" w:eastAsia="仿宋_GB2312"/>
          <w:lang w:eastAsia="zh-CN"/>
        </w:rPr>
      </w:pPr>
      <w:r>
        <w:rPr>
          <w:rStyle w:val="15"/>
          <w:rFonts w:hint="eastAsia" w:ascii="仿宋" w:hAnsi="仿宋" w:eastAsia="仿宋" w:cstheme="minorBidi"/>
          <w:bCs/>
          <w:color w:val="auto"/>
          <w:kern w:val="2"/>
          <w:sz w:val="32"/>
          <w:szCs w:val="32"/>
          <w:highlight w:val="none"/>
          <w:lang w:val="en-US" w:eastAsia="zh-CN" w:bidi="ar-SA"/>
        </w:rPr>
        <w:t>教育（类）进修及培训（款）其他进修及培训（项）：</w:t>
      </w:r>
      <w:r>
        <w:rPr>
          <w:rFonts w:hint="eastAsia"/>
        </w:rPr>
        <w:t>支出决算为</w:t>
      </w:r>
      <w:r>
        <w:rPr>
          <w:rFonts w:hint="eastAsia"/>
          <w:lang w:val="en-US" w:eastAsia="zh-CN"/>
        </w:rPr>
        <w:t>22.16</w:t>
      </w:r>
      <w:r>
        <w:rPr>
          <w:rFonts w:hint="eastAsia"/>
        </w:rPr>
        <w:t>万元</w:t>
      </w:r>
      <w:r>
        <w:rPr>
          <w:rFonts w:hint="eastAsia"/>
          <w:lang w:eastAsia="zh-CN"/>
        </w:rPr>
        <w:t>，</w:t>
      </w:r>
      <w:r>
        <w:rPr>
          <w:rFonts w:hint="eastAsia"/>
        </w:rPr>
        <w:t>完成预算100%</w:t>
      </w:r>
      <w:r>
        <w:rPr>
          <w:rFonts w:hint="eastAsia"/>
          <w:lang w:eastAsia="zh-CN"/>
        </w:rPr>
        <w:t>；</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教育（类）其他教育支出（款）其他教育支出（项）：</w:t>
      </w:r>
      <w:r>
        <w:rPr>
          <w:rFonts w:hint="eastAsia"/>
        </w:rPr>
        <w:t>支出决算为</w:t>
      </w:r>
      <w:r>
        <w:rPr>
          <w:rFonts w:hint="eastAsia"/>
          <w:lang w:val="en-US" w:eastAsia="zh-CN"/>
        </w:rPr>
        <w:t>2820.45</w:t>
      </w:r>
      <w:r>
        <w:rPr>
          <w:rFonts w:hint="eastAsia"/>
        </w:rPr>
        <w:t>万元，完成预算100%。</w:t>
      </w:r>
    </w:p>
    <w:p>
      <w:pPr>
        <w:pStyle w:val="34"/>
        <w:ind w:left="0" w:leftChars="0" w:firstLine="640" w:firstLineChars="200"/>
        <w:rPr>
          <w:rFonts w:hint="eastAsia"/>
        </w:rPr>
      </w:pPr>
      <w:r>
        <w:rPr>
          <w:rFonts w:hint="eastAsia"/>
        </w:rPr>
        <w:t>3.</w:t>
      </w:r>
      <w:r>
        <w:rPr>
          <w:rStyle w:val="15"/>
          <w:rFonts w:hint="eastAsia" w:ascii="仿宋" w:hAnsi="仿宋" w:eastAsia="仿宋" w:cstheme="minorBidi"/>
          <w:bCs/>
          <w:color w:val="auto"/>
          <w:kern w:val="2"/>
          <w:sz w:val="32"/>
          <w:szCs w:val="32"/>
          <w:highlight w:val="none"/>
          <w:lang w:val="en-US" w:eastAsia="zh-CN" w:bidi="ar-SA"/>
        </w:rPr>
        <w:t>科学技术（类）应用研究（款）机构运行（项）：</w:t>
      </w:r>
      <w:r>
        <w:rPr>
          <w:rFonts w:hint="eastAsia"/>
        </w:rPr>
        <w:t>支出决算为</w:t>
      </w:r>
      <w:r>
        <w:rPr>
          <w:rFonts w:hint="eastAsia"/>
          <w:lang w:val="en-US" w:eastAsia="zh-CN"/>
        </w:rPr>
        <w:t>114.85</w:t>
      </w:r>
      <w:r>
        <w:rPr>
          <w:rFonts w:hint="eastAsia"/>
        </w:rPr>
        <w:t>万元，完成预算100%；</w:t>
      </w:r>
    </w:p>
    <w:p>
      <w:pPr>
        <w:pStyle w:val="34"/>
        <w:ind w:left="0" w:leftChars="0" w:firstLine="643" w:firstLineChars="200"/>
        <w:rPr>
          <w:rStyle w:val="15"/>
          <w:rFonts w:hint="eastAsia" w:ascii="仿宋" w:hAnsi="仿宋" w:eastAsia="仿宋"/>
          <w:b w:val="0"/>
          <w:bCs/>
          <w:color w:val="auto"/>
          <w:sz w:val="32"/>
          <w:szCs w:val="32"/>
        </w:rPr>
      </w:pPr>
      <w:r>
        <w:rPr>
          <w:rStyle w:val="15"/>
          <w:rFonts w:hint="eastAsia" w:ascii="仿宋" w:hAnsi="仿宋" w:eastAsia="仿宋" w:cstheme="minorBidi"/>
          <w:bCs/>
          <w:color w:val="auto"/>
          <w:kern w:val="2"/>
          <w:sz w:val="32"/>
          <w:szCs w:val="32"/>
          <w:highlight w:val="none"/>
          <w:lang w:val="en-US" w:eastAsia="zh-CN" w:bidi="ar-SA"/>
        </w:rPr>
        <w:t>科学技术（类）应用研究（款）社会公益研究（项）：</w:t>
      </w:r>
      <w:r>
        <w:rPr>
          <w:rFonts w:hint="eastAsia"/>
        </w:rPr>
        <w:t>支出决算为</w:t>
      </w:r>
      <w:r>
        <w:rPr>
          <w:rFonts w:hint="eastAsia"/>
          <w:lang w:val="en-US" w:eastAsia="zh-CN"/>
        </w:rPr>
        <w:t>50.29</w:t>
      </w:r>
      <w:r>
        <w:rPr>
          <w:rFonts w:hint="eastAsia"/>
        </w:rPr>
        <w:t>万元，完成预算</w:t>
      </w:r>
      <w:r>
        <w:rPr>
          <w:rFonts w:hint="eastAsia"/>
          <w:lang w:val="en-US" w:eastAsia="zh-CN"/>
        </w:rPr>
        <w:t>100</w:t>
      </w:r>
      <w:r>
        <w:rPr>
          <w:rFonts w:hint="eastAsia"/>
        </w:rPr>
        <w:t>%</w:t>
      </w:r>
      <w:r>
        <w:rPr>
          <w:rStyle w:val="15"/>
          <w:rFonts w:hint="eastAsia" w:ascii="仿宋" w:hAnsi="仿宋" w:eastAsia="仿宋"/>
          <w:b w:val="0"/>
          <w:bCs/>
          <w:color w:val="auto"/>
          <w:sz w:val="32"/>
          <w:szCs w:val="32"/>
          <w:lang w:eastAsia="zh-CN"/>
        </w:rPr>
        <w:t>。</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科学技术（类）技术研究与开发（款）科技成果转化与扩散（项）：</w:t>
      </w:r>
      <w:r>
        <w:rPr>
          <w:rFonts w:hint="eastAsia"/>
        </w:rPr>
        <w:t>支出决算为</w:t>
      </w:r>
      <w:r>
        <w:rPr>
          <w:rFonts w:hint="eastAsia"/>
          <w:lang w:val="en-US" w:eastAsia="zh-CN"/>
        </w:rPr>
        <w:t>95.81</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科学技术（类）技术研究与开发（款）其他技术研究与开发支出（项）：</w:t>
      </w:r>
      <w:r>
        <w:rPr>
          <w:rFonts w:hint="eastAsia"/>
        </w:rPr>
        <w:t>支出决算为</w:t>
      </w:r>
      <w:r>
        <w:rPr>
          <w:rFonts w:hint="eastAsia"/>
          <w:lang w:val="en-US" w:eastAsia="zh-CN"/>
        </w:rPr>
        <w:t>14.09</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科学技术（类）科技重大项目（款）重点研发计划（项）：</w:t>
      </w:r>
      <w:r>
        <w:rPr>
          <w:rFonts w:hint="eastAsia"/>
        </w:rPr>
        <w:t>支出决算为</w:t>
      </w:r>
      <w:r>
        <w:rPr>
          <w:rFonts w:hint="eastAsia"/>
          <w:lang w:val="en-US" w:eastAsia="zh-CN"/>
        </w:rPr>
        <w:t>54.50</w:t>
      </w:r>
      <w:r>
        <w:rPr>
          <w:rFonts w:hint="eastAsia"/>
        </w:rPr>
        <w:t>万元，完成预算100%；</w:t>
      </w:r>
    </w:p>
    <w:p>
      <w:pPr>
        <w:pStyle w:val="34"/>
        <w:numPr>
          <w:ilvl w:val="0"/>
          <w:numId w:val="0"/>
        </w:numPr>
        <w:ind w:firstLine="640" w:firstLineChars="200"/>
        <w:rPr>
          <w:rFonts w:hint="eastAsia"/>
        </w:rPr>
      </w:pPr>
      <w:r>
        <w:rPr>
          <w:rFonts w:hint="eastAsia"/>
          <w:lang w:val="en-US" w:eastAsia="zh-CN"/>
        </w:rPr>
        <w:t>4.</w:t>
      </w:r>
      <w:r>
        <w:rPr>
          <w:rStyle w:val="15"/>
          <w:rFonts w:hint="eastAsia" w:ascii="仿宋" w:hAnsi="仿宋" w:eastAsia="仿宋" w:cstheme="minorBidi"/>
          <w:bCs/>
          <w:color w:val="auto"/>
          <w:kern w:val="2"/>
          <w:sz w:val="32"/>
          <w:szCs w:val="32"/>
          <w:highlight w:val="none"/>
          <w:lang w:val="en-US" w:eastAsia="zh-CN" w:bidi="ar-SA"/>
        </w:rPr>
        <w:t>社会保障和就业（类）行政事业单位养老支出（款）行政单位离退休（项）：</w:t>
      </w:r>
      <w:r>
        <w:rPr>
          <w:rFonts w:hint="eastAsia"/>
        </w:rPr>
        <w:t>支出决算为</w:t>
      </w:r>
      <w:r>
        <w:rPr>
          <w:rFonts w:hint="eastAsia"/>
          <w:lang w:val="en-US" w:eastAsia="zh-CN"/>
        </w:rPr>
        <w:t>4335.73</w:t>
      </w:r>
      <w:r>
        <w:rPr>
          <w:rFonts w:hint="eastAsia"/>
        </w:rPr>
        <w:t>万元，完成预算100%；</w:t>
      </w:r>
    </w:p>
    <w:p>
      <w:pPr>
        <w:ind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社会保障和就业（类）行政事业单位养老支出（款）事业单位离退休（项）：</w:t>
      </w:r>
      <w:r>
        <w:rPr>
          <w:rFonts w:hint="eastAsia" w:ascii="Times New Roman" w:hAnsi="Times New Roman" w:eastAsia="仿宋_GB2312" w:cs="Times New Roman"/>
          <w:kern w:val="2"/>
          <w:sz w:val="32"/>
          <w:szCs w:val="24"/>
          <w:lang w:val="en-US" w:eastAsia="zh-CN" w:bidi="ar-SA"/>
        </w:rPr>
        <w:t>支出决算为</w:t>
      </w:r>
      <w:r>
        <w:rPr>
          <w:rFonts w:hint="eastAsia" w:eastAsia="仿宋_GB2312" w:cs="Times New Roman"/>
          <w:kern w:val="2"/>
          <w:sz w:val="32"/>
          <w:szCs w:val="24"/>
          <w:lang w:val="en-US" w:eastAsia="zh-CN" w:bidi="ar-SA"/>
        </w:rPr>
        <w:t>698.27</w:t>
      </w:r>
      <w:r>
        <w:rPr>
          <w:rFonts w:hint="eastAsia" w:ascii="Times New Roman" w:hAnsi="Times New Roman" w:eastAsia="仿宋_GB2312" w:cs="Times New Roman"/>
          <w:kern w:val="2"/>
          <w:sz w:val="32"/>
          <w:szCs w:val="24"/>
          <w:lang w:val="en-US" w:eastAsia="zh-CN" w:bidi="ar-SA"/>
        </w:rPr>
        <w:t>万元，完成预算</w:t>
      </w:r>
      <w:r>
        <w:rPr>
          <w:rFonts w:hint="eastAsia" w:eastAsia="仿宋_GB2312" w:cs="Times New Roman"/>
          <w:kern w:val="2"/>
          <w:sz w:val="32"/>
          <w:szCs w:val="24"/>
          <w:lang w:val="en-US" w:eastAsia="zh-CN" w:bidi="ar-SA"/>
        </w:rPr>
        <w:t>98.03</w:t>
      </w:r>
      <w:r>
        <w:rPr>
          <w:rFonts w:hint="eastAsia" w:ascii="Times New Roman" w:hAnsi="Times New Roman" w:eastAsia="仿宋_GB2312" w:cs="Times New Roman"/>
          <w:kern w:val="2"/>
          <w:sz w:val="32"/>
          <w:szCs w:val="24"/>
          <w:lang w:val="en-US" w:eastAsia="zh-CN" w:bidi="ar-SA"/>
        </w:rPr>
        <w:t>%</w:t>
      </w:r>
      <w:r>
        <w:rPr>
          <w:rFonts w:hint="eastAsia" w:eastAsia="仿宋_GB2312" w:cs="Times New Roman"/>
          <w:kern w:val="2"/>
          <w:sz w:val="32"/>
          <w:szCs w:val="24"/>
          <w:lang w:val="en-US" w:eastAsia="zh-CN" w:bidi="ar-SA"/>
        </w:rPr>
        <w:t>，</w:t>
      </w:r>
      <w:r>
        <w:rPr>
          <w:rStyle w:val="15"/>
          <w:rFonts w:hint="eastAsia" w:ascii="仿宋" w:hAnsi="仿宋" w:eastAsia="仿宋"/>
          <w:b w:val="0"/>
          <w:bCs/>
          <w:color w:val="auto"/>
          <w:sz w:val="32"/>
          <w:szCs w:val="32"/>
        </w:rPr>
        <w:t>决算数小于预算数的主要原因是</w:t>
      </w:r>
      <w:r>
        <w:rPr>
          <w:rStyle w:val="15"/>
          <w:rFonts w:hint="eastAsia" w:ascii="仿宋" w:hAnsi="仿宋" w:eastAsia="仿宋"/>
          <w:b w:val="0"/>
          <w:bCs/>
          <w:color w:val="auto"/>
          <w:sz w:val="32"/>
          <w:szCs w:val="32"/>
          <w:lang w:eastAsia="zh-CN"/>
        </w:rPr>
        <w:t>有色冶金研究院有离退休人员去世导致离退休人员工资和一次性补助未发完，现已上缴财政</w:t>
      </w:r>
      <w:r>
        <w:rPr>
          <w:rStyle w:val="15"/>
          <w:rFonts w:hint="eastAsia" w:ascii="仿宋" w:hAnsi="仿宋" w:eastAsia="仿宋"/>
          <w:b w:val="0"/>
          <w:bCs/>
          <w:color w:val="auto"/>
          <w:sz w:val="32"/>
          <w:szCs w:val="32"/>
        </w:rPr>
        <w:t>。</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社会保障和就业（类）行政事业单位养老支出（款）机关事业单位基本养老保险缴费支出（项）：</w:t>
      </w:r>
      <w:r>
        <w:rPr>
          <w:rFonts w:hint="eastAsia"/>
        </w:rPr>
        <w:t>支出决算为</w:t>
      </w:r>
      <w:r>
        <w:rPr>
          <w:rFonts w:hint="eastAsia"/>
          <w:lang w:val="en-US" w:eastAsia="zh-CN"/>
        </w:rPr>
        <w:t>713.23</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社会保障和就业（类）行政事业单位养老支出（款）机关事业单位职业年金缴费支出（项）：</w:t>
      </w:r>
      <w:r>
        <w:rPr>
          <w:rFonts w:hint="eastAsia"/>
        </w:rPr>
        <w:t>支出决算为</w:t>
      </w:r>
      <w:r>
        <w:rPr>
          <w:rFonts w:hint="eastAsia"/>
          <w:lang w:val="en-US" w:eastAsia="zh-CN"/>
        </w:rPr>
        <w:t>155.23</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社会保障和就业（类）企业改革补助（款）其他企业改革发展补助（项）：</w:t>
      </w:r>
      <w:r>
        <w:rPr>
          <w:rFonts w:hint="eastAsia"/>
        </w:rPr>
        <w:t>支出决算为</w:t>
      </w:r>
      <w:r>
        <w:rPr>
          <w:rFonts w:hint="eastAsia"/>
          <w:lang w:val="en-US" w:eastAsia="zh-CN"/>
        </w:rPr>
        <w:t>37.70</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社会保障和就业（类）抚恤（款）死亡抚恤（项）：</w:t>
      </w:r>
      <w:r>
        <w:rPr>
          <w:rFonts w:hint="eastAsia"/>
        </w:rPr>
        <w:t>支出决算为</w:t>
      </w:r>
      <w:r>
        <w:rPr>
          <w:rFonts w:hint="eastAsia"/>
          <w:lang w:val="en-US" w:eastAsia="zh-CN"/>
        </w:rPr>
        <w:t>638.05</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社会保障和就业（类）其他社会保障和就业支出（款）其他社会保障和就业支出（项）：</w:t>
      </w:r>
      <w:r>
        <w:rPr>
          <w:rFonts w:hint="eastAsia"/>
        </w:rPr>
        <w:t>支出决算为</w:t>
      </w:r>
      <w:r>
        <w:rPr>
          <w:rFonts w:hint="eastAsia"/>
          <w:lang w:val="en-US" w:eastAsia="zh-CN"/>
        </w:rPr>
        <w:t>383.07</w:t>
      </w:r>
      <w:r>
        <w:rPr>
          <w:rFonts w:hint="eastAsia"/>
        </w:rPr>
        <w:t>万元，完成预算 100%。</w:t>
      </w:r>
    </w:p>
    <w:p>
      <w:pPr>
        <w:pStyle w:val="34"/>
        <w:ind w:left="0" w:leftChars="0" w:firstLine="640" w:firstLineChars="200"/>
        <w:rPr>
          <w:rFonts w:hint="eastAsia"/>
        </w:rPr>
      </w:pPr>
      <w:r>
        <w:rPr>
          <w:rFonts w:hint="eastAsia"/>
        </w:rPr>
        <w:t>5.</w:t>
      </w:r>
      <w:r>
        <w:rPr>
          <w:rStyle w:val="15"/>
          <w:rFonts w:hint="eastAsia" w:ascii="仿宋" w:hAnsi="仿宋" w:eastAsia="仿宋" w:cstheme="minorBidi"/>
          <w:bCs/>
          <w:color w:val="auto"/>
          <w:kern w:val="2"/>
          <w:sz w:val="32"/>
          <w:szCs w:val="32"/>
          <w:highlight w:val="none"/>
          <w:lang w:val="en-US" w:eastAsia="zh-CN" w:bidi="ar-SA"/>
        </w:rPr>
        <w:t>卫生健康支出（类）行政事业单位医疗（款）行政单位医疗（项）：</w:t>
      </w:r>
      <w:r>
        <w:rPr>
          <w:rFonts w:hint="eastAsia"/>
        </w:rPr>
        <w:t>支出决算为</w:t>
      </w:r>
      <w:r>
        <w:rPr>
          <w:rFonts w:hint="eastAsia"/>
          <w:lang w:val="en-US" w:eastAsia="zh-CN"/>
        </w:rPr>
        <w:t>371.44</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卫生健康支出（类）行政事业单位医疗（款）事业单位医疗（项）：</w:t>
      </w:r>
      <w:r>
        <w:rPr>
          <w:rFonts w:hint="eastAsia"/>
        </w:rPr>
        <w:t>支出决算为</w:t>
      </w:r>
      <w:r>
        <w:rPr>
          <w:rFonts w:hint="eastAsia"/>
          <w:lang w:val="en-US" w:eastAsia="zh-CN"/>
        </w:rPr>
        <w:t>270.38</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卫生健康支出（类）行政事业单位医疗（款）公务员医疗补助（项）：</w:t>
      </w:r>
      <w:r>
        <w:rPr>
          <w:rFonts w:hint="eastAsia"/>
        </w:rPr>
        <w:t>支出决算为</w:t>
      </w:r>
      <w:r>
        <w:rPr>
          <w:rFonts w:hint="eastAsia"/>
          <w:lang w:val="en-US" w:eastAsia="zh-CN"/>
        </w:rPr>
        <w:t>236.44</w:t>
      </w:r>
      <w:r>
        <w:rPr>
          <w:rFonts w:hint="eastAsia"/>
        </w:rPr>
        <w:t>万元，完成预算100%。</w:t>
      </w:r>
    </w:p>
    <w:p>
      <w:pPr>
        <w:pStyle w:val="34"/>
        <w:ind w:left="0" w:leftChars="0" w:firstLine="640" w:firstLineChars="200"/>
        <w:rPr>
          <w:rFonts w:hint="eastAsia"/>
        </w:rPr>
      </w:pPr>
      <w:r>
        <w:rPr>
          <w:rFonts w:hint="eastAsia"/>
        </w:rPr>
        <w:t>6.</w:t>
      </w:r>
      <w:r>
        <w:rPr>
          <w:rStyle w:val="15"/>
          <w:rFonts w:hint="eastAsia" w:ascii="仿宋" w:hAnsi="仿宋" w:eastAsia="仿宋" w:cstheme="minorBidi"/>
          <w:bCs/>
          <w:color w:val="auto"/>
          <w:kern w:val="2"/>
          <w:sz w:val="32"/>
          <w:szCs w:val="32"/>
          <w:highlight w:val="none"/>
          <w:lang w:val="en-US" w:eastAsia="zh-CN" w:bidi="ar-SA"/>
        </w:rPr>
        <w:t xml:space="preserve">节能环保支出(类) 环境监测与监察(款)其他环境监测与监察支出(项): </w:t>
      </w:r>
      <w:r>
        <w:rPr>
          <w:rFonts w:hint="eastAsia"/>
        </w:rPr>
        <w:t>支出决算为</w:t>
      </w:r>
      <w:r>
        <w:rPr>
          <w:rFonts w:hint="eastAsia"/>
          <w:lang w:val="en-US" w:eastAsia="zh-CN"/>
        </w:rPr>
        <w:t>820.87</w:t>
      </w:r>
      <w:r>
        <w:rPr>
          <w:rFonts w:hint="eastAsia"/>
        </w:rPr>
        <w:t>万元，完成预算100%。</w:t>
      </w:r>
    </w:p>
    <w:p>
      <w:pPr>
        <w:pStyle w:val="34"/>
        <w:ind w:left="0" w:leftChars="0" w:firstLine="640" w:firstLineChars="200"/>
        <w:rPr>
          <w:rFonts w:hint="eastAsia"/>
        </w:rPr>
      </w:pPr>
      <w:r>
        <w:rPr>
          <w:rFonts w:hint="eastAsia"/>
        </w:rPr>
        <w:t>7.</w:t>
      </w:r>
      <w:r>
        <w:rPr>
          <w:rStyle w:val="15"/>
          <w:rFonts w:hint="eastAsia" w:ascii="仿宋" w:hAnsi="仿宋" w:eastAsia="仿宋" w:cstheme="minorBidi"/>
          <w:bCs/>
          <w:color w:val="auto"/>
          <w:kern w:val="2"/>
          <w:sz w:val="32"/>
          <w:szCs w:val="32"/>
          <w:highlight w:val="none"/>
          <w:lang w:val="en-US" w:eastAsia="zh-CN" w:bidi="ar-SA"/>
        </w:rPr>
        <w:t>城乡社区支出（类）建设市场管理与监督（款）建设市场管理与监督（项）：</w:t>
      </w:r>
      <w:r>
        <w:rPr>
          <w:rFonts w:hint="eastAsia"/>
        </w:rPr>
        <w:t>支出决算为</w:t>
      </w:r>
      <w:r>
        <w:rPr>
          <w:rFonts w:hint="eastAsia"/>
          <w:lang w:val="en-US" w:eastAsia="zh-CN"/>
        </w:rPr>
        <w:t>217.15</w:t>
      </w:r>
      <w:r>
        <w:rPr>
          <w:rFonts w:hint="eastAsia"/>
        </w:rPr>
        <w:t>万元，完成预算100%。</w:t>
      </w:r>
    </w:p>
    <w:p>
      <w:pPr>
        <w:pStyle w:val="34"/>
        <w:ind w:left="0" w:leftChars="0" w:firstLine="640" w:firstLineChars="200"/>
        <w:rPr>
          <w:rFonts w:hint="eastAsia"/>
        </w:rPr>
      </w:pPr>
      <w:r>
        <w:rPr>
          <w:rFonts w:hint="eastAsia"/>
        </w:rPr>
        <w:t>8.</w:t>
      </w:r>
      <w:r>
        <w:rPr>
          <w:rStyle w:val="15"/>
          <w:rFonts w:hint="eastAsia" w:ascii="仿宋" w:hAnsi="仿宋" w:eastAsia="仿宋" w:cstheme="minorBidi"/>
          <w:bCs/>
          <w:color w:val="auto"/>
          <w:kern w:val="2"/>
          <w:sz w:val="32"/>
          <w:szCs w:val="32"/>
          <w:highlight w:val="none"/>
          <w:lang w:val="en-US" w:eastAsia="zh-CN" w:bidi="ar-SA"/>
        </w:rPr>
        <w:t>资源勘探工业信息等支出（类）资源勘探开发（款）一般行政管理事物（项）：</w:t>
      </w:r>
      <w:r>
        <w:rPr>
          <w:rFonts w:hint="eastAsia"/>
        </w:rPr>
        <w:t>支出决算为</w:t>
      </w:r>
      <w:r>
        <w:rPr>
          <w:rFonts w:hint="eastAsia"/>
          <w:lang w:val="en-US" w:eastAsia="zh-CN"/>
        </w:rPr>
        <w:t>299.67</w:t>
      </w:r>
      <w:r>
        <w:rPr>
          <w:rFonts w:hint="eastAsia"/>
        </w:rPr>
        <w:t>万元，完成预算 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资源勘探工业信息等支出（类）资源勘探开发（款）黑色金属矿勘探和采选（项）：</w:t>
      </w:r>
      <w:r>
        <w:rPr>
          <w:rFonts w:hint="eastAsia"/>
        </w:rPr>
        <w:t>支出决算为</w:t>
      </w:r>
      <w:r>
        <w:rPr>
          <w:rFonts w:hint="eastAsia"/>
          <w:lang w:val="en-US" w:eastAsia="zh-CN"/>
        </w:rPr>
        <w:t>394.77</w:t>
      </w:r>
      <w:r>
        <w:rPr>
          <w:rFonts w:hint="eastAsia"/>
        </w:rPr>
        <w:t>万元，完成预算 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资源勘探工业信息等支出（类）资源勘探开发（款）有色金属矿勘探和采选（项）：</w:t>
      </w:r>
      <w:r>
        <w:rPr>
          <w:rFonts w:hint="eastAsia"/>
        </w:rPr>
        <w:t>支出决算为</w:t>
      </w:r>
      <w:r>
        <w:rPr>
          <w:rFonts w:hint="eastAsia"/>
          <w:lang w:val="en-US" w:eastAsia="zh-CN"/>
        </w:rPr>
        <w:t>19.68</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资源勘探工业信息等支出（类）制造业（款）行政运行（项）：</w:t>
      </w:r>
      <w:r>
        <w:rPr>
          <w:rFonts w:hint="eastAsia"/>
        </w:rPr>
        <w:t>支出决算为</w:t>
      </w:r>
      <w:r>
        <w:rPr>
          <w:rFonts w:hint="eastAsia"/>
          <w:lang w:val="en-US" w:eastAsia="zh-CN"/>
        </w:rPr>
        <w:t>5998.38</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资源勘探工业信息等支出（类）制造业（款）一般行政管理事务（项）：</w:t>
      </w:r>
      <w:r>
        <w:rPr>
          <w:rFonts w:hint="eastAsia"/>
        </w:rPr>
        <w:t>支出决算为</w:t>
      </w:r>
      <w:r>
        <w:rPr>
          <w:rFonts w:hint="eastAsia"/>
          <w:lang w:val="en-US" w:eastAsia="zh-CN"/>
        </w:rPr>
        <w:t>2526.42</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资源勘探工业信息等支出（类）制造业（款）机关服务（项）：</w:t>
      </w:r>
      <w:r>
        <w:rPr>
          <w:rFonts w:hint="eastAsia"/>
        </w:rPr>
        <w:t>支出决算为</w:t>
      </w:r>
      <w:r>
        <w:rPr>
          <w:rFonts w:hint="eastAsia"/>
          <w:lang w:val="en-US" w:eastAsia="zh-CN"/>
        </w:rPr>
        <w:t>173.92</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资源勘探工业信息等支出（类）制造业（款）纺织业（项）：</w:t>
      </w:r>
      <w:r>
        <w:rPr>
          <w:rFonts w:hint="eastAsia"/>
        </w:rPr>
        <w:t>支出决算为</w:t>
      </w:r>
      <w:r>
        <w:rPr>
          <w:rFonts w:hint="eastAsia"/>
          <w:lang w:val="en-US" w:eastAsia="zh-CN"/>
        </w:rPr>
        <w:t>589.33</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资源勘探工业信息等支出（类）制造业（款）电气机械及器材制造业（项）：</w:t>
      </w:r>
      <w:r>
        <w:rPr>
          <w:rFonts w:hint="eastAsia"/>
        </w:rPr>
        <w:t>支出决算为</w:t>
      </w:r>
      <w:r>
        <w:rPr>
          <w:rFonts w:hint="eastAsia"/>
          <w:lang w:val="en-US" w:eastAsia="zh-CN"/>
        </w:rPr>
        <w:t>153.57</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资源勘探工业信息等支出（类）制造业（款）工艺品及其他制造业（项）：</w:t>
      </w:r>
      <w:r>
        <w:rPr>
          <w:rFonts w:hint="eastAsia"/>
        </w:rPr>
        <w:t>支出决算为</w:t>
      </w:r>
      <w:r>
        <w:rPr>
          <w:rFonts w:hint="eastAsia"/>
          <w:lang w:val="en-US" w:eastAsia="zh-CN"/>
        </w:rPr>
        <w:t>76.30</w:t>
      </w:r>
      <w:r>
        <w:rPr>
          <w:rFonts w:hint="eastAsia"/>
        </w:rPr>
        <w:t>万元，完成预算100%；</w:t>
      </w:r>
    </w:p>
    <w:p>
      <w:pPr>
        <w:pStyle w:val="34"/>
        <w:ind w:left="0" w:leftChars="0" w:firstLine="643" w:firstLineChars="200"/>
        <w:rPr>
          <w:rStyle w:val="15"/>
          <w:rFonts w:hint="eastAsia" w:ascii="仿宋" w:hAnsi="仿宋" w:eastAsia="仿宋"/>
          <w:b w:val="0"/>
          <w:bCs/>
          <w:color w:val="FF0000"/>
          <w:sz w:val="32"/>
          <w:szCs w:val="32"/>
        </w:rPr>
      </w:pPr>
      <w:r>
        <w:rPr>
          <w:rStyle w:val="15"/>
          <w:rFonts w:hint="eastAsia" w:ascii="仿宋" w:hAnsi="仿宋" w:eastAsia="仿宋" w:cstheme="minorBidi"/>
          <w:bCs/>
          <w:color w:val="auto"/>
          <w:kern w:val="2"/>
          <w:sz w:val="32"/>
          <w:szCs w:val="32"/>
          <w:highlight w:val="none"/>
          <w:lang w:val="en-US" w:eastAsia="zh-CN" w:bidi="ar-SA"/>
        </w:rPr>
        <w:t>资源勘探工业信息等支出（类）制造业（款）其他制造业支出（项）：</w:t>
      </w:r>
      <w:r>
        <w:rPr>
          <w:rFonts w:hint="eastAsia"/>
        </w:rPr>
        <w:t>支出决算为</w:t>
      </w:r>
      <w:r>
        <w:rPr>
          <w:rFonts w:hint="eastAsia"/>
          <w:lang w:val="en-US" w:eastAsia="zh-CN"/>
        </w:rPr>
        <w:t>10272.99</w:t>
      </w:r>
      <w:r>
        <w:rPr>
          <w:rFonts w:hint="eastAsia"/>
        </w:rPr>
        <w:t>万元，完成预算</w:t>
      </w:r>
      <w:r>
        <w:rPr>
          <w:rFonts w:hint="eastAsia"/>
          <w:lang w:val="en-US" w:eastAsia="zh-CN"/>
        </w:rPr>
        <w:t>99.79</w:t>
      </w:r>
      <w:r>
        <w:rPr>
          <w:rFonts w:hint="eastAsia"/>
        </w:rPr>
        <w:t>%</w:t>
      </w:r>
      <w:r>
        <w:rPr>
          <w:rFonts w:hint="eastAsia"/>
          <w:lang w:eastAsia="zh-CN"/>
        </w:rPr>
        <w:t>，</w:t>
      </w:r>
      <w:r>
        <w:rPr>
          <w:rStyle w:val="15"/>
          <w:rFonts w:hint="eastAsia" w:ascii="仿宋" w:hAnsi="仿宋" w:eastAsia="仿宋"/>
          <w:b w:val="0"/>
          <w:bCs/>
          <w:color w:val="auto"/>
          <w:sz w:val="32"/>
          <w:szCs w:val="32"/>
        </w:rPr>
        <w:t>决算数小于预算数的主要原因</w:t>
      </w:r>
      <w:r>
        <w:rPr>
          <w:rStyle w:val="15"/>
          <w:rFonts w:hint="eastAsia" w:ascii="仿宋" w:hAnsi="仿宋" w:eastAsia="仿宋"/>
          <w:b w:val="0"/>
          <w:bCs/>
          <w:color w:val="auto"/>
          <w:sz w:val="32"/>
          <w:szCs w:val="32"/>
          <w:lang w:eastAsia="zh-CN"/>
        </w:rPr>
        <w:t>一是受疫情影响，部分活动规模缩小，导致资金结余，结余财政资金已全额上交财政厅专用账户；二是部分资金为</w:t>
      </w:r>
      <w:r>
        <w:rPr>
          <w:rFonts w:hint="eastAsia"/>
          <w:color w:val="auto"/>
          <w:lang w:eastAsia="zh-CN"/>
        </w:rPr>
        <w:t>当年支付的预付款项，在项目支出结转和结余中反映。</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资源勘探工业信息等支出（类）工业和信息产业监管（款）一般行政管理事务（项）：</w:t>
      </w:r>
      <w:r>
        <w:rPr>
          <w:rFonts w:hint="eastAsia"/>
        </w:rPr>
        <w:t>支出决算为</w:t>
      </w:r>
      <w:r>
        <w:rPr>
          <w:rFonts w:hint="eastAsia"/>
          <w:lang w:val="en-US" w:eastAsia="zh-CN"/>
        </w:rPr>
        <w:t>72.15</w:t>
      </w:r>
      <w:r>
        <w:rPr>
          <w:rFonts w:hint="eastAsia"/>
        </w:rPr>
        <w:t>万元，完成预算 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资源勘探工业信息等支出（类）工业和信息产业监管（款）机关服务（项）：</w:t>
      </w:r>
      <w:r>
        <w:rPr>
          <w:rFonts w:hint="eastAsia"/>
        </w:rPr>
        <w:t>支出决算为15</w:t>
      </w:r>
      <w:r>
        <w:rPr>
          <w:rFonts w:hint="eastAsia"/>
          <w:lang w:val="en-US" w:eastAsia="zh-CN"/>
        </w:rPr>
        <w:t>0.84</w:t>
      </w:r>
      <w:r>
        <w:rPr>
          <w:rFonts w:hint="eastAsia"/>
        </w:rPr>
        <w:t>万元</w:t>
      </w:r>
      <w:r>
        <w:rPr>
          <w:rFonts w:hint="eastAsia"/>
          <w:lang w:eastAsia="zh-CN"/>
        </w:rPr>
        <w:t>，</w:t>
      </w:r>
      <w:r>
        <w:rPr>
          <w:rFonts w:hint="eastAsia"/>
        </w:rPr>
        <w:t>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资源勘探工业信息等支出（类）工业和信息产业监管（款）无线电监管（项）：</w:t>
      </w:r>
      <w:r>
        <w:rPr>
          <w:rFonts w:hint="eastAsia"/>
        </w:rPr>
        <w:t>支出决算为</w:t>
      </w:r>
      <w:r>
        <w:rPr>
          <w:rFonts w:hint="eastAsia"/>
          <w:lang w:val="en-US" w:eastAsia="zh-CN"/>
        </w:rPr>
        <w:t>1751.42</w:t>
      </w:r>
      <w:r>
        <w:rPr>
          <w:rFonts w:hint="eastAsia"/>
        </w:rPr>
        <w:t>万元，完成预算</w:t>
      </w:r>
      <w:r>
        <w:rPr>
          <w:rFonts w:hint="eastAsia"/>
          <w:lang w:val="en-US" w:eastAsia="zh-CN"/>
        </w:rPr>
        <w:t>77.54</w:t>
      </w:r>
      <w:r>
        <w:rPr>
          <w:rFonts w:hint="eastAsia"/>
        </w:rPr>
        <w:t>%，</w:t>
      </w:r>
      <w:r>
        <w:rPr>
          <w:rStyle w:val="15"/>
          <w:rFonts w:hint="eastAsia" w:ascii="仿宋" w:hAnsi="仿宋" w:eastAsia="仿宋"/>
          <w:b w:val="0"/>
          <w:bCs/>
          <w:color w:val="auto"/>
          <w:sz w:val="32"/>
          <w:szCs w:val="32"/>
        </w:rPr>
        <w:t>决算数小于预算数的主要原因是</w:t>
      </w:r>
      <w:r>
        <w:rPr>
          <w:rStyle w:val="15"/>
          <w:rFonts w:hint="eastAsia" w:ascii="仿宋" w:hAnsi="仿宋" w:eastAsia="仿宋"/>
          <w:b w:val="0"/>
          <w:bCs/>
          <w:color w:val="auto"/>
          <w:sz w:val="32"/>
          <w:szCs w:val="32"/>
          <w:lang w:eastAsia="zh-CN"/>
        </w:rPr>
        <w:t>历年形成的结余</w:t>
      </w:r>
      <w:r>
        <w:rPr>
          <w:rFonts w:hint="eastAsia"/>
        </w:rPr>
        <w:t>；</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资源勘探工业信息等支出（类）工业和信息产业监管（款）其他工业和信息产业监管支出（项）：</w:t>
      </w:r>
      <w:r>
        <w:rPr>
          <w:rFonts w:hint="eastAsia"/>
        </w:rPr>
        <w:t>支出决算为 3</w:t>
      </w:r>
      <w:r>
        <w:rPr>
          <w:rFonts w:hint="eastAsia"/>
          <w:lang w:val="en-US" w:eastAsia="zh-CN"/>
        </w:rPr>
        <w:t>10.05</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资源勘探工业信息等支出（类）支持中小企业发展和管理支出（款）其他支持中小企业发展和管理支出（项）：</w:t>
      </w:r>
      <w:r>
        <w:rPr>
          <w:rFonts w:hint="eastAsia"/>
        </w:rPr>
        <w:t>支出决算为</w:t>
      </w:r>
      <w:r>
        <w:rPr>
          <w:rFonts w:hint="eastAsia"/>
          <w:lang w:val="en-US" w:eastAsia="zh-CN"/>
        </w:rPr>
        <w:t>79.80</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资源勘探工业信息等支出（类）其他资源勘探工业信息等支出（款）其他资源勘探工业信息等支出（项）：</w:t>
      </w:r>
      <w:r>
        <w:rPr>
          <w:rFonts w:hint="eastAsia"/>
        </w:rPr>
        <w:t>支出决算为</w:t>
      </w:r>
      <w:r>
        <w:rPr>
          <w:rFonts w:hint="eastAsia"/>
          <w:lang w:val="en-US" w:eastAsia="zh-CN"/>
        </w:rPr>
        <w:t>24.42</w:t>
      </w:r>
      <w:r>
        <w:rPr>
          <w:rFonts w:hint="eastAsia"/>
        </w:rPr>
        <w:t>万元，完成预算100%。</w:t>
      </w:r>
    </w:p>
    <w:p>
      <w:pPr>
        <w:pStyle w:val="34"/>
        <w:ind w:left="0" w:leftChars="0" w:firstLine="640" w:firstLineChars="200"/>
        <w:rPr>
          <w:rFonts w:hint="eastAsia"/>
        </w:rPr>
      </w:pPr>
      <w:r>
        <w:rPr>
          <w:rFonts w:hint="eastAsia"/>
        </w:rPr>
        <w:t>9.</w:t>
      </w:r>
      <w:r>
        <w:rPr>
          <w:rStyle w:val="15"/>
          <w:rFonts w:hint="eastAsia" w:ascii="仿宋" w:hAnsi="仿宋" w:eastAsia="仿宋" w:cstheme="minorBidi"/>
          <w:bCs/>
          <w:color w:val="auto"/>
          <w:kern w:val="2"/>
          <w:sz w:val="32"/>
          <w:szCs w:val="32"/>
          <w:highlight w:val="none"/>
          <w:lang w:val="en-US" w:eastAsia="zh-CN" w:bidi="ar-SA"/>
        </w:rPr>
        <w:t>住房保障支出（类）住房改革支出（款）住房公积金（项）：</w:t>
      </w:r>
      <w:r>
        <w:rPr>
          <w:rFonts w:hint="eastAsia"/>
        </w:rPr>
        <w:t>支出决算为77</w:t>
      </w:r>
      <w:r>
        <w:rPr>
          <w:rFonts w:hint="eastAsia"/>
          <w:lang w:val="en-US" w:eastAsia="zh-CN"/>
        </w:rPr>
        <w:t>8.91</w:t>
      </w:r>
      <w:r>
        <w:rPr>
          <w:rFonts w:hint="eastAsia"/>
        </w:rPr>
        <w:t>万元，完成预算100%；</w:t>
      </w:r>
    </w:p>
    <w:p>
      <w:pPr>
        <w:pStyle w:val="34"/>
        <w:ind w:left="0" w:leftChars="0" w:firstLine="643" w:firstLineChars="200"/>
        <w:rPr>
          <w:rFonts w:hint="eastAsia"/>
        </w:rPr>
      </w:pPr>
      <w:r>
        <w:rPr>
          <w:rStyle w:val="15"/>
          <w:rFonts w:hint="eastAsia" w:ascii="仿宋" w:hAnsi="仿宋" w:eastAsia="仿宋" w:cstheme="minorBidi"/>
          <w:bCs/>
          <w:color w:val="auto"/>
          <w:kern w:val="2"/>
          <w:sz w:val="32"/>
          <w:szCs w:val="32"/>
          <w:highlight w:val="none"/>
          <w:lang w:val="en-US" w:eastAsia="zh-CN" w:bidi="ar-SA"/>
        </w:rPr>
        <w:t>住房保障支出（类）住房改革支出（款）购房补贴（项）：</w:t>
      </w:r>
      <w:r>
        <w:rPr>
          <w:rFonts w:hint="eastAsia"/>
        </w:rPr>
        <w:t>支出决算为</w:t>
      </w:r>
      <w:r>
        <w:rPr>
          <w:rFonts w:hint="eastAsia"/>
          <w:lang w:val="en-US" w:eastAsia="zh-CN"/>
        </w:rPr>
        <w:t>358.29</w:t>
      </w:r>
      <w:r>
        <w:rPr>
          <w:rFonts w:hint="eastAsia"/>
        </w:rPr>
        <w:t>万元，完成预算100%。</w:t>
      </w:r>
    </w:p>
    <w:p>
      <w:pPr>
        <w:pStyle w:val="34"/>
        <w:ind w:left="0" w:leftChars="0" w:firstLine="640" w:firstLineChars="200"/>
        <w:rPr>
          <w:rFonts w:hint="eastAsia"/>
        </w:rPr>
      </w:pPr>
      <w:r>
        <w:rPr>
          <w:rFonts w:hint="eastAsia"/>
        </w:rPr>
        <w:t>10.</w:t>
      </w:r>
      <w:r>
        <w:rPr>
          <w:rStyle w:val="15"/>
          <w:rFonts w:hint="eastAsia" w:ascii="仿宋" w:hAnsi="仿宋" w:eastAsia="仿宋" w:cstheme="minorBidi"/>
          <w:bCs/>
          <w:color w:val="auto"/>
          <w:kern w:val="2"/>
          <w:sz w:val="32"/>
          <w:szCs w:val="32"/>
          <w:highlight w:val="none"/>
          <w:lang w:val="en-US" w:eastAsia="zh-CN" w:bidi="ar-SA"/>
        </w:rPr>
        <w:t xml:space="preserve">灾害防治及应急管理支出（类）其他灾害防治及应急管理支出（款）其他灾害防治及应急管理支出（项）: </w:t>
      </w:r>
      <w:r>
        <w:rPr>
          <w:rFonts w:hint="eastAsia"/>
        </w:rPr>
        <w:t>支出决算为</w:t>
      </w:r>
      <w:r>
        <w:rPr>
          <w:rFonts w:hint="eastAsia"/>
          <w:lang w:val="en-US" w:eastAsia="zh-CN"/>
        </w:rPr>
        <w:t>8</w:t>
      </w:r>
      <w:r>
        <w:rPr>
          <w:rFonts w:hint="eastAsia"/>
        </w:rPr>
        <w:t>万元，完成预算100%。</w:t>
      </w:r>
    </w:p>
    <w:p>
      <w:pPr>
        <w:pStyle w:val="34"/>
        <w:ind w:left="0" w:leftChars="0" w:firstLine="640" w:firstLineChars="200"/>
        <w:rPr>
          <w:rFonts w:hint="eastAsia"/>
          <w:lang w:eastAsia="zh-CN"/>
        </w:rPr>
      </w:pPr>
      <w:r>
        <w:rPr>
          <w:rFonts w:hint="eastAsia"/>
        </w:rPr>
        <w:t>11.</w:t>
      </w:r>
      <w:r>
        <w:rPr>
          <w:rStyle w:val="15"/>
          <w:rFonts w:hint="eastAsia" w:ascii="仿宋" w:hAnsi="仿宋" w:eastAsia="仿宋" w:cstheme="minorBidi"/>
          <w:bCs/>
          <w:color w:val="auto"/>
          <w:kern w:val="2"/>
          <w:sz w:val="32"/>
          <w:szCs w:val="32"/>
          <w:highlight w:val="none"/>
          <w:lang w:val="en-US" w:eastAsia="zh-CN" w:bidi="ar-SA"/>
        </w:rPr>
        <w:t>其他支出（类）其他支出（款）其他支出（项）：</w:t>
      </w:r>
      <w:r>
        <w:rPr>
          <w:rFonts w:hint="eastAsia"/>
        </w:rPr>
        <w:t>支出决算为</w:t>
      </w:r>
      <w:r>
        <w:rPr>
          <w:rFonts w:hint="eastAsia"/>
          <w:lang w:val="en-US" w:eastAsia="zh-CN"/>
        </w:rPr>
        <w:t>205.62</w:t>
      </w:r>
      <w:r>
        <w:rPr>
          <w:rFonts w:hint="eastAsia"/>
        </w:rPr>
        <w:t>万元，完成预算100%</w:t>
      </w:r>
      <w:r>
        <w:rPr>
          <w:rFonts w:hint="eastAsia"/>
          <w:lang w:eastAsia="zh-CN"/>
        </w:rPr>
        <w:t>；</w:t>
      </w:r>
    </w:p>
    <w:p>
      <w:pPr>
        <w:pStyle w:val="34"/>
        <w:ind w:left="0" w:leftChars="0" w:firstLine="640" w:firstLineChars="200"/>
        <w:rPr>
          <w:rFonts w:hint="eastAsia"/>
        </w:rPr>
      </w:pPr>
      <w:r>
        <w:rPr>
          <w:rFonts w:hint="eastAsia"/>
        </w:rPr>
        <w:t>1</w:t>
      </w:r>
      <w:r>
        <w:rPr>
          <w:rFonts w:hint="eastAsia"/>
          <w:lang w:val="en-US" w:eastAsia="zh-CN"/>
        </w:rPr>
        <w:t>2</w:t>
      </w:r>
      <w:r>
        <w:rPr>
          <w:rFonts w:hint="eastAsia"/>
        </w:rPr>
        <w:t>.</w:t>
      </w:r>
      <w:r>
        <w:rPr>
          <w:rStyle w:val="15"/>
          <w:rFonts w:hint="eastAsia" w:ascii="仿宋" w:hAnsi="仿宋" w:eastAsia="仿宋" w:cstheme="minorBidi"/>
          <w:bCs/>
          <w:color w:val="auto"/>
          <w:kern w:val="2"/>
          <w:sz w:val="32"/>
          <w:szCs w:val="32"/>
          <w:highlight w:val="none"/>
          <w:lang w:val="en-US" w:eastAsia="zh-CN" w:bidi="ar-SA"/>
        </w:rPr>
        <w:t xml:space="preserve">债务付息支出(类) 地方政府一般债务付息支出(款)地方政府一般债务付息支出(项): </w:t>
      </w:r>
      <w:r>
        <w:rPr>
          <w:rFonts w:hint="eastAsia"/>
        </w:rPr>
        <w:t>支出决算为</w:t>
      </w:r>
      <w:r>
        <w:rPr>
          <w:rFonts w:hint="eastAsia"/>
          <w:lang w:val="en-US" w:eastAsia="zh-CN"/>
        </w:rPr>
        <w:t>4277</w:t>
      </w:r>
      <w:r>
        <w:rPr>
          <w:rFonts w:hint="eastAsia"/>
        </w:rPr>
        <w:t>万元，完成预算100%</w:t>
      </w:r>
      <w:r>
        <w:rPr>
          <w:rFonts w:hint="eastAsia"/>
          <w:lang w:eastAsia="zh-CN"/>
        </w:rPr>
        <w:t>。</w:t>
      </w:r>
      <w:bookmarkStart w:id="40" w:name="_Toc15377214"/>
      <w:bookmarkStart w:id="41" w:name="_Toc15396608"/>
    </w:p>
    <w:p>
      <w:pPr>
        <w:tabs>
          <w:tab w:val="right" w:pos="8306"/>
        </w:tabs>
        <w:spacing w:line="600" w:lineRule="exact"/>
        <w:ind w:firstLine="640"/>
        <w:outlineLvl w:val="1"/>
        <w:rPr>
          <w:rStyle w:val="26"/>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40"/>
      <w:bookmarkEnd w:id="41"/>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年一般公共预算财政拨款基本支出42680.48万元，其中：</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人员经费36170.2</w:t>
      </w: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万元，主要包括：基本工资、津贴补贴、奖金、伙食补助费、绩效工资、机关事业单位基本养老保险缴费、职业年金缴费、职工基本医疗保险缴费</w:t>
      </w:r>
      <w:r>
        <w:rPr>
          <w:rFonts w:hint="eastAsia" w:ascii="仿宋" w:hAnsi="仿宋" w:eastAsia="仿宋"/>
          <w:color w:val="auto"/>
          <w:sz w:val="32"/>
          <w:szCs w:val="32"/>
          <w:highlight w:val="none"/>
          <w:lang w:eastAsia="zh-CN"/>
        </w:rPr>
        <w:t>、公务员医疗补助缴费、</w:t>
      </w:r>
      <w:r>
        <w:rPr>
          <w:rFonts w:hint="eastAsia" w:ascii="仿宋" w:hAnsi="仿宋" w:eastAsia="仿宋"/>
          <w:color w:val="auto"/>
          <w:sz w:val="32"/>
          <w:szCs w:val="32"/>
          <w:highlight w:val="none"/>
        </w:rPr>
        <w:t>其他社会保障缴费、住房公积金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其他工资福利支出、离休费、抚恤金、生活补助、医疗费补助、助学金</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奖励金、其他对个人和家庭的补助支出等。</w:t>
      </w:r>
      <w:r>
        <w:rPr>
          <w:rFonts w:ascii="仿宋" w:hAnsi="仿宋" w:eastAsia="仿宋"/>
          <w:color w:val="auto"/>
          <w:sz w:val="32"/>
          <w:szCs w:val="32"/>
          <w:highlight w:val="none"/>
        </w:rPr>
        <w:br w:type="textWrapping"/>
      </w:r>
      <w:r>
        <w:rPr>
          <w:rFonts w:hint="eastAsia" w:ascii="仿宋" w:hAnsi="仿宋" w:eastAsia="仿宋"/>
          <w:color w:val="auto"/>
          <w:sz w:val="32"/>
          <w:szCs w:val="32"/>
          <w:highlight w:val="none"/>
        </w:rPr>
        <w:t>　　公用经费</w:t>
      </w:r>
      <w:r>
        <w:rPr>
          <w:rFonts w:hint="default" w:ascii="仿宋" w:hAnsi="仿宋" w:eastAsia="仿宋"/>
          <w:color w:val="auto"/>
          <w:sz w:val="32"/>
          <w:szCs w:val="32"/>
          <w:highlight w:val="none"/>
          <w:lang w:val="en"/>
        </w:rPr>
        <w:t>6510.2</w:t>
      </w:r>
      <w:r>
        <w:rPr>
          <w:rFonts w:hint="eastAsia" w:ascii="仿宋" w:hAnsi="仿宋" w:eastAsia="仿宋"/>
          <w:color w:val="auto"/>
          <w:sz w:val="32"/>
          <w:szCs w:val="32"/>
          <w:highlight w:val="none"/>
          <w:lang w:val="en-US" w:eastAsia="zh-CN"/>
        </w:rPr>
        <w:t>3</w:t>
      </w:r>
      <w:r>
        <w:rPr>
          <w:rFonts w:hint="eastAsia" w:ascii="仿宋" w:hAnsi="仿宋" w:eastAsia="仿宋"/>
          <w:color w:val="auto"/>
          <w:sz w:val="32"/>
          <w:szCs w:val="32"/>
          <w:highlight w:val="none"/>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等。</w:t>
      </w:r>
    </w:p>
    <w:p>
      <w:pPr>
        <w:spacing w:line="600" w:lineRule="exact"/>
        <w:ind w:firstLine="640"/>
        <w:outlineLvl w:val="1"/>
        <w:rPr>
          <w:rStyle w:val="26"/>
          <w:rFonts w:ascii="黑体" w:hAnsi="黑体" w:eastAsia="黑体"/>
          <w:b w:val="0"/>
          <w:color w:val="auto"/>
          <w:highlight w:val="none"/>
        </w:rPr>
      </w:pPr>
      <w:bookmarkStart w:id="42" w:name="_Toc15377215"/>
      <w:bookmarkStart w:id="43" w:name="_Toc15396609"/>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年“三公”经费财政拨款支出决算为202.79万元，完成预算64.97%，决算数小于预算数的主要原因是我厅贯彻国家出台的“八项规定”以及省委、省政府出台的“十项规定”精神，强化内部预算监督，严格按标准支出 “三公”经费</w:t>
      </w:r>
      <w:r>
        <w:rPr>
          <w:rFonts w:hint="eastAsia" w:ascii="仿宋" w:hAnsi="仿宋" w:eastAsia="仿宋"/>
          <w:color w:val="auto"/>
          <w:sz w:val="32"/>
          <w:szCs w:val="32"/>
          <w:highlight w:val="none"/>
          <w:lang w:eastAsia="zh-CN"/>
        </w:rPr>
        <w:t>，由于疫情影响，公务接待、公务用车运行维护费支出降幅明显，因公出国团组计划取消，导致预算执行较低</w:t>
      </w:r>
      <w:r>
        <w:rPr>
          <w:rFonts w:hint="eastAsia" w:ascii="仿宋" w:hAnsi="仿宋" w:eastAsia="仿宋"/>
          <w:color w:val="auto"/>
          <w:sz w:val="32"/>
          <w:szCs w:val="32"/>
          <w:highlight w:val="none"/>
        </w:rPr>
        <w:t>。</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5"/>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%；公务用车购置及运行维护费支出决算199.05万元，占98.16%；公务接待费支出决算3.74万元，占1.84%。具体情况如下：</w:t>
      </w:r>
    </w:p>
    <w:p>
      <w:pPr>
        <w:pStyle w:val="34"/>
        <w:jc w:val="center"/>
        <w:rPr>
          <w:rFonts w:hint="eastAsia" w:eastAsia="仿宋"/>
          <w:lang w:eastAsia="zh-CN"/>
        </w:rPr>
      </w:pPr>
      <w:r>
        <w:rPr>
          <w:rFonts w:hint="eastAsia" w:eastAsia="仿宋"/>
          <w:lang w:eastAsia="zh-CN"/>
        </w:rPr>
        <w:drawing>
          <wp:inline distT="0" distB="0" distL="114300" distR="114300">
            <wp:extent cx="4352925" cy="2616200"/>
            <wp:effectExtent l="0" t="0" r="9525" b="12700"/>
            <wp:docPr id="6" name="图片 6" descr="图片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7"/>
                    <pic:cNvPicPr>
                      <a:picLocks noChangeAspect="1"/>
                    </pic:cNvPicPr>
                  </pic:nvPicPr>
                  <pic:blipFill>
                    <a:blip r:embed="rId12"/>
                    <a:stretch>
                      <a:fillRect/>
                    </a:stretch>
                  </pic:blipFill>
                  <pic:spPr>
                    <a:xfrm>
                      <a:off x="0" y="0"/>
                      <a:ext cx="4352925" cy="2616200"/>
                    </a:xfrm>
                    <a:prstGeom prst="rect">
                      <a:avLst/>
                    </a:prstGeom>
                  </pic:spPr>
                </pic:pic>
              </a:graphicData>
            </a:graphic>
          </wp:inline>
        </w:drawing>
      </w:r>
    </w:p>
    <w:p>
      <w:pPr>
        <w:pStyle w:val="34"/>
      </w:pPr>
    </w:p>
    <w:p>
      <w:pPr>
        <w:spacing w:line="600" w:lineRule="exact"/>
        <w:ind w:firstLine="64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1.因公出国（境）经费支出</w:t>
      </w:r>
      <w:r>
        <w:rPr>
          <w:rFonts w:hint="eastAsia" w:ascii="仿宋" w:hAnsi="仿宋" w:eastAsia="仿宋" w:cs="仿宋"/>
          <w:color w:val="000000"/>
          <w:sz w:val="32"/>
          <w:szCs w:val="32"/>
          <w:lang w:val="en-US" w:eastAsia="zh-CN"/>
        </w:rPr>
        <w:t>0</w:t>
      </w:r>
      <w:r>
        <w:rPr>
          <w:rFonts w:hint="eastAsia" w:ascii="仿宋" w:hAnsi="仿宋" w:eastAsia="仿宋" w:cs="仿宋"/>
          <w:color w:val="auto"/>
          <w:sz w:val="32"/>
          <w:szCs w:val="32"/>
          <w:highlight w:val="none"/>
        </w:rPr>
        <w:t>万元，</w:t>
      </w:r>
      <w:r>
        <w:rPr>
          <w:rStyle w:val="15"/>
          <w:rFonts w:hint="eastAsia" w:ascii="仿宋" w:hAnsi="仿宋" w:eastAsia="仿宋" w:cs="仿宋"/>
          <w:b w:val="0"/>
          <w:bCs/>
          <w:color w:val="auto"/>
          <w:sz w:val="32"/>
          <w:szCs w:val="32"/>
          <w:highlight w:val="none"/>
        </w:rPr>
        <w:t>完成预算</w:t>
      </w:r>
      <w:r>
        <w:rPr>
          <w:rStyle w:val="15"/>
          <w:rFonts w:hint="eastAsia" w:ascii="仿宋" w:hAnsi="仿宋" w:eastAsia="仿宋" w:cs="仿宋"/>
          <w:b w:val="0"/>
          <w:bCs/>
          <w:color w:val="auto"/>
          <w:sz w:val="32"/>
          <w:szCs w:val="32"/>
          <w:highlight w:val="none"/>
          <w:lang w:val="en-US" w:eastAsia="zh-CN"/>
        </w:rPr>
        <w:t>100</w:t>
      </w:r>
      <w:r>
        <w:rPr>
          <w:rStyle w:val="15"/>
          <w:rFonts w:hint="eastAsia" w:ascii="仿宋" w:hAnsi="仿宋" w:eastAsia="仿宋" w:cs="仿宋"/>
          <w:b w:val="0"/>
          <w:bCs/>
          <w:color w:val="auto"/>
          <w:sz w:val="32"/>
          <w:szCs w:val="32"/>
          <w:highlight w:val="none"/>
        </w:rPr>
        <w:t>%。</w:t>
      </w:r>
      <w:r>
        <w:rPr>
          <w:rFonts w:hint="eastAsia" w:ascii="仿宋" w:hAnsi="仿宋" w:eastAsia="仿宋" w:cs="仿宋"/>
          <w:color w:val="auto"/>
          <w:sz w:val="32"/>
          <w:szCs w:val="32"/>
          <w:highlight w:val="none"/>
        </w:rPr>
        <w:t>全年安排因公出国（境）团组</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次，出国（境）</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人。因公出国（境）支出决算比201</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年减少</w:t>
      </w:r>
      <w:r>
        <w:rPr>
          <w:rFonts w:hint="eastAsia" w:ascii="仿宋" w:hAnsi="仿宋" w:eastAsia="仿宋" w:cs="仿宋"/>
          <w:color w:val="000000"/>
          <w:sz w:val="32"/>
          <w:szCs w:val="32"/>
          <w:lang w:val="en-US" w:eastAsia="zh-CN"/>
        </w:rPr>
        <w:t>39.89</w:t>
      </w:r>
      <w:r>
        <w:rPr>
          <w:rFonts w:hint="eastAsia" w:ascii="仿宋" w:hAnsi="仿宋" w:eastAsia="仿宋" w:cs="仿宋"/>
          <w:color w:val="auto"/>
          <w:sz w:val="32"/>
          <w:szCs w:val="32"/>
          <w:highlight w:val="none"/>
        </w:rPr>
        <w:t>万元，下降</w:t>
      </w:r>
      <w:r>
        <w:rPr>
          <w:rFonts w:hint="eastAsia" w:ascii="仿宋" w:hAnsi="仿宋" w:eastAsia="仿宋" w:cs="仿宋"/>
          <w:color w:val="000000"/>
          <w:sz w:val="32"/>
          <w:szCs w:val="32"/>
          <w:lang w:val="en-US" w:eastAsia="zh-CN"/>
        </w:rPr>
        <w:t>100</w:t>
      </w:r>
      <w:r>
        <w:rPr>
          <w:rFonts w:hint="eastAsia" w:ascii="仿宋" w:hAnsi="仿宋" w:eastAsia="仿宋" w:cs="仿宋"/>
          <w:color w:val="000000"/>
          <w:sz w:val="32"/>
          <w:szCs w:val="32"/>
        </w:rPr>
        <w:t>%</w:t>
      </w:r>
      <w:r>
        <w:rPr>
          <w:rFonts w:hint="eastAsia" w:ascii="仿宋" w:hAnsi="仿宋" w:eastAsia="仿宋" w:cs="仿宋"/>
          <w:color w:val="auto"/>
          <w:sz w:val="32"/>
          <w:szCs w:val="32"/>
          <w:highlight w:val="none"/>
        </w:rPr>
        <w:t>。主要原因是受疫情影响，未安排出国。</w:t>
      </w:r>
      <w:bookmarkStart w:id="73" w:name="_GoBack"/>
      <w:bookmarkEnd w:id="73"/>
    </w:p>
    <w:p>
      <w:pPr>
        <w:spacing w:line="600" w:lineRule="exact"/>
        <w:ind w:firstLine="64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2.公务用车购置及运行维护费支出199.05</w:t>
      </w:r>
      <w:r>
        <w:rPr>
          <w:rFonts w:hint="eastAsia" w:ascii="仿宋" w:hAnsi="仿宋" w:eastAsia="仿宋" w:cs="仿宋"/>
          <w:color w:val="auto"/>
          <w:sz w:val="32"/>
          <w:szCs w:val="32"/>
          <w:highlight w:val="none"/>
        </w:rPr>
        <w:t>万元,</w:t>
      </w:r>
      <w:r>
        <w:rPr>
          <w:rStyle w:val="15"/>
          <w:rFonts w:hint="eastAsia" w:ascii="仿宋" w:hAnsi="仿宋" w:eastAsia="仿宋" w:cs="仿宋"/>
          <w:b w:val="0"/>
          <w:bCs/>
          <w:color w:val="auto"/>
          <w:sz w:val="32"/>
          <w:szCs w:val="32"/>
          <w:highlight w:val="none"/>
        </w:rPr>
        <w:t>完成预算86.21%。</w:t>
      </w:r>
      <w:r>
        <w:rPr>
          <w:rFonts w:hint="eastAsia" w:ascii="仿宋" w:hAnsi="仿宋" w:eastAsia="仿宋" w:cs="仿宋"/>
          <w:color w:val="auto"/>
          <w:sz w:val="32"/>
          <w:szCs w:val="32"/>
          <w:highlight w:val="none"/>
        </w:rPr>
        <w:t>公务用车购置及运行维护费支出决算比201</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年减少</w:t>
      </w:r>
      <w:r>
        <w:rPr>
          <w:rFonts w:hint="eastAsia" w:ascii="仿宋" w:hAnsi="仿宋" w:eastAsia="仿宋" w:cs="仿宋"/>
          <w:color w:val="000000"/>
          <w:sz w:val="32"/>
          <w:szCs w:val="32"/>
          <w:lang w:val="en-US" w:eastAsia="zh-CN"/>
        </w:rPr>
        <w:t>1.18</w:t>
      </w:r>
      <w:r>
        <w:rPr>
          <w:rFonts w:hint="eastAsia" w:ascii="仿宋" w:hAnsi="仿宋" w:eastAsia="仿宋" w:cs="仿宋"/>
          <w:color w:val="auto"/>
          <w:sz w:val="32"/>
          <w:szCs w:val="32"/>
          <w:highlight w:val="none"/>
        </w:rPr>
        <w:t>万元，下降</w:t>
      </w:r>
      <w:r>
        <w:rPr>
          <w:rFonts w:hint="eastAsia" w:ascii="仿宋" w:hAnsi="仿宋" w:eastAsia="仿宋" w:cs="仿宋"/>
          <w:color w:val="000000"/>
          <w:sz w:val="32"/>
          <w:szCs w:val="32"/>
          <w:lang w:val="en-US" w:eastAsia="zh-CN"/>
        </w:rPr>
        <w:t>0.59</w:t>
      </w:r>
      <w:r>
        <w:rPr>
          <w:rFonts w:hint="eastAsia" w:ascii="仿宋" w:hAnsi="仿宋" w:eastAsia="仿宋" w:cs="仿宋"/>
          <w:color w:val="auto"/>
          <w:sz w:val="32"/>
          <w:szCs w:val="32"/>
          <w:highlight w:val="none"/>
        </w:rPr>
        <w:t>%。主要原因是按照厉行节约相关规定，我厅机关严格控制公务用车</w:t>
      </w:r>
      <w:r>
        <w:rPr>
          <w:rFonts w:hint="eastAsia" w:ascii="仿宋" w:hAnsi="仿宋" w:eastAsia="仿宋" w:cs="仿宋"/>
          <w:color w:val="auto"/>
          <w:sz w:val="32"/>
          <w:szCs w:val="32"/>
          <w:highlight w:val="none"/>
          <w:lang w:eastAsia="zh-CN"/>
        </w:rPr>
        <w:t>，同时受疫情影响，出差减少，用车减少</w:t>
      </w:r>
      <w:r>
        <w:rPr>
          <w:rFonts w:hint="eastAsia" w:ascii="仿宋" w:hAnsi="仿宋" w:eastAsia="仿宋" w:cs="仿宋"/>
          <w:color w:val="auto"/>
          <w:sz w:val="32"/>
          <w:szCs w:val="32"/>
          <w:highlight w:val="none"/>
        </w:rPr>
        <w:t>。</w:t>
      </w:r>
    </w:p>
    <w:p>
      <w:pPr>
        <w:spacing w:line="600" w:lineRule="exact"/>
        <w:ind w:firstLine="640" w:firstLineChars="200"/>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其中：</w:t>
      </w:r>
      <w:r>
        <w:rPr>
          <w:rFonts w:hint="eastAsia" w:ascii="仿宋" w:hAnsi="仿宋" w:eastAsia="仿宋" w:cs="仿宋"/>
          <w:b/>
          <w:color w:val="auto"/>
          <w:sz w:val="32"/>
          <w:szCs w:val="32"/>
          <w:highlight w:val="none"/>
        </w:rPr>
        <w:t>公务用车购置支出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万元。全年按规定更新购置公务用车</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截至20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年12月底，单位共有公务用车</w:t>
      </w:r>
      <w:r>
        <w:rPr>
          <w:rFonts w:hint="eastAsia" w:ascii="仿宋" w:hAnsi="仿宋" w:eastAsia="仿宋" w:cs="仿宋"/>
          <w:color w:val="auto"/>
          <w:sz w:val="32"/>
          <w:szCs w:val="32"/>
          <w:highlight w:val="none"/>
          <w:lang w:val="en-US" w:eastAsia="zh-CN"/>
        </w:rPr>
        <w:t>55</w:t>
      </w:r>
      <w:r>
        <w:rPr>
          <w:rFonts w:hint="eastAsia" w:ascii="仿宋" w:hAnsi="仿宋" w:eastAsia="仿宋" w:cs="仿宋"/>
          <w:color w:val="auto"/>
          <w:sz w:val="32"/>
          <w:szCs w:val="32"/>
          <w:highlight w:val="none"/>
        </w:rPr>
        <w:t>辆，其中：轿车</w:t>
      </w:r>
      <w:r>
        <w:rPr>
          <w:rFonts w:hint="eastAsia" w:ascii="仿宋" w:hAnsi="仿宋" w:eastAsia="仿宋" w:cs="仿宋"/>
          <w:color w:val="auto"/>
          <w:sz w:val="32"/>
          <w:szCs w:val="32"/>
          <w:highlight w:val="none"/>
          <w:lang w:val="en-US" w:eastAsia="zh-CN"/>
        </w:rPr>
        <w:t>34</w:t>
      </w:r>
      <w:r>
        <w:rPr>
          <w:rFonts w:hint="eastAsia" w:ascii="仿宋" w:hAnsi="仿宋" w:eastAsia="仿宋" w:cs="仿宋"/>
          <w:color w:val="auto"/>
          <w:sz w:val="32"/>
          <w:szCs w:val="32"/>
          <w:highlight w:val="none"/>
        </w:rPr>
        <w:t>辆、越野车</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辆、载客汽车</w:t>
      </w:r>
      <w:r>
        <w:rPr>
          <w:rFonts w:hint="eastAsia" w:ascii="仿宋" w:hAnsi="仿宋" w:eastAsia="仿宋" w:cs="仿宋"/>
          <w:color w:val="auto"/>
          <w:sz w:val="32"/>
          <w:szCs w:val="32"/>
          <w:highlight w:val="none"/>
          <w:lang w:val="en-US" w:eastAsia="zh-CN"/>
        </w:rPr>
        <w:t>12</w:t>
      </w:r>
      <w:r>
        <w:rPr>
          <w:rFonts w:hint="eastAsia" w:ascii="仿宋" w:hAnsi="仿宋" w:eastAsia="仿宋" w:cs="仿宋"/>
          <w:color w:val="auto"/>
          <w:sz w:val="32"/>
          <w:szCs w:val="32"/>
          <w:highlight w:val="none"/>
        </w:rPr>
        <w:t>辆。</w:t>
      </w:r>
    </w:p>
    <w:p>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公务用车运行维护费支出199.05</w:t>
      </w:r>
      <w:r>
        <w:rPr>
          <w:rFonts w:hint="eastAsia" w:ascii="仿宋" w:hAnsi="仿宋" w:eastAsia="仿宋" w:cs="仿宋"/>
          <w:color w:val="auto"/>
          <w:sz w:val="32"/>
          <w:szCs w:val="32"/>
          <w:highlight w:val="none"/>
        </w:rPr>
        <w:t>万元。主要用于</w:t>
      </w:r>
      <w:r>
        <w:rPr>
          <w:rFonts w:hint="eastAsia" w:ascii="仿宋" w:hAnsi="仿宋" w:eastAsia="仿宋" w:cs="仿宋"/>
          <w:color w:val="000000"/>
          <w:sz w:val="32"/>
          <w:szCs w:val="32"/>
        </w:rPr>
        <w:t>机关及下属二级预算单位执行公务活动、开展基层工作调研、开展专项监督检查、开展支出绩效评价、走访人大代表、对口帮扶慰问等所需专项活动等所需的公务用车燃料费、维修费、过路过桥费、保险费等支出。</w:t>
      </w:r>
    </w:p>
    <w:p>
      <w:pPr>
        <w:spacing w:line="600" w:lineRule="exact"/>
        <w:ind w:firstLine="64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3.公务接待费支出3.74</w:t>
      </w:r>
      <w:r>
        <w:rPr>
          <w:rFonts w:hint="eastAsia" w:ascii="仿宋" w:hAnsi="仿宋" w:eastAsia="仿宋" w:cs="仿宋"/>
          <w:color w:val="auto"/>
          <w:sz w:val="32"/>
          <w:szCs w:val="32"/>
          <w:highlight w:val="none"/>
        </w:rPr>
        <w:t>万元，</w:t>
      </w:r>
      <w:r>
        <w:rPr>
          <w:rStyle w:val="15"/>
          <w:rFonts w:hint="eastAsia" w:ascii="仿宋" w:hAnsi="仿宋" w:eastAsia="仿宋" w:cs="仿宋"/>
          <w:b w:val="0"/>
          <w:bCs/>
          <w:color w:val="auto"/>
          <w:sz w:val="32"/>
          <w:szCs w:val="32"/>
          <w:highlight w:val="none"/>
        </w:rPr>
        <w:t>完成预算23.02%。</w:t>
      </w:r>
      <w:r>
        <w:rPr>
          <w:rFonts w:hint="eastAsia" w:ascii="仿宋" w:hAnsi="仿宋" w:eastAsia="仿宋" w:cs="仿宋"/>
          <w:color w:val="auto"/>
          <w:sz w:val="32"/>
          <w:szCs w:val="32"/>
          <w:highlight w:val="none"/>
        </w:rPr>
        <w:t>公务接待费支出决算比201</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年减少0.84万元，下降18.34%。主要原因一是受疫情影响减少公务活动，二是厉行节约。其中：</w:t>
      </w:r>
    </w:p>
    <w:p>
      <w:pPr>
        <w:spacing w:line="60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b/>
          <w:color w:val="auto"/>
          <w:sz w:val="32"/>
          <w:szCs w:val="32"/>
          <w:highlight w:val="none"/>
        </w:rPr>
        <w:t>国内公务接待支出3.74</w:t>
      </w:r>
      <w:r>
        <w:rPr>
          <w:rFonts w:hint="eastAsia" w:ascii="仿宋" w:hAnsi="仿宋" w:eastAsia="仿宋" w:cs="仿宋"/>
          <w:color w:val="auto"/>
          <w:sz w:val="32"/>
          <w:szCs w:val="32"/>
          <w:highlight w:val="none"/>
        </w:rPr>
        <w:t>万元，主要用于执行公务、开展业务活动开支的交通费、住宿费、用餐费等。国内公务接待39批次，403人次（不包括陪同人员），共计支出3.74万元，具体内容包括：接待上级部门来川调研、指导工作、专项检查等1.84万元；接待兄弟省（市）来川调研、业务交流合作等0.75万元；招生就业业务接待 1.15 万元。</w:t>
      </w:r>
    </w:p>
    <w:p>
      <w:pPr>
        <w:spacing w:line="600" w:lineRule="exact"/>
        <w:ind w:firstLine="643" w:firstLineChars="200"/>
        <w:rPr>
          <w:rFonts w:ascii="黑体" w:eastAsia="黑体"/>
          <w:color w:val="auto"/>
          <w:sz w:val="32"/>
          <w:szCs w:val="32"/>
          <w:highlight w:val="none"/>
        </w:rPr>
      </w:pPr>
      <w:r>
        <w:rPr>
          <w:rFonts w:hint="eastAsia" w:ascii="仿宋" w:hAnsi="仿宋" w:eastAsia="仿宋" w:cs="仿宋"/>
          <w:b/>
          <w:color w:val="000000"/>
          <w:sz w:val="32"/>
          <w:szCs w:val="32"/>
          <w:lang w:val="en-US" w:eastAsia="zh-CN"/>
        </w:rPr>
        <w:t>2020年，我厅无</w:t>
      </w:r>
      <w:r>
        <w:rPr>
          <w:rFonts w:hint="eastAsia" w:ascii="仿宋" w:hAnsi="仿宋" w:eastAsia="仿宋" w:cs="仿宋"/>
          <w:b/>
          <w:color w:val="000000"/>
          <w:sz w:val="32"/>
          <w:szCs w:val="32"/>
        </w:rPr>
        <w:t>外事接待支出</w:t>
      </w:r>
      <w:r>
        <w:rPr>
          <w:rFonts w:hint="eastAsia" w:ascii="仿宋" w:hAnsi="仿宋" w:eastAsia="仿宋" w:cs="仿宋"/>
          <w:b/>
          <w:color w:val="000000"/>
          <w:sz w:val="32"/>
          <w:szCs w:val="32"/>
          <w:lang w:eastAsia="zh-CN"/>
        </w:rPr>
        <w:t>。</w:t>
      </w:r>
      <w:bookmarkStart w:id="46" w:name="_Toc15377218"/>
      <w:bookmarkStart w:id="47" w:name="_Toc15396610"/>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6"/>
      <w:bookmarkEnd w:id="47"/>
    </w:p>
    <w:p>
      <w:pPr>
        <w:spacing w:line="600" w:lineRule="exact"/>
        <w:ind w:firstLine="640"/>
        <w:rPr>
          <w:rFonts w:ascii="仿宋_GB2312" w:eastAsia="仿宋_GB2312"/>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年度我厅无政府性基金预算拨款支出。</w:t>
      </w:r>
    </w:p>
    <w:p>
      <w:pPr>
        <w:numPr>
          <w:ilvl w:val="0"/>
          <w:numId w:val="2"/>
        </w:numPr>
        <w:spacing w:line="600" w:lineRule="exact"/>
        <w:ind w:firstLine="640"/>
        <w:outlineLvl w:val="1"/>
        <w:rPr>
          <w:rStyle w:val="26"/>
          <w:rFonts w:ascii="黑体" w:hAnsi="黑体" w:eastAsia="黑体"/>
          <w:b w:val="0"/>
          <w:color w:val="auto"/>
          <w:highlight w:val="none"/>
        </w:rPr>
      </w:pPr>
      <w:bookmarkStart w:id="48" w:name="_Toc15377219"/>
      <w:bookmarkStart w:id="49" w:name="_Toc15396611"/>
      <w:r>
        <w:rPr>
          <w:rStyle w:val="26"/>
          <w:rFonts w:hint="eastAsia" w:ascii="黑体" w:hAnsi="黑体" w:eastAsia="黑体"/>
          <w:b w:val="0"/>
          <w:color w:val="auto"/>
          <w:highlight w:val="none"/>
        </w:rPr>
        <w:t>国有资本经营预算支出决算情况说明</w:t>
      </w:r>
      <w:bookmarkEnd w:id="48"/>
      <w:bookmarkEnd w:id="49"/>
    </w:p>
    <w:p>
      <w:pPr>
        <w:spacing w:line="600" w:lineRule="exact"/>
        <w:ind w:firstLine="640" w:firstLineChars="200"/>
        <w:rPr>
          <w:rFonts w:ascii="方正小标宋简体" w:hAnsi="方正小标宋简体" w:eastAsia="方正小标宋简体" w:cs="方正小标宋简体"/>
          <w:color w:val="auto"/>
          <w:sz w:val="44"/>
          <w:szCs w:val="44"/>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年度我厅无国有资本经营预算拨款支出。</w:t>
      </w:r>
    </w:p>
    <w:p>
      <w:pPr>
        <w:numPr>
          <w:ilvl w:val="0"/>
          <w:numId w:val="2"/>
        </w:numPr>
        <w:spacing w:line="600" w:lineRule="exact"/>
        <w:ind w:firstLine="640"/>
        <w:outlineLvl w:val="1"/>
        <w:rPr>
          <w:rStyle w:val="26"/>
          <w:rFonts w:hint="eastAsia" w:ascii="黑体" w:hAnsi="黑体" w:eastAsia="黑体"/>
          <w:b w:val="0"/>
          <w:color w:val="auto"/>
          <w:highlight w:val="none"/>
        </w:rPr>
      </w:pPr>
      <w:bookmarkStart w:id="50" w:name="_Toc15377221"/>
      <w:bookmarkStart w:id="51" w:name="_Toc15396612"/>
      <w:r>
        <w:rPr>
          <w:rStyle w:val="26"/>
          <w:rFonts w:hint="eastAsia" w:ascii="黑体" w:hAnsi="黑体" w:eastAsia="黑体"/>
          <w:b w:val="0"/>
          <w:color w:val="auto"/>
          <w:highlight w:val="none"/>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年，经济和信息化厅机关运行经费支出22,765,163.71元，比201</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年减少</w:t>
      </w:r>
      <w:r>
        <w:rPr>
          <w:rFonts w:hint="eastAsia" w:ascii="仿宋" w:hAnsi="仿宋" w:eastAsia="仿宋" w:cs="仿宋"/>
          <w:color w:val="auto"/>
          <w:sz w:val="32"/>
          <w:szCs w:val="32"/>
        </w:rPr>
        <w:t>429,781.40</w:t>
      </w:r>
      <w:r>
        <w:rPr>
          <w:rFonts w:hint="eastAsia" w:ascii="仿宋" w:hAnsi="仿宋" w:eastAsia="仿宋" w:cs="仿宋"/>
          <w:color w:val="auto"/>
          <w:sz w:val="32"/>
          <w:szCs w:val="32"/>
          <w:highlight w:val="none"/>
        </w:rPr>
        <w:t>元，下降</w:t>
      </w:r>
      <w:r>
        <w:rPr>
          <w:rFonts w:hint="eastAsia" w:ascii="仿宋" w:hAnsi="仿宋" w:eastAsia="仿宋" w:cs="仿宋"/>
          <w:color w:val="auto"/>
          <w:sz w:val="32"/>
          <w:szCs w:val="32"/>
        </w:rPr>
        <w:t>1.85</w:t>
      </w:r>
      <w:r>
        <w:rPr>
          <w:rFonts w:hint="eastAsia" w:ascii="仿宋" w:hAnsi="仿宋" w:eastAsia="仿宋" w:cs="仿宋"/>
          <w:color w:val="auto"/>
          <w:sz w:val="32"/>
          <w:szCs w:val="32"/>
          <w:highlight w:val="none"/>
        </w:rPr>
        <w:t>%。主要原因是2020年受疫情影响，减少了会议费、培训费、</w:t>
      </w:r>
      <w:r>
        <w:rPr>
          <w:rFonts w:hint="eastAsia" w:ascii="仿宋" w:hAnsi="仿宋" w:eastAsia="仿宋" w:cs="仿宋"/>
          <w:color w:val="auto"/>
          <w:sz w:val="32"/>
          <w:szCs w:val="32"/>
          <w:highlight w:val="none"/>
          <w:lang w:eastAsia="zh-CN"/>
        </w:rPr>
        <w:t>差旅</w:t>
      </w:r>
      <w:r>
        <w:rPr>
          <w:rFonts w:hint="eastAsia" w:ascii="仿宋" w:hAnsi="仿宋" w:eastAsia="仿宋" w:cs="仿宋"/>
          <w:color w:val="auto"/>
          <w:sz w:val="32"/>
          <w:szCs w:val="32"/>
          <w:highlight w:val="none"/>
        </w:rPr>
        <w:t>费等支出</w:t>
      </w:r>
      <w:r>
        <w:rPr>
          <w:rFonts w:hint="eastAsia" w:ascii="仿宋" w:hAnsi="仿宋" w:eastAsia="仿宋" w:cs="仿宋"/>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年，经济和信息化厅政府采购支出总额14012.85万元，其中：政府采购货物支出10364.42万元、政府采购工程支出522.5</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万元、政府采购服务支出3125.92万元。主要用于采购办公设备、专用设备、公务用车运行维护，其余主要为会议、培训、内部审计、办公用房租赁及物业管理等服务。授予中小企业合同金额4956.53万元，占政府采购支出总额的35.37%，其中：授予小微企业合同金额2312.9</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万元，占政府采购支出总额的16.50%。</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截至20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年12月31日，经济和信息化厅共有车辆</w:t>
      </w:r>
      <w:r>
        <w:rPr>
          <w:rFonts w:hint="eastAsia" w:ascii="仿宋" w:hAnsi="仿宋" w:eastAsia="仿宋" w:cs="仿宋"/>
          <w:color w:val="auto"/>
          <w:sz w:val="32"/>
          <w:szCs w:val="32"/>
          <w:highlight w:val="none"/>
          <w:lang w:val="en-US" w:eastAsia="zh-CN"/>
        </w:rPr>
        <w:t>112</w:t>
      </w:r>
      <w:r>
        <w:rPr>
          <w:rFonts w:hint="eastAsia" w:ascii="仿宋" w:hAnsi="仿宋" w:eastAsia="仿宋" w:cs="仿宋"/>
          <w:color w:val="auto"/>
          <w:sz w:val="32"/>
          <w:szCs w:val="32"/>
          <w:highlight w:val="none"/>
        </w:rPr>
        <w:t>辆，其中：主要领导干部用车</w:t>
      </w:r>
      <w:r>
        <w:rPr>
          <w:rFonts w:hint="eastAsia" w:ascii="仿宋" w:hAnsi="仿宋" w:eastAsia="仿宋" w:cs="仿宋"/>
          <w:color w:val="auto"/>
          <w:sz w:val="32"/>
          <w:szCs w:val="32"/>
          <w:highlight w:val="none"/>
          <w:lang w:val="en-US" w:eastAsia="zh-CN"/>
        </w:rPr>
        <w:t>1</w:t>
      </w:r>
      <w:r>
        <w:rPr>
          <w:rFonts w:hint="eastAsia" w:ascii="仿宋" w:hAnsi="仿宋" w:eastAsia="仿宋" w:cs="仿宋"/>
          <w:color w:val="auto"/>
          <w:sz w:val="32"/>
          <w:szCs w:val="32"/>
          <w:highlight w:val="none"/>
        </w:rPr>
        <w:t>辆、机要通信用车</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辆、应急保障用车</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辆、</w:t>
      </w:r>
      <w:r>
        <w:rPr>
          <w:rFonts w:hint="eastAsia" w:ascii="仿宋" w:hAnsi="仿宋" w:eastAsia="仿宋" w:cs="仿宋"/>
          <w:color w:val="auto"/>
          <w:sz w:val="32"/>
          <w:szCs w:val="32"/>
          <w:highlight w:val="none"/>
          <w:lang w:eastAsia="zh-CN"/>
        </w:rPr>
        <w:t>执法执勤用车</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辆</w:t>
      </w:r>
      <w:r>
        <w:rPr>
          <w:rFonts w:hint="eastAsia" w:ascii="仿宋" w:hAnsi="仿宋" w:eastAsia="仿宋" w:cs="仿宋"/>
          <w:color w:val="auto"/>
          <w:sz w:val="32"/>
          <w:szCs w:val="32"/>
          <w:highlight w:val="none"/>
          <w:lang w:eastAsia="zh-CN"/>
        </w:rPr>
        <w:t>、特种专业技术用车</w:t>
      </w: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辆</w:t>
      </w:r>
      <w:r>
        <w:rPr>
          <w:rFonts w:hint="eastAsia" w:ascii="仿宋" w:hAnsi="仿宋" w:eastAsia="仿宋" w:cs="仿宋"/>
          <w:color w:val="auto"/>
          <w:sz w:val="32"/>
          <w:szCs w:val="32"/>
          <w:highlight w:val="none"/>
          <w:lang w:eastAsia="zh-CN"/>
        </w:rPr>
        <w:t>、离退休干部用车</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其他用车</w:t>
      </w:r>
      <w:r>
        <w:rPr>
          <w:rFonts w:hint="eastAsia" w:ascii="仿宋" w:hAnsi="仿宋" w:eastAsia="仿宋" w:cs="仿宋"/>
          <w:color w:val="auto"/>
          <w:sz w:val="32"/>
          <w:szCs w:val="32"/>
          <w:highlight w:val="none"/>
          <w:lang w:val="en-US" w:eastAsia="zh-CN"/>
        </w:rPr>
        <w:t>60</w:t>
      </w:r>
      <w:r>
        <w:rPr>
          <w:rFonts w:hint="eastAsia" w:ascii="仿宋" w:hAnsi="仿宋" w:eastAsia="仿宋" w:cs="仿宋"/>
          <w:color w:val="auto"/>
          <w:sz w:val="32"/>
          <w:szCs w:val="32"/>
          <w:highlight w:val="none"/>
        </w:rPr>
        <w:t>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其他用车主要是用于</w:t>
      </w:r>
      <w:r>
        <w:rPr>
          <w:rFonts w:hint="eastAsia" w:ascii="仿宋" w:hAnsi="仿宋" w:eastAsia="仿宋" w:cs="仿宋"/>
          <w:color w:val="auto"/>
          <w:sz w:val="32"/>
          <w:szCs w:val="32"/>
          <w:highlight w:val="none"/>
          <w:lang w:eastAsia="zh-CN"/>
        </w:rPr>
        <w:t>离退休干部保障用车。</w:t>
      </w:r>
      <w:r>
        <w:rPr>
          <w:rFonts w:hint="eastAsia" w:ascii="仿宋" w:hAnsi="仿宋" w:eastAsia="仿宋" w:cs="仿宋"/>
          <w:color w:val="auto"/>
          <w:sz w:val="32"/>
          <w:szCs w:val="32"/>
          <w:highlight w:val="none"/>
        </w:rPr>
        <w:t>单价50万元以上通用设备</w:t>
      </w:r>
      <w:r>
        <w:rPr>
          <w:rFonts w:hint="eastAsia" w:ascii="仿宋" w:hAnsi="仿宋" w:eastAsia="仿宋" w:cs="仿宋"/>
          <w:color w:val="auto"/>
          <w:sz w:val="32"/>
          <w:szCs w:val="32"/>
          <w:highlight w:val="none"/>
          <w:lang w:val="en-US" w:eastAsia="zh-CN"/>
        </w:rPr>
        <w:t>62</w:t>
      </w:r>
      <w:r>
        <w:rPr>
          <w:rFonts w:hint="eastAsia" w:ascii="仿宋" w:hAnsi="仿宋" w:eastAsia="仿宋" w:cs="仿宋"/>
          <w:color w:val="auto"/>
          <w:sz w:val="32"/>
          <w:szCs w:val="32"/>
          <w:highlight w:val="none"/>
        </w:rPr>
        <w:t>台（套），单价100万元以上专用设备</w:t>
      </w:r>
      <w:r>
        <w:rPr>
          <w:rFonts w:hint="eastAsia" w:ascii="仿宋" w:hAnsi="仿宋" w:eastAsia="仿宋" w:cs="仿宋"/>
          <w:color w:val="auto"/>
          <w:sz w:val="32"/>
          <w:szCs w:val="32"/>
          <w:highlight w:val="none"/>
          <w:lang w:val="en-US" w:eastAsia="zh-CN"/>
        </w:rPr>
        <w:t>54</w:t>
      </w:r>
      <w:r>
        <w:rPr>
          <w:rFonts w:hint="eastAsia" w:ascii="仿宋" w:hAnsi="仿宋" w:eastAsia="仿宋" w:cs="仿宋"/>
          <w:color w:val="auto"/>
          <w:sz w:val="32"/>
          <w:szCs w:val="32"/>
          <w:highlight w:val="none"/>
        </w:rPr>
        <w:t>台（套）。</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根据预算绩效管理要求，本部门在</w:t>
      </w:r>
      <w:r>
        <w:rPr>
          <w:rFonts w:hint="eastAsia" w:ascii="仿宋" w:hAnsi="仿宋" w:eastAsia="仿宋" w:cs="仿宋"/>
          <w:color w:val="auto"/>
          <w:sz w:val="32"/>
          <w:szCs w:val="32"/>
          <w:highlight w:val="none"/>
          <w:lang w:val="en-US" w:eastAsia="zh-CN"/>
        </w:rPr>
        <w:t>2020年度</w:t>
      </w:r>
      <w:r>
        <w:rPr>
          <w:rFonts w:hint="eastAsia" w:ascii="仿宋" w:hAnsi="仿宋" w:eastAsia="仿宋" w:cs="仿宋"/>
          <w:color w:val="auto"/>
          <w:sz w:val="32"/>
          <w:szCs w:val="32"/>
          <w:highlight w:val="none"/>
        </w:rPr>
        <w:t>预算编制阶段，</w:t>
      </w:r>
      <w:r>
        <w:rPr>
          <w:rFonts w:hint="eastAsia" w:ascii="仿宋" w:hAnsi="仿宋" w:eastAsia="仿宋" w:cs="仿宋"/>
          <w:color w:val="auto"/>
          <w:sz w:val="32"/>
          <w:szCs w:val="32"/>
          <w:highlight w:val="none"/>
          <w:lang w:eastAsia="zh-CN"/>
        </w:rPr>
        <w:t>未</w:t>
      </w:r>
      <w:r>
        <w:rPr>
          <w:rFonts w:hint="eastAsia" w:ascii="仿宋" w:hAnsi="仿宋" w:eastAsia="仿宋" w:cs="仿宋"/>
          <w:color w:val="auto"/>
          <w:sz w:val="32"/>
          <w:szCs w:val="32"/>
          <w:highlight w:val="none"/>
        </w:rPr>
        <w:t>开展预算事前绩效评估，对</w:t>
      </w:r>
      <w:r>
        <w:rPr>
          <w:rFonts w:hint="eastAsia" w:ascii="仿宋" w:hAnsi="仿宋" w:eastAsia="仿宋" w:cs="仿宋"/>
          <w:color w:val="auto"/>
          <w:sz w:val="32"/>
          <w:szCs w:val="32"/>
          <w:highlight w:val="none"/>
          <w:lang w:val="en-US" w:eastAsia="zh-CN"/>
        </w:rPr>
        <w:t>35</w:t>
      </w:r>
      <w:r>
        <w:rPr>
          <w:rFonts w:hint="eastAsia" w:ascii="仿宋" w:hAnsi="仿宋" w:eastAsia="仿宋" w:cs="仿宋"/>
          <w:color w:val="auto"/>
          <w:sz w:val="32"/>
          <w:szCs w:val="32"/>
          <w:highlight w:val="none"/>
        </w:rPr>
        <w:t>个项目编制了绩效目标，预算执行过程中，选取</w:t>
      </w:r>
      <w:r>
        <w:rPr>
          <w:rFonts w:hint="eastAsia" w:ascii="仿宋" w:hAnsi="仿宋" w:eastAsia="仿宋" w:cs="仿宋"/>
          <w:color w:val="auto"/>
          <w:sz w:val="32"/>
          <w:szCs w:val="32"/>
          <w:highlight w:val="none"/>
          <w:lang w:val="en-US" w:eastAsia="zh-CN"/>
        </w:rPr>
        <w:t>23</w:t>
      </w:r>
      <w:r>
        <w:rPr>
          <w:rFonts w:hint="eastAsia" w:ascii="仿宋" w:hAnsi="仿宋" w:eastAsia="仿宋" w:cs="仿宋"/>
          <w:color w:val="auto"/>
          <w:sz w:val="32"/>
          <w:szCs w:val="32"/>
          <w:highlight w:val="none"/>
        </w:rPr>
        <w:t>个项目开展绩效监控，年终执行完毕后，对</w:t>
      </w:r>
      <w:r>
        <w:rPr>
          <w:rFonts w:hint="eastAsia" w:ascii="仿宋" w:hAnsi="仿宋" w:eastAsia="仿宋" w:cs="仿宋"/>
          <w:color w:val="auto"/>
          <w:sz w:val="32"/>
          <w:szCs w:val="32"/>
          <w:highlight w:val="none"/>
          <w:lang w:val="en-US" w:eastAsia="zh-CN"/>
        </w:rPr>
        <w:t>88</w:t>
      </w:r>
      <w:r>
        <w:rPr>
          <w:rFonts w:hint="eastAsia" w:ascii="仿宋" w:hAnsi="仿宋" w:eastAsia="仿宋" w:cs="仿宋"/>
          <w:color w:val="auto"/>
          <w:sz w:val="32"/>
          <w:szCs w:val="32"/>
          <w:highlight w:val="none"/>
        </w:rPr>
        <w:t>个项目</w:t>
      </w:r>
      <w:r>
        <w:rPr>
          <w:rFonts w:hint="eastAsia" w:ascii="仿宋" w:hAnsi="仿宋" w:eastAsia="仿宋" w:cs="仿宋"/>
          <w:color w:val="auto"/>
          <w:sz w:val="32"/>
          <w:szCs w:val="32"/>
          <w:highlight w:val="none"/>
          <w:lang w:eastAsia="zh-CN"/>
        </w:rPr>
        <w:t>（含上年结转、追加预算项目）</w:t>
      </w:r>
      <w:r>
        <w:rPr>
          <w:rFonts w:hint="eastAsia" w:ascii="仿宋" w:hAnsi="仿宋" w:eastAsia="仿宋" w:cs="仿宋"/>
          <w:color w:val="auto"/>
          <w:sz w:val="32"/>
          <w:szCs w:val="32"/>
          <w:highlight w:val="none"/>
        </w:rPr>
        <w:t>开展了绩效目标完成情况自评。</w:t>
      </w:r>
    </w:p>
    <w:p>
      <w:pPr>
        <w:widowControl/>
        <w:adjustRightInd w:val="0"/>
        <w:snapToGrid w:val="0"/>
        <w:spacing w:line="600" w:lineRule="exact"/>
        <w:ind w:firstLine="640" w:firstLineChars="200"/>
        <w:contextualSpacing/>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本部门按要求对20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年部门整体支出开展绩效自评，从评价情况来看</w:t>
      </w:r>
      <w:r>
        <w:rPr>
          <w:rFonts w:hint="eastAsia" w:ascii="仿宋" w:hAnsi="仿宋" w:eastAsia="仿宋" w:cs="仿宋"/>
          <w:color w:val="auto"/>
          <w:sz w:val="32"/>
          <w:szCs w:val="32"/>
          <w:highlight w:val="none"/>
          <w:lang w:eastAsia="zh-CN"/>
        </w:rPr>
        <w:t>，</w:t>
      </w:r>
      <w:r>
        <w:rPr>
          <w:rFonts w:hint="eastAsia" w:ascii="仿宋" w:hAnsi="仿宋" w:eastAsia="仿宋" w:cs="仿宋"/>
          <w:sz w:val="32"/>
          <w:szCs w:val="32"/>
        </w:rPr>
        <w:t>按照202</w:t>
      </w:r>
      <w:r>
        <w:rPr>
          <w:rFonts w:hint="eastAsia" w:ascii="仿宋" w:hAnsi="仿宋" w:eastAsia="仿宋" w:cs="仿宋"/>
          <w:sz w:val="32"/>
          <w:szCs w:val="32"/>
          <w:lang w:val="en-US" w:eastAsia="zh-CN"/>
        </w:rPr>
        <w:t>1</w:t>
      </w:r>
      <w:r>
        <w:rPr>
          <w:rFonts w:hint="eastAsia" w:ascii="仿宋" w:hAnsi="仿宋" w:eastAsia="仿宋" w:cs="仿宋"/>
          <w:sz w:val="32"/>
          <w:szCs w:val="32"/>
        </w:rPr>
        <w:t>年度省级部门整体预算绩效评价指标体系，我厅20</w:t>
      </w:r>
      <w:r>
        <w:rPr>
          <w:rFonts w:hint="eastAsia" w:ascii="仿宋" w:hAnsi="仿宋" w:eastAsia="仿宋" w:cs="仿宋"/>
          <w:sz w:val="32"/>
          <w:szCs w:val="32"/>
          <w:lang w:val="en-US" w:eastAsia="zh-CN"/>
        </w:rPr>
        <w:t>20</w:t>
      </w:r>
      <w:r>
        <w:rPr>
          <w:rFonts w:hint="eastAsia" w:ascii="仿宋" w:hAnsi="仿宋" w:eastAsia="仿宋" w:cs="仿宋"/>
          <w:sz w:val="32"/>
          <w:szCs w:val="32"/>
        </w:rPr>
        <w:t>年部门整体支出绩效自评</w:t>
      </w:r>
      <w:r>
        <w:rPr>
          <w:rFonts w:hint="eastAsia" w:ascii="仿宋" w:hAnsi="仿宋" w:eastAsia="仿宋" w:cs="仿宋"/>
          <w:sz w:val="32"/>
          <w:szCs w:val="32"/>
          <w:lang w:eastAsia="zh-CN"/>
        </w:rPr>
        <w:t>折算</w:t>
      </w:r>
      <w:r>
        <w:rPr>
          <w:rFonts w:hint="eastAsia" w:ascii="仿宋" w:hAnsi="仿宋" w:eastAsia="仿宋" w:cs="仿宋"/>
          <w:sz w:val="32"/>
          <w:szCs w:val="32"/>
        </w:rPr>
        <w:t>得分</w:t>
      </w:r>
      <w:r>
        <w:rPr>
          <w:rFonts w:hint="eastAsia" w:ascii="仿宋" w:hAnsi="仿宋" w:eastAsia="仿宋" w:cs="仿宋"/>
          <w:sz w:val="32"/>
          <w:szCs w:val="32"/>
          <w:lang w:val="en-US" w:eastAsia="zh-CN"/>
        </w:rPr>
        <w:t>88.02分</w:t>
      </w:r>
      <w:r>
        <w:rPr>
          <w:rFonts w:hint="eastAsia" w:ascii="仿宋" w:hAnsi="仿宋" w:eastAsia="仿宋" w:cs="仿宋"/>
          <w:sz w:val="32"/>
          <w:szCs w:val="32"/>
        </w:rPr>
        <w:t>（</w:t>
      </w:r>
      <w:r>
        <w:rPr>
          <w:rFonts w:hint="eastAsia" w:ascii="仿宋" w:hAnsi="仿宋" w:eastAsia="仿宋" w:cs="仿宋"/>
          <w:sz w:val="32"/>
          <w:szCs w:val="32"/>
          <w:lang w:eastAsia="zh-CN"/>
        </w:rPr>
        <w:t>不</w:t>
      </w:r>
      <w:r>
        <w:rPr>
          <w:rFonts w:hint="eastAsia" w:ascii="仿宋" w:hAnsi="仿宋" w:eastAsia="仿宋" w:cs="仿宋"/>
          <w:sz w:val="32"/>
          <w:szCs w:val="32"/>
        </w:rPr>
        <w:t>含专项预算管理自评得分</w:t>
      </w:r>
      <w:r>
        <w:rPr>
          <w:rFonts w:hint="eastAsia" w:ascii="仿宋" w:hAnsi="仿宋" w:eastAsia="仿宋" w:cs="仿宋"/>
          <w:sz w:val="32"/>
          <w:szCs w:val="32"/>
          <w:lang w:val="en-US" w:eastAsia="zh-CN"/>
        </w:rPr>
        <w:t>50分与自评质量得分10分，满分40分，自评得分35.21分，折算得分=35.21/40*100分=88.02分</w:t>
      </w:r>
      <w:r>
        <w:rPr>
          <w:rFonts w:hint="eastAsia" w:ascii="仿宋" w:hAnsi="仿宋" w:eastAsia="仿宋" w:cs="仿宋"/>
          <w:sz w:val="32"/>
          <w:szCs w:val="32"/>
        </w:rPr>
        <w:t>）</w:t>
      </w:r>
      <w:r>
        <w:rPr>
          <w:rFonts w:hint="eastAsia" w:ascii="仿宋" w:hAnsi="仿宋" w:eastAsia="仿宋" w:cs="仿宋"/>
          <w:color w:val="auto"/>
          <w:sz w:val="32"/>
          <w:szCs w:val="32"/>
          <w:highlight w:val="none"/>
        </w:rPr>
        <w:t>。本部门还自行组织了</w:t>
      </w: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个项目支出绩效评价，</w:t>
      </w:r>
      <w:r>
        <w:rPr>
          <w:rFonts w:hint="eastAsia" w:ascii="仿宋" w:hAnsi="仿宋" w:eastAsia="仿宋" w:cs="仿宋"/>
          <w:color w:val="auto"/>
          <w:sz w:val="32"/>
          <w:szCs w:val="32"/>
          <w:highlight w:val="none"/>
          <w:lang w:eastAsia="zh-CN"/>
        </w:rPr>
        <w:t>包括省级工业发展专项资金绩效自评、中小企业发展专项资金绩效自评、</w:t>
      </w:r>
      <w:r>
        <w:rPr>
          <w:rFonts w:hint="eastAsia" w:ascii="仿宋" w:hAnsi="仿宋" w:eastAsia="仿宋" w:cs="仿宋"/>
          <w:color w:val="auto"/>
          <w:sz w:val="32"/>
          <w:szCs w:val="32"/>
          <w:highlight w:val="none"/>
          <w:lang w:val="en-US" w:eastAsia="zh-CN"/>
        </w:rPr>
        <w:t>5个部门预算项目绩效自评。</w:t>
      </w:r>
      <w:r>
        <w:rPr>
          <w:rFonts w:hint="eastAsia" w:ascii="仿宋" w:hAnsi="仿宋" w:eastAsia="仿宋" w:cs="仿宋"/>
          <w:color w:val="auto"/>
          <w:sz w:val="32"/>
          <w:szCs w:val="32"/>
          <w:highlight w:val="none"/>
        </w:rPr>
        <w:t>从评价情况来看</w:t>
      </w:r>
      <w:r>
        <w:rPr>
          <w:rFonts w:hint="eastAsia" w:ascii="仿宋" w:hAnsi="仿宋" w:eastAsia="仿宋" w:cs="仿宋"/>
          <w:color w:val="auto"/>
          <w:sz w:val="32"/>
          <w:szCs w:val="32"/>
          <w:highlight w:val="none"/>
          <w:lang w:eastAsia="zh-CN"/>
        </w:rPr>
        <w:t>，项目支出基本达到了预订的绩效目标，较好的完成了项目设定的年度目标</w:t>
      </w:r>
      <w:r>
        <w:rPr>
          <w:rFonts w:hint="eastAsia" w:ascii="仿宋" w:hAnsi="仿宋" w:eastAsia="仿宋" w:cs="仿宋"/>
          <w:color w:val="auto"/>
          <w:sz w:val="32"/>
          <w:szCs w:val="32"/>
          <w:highlight w:val="none"/>
        </w:rPr>
        <w:t>。</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1.项目绩效目标完成情况。</w:t>
      </w:r>
      <w:r>
        <w:rPr>
          <w:rFonts w:hint="eastAsia" w:ascii="仿宋" w:hAnsi="仿宋" w:eastAsia="仿宋" w:cs="仿宋"/>
          <w:color w:val="auto"/>
          <w:sz w:val="32"/>
          <w:szCs w:val="32"/>
          <w:highlight w:val="none"/>
        </w:rPr>
        <w:br w:type="textWrapping"/>
      </w:r>
      <w:r>
        <w:rPr>
          <w:rFonts w:hint="eastAsia" w:ascii="仿宋" w:hAnsi="仿宋" w:eastAsia="仿宋" w:cs="仿宋"/>
          <w:color w:val="auto"/>
          <w:sz w:val="32"/>
          <w:szCs w:val="32"/>
          <w:highlight w:val="none"/>
        </w:rPr>
        <w:t xml:space="preserve">    本部门在20</w:t>
      </w:r>
      <w:r>
        <w:rPr>
          <w:rFonts w:hint="eastAsia" w:ascii="仿宋" w:hAnsi="仿宋" w:eastAsia="仿宋" w:cs="仿宋"/>
          <w:color w:val="auto"/>
          <w:sz w:val="32"/>
          <w:szCs w:val="32"/>
          <w:highlight w:val="none"/>
          <w:lang w:val="en-US" w:eastAsia="zh-CN"/>
        </w:rPr>
        <w:t>20</w:t>
      </w:r>
      <w:r>
        <w:rPr>
          <w:rFonts w:hint="eastAsia" w:ascii="仿宋" w:hAnsi="仿宋" w:eastAsia="仿宋" w:cs="仿宋"/>
          <w:color w:val="auto"/>
          <w:sz w:val="32"/>
          <w:szCs w:val="32"/>
          <w:highlight w:val="none"/>
        </w:rPr>
        <w:t>年度部门决算中反映“优质校及创新行动建设经费”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学生素质工程</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“校园安保及学生宿舍管理服务”</w:t>
      </w:r>
      <w:r>
        <w:rPr>
          <w:rFonts w:hint="eastAsia" w:ascii="仿宋" w:hAnsi="仿宋" w:eastAsia="仿宋" w:cs="仿宋"/>
          <w:color w:val="auto"/>
          <w:sz w:val="32"/>
          <w:szCs w:val="32"/>
          <w:highlight w:val="none"/>
          <w:lang w:eastAsia="zh-CN"/>
        </w:rPr>
        <w:t>“2020年学生资助补助经费（高等教育）”“优质高职建设教学实训设备”</w:t>
      </w:r>
      <w:r>
        <w:rPr>
          <w:rFonts w:hint="eastAsia" w:ascii="仿宋" w:hAnsi="仿宋" w:eastAsia="仿宋" w:cs="仿宋"/>
          <w:color w:val="auto"/>
          <w:sz w:val="32"/>
          <w:szCs w:val="32"/>
          <w:highlight w:val="none"/>
        </w:rPr>
        <w:t>等</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个项目绩效目标实际完成情况。</w:t>
      </w:r>
    </w:p>
    <w:p>
      <w:p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（1）2020年学生资助补助经费（高等教育）项目绩效目标完成情况综述。项目全年预算数</w:t>
      </w:r>
      <w:r>
        <w:rPr>
          <w:rFonts w:hint="eastAsia" w:ascii="仿宋" w:hAnsi="仿宋" w:eastAsia="仿宋" w:cs="仿宋"/>
          <w:color w:val="auto"/>
          <w:sz w:val="32"/>
          <w:szCs w:val="32"/>
          <w:highlight w:val="none"/>
          <w:lang w:val="en-US" w:eastAsia="zh-CN"/>
        </w:rPr>
        <w:t>1415</w:t>
      </w:r>
      <w:r>
        <w:rPr>
          <w:rFonts w:hint="eastAsia" w:ascii="仿宋" w:hAnsi="仿宋" w:eastAsia="仿宋" w:cs="仿宋"/>
          <w:color w:val="auto"/>
          <w:sz w:val="32"/>
          <w:szCs w:val="32"/>
          <w:highlight w:val="none"/>
        </w:rPr>
        <w:t>万元，执行数为</w:t>
      </w:r>
      <w:r>
        <w:rPr>
          <w:rFonts w:hint="eastAsia" w:ascii="仿宋" w:hAnsi="仿宋" w:eastAsia="仿宋" w:cs="仿宋"/>
          <w:color w:val="auto"/>
          <w:sz w:val="32"/>
          <w:szCs w:val="32"/>
          <w:highlight w:val="none"/>
          <w:lang w:val="en-US" w:eastAsia="zh-CN"/>
        </w:rPr>
        <w:t>1415</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通过项目实施，奖励品学兼优在校生、资助家庭经济困难学生，确保精准扶贫困难家庭学生都能受到资助，保证贫困学生在校能满足基本生活需要，安心学习、顺利完成学业；结合“三金评选”，在全校范围内开展各类感恩主题教育活动，通过学工网站、易班平台、展板，到班宣讲、主题汇报、写感谢信等形式，使学生铭记党恩、永远跟党走。培养学生的诚信意识、责任意识和感恩意识，使受奖助的4500余名学生完成学业后通过自身努力回报社会，实现以奖助学金全面激励品学兼优的家庭经济困难学生发奋学习，励志成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发现的主要问题：学校缺少一个对应的业务部门和专业技术人才来管理、负责绩效评价工作。项目绩效评价的工作由相关部门成立的临时组织负责，组织中的成员均</w:t>
      </w:r>
      <w:r>
        <w:rPr>
          <w:rFonts w:hint="eastAsia" w:ascii="仿宋" w:hAnsi="仿宋" w:eastAsia="仿宋" w:cs="仿宋"/>
          <w:color w:val="auto"/>
          <w:sz w:val="32"/>
          <w:szCs w:val="32"/>
          <w:highlight w:val="none"/>
          <w:lang w:eastAsia="zh-CN"/>
        </w:rPr>
        <w:t>未</w:t>
      </w:r>
      <w:r>
        <w:rPr>
          <w:rFonts w:hint="eastAsia" w:ascii="仿宋" w:hAnsi="仿宋" w:eastAsia="仿宋" w:cs="仿宋"/>
          <w:color w:val="auto"/>
          <w:sz w:val="32"/>
          <w:szCs w:val="32"/>
          <w:highlight w:val="none"/>
        </w:rPr>
        <w:t>经过专业的业务培训，导致在评价过程中，工作开展比较吃力，一定程度上影响绩效项目评价的过程和结果。下一步改进措施：学校层面要重视项目绩效评价工作，应成立相对稳定的项目绩效评价工作小组，工作小组成员要加强对项目绩效评价工作的认识，自觉学习相关知识和理论，提高业务水平</w:t>
      </w:r>
      <w:r>
        <w:rPr>
          <w:rFonts w:hint="eastAsia" w:ascii="仿宋" w:hAnsi="仿宋" w:eastAsia="仿宋" w:cs="仿宋"/>
          <w:color w:val="auto"/>
          <w:sz w:val="32"/>
          <w:szCs w:val="32"/>
          <w:highlight w:val="none"/>
          <w:lang w:eastAsia="zh-CN"/>
        </w:rPr>
        <w:t>。</w:t>
      </w:r>
    </w:p>
    <w:p>
      <w:pPr>
        <w:numPr>
          <w:ilvl w:val="0"/>
          <w:numId w:val="3"/>
        </w:numPr>
        <w:spacing w:line="580" w:lineRule="exact"/>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提质培优建设教学实训设备项目绩效目标完成情况综述。项目全年预算数</w:t>
      </w:r>
      <w:r>
        <w:rPr>
          <w:rFonts w:hint="eastAsia" w:ascii="仿宋" w:hAnsi="仿宋" w:eastAsia="仿宋" w:cs="仿宋"/>
          <w:color w:val="auto"/>
          <w:sz w:val="32"/>
          <w:szCs w:val="32"/>
          <w:highlight w:val="none"/>
          <w:lang w:val="en-US" w:eastAsia="zh-CN"/>
        </w:rPr>
        <w:t>612</w:t>
      </w:r>
      <w:r>
        <w:rPr>
          <w:rFonts w:hint="eastAsia" w:ascii="仿宋" w:hAnsi="仿宋" w:eastAsia="仿宋" w:cs="仿宋"/>
          <w:color w:val="auto"/>
          <w:sz w:val="32"/>
          <w:szCs w:val="32"/>
          <w:highlight w:val="none"/>
        </w:rPr>
        <w:t>万元，执行数为</w:t>
      </w:r>
      <w:r>
        <w:rPr>
          <w:rFonts w:hint="eastAsia" w:ascii="仿宋" w:hAnsi="仿宋" w:eastAsia="仿宋" w:cs="仿宋"/>
          <w:color w:val="auto"/>
          <w:sz w:val="32"/>
          <w:szCs w:val="32"/>
          <w:highlight w:val="none"/>
          <w:lang w:val="en-US" w:eastAsia="zh-CN"/>
        </w:rPr>
        <w:t>506.39</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82.74</w:t>
      </w:r>
      <w:r>
        <w:rPr>
          <w:rFonts w:hint="eastAsia" w:ascii="仿宋" w:hAnsi="仿宋" w:eastAsia="仿宋" w:cs="仿宋"/>
          <w:color w:val="auto"/>
          <w:sz w:val="32"/>
          <w:szCs w:val="32"/>
          <w:highlight w:val="none"/>
        </w:rPr>
        <w:t>%。通过项目实施，</w:t>
      </w:r>
      <w:r>
        <w:rPr>
          <w:rFonts w:hint="eastAsia" w:ascii="仿宋" w:hAnsi="仿宋" w:eastAsia="仿宋" w:cs="仿宋"/>
          <w:color w:val="auto"/>
          <w:sz w:val="32"/>
          <w:szCs w:val="32"/>
          <w:highlight w:val="none"/>
          <w:lang w:eastAsia="zh-CN"/>
        </w:rPr>
        <w:t>该校</w:t>
      </w:r>
      <w:r>
        <w:rPr>
          <w:rFonts w:hint="eastAsia" w:ascii="仿宋" w:hAnsi="仿宋" w:eastAsia="仿宋" w:cs="仿宋"/>
          <w:color w:val="auto"/>
          <w:sz w:val="32"/>
          <w:szCs w:val="32"/>
          <w:highlight w:val="none"/>
        </w:rPr>
        <w:t>按照产教深度融合、校企合作、工学交替的要求，通过资金投入改善办学条件，添置教学必须的实验实训设备，进一步更好的推进项目教学，案例教学，提高</w:t>
      </w:r>
      <w:r>
        <w:rPr>
          <w:rFonts w:hint="eastAsia" w:ascii="仿宋" w:hAnsi="仿宋" w:eastAsia="仿宋" w:cs="仿宋"/>
          <w:color w:val="auto"/>
          <w:sz w:val="32"/>
          <w:szCs w:val="32"/>
          <w:highlight w:val="none"/>
          <w:lang w:eastAsia="zh-CN"/>
        </w:rPr>
        <w:t>了</w:t>
      </w:r>
      <w:r>
        <w:rPr>
          <w:rFonts w:hint="eastAsia" w:ascii="仿宋" w:hAnsi="仿宋" w:eastAsia="仿宋" w:cs="仿宋"/>
          <w:color w:val="auto"/>
          <w:sz w:val="32"/>
          <w:szCs w:val="32"/>
          <w:highlight w:val="none"/>
        </w:rPr>
        <w:t>教学质量，强化学生专业培养</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发现的主要问题：预算执行不均衡，上半年预算执行很慢，下半年预算执行压力较大，预算执行进度不能达到财政厅的序时进度要求，特别是酒食系教学资源库采购项目，因采购程序多，建设周期长，预算执行滞后，未完成资金支付任务，出现资金结转使用现象。下一步改进措施：加强财务管理制度建设，强化内部控制监督体系。按时统计并通报预算执行进度，严格预算执行考核，督促各部门早计划，早安排，尤其是政府采购项目，要做好规划论证与参数编制，避免招标流标，提高预算执行均衡性与执行率。</w:t>
      </w:r>
    </w:p>
    <w:p>
      <w:pPr>
        <w:tabs>
          <w:tab w:val="left" w:pos="3885"/>
        </w:tabs>
        <w:snapToGrid w:val="0"/>
        <w:spacing w:line="560" w:lineRule="exact"/>
        <w:ind w:firstLine="64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（3）学生素质工程项目绩效目标完成情况综述。项目全年预算数</w:t>
      </w:r>
      <w:r>
        <w:rPr>
          <w:rFonts w:hint="eastAsia" w:ascii="仿宋" w:hAnsi="仿宋" w:eastAsia="仿宋" w:cs="仿宋"/>
          <w:color w:val="auto"/>
          <w:sz w:val="32"/>
          <w:szCs w:val="32"/>
          <w:highlight w:val="none"/>
          <w:lang w:val="en-US" w:eastAsia="zh-CN"/>
        </w:rPr>
        <w:t>322</w:t>
      </w:r>
      <w:r>
        <w:rPr>
          <w:rFonts w:hint="eastAsia" w:ascii="仿宋" w:hAnsi="仿宋" w:eastAsia="仿宋" w:cs="仿宋"/>
          <w:color w:val="auto"/>
          <w:sz w:val="32"/>
          <w:szCs w:val="32"/>
          <w:highlight w:val="none"/>
        </w:rPr>
        <w:t>万元，执行数为</w:t>
      </w:r>
      <w:r>
        <w:rPr>
          <w:rFonts w:hint="eastAsia" w:ascii="仿宋" w:hAnsi="仿宋" w:eastAsia="仿宋" w:cs="仿宋"/>
          <w:color w:val="auto"/>
          <w:sz w:val="32"/>
          <w:szCs w:val="32"/>
          <w:highlight w:val="none"/>
          <w:lang w:val="en-US" w:eastAsia="zh-CN"/>
        </w:rPr>
        <w:t>296.04</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91.93</w:t>
      </w:r>
      <w:r>
        <w:rPr>
          <w:rFonts w:hint="eastAsia" w:ascii="仿宋" w:hAnsi="仿宋" w:eastAsia="仿宋" w:cs="仿宋"/>
          <w:color w:val="auto"/>
          <w:sz w:val="32"/>
          <w:szCs w:val="32"/>
          <w:highlight w:val="none"/>
        </w:rPr>
        <w:t>%。通过项目实施，</w:t>
      </w:r>
      <w:r>
        <w:rPr>
          <w:rFonts w:hint="eastAsia" w:ascii="仿宋" w:hAnsi="仿宋" w:eastAsia="仿宋" w:cs="仿宋"/>
          <w:color w:val="auto"/>
          <w:sz w:val="32"/>
          <w:szCs w:val="32"/>
          <w:highlight w:val="none"/>
          <w:lang w:eastAsia="zh-CN"/>
        </w:rPr>
        <w:t>共</w:t>
      </w:r>
      <w:r>
        <w:rPr>
          <w:rFonts w:hint="eastAsia" w:ascii="仿宋" w:hAnsi="仿宋" w:eastAsia="仿宋" w:cs="仿宋"/>
          <w:color w:val="auto"/>
          <w:sz w:val="32"/>
          <w:szCs w:val="32"/>
          <w:highlight w:val="none"/>
        </w:rPr>
        <w:t>参加14项省市学生活动，获得省市级奖项263人次，学生活动按期完成率100%，控制学生活动物资采购成本98万元，学生综合素质以及就业单位对学生评价不断提高，学生满意度达到95%。发现的主要问题：部分学生活动受疫情反复影响，不能顺利开展，影响预算执行效果。二是学生素质工程中学生活动存在上半年少、下半年多的客观事实。下一步改进措施：一是合理规划学生活动，做到全年均衡开展,经费均衡使用。二是加强业务培训，指导学生素质工程部门负责人和具体经办人合理规划经费使用情况</w:t>
      </w:r>
      <w:r>
        <w:rPr>
          <w:rFonts w:hint="eastAsia" w:ascii="仿宋" w:hAnsi="仿宋" w:eastAsia="仿宋" w:cs="仿宋"/>
          <w:color w:val="auto"/>
          <w:sz w:val="32"/>
          <w:szCs w:val="32"/>
          <w:highlight w:val="none"/>
          <w:lang w:eastAsia="zh-CN"/>
        </w:rPr>
        <w:t>。</w:t>
      </w:r>
    </w:p>
    <w:p>
      <w:pPr>
        <w:tabs>
          <w:tab w:val="left" w:pos="3885"/>
        </w:tabs>
        <w:snapToGrid w:val="0"/>
        <w:spacing w:line="560" w:lineRule="exact"/>
        <w:ind w:firstLine="64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）安保和学生宿舍管理项目绩效目标完成情况综述。项目全年预算数</w:t>
      </w:r>
      <w:r>
        <w:rPr>
          <w:rFonts w:hint="eastAsia" w:ascii="仿宋" w:hAnsi="仿宋" w:eastAsia="仿宋" w:cs="仿宋"/>
          <w:color w:val="auto"/>
          <w:sz w:val="32"/>
          <w:szCs w:val="32"/>
          <w:highlight w:val="none"/>
          <w:lang w:val="en-US" w:eastAsia="zh-CN"/>
        </w:rPr>
        <w:t>120</w:t>
      </w:r>
      <w:r>
        <w:rPr>
          <w:rFonts w:hint="eastAsia" w:ascii="仿宋" w:hAnsi="仿宋" w:eastAsia="仿宋" w:cs="仿宋"/>
          <w:color w:val="auto"/>
          <w:sz w:val="32"/>
          <w:szCs w:val="32"/>
          <w:highlight w:val="none"/>
        </w:rPr>
        <w:t>万元，执行数为</w:t>
      </w:r>
      <w:r>
        <w:rPr>
          <w:rFonts w:hint="eastAsia" w:ascii="仿宋" w:hAnsi="仿宋" w:eastAsia="仿宋" w:cs="仿宋"/>
          <w:color w:val="auto"/>
          <w:sz w:val="32"/>
          <w:szCs w:val="32"/>
          <w:highlight w:val="none"/>
          <w:lang w:val="en-US" w:eastAsia="zh-CN"/>
        </w:rPr>
        <w:t>120</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100</w:t>
      </w:r>
      <w:r>
        <w:rPr>
          <w:rFonts w:hint="eastAsia" w:ascii="仿宋" w:hAnsi="仿宋" w:eastAsia="仿宋" w:cs="仿宋"/>
          <w:color w:val="auto"/>
          <w:sz w:val="32"/>
          <w:szCs w:val="32"/>
          <w:highlight w:val="none"/>
        </w:rPr>
        <w:t>%。通过项目实施，</w:t>
      </w:r>
      <w:r>
        <w:rPr>
          <w:rFonts w:hint="eastAsia" w:ascii="仿宋" w:hAnsi="仿宋" w:eastAsia="仿宋" w:cs="仿宋"/>
          <w:color w:val="auto"/>
          <w:sz w:val="32"/>
          <w:szCs w:val="32"/>
          <w:highlight w:val="none"/>
          <w:lang w:eastAsia="zh-CN"/>
        </w:rPr>
        <w:t>完成管理服务人员劳务外购，加强人防、物防、技防，落实安全教育任务，及时排查处置安全隐患，校园安全、师生教学生活秩序井然，开拓了技工院校管理的新途径，圆满完成项目目标</w:t>
      </w:r>
      <w:r>
        <w:rPr>
          <w:rFonts w:hint="eastAsia" w:ascii="仿宋" w:hAnsi="仿宋" w:eastAsia="仿宋" w:cs="仿宋"/>
          <w:color w:val="auto"/>
          <w:sz w:val="32"/>
          <w:szCs w:val="32"/>
          <w:highlight w:val="none"/>
        </w:rPr>
        <w:t>。发现的主要问题：1. 学生查寝数据统计时间较长，项目信息化管理有待加强。2.因学生较多，生活老师楼层分布，住宿条件有待改善。3.管理团队工作人员业务能力，沟通技巧有待加强。下一步改进措施：1.针对存在的问题：（1）以示范校建设为依托，加强信息化建设，增强管理服务智能化水平。（2）加快学府校区建设，切实解决生活老师住宿问题。（3）强化校企沟通，增加管理团队各类业务能力提升培训。2.针对该项目未来的发展：（1）继续深化校企合作，创新探索学生管理更多更高效的模式。（2）加强监管，不断考核总结学生管理外购服务的优缺点，扬长避短，使该项目产生的效用在同类学校中更具引领和先进性。</w:t>
      </w:r>
    </w:p>
    <w:p>
      <w:pPr>
        <w:tabs>
          <w:tab w:val="left" w:pos="3885"/>
        </w:tabs>
        <w:snapToGrid w:val="0"/>
        <w:spacing w:line="560" w:lineRule="exact"/>
        <w:ind w:firstLine="640"/>
        <w:jc w:val="left"/>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）优质校及创新行动建设经费项目绩效目标完成情况综述。项目全年预算数</w:t>
      </w:r>
      <w:r>
        <w:rPr>
          <w:rFonts w:hint="eastAsia" w:ascii="仿宋" w:hAnsi="仿宋" w:eastAsia="仿宋" w:cs="仿宋"/>
          <w:color w:val="auto"/>
          <w:sz w:val="32"/>
          <w:szCs w:val="32"/>
          <w:highlight w:val="none"/>
          <w:lang w:val="en-US" w:eastAsia="zh-CN"/>
        </w:rPr>
        <w:t>2220.04</w:t>
      </w:r>
      <w:r>
        <w:rPr>
          <w:rFonts w:hint="eastAsia" w:ascii="仿宋" w:hAnsi="仿宋" w:eastAsia="仿宋" w:cs="仿宋"/>
          <w:color w:val="auto"/>
          <w:sz w:val="32"/>
          <w:szCs w:val="32"/>
          <w:highlight w:val="none"/>
        </w:rPr>
        <w:t>万元，执行数为</w:t>
      </w:r>
      <w:r>
        <w:rPr>
          <w:rFonts w:hint="eastAsia" w:ascii="仿宋" w:hAnsi="仿宋" w:eastAsia="仿宋" w:cs="仿宋"/>
          <w:color w:val="auto"/>
          <w:sz w:val="32"/>
          <w:szCs w:val="32"/>
          <w:highlight w:val="none"/>
          <w:lang w:val="en-US" w:eastAsia="zh-CN"/>
        </w:rPr>
        <w:t>1921.81</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86.56</w:t>
      </w:r>
      <w:r>
        <w:rPr>
          <w:rFonts w:hint="eastAsia" w:ascii="仿宋" w:hAnsi="仿宋" w:eastAsia="仿宋" w:cs="仿宋"/>
          <w:color w:val="auto"/>
          <w:sz w:val="32"/>
          <w:szCs w:val="32"/>
          <w:highlight w:val="none"/>
        </w:rPr>
        <w:t>%。通过项目实施，</w:t>
      </w:r>
      <w:r>
        <w:rPr>
          <w:rFonts w:hint="eastAsia" w:ascii="仿宋" w:hAnsi="仿宋" w:eastAsia="仿宋" w:cs="仿宋"/>
          <w:color w:val="auto"/>
          <w:sz w:val="32"/>
          <w:szCs w:val="32"/>
          <w:highlight w:val="none"/>
          <w:lang w:eastAsia="zh-CN"/>
        </w:rPr>
        <w:t>一是深化了体制机制改革创新建设成效，加强了党的建设，完善了党委领导下院长负责制；以“一章八制”为统领，加强内部治理，推进现代大学制度建设；依据学院章程，成立学院理事会；修订《学术委员会章程》，健全学术管理体系；推进内部质量保证体系诊断与改进。二是深化人事改革，增强内部活力；成立党委教师工作部、教师发展中心；建立了高层次聘用人才工资动态增长机制，建立健全内部分配机制体制；完善了教学名师、教学创新团队、技能大师工作室、“双师型”教师等相关制度。三是高水平专业建设成效：几年时间共投入3000多万元，新(扩)建校内实训室20个，生均仪器设备值达1.335万元，校内生产性实训学时比例达55%，新建校外实训基地92个。完成7个生产性实训基地和1个虚拟仿真实训中心建设，联合企业完成项目(产品)8项，开发国家资源库课程2门；建成省级精品在线开放课程12门、创新创业示范课程6门，建设项目化课程67门、混合式教学课程50门，校企联合开发工学结合特色教材30多部。软件技术、通信技术和数控技术3个专业建成为国家级骨干专业；建成1个国家级、4个省级、7个院级生产性实训基地和1个省级虚拟仿真实训中心。获国家教学成果奖二等奖1项，省级教学成果奖3项，其中一等奖1项、三等奖2项；承办全省职业院校技能大赛8项；学生参加职业院校技能大赛共获奖75项，其中国家级一等奖1项、二等奖2项、三等奖4项，省级一等奖14项、二等奖24项、三等奖30项，综合成绩居省内前列。教师参加高职院校教学能力大赛获奖27项，其中国家三等奖1项，省级一等奖9项、二等奖9项、三等奖8项，专业综合实力显著增强。四是产教融合校企合作建设成效：新建5个企业学院，积极推进产教融合，2个专业开展国家级现代学徒制试点、5个专业开展省级试点，组建各类学徒制专班10个。合作企业达261家，2020年接受学生实习实训15329人月、接受学生就业1595人。与京东、联想等企业开展“订单式”人才培养，组建订单班20余个，培养学生800多人。联合企业积极推进1+X证书制度试点工作，申报获批29个证书试点。共建236个校外实训基地，兼职教师承担的专业课学时比例达50%左右，个别专业近70%的实训课程在校外实训基地完成。与企业联合开展产品项目研制，实现产值近8700万元；承接合作企业商业软件开发测试项目7项，产值60.86万元。校企联合开展社会培训总人数1100余人次，服务广元智慧城市建设，完成科研成果转化7项。五是高水平师资队伍建设成效：成立学院教师发展中心，搭建教师发展平台，建立教师培训研修基地17个，每年安排教师参加工程实践锻炼或国家培训，实现了专业教师五年一周期轮训，建设了一支理论与实践无缝对接的“双师型”教师队伍。引进国家千人计划入选者2人，建设院级教学创新团队4个，技能大师工作室7个，培养黄炎培职业教育杰出教师1人，省优秀教师1人，省劳模技能大师创新工作室1人，省委直接掌握高层次人才1人，教学名师6人，市级学术和技术带头人4人，广元市“蜀道英才”6人。六是技术创新与社会服务能力提升建设成效：建成物联网技术应用中心、消费者行为研究中心、AI应用技术研究中心等11个科研平台；组织社会考试服务考生33303人次，实现收益108.4万元。建成国家级高技能人才培训基地，开展技术培训92092人次，收入1151.7423万元。实现科技成果转化2项，经济效益300万元，为市委市政府提供重要价值调研报告或决策参考6篇。开展职教讲座14场，挂职互派13人次，专家咨询17人次；开展教师进修培训12期300人次，乡村旅游从业技能培训2期150余人次。举办“农民夜校”技能培训65期，开展种养殖技术培训25期，开展慰问活动20次，发放慰问金、慰问物资价值60.58万元，举办文化下乡文艺演出3场，组织致富带头人技术培训40次，培育培养致富带头人25人。七是国际合作与交流建设成效：设立“丝路”奖学金、优秀国际学生奖学金、国际交流专项奖学金，招收13个“一带一路”沿线国家216名学生，资助学生走出国门3批59人次；建设11门中英双语专业课程；组织赴德国开展“基于信息物理融合系统cps的智能制造技术”等3个专题培训，累计培训教师114人次；开展“中德高校合作培养酒店管理专业双元制大学生试点工程”，组建酒店管理国际班；新增国际合作伙伴12个，与泰国商会大学中国国际学院组建了“中泰丝路国际学院”。八是智慧校园建设成效：建设了诊改管理平台、校本数据平台、大数据分析平台，服务诊改；建设了一站式服务大厅，进行事务流程再造和跨部门协作；实现疫情防控信息化，完成信息化服务治理，适应新常态发展的智慧校园格局逐步形成。推进混合式教学改革和在线教学，建立网络教学和大数据两个平台，实施“二平台、二终端、三联动”在线教学模式。建成智慧教室35间，自建资源3295GB，现有资源总数达342693个。构建了“12335”信息化建设模式，成效逐步显现，学院被评为四川省信息化人才培训基地、四川省信息网络安全专业技术人员继续教育机构、国家高技能人才培训基地、全国职业院校数字校园建设实验校。九是创新创业教育深化改革建设成效：成立了创新创业学院，依托“引培孵助”四级递进创新创业人才培养体系架构了“专创五融合”双创培养模式，建立了“立体化”创新创业指导服务体系，不断丰富“六位一体”创新创业实践平台。建成3门省级创新创业示范课程，新拓展创新创业实践基地6个，搭建项目加速平台6个，孵化学生创业企业20家，建成省级示范大学生创新创业俱乐部，获得省教育厅大学生创新创业训练计划项目立项300项，人社部门创业补助45项。双创实践获得“教育部高校思政工作实践育人精品项目”称号，获省级创新创业教学改革项目立项9项，省教育体制机制改革试点项目立项1项。学生获“互联网+”大学生创新创业大赛国家级银奖1项，成为全省获此殊荣的三所高职院校之一；获省级金奖2项、银奖6项、铜奖15项。</w:t>
      </w:r>
      <w:r>
        <w:rPr>
          <w:rFonts w:hint="eastAsia" w:ascii="仿宋" w:hAnsi="仿宋" w:eastAsia="仿宋" w:cs="仿宋"/>
          <w:color w:val="auto"/>
          <w:sz w:val="32"/>
          <w:szCs w:val="32"/>
          <w:highlight w:val="none"/>
        </w:rPr>
        <w:t>。下一步改进措施：一是合理规划学生活动，做到全年均衡开展,经费均衡使用。二是加强业务培训，指导学生素质工程部门负责人和具体经办人合理规划经费使用情况</w:t>
      </w:r>
      <w:r>
        <w:rPr>
          <w:rFonts w:hint="eastAsia" w:ascii="仿宋" w:hAnsi="仿宋" w:eastAsia="仿宋" w:cs="仿宋"/>
          <w:color w:val="auto"/>
          <w:sz w:val="32"/>
          <w:szCs w:val="32"/>
          <w:highlight w:val="none"/>
          <w:lang w:eastAsia="zh-CN"/>
        </w:rPr>
        <w:t>。</w:t>
      </w:r>
    </w:p>
    <w:p>
      <w:pPr>
        <w:pStyle w:val="6"/>
        <w:ind w:firstLine="640"/>
        <w:rPr>
          <w:rFonts w:hint="eastAsia"/>
        </w:rPr>
      </w:pP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rPr>
          <w:rFonts w:ascii="仿宋_GB2312" w:hAnsi="仿宋_GB2312" w:eastAsia="仿宋_GB2312" w:cs="仿宋_GB2312"/>
          <w:color w:val="auto"/>
          <w:sz w:val="32"/>
          <w:szCs w:val="32"/>
          <w:highlight w:val="none"/>
        </w:rPr>
      </w:pPr>
    </w:p>
    <w:p>
      <w:pPr>
        <w:spacing w:line="580" w:lineRule="exact"/>
        <w:ind w:firstLine="640" w:firstLineChars="200"/>
        <w:rPr>
          <w:rFonts w:ascii="仿宋_GB2312" w:hAnsi="仿宋_GB2312" w:eastAsia="仿宋_GB2312" w:cs="仿宋_GB2312"/>
          <w:color w:val="auto"/>
          <w:sz w:val="32"/>
          <w:szCs w:val="32"/>
          <w:highlight w:val="none"/>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00"/>
        <w:gridCol w:w="688"/>
        <w:gridCol w:w="1165"/>
        <w:gridCol w:w="1189"/>
        <w:gridCol w:w="1258"/>
        <w:gridCol w:w="1562"/>
        <w:gridCol w:w="3498"/>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36"/>
                <w:szCs w:val="36"/>
                <w:highlight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CellMar>
            <w:top w:w="0" w:type="dxa"/>
            <w:left w:w="0" w:type="dxa"/>
            <w:bottom w:w="0" w:type="dxa"/>
            <w:right w:w="0" w:type="dxa"/>
          </w:tblCellMar>
        </w:tblPrEx>
        <w:trPr>
          <w:trHeight w:val="276" w:hRule="atLeast"/>
          <w:jc w:val="center"/>
        </w:trPr>
        <w:tc>
          <w:tcPr>
            <w:tcW w:w="99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2020   年度）</w:t>
            </w:r>
          </w:p>
        </w:tc>
      </w:tr>
      <w:tr>
        <w:tblPrEx>
          <w:tblCellMar>
            <w:top w:w="0" w:type="dxa"/>
            <w:left w:w="0" w:type="dxa"/>
            <w:bottom w:w="0" w:type="dxa"/>
            <w:right w:w="0" w:type="dxa"/>
          </w:tblCellMar>
        </w:tblPrEx>
        <w:trPr>
          <w:trHeight w:val="276"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r>
      <w:tr>
        <w:tblPrEx>
          <w:tblCellMar>
            <w:top w:w="0" w:type="dxa"/>
            <w:left w:w="0" w:type="dxa"/>
            <w:bottom w:w="0" w:type="dxa"/>
            <w:right w:w="0" w:type="dxa"/>
          </w:tblCellMar>
        </w:tblPrEx>
        <w:trPr>
          <w:trHeight w:val="276" w:hRule="atLeast"/>
          <w:jc w:val="center"/>
        </w:trPr>
        <w:tc>
          <w:tcPr>
            <w:tcW w:w="12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项目名称</w:t>
            </w:r>
          </w:p>
        </w:tc>
        <w:tc>
          <w:tcPr>
            <w:tcW w:w="86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校园安保及学生宿舍管理服务</w:t>
            </w:r>
          </w:p>
        </w:tc>
      </w:tr>
      <w:tr>
        <w:tblPrEx>
          <w:tblCellMar>
            <w:top w:w="0" w:type="dxa"/>
            <w:left w:w="0" w:type="dxa"/>
            <w:bottom w:w="0" w:type="dxa"/>
            <w:right w:w="0" w:type="dxa"/>
          </w:tblCellMar>
        </w:tblPrEx>
        <w:trPr>
          <w:trHeight w:val="276" w:hRule="atLeast"/>
          <w:jc w:val="center"/>
        </w:trPr>
        <w:tc>
          <w:tcPr>
            <w:tcW w:w="12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主管部门及代码</w:t>
            </w:r>
          </w:p>
        </w:tc>
        <w:tc>
          <w:tcPr>
            <w:tcW w:w="36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四川省经济和信息化厅</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实施单位</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四川理工技师学院</w:t>
            </w:r>
          </w:p>
        </w:tc>
      </w:tr>
      <w:tr>
        <w:tblPrEx>
          <w:tblCellMar>
            <w:top w:w="0" w:type="dxa"/>
            <w:left w:w="0" w:type="dxa"/>
            <w:bottom w:w="0" w:type="dxa"/>
            <w:right w:w="0" w:type="dxa"/>
          </w:tblCellMar>
        </w:tblPrEx>
        <w:trPr>
          <w:trHeight w:val="1511" w:hRule="atLeast"/>
          <w:jc w:val="center"/>
        </w:trPr>
        <w:tc>
          <w:tcPr>
            <w:tcW w:w="128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项目预算</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执行情况</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（万元）</w:t>
            </w: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预算数：</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120.0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执行数：</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276" w:hRule="atLeast"/>
          <w:jc w:val="center"/>
        </w:trPr>
        <w:tc>
          <w:tcPr>
            <w:tcW w:w="12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default" w:ascii="Arial" w:hAnsi="Arial" w:eastAsia="宋体" w:cs="Arial"/>
                <w:i w:val="0"/>
                <w:color w:val="000000"/>
                <w:kern w:val="0"/>
                <w:sz w:val="24"/>
                <w:szCs w:val="24"/>
                <w:u w:val="none"/>
                <w:lang w:val="en-US" w:eastAsia="zh-CN" w:bidi="ar"/>
              </w:rPr>
              <w:t>120.0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1159" w:hRule="atLeast"/>
          <w:jc w:val="center"/>
        </w:trPr>
        <w:tc>
          <w:tcPr>
            <w:tcW w:w="12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w:t>
            </w:r>
            <w:r>
              <w:rPr>
                <w:rStyle w:val="31"/>
                <w:lang w:val="en-US" w:eastAsia="zh-CN" w:bidi="ar"/>
              </w:rPr>
              <w:t xml:space="preserve">       其他资金</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default" w:ascii="Arial" w:hAnsi="Arial" w:eastAsia="宋体" w:cs="Arial"/>
                <w:i w:val="0"/>
                <w:color w:val="000000"/>
                <w:kern w:val="0"/>
                <w:sz w:val="24"/>
                <w:szCs w:val="24"/>
                <w:u w:val="none"/>
                <w:lang w:val="en-US" w:eastAsia="zh-CN" w:bidi="ar"/>
              </w:rPr>
              <w:t>0.0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w:t>
            </w:r>
            <w:r>
              <w:rPr>
                <w:rStyle w:val="31"/>
                <w:lang w:val="en-US" w:eastAsia="zh-CN" w:bidi="ar"/>
              </w:rPr>
              <w:t xml:space="preserve"> 其他资金</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1042" w:hRule="atLeast"/>
          <w:jc w:val="center"/>
        </w:trPr>
        <w:tc>
          <w:tcPr>
            <w:tcW w:w="6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年</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度</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总</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体</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目</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标</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完</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成</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情</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况</w:t>
            </w:r>
          </w:p>
        </w:tc>
        <w:tc>
          <w:tcPr>
            <w:tcW w:w="43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预期目标</w:t>
            </w:r>
          </w:p>
        </w:tc>
        <w:tc>
          <w:tcPr>
            <w:tcW w:w="50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目标实际完成情况</w:t>
            </w:r>
          </w:p>
        </w:tc>
      </w:tr>
      <w:tr>
        <w:tblPrEx>
          <w:tblCellMar>
            <w:top w:w="0" w:type="dxa"/>
            <w:left w:w="0" w:type="dxa"/>
            <w:bottom w:w="0" w:type="dxa"/>
            <w:right w:w="0" w:type="dxa"/>
          </w:tblCellMar>
        </w:tblPrEx>
        <w:trPr>
          <w:trHeight w:val="953" w:hRule="atLeast"/>
          <w:jc w:val="center"/>
        </w:trPr>
        <w:tc>
          <w:tcPr>
            <w:tcW w:w="60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3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为了全校师生员工能够正常地工作、学习，保证校园的安定祥和.</w:t>
            </w:r>
          </w:p>
        </w:tc>
        <w:tc>
          <w:tcPr>
            <w:tcW w:w="50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为了全校师生员工能够正常地工作、学习，保证校园的安定祥和.</w:t>
            </w:r>
          </w:p>
        </w:tc>
      </w:tr>
      <w:tr>
        <w:tblPrEx>
          <w:tblCellMar>
            <w:top w:w="0" w:type="dxa"/>
            <w:left w:w="0" w:type="dxa"/>
            <w:bottom w:w="0" w:type="dxa"/>
            <w:right w:w="0" w:type="dxa"/>
          </w:tblCellMar>
        </w:tblPrEx>
        <w:trPr>
          <w:trHeight w:val="1297" w:hRule="atLeast"/>
          <w:jc w:val="center"/>
        </w:trPr>
        <w:tc>
          <w:tcPr>
            <w:tcW w:w="600"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年度绩效指标完成情况</w:t>
            </w: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一级指标</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二级指标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三级指标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预期指标值</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实际完成指标值</w:t>
            </w:r>
          </w:p>
        </w:tc>
      </w:tr>
      <w:tr>
        <w:tblPrEx>
          <w:tblCellMar>
            <w:top w:w="0" w:type="dxa"/>
            <w:left w:w="0" w:type="dxa"/>
            <w:bottom w:w="0" w:type="dxa"/>
            <w:right w:w="0" w:type="dxa"/>
          </w:tblCellMar>
        </w:tblPrEx>
        <w:trPr>
          <w:trHeight w:val="1042" w:hRule="atLeast"/>
          <w:jc w:val="center"/>
        </w:trPr>
        <w:tc>
          <w:tcPr>
            <w:tcW w:w="60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完</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数量指标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外购管理服务人员劳务</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27人的管理人员</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30</w:t>
            </w:r>
            <w:r>
              <w:rPr>
                <w:rStyle w:val="32"/>
                <w:lang w:val="en-US" w:eastAsia="zh-CN" w:bidi="ar"/>
              </w:rPr>
              <w:t>人</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kern w:val="0"/>
                <w:sz w:val="24"/>
                <w:highlight w:val="none"/>
                <w:lang w:bidi="ar"/>
              </w:rPr>
            </w:pPr>
          </w:p>
        </w:tc>
        <w:tc>
          <w:tcPr>
            <w:tcW w:w="1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质量指标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安全教育工作落实普及率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约90%</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98%</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安全事件及时处置率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约90%</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时效指标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成本指标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r>
      <w:tr>
        <w:tblPrEx>
          <w:tblCellMar>
            <w:top w:w="0" w:type="dxa"/>
            <w:left w:w="0" w:type="dxa"/>
            <w:bottom w:w="0" w:type="dxa"/>
            <w:right w:w="0" w:type="dxa"/>
          </w:tblCellMar>
        </w:tblPrEx>
        <w:trPr>
          <w:trHeight w:val="1297"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效</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益</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经济效益指标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每年节约学生伤害处理费用</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2万元</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无伤害费用</w:t>
            </w:r>
          </w:p>
        </w:tc>
      </w:tr>
      <w:tr>
        <w:tblPrEx>
          <w:tblCellMar>
            <w:top w:w="0" w:type="dxa"/>
            <w:left w:w="0" w:type="dxa"/>
            <w:bottom w:w="0" w:type="dxa"/>
            <w:right w:w="0" w:type="dxa"/>
          </w:tblCellMar>
        </w:tblPrEx>
        <w:trPr>
          <w:trHeight w:val="1297"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kern w:val="0"/>
                <w:sz w:val="24"/>
                <w:highlight w:val="none"/>
                <w:lang w:bidi="ar"/>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社会效益指标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在同类型学校中形成示范效果</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良好</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良好</w:t>
            </w:r>
          </w:p>
        </w:tc>
      </w:tr>
      <w:tr>
        <w:tblPrEx>
          <w:tblCellMar>
            <w:top w:w="0" w:type="dxa"/>
            <w:left w:w="0" w:type="dxa"/>
            <w:bottom w:w="0" w:type="dxa"/>
            <w:right w:w="0" w:type="dxa"/>
          </w:tblCellMar>
        </w:tblPrEx>
        <w:trPr>
          <w:trHeight w:val="1050" w:hRule="atLeast"/>
          <w:jc w:val="center"/>
        </w:trPr>
        <w:tc>
          <w:tcPr>
            <w:tcW w:w="600" w:type="dxa"/>
            <w:tcBorders>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生态效益指标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管理团队环保工作</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良好</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良好</w:t>
            </w:r>
          </w:p>
        </w:tc>
      </w:tr>
    </w:tbl>
    <w:p>
      <w:pPr>
        <w:pStyle w:val="6"/>
        <w:rPr>
          <w:rFonts w:ascii="仿宋_GB2312" w:hAnsi="仿宋_GB2312" w:eastAsia="仿宋_GB2312" w:cs="仿宋_GB2312"/>
          <w:color w:val="auto"/>
          <w:sz w:val="32"/>
          <w:szCs w:val="32"/>
          <w:highlight w:val="none"/>
        </w:rPr>
      </w:pPr>
    </w:p>
    <w:tbl>
      <w:tblPr>
        <w:tblStyle w:val="12"/>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600"/>
        <w:gridCol w:w="688"/>
        <w:gridCol w:w="1165"/>
        <w:gridCol w:w="1189"/>
        <w:gridCol w:w="1258"/>
        <w:gridCol w:w="1562"/>
        <w:gridCol w:w="3498"/>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36"/>
                <w:szCs w:val="36"/>
                <w:highlight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CellMar>
            <w:top w:w="0" w:type="dxa"/>
            <w:left w:w="0" w:type="dxa"/>
            <w:bottom w:w="0" w:type="dxa"/>
            <w:right w:w="0" w:type="dxa"/>
          </w:tblCellMar>
        </w:tblPrEx>
        <w:trPr>
          <w:trHeight w:val="276" w:hRule="atLeast"/>
          <w:jc w:val="center"/>
        </w:trPr>
        <w:tc>
          <w:tcPr>
            <w:tcW w:w="99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2020   年度）</w:t>
            </w:r>
          </w:p>
        </w:tc>
      </w:tr>
      <w:tr>
        <w:tblPrEx>
          <w:tblCellMar>
            <w:top w:w="0" w:type="dxa"/>
            <w:left w:w="0" w:type="dxa"/>
            <w:bottom w:w="0" w:type="dxa"/>
            <w:right w:w="0" w:type="dxa"/>
          </w:tblCellMar>
        </w:tblPrEx>
        <w:trPr>
          <w:trHeight w:val="276"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r>
      <w:tr>
        <w:tblPrEx>
          <w:tblCellMar>
            <w:top w:w="0" w:type="dxa"/>
            <w:left w:w="0" w:type="dxa"/>
            <w:bottom w:w="0" w:type="dxa"/>
            <w:right w:w="0" w:type="dxa"/>
          </w:tblCellMar>
        </w:tblPrEx>
        <w:trPr>
          <w:trHeight w:val="276" w:hRule="atLeast"/>
          <w:jc w:val="center"/>
        </w:trPr>
        <w:tc>
          <w:tcPr>
            <w:tcW w:w="12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项目名称</w:t>
            </w:r>
          </w:p>
        </w:tc>
        <w:tc>
          <w:tcPr>
            <w:tcW w:w="86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学生素质工程</w:t>
            </w:r>
          </w:p>
        </w:tc>
      </w:tr>
      <w:tr>
        <w:tblPrEx>
          <w:tblCellMar>
            <w:top w:w="0" w:type="dxa"/>
            <w:left w:w="0" w:type="dxa"/>
            <w:bottom w:w="0" w:type="dxa"/>
            <w:right w:w="0" w:type="dxa"/>
          </w:tblCellMar>
        </w:tblPrEx>
        <w:trPr>
          <w:trHeight w:val="276" w:hRule="atLeast"/>
          <w:jc w:val="center"/>
        </w:trPr>
        <w:tc>
          <w:tcPr>
            <w:tcW w:w="12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主管部门及代码</w:t>
            </w:r>
          </w:p>
        </w:tc>
        <w:tc>
          <w:tcPr>
            <w:tcW w:w="36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四川省经济和信息化厅</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实施单位</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四川化工职业技术学院</w:t>
            </w:r>
          </w:p>
        </w:tc>
      </w:tr>
      <w:tr>
        <w:tblPrEx>
          <w:tblCellMar>
            <w:top w:w="0" w:type="dxa"/>
            <w:left w:w="0" w:type="dxa"/>
            <w:bottom w:w="0" w:type="dxa"/>
            <w:right w:w="0" w:type="dxa"/>
          </w:tblCellMar>
        </w:tblPrEx>
        <w:trPr>
          <w:trHeight w:val="1511" w:hRule="atLeast"/>
          <w:jc w:val="center"/>
        </w:trPr>
        <w:tc>
          <w:tcPr>
            <w:tcW w:w="128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项目预算</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执行情况</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（万元）</w:t>
            </w: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预算数：</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322.0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执行数：</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296.04</w:t>
            </w:r>
          </w:p>
        </w:tc>
      </w:tr>
      <w:tr>
        <w:tblPrEx>
          <w:tblCellMar>
            <w:top w:w="0" w:type="dxa"/>
            <w:left w:w="0" w:type="dxa"/>
            <w:bottom w:w="0" w:type="dxa"/>
            <w:right w:w="0" w:type="dxa"/>
          </w:tblCellMar>
        </w:tblPrEx>
        <w:trPr>
          <w:trHeight w:val="276" w:hRule="atLeast"/>
          <w:jc w:val="center"/>
        </w:trPr>
        <w:tc>
          <w:tcPr>
            <w:tcW w:w="12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default" w:ascii="Arial" w:hAnsi="Arial" w:eastAsia="宋体" w:cs="Arial"/>
                <w:i w:val="0"/>
                <w:color w:val="000000"/>
                <w:kern w:val="0"/>
                <w:sz w:val="24"/>
                <w:szCs w:val="24"/>
                <w:u w:val="none"/>
                <w:lang w:val="en-US" w:eastAsia="zh-CN" w:bidi="ar"/>
              </w:rPr>
              <w:t>302.0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4"/>
                <w:szCs w:val="24"/>
                <w:u w:val="none"/>
                <w:lang w:val="en-US" w:eastAsia="zh-CN" w:bidi="ar"/>
              </w:rPr>
              <w:t>296.04</w:t>
            </w:r>
          </w:p>
        </w:tc>
      </w:tr>
      <w:tr>
        <w:tblPrEx>
          <w:tblCellMar>
            <w:top w:w="0" w:type="dxa"/>
            <w:left w:w="0" w:type="dxa"/>
            <w:bottom w:w="0" w:type="dxa"/>
            <w:right w:w="0" w:type="dxa"/>
          </w:tblCellMar>
        </w:tblPrEx>
        <w:trPr>
          <w:trHeight w:val="1159" w:hRule="atLeast"/>
          <w:jc w:val="center"/>
        </w:trPr>
        <w:tc>
          <w:tcPr>
            <w:tcW w:w="12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default" w:ascii="Arial" w:hAnsi="Arial" w:eastAsia="宋体" w:cs="Arial"/>
                <w:i w:val="0"/>
                <w:color w:val="000000"/>
                <w:kern w:val="0"/>
                <w:sz w:val="24"/>
                <w:szCs w:val="24"/>
                <w:u w:val="none"/>
                <w:lang w:val="en-US" w:eastAsia="zh-CN" w:bidi="ar"/>
              </w:rPr>
              <w:t>20.0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1042" w:hRule="atLeast"/>
          <w:jc w:val="center"/>
        </w:trPr>
        <w:tc>
          <w:tcPr>
            <w:tcW w:w="6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年</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度</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总</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体</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目</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标</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完</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成</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情</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况</w:t>
            </w:r>
          </w:p>
        </w:tc>
        <w:tc>
          <w:tcPr>
            <w:tcW w:w="43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预期目标</w:t>
            </w:r>
          </w:p>
        </w:tc>
        <w:tc>
          <w:tcPr>
            <w:tcW w:w="50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目标实际完成情况</w:t>
            </w:r>
          </w:p>
        </w:tc>
      </w:tr>
      <w:tr>
        <w:tblPrEx>
          <w:tblCellMar>
            <w:top w:w="0" w:type="dxa"/>
            <w:left w:w="0" w:type="dxa"/>
            <w:bottom w:w="0" w:type="dxa"/>
            <w:right w:w="0" w:type="dxa"/>
          </w:tblCellMar>
        </w:tblPrEx>
        <w:trPr>
          <w:trHeight w:val="953" w:hRule="atLeast"/>
          <w:jc w:val="center"/>
        </w:trPr>
        <w:tc>
          <w:tcPr>
            <w:tcW w:w="60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3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全院学生活动经费包括学生思想素质工程、心理素质工程、身体健康工程、生活服务工程、社会实践工程、社团活动建设工程、青年学生思想引领工程等项目建设。</w:t>
            </w:r>
          </w:p>
        </w:tc>
        <w:tc>
          <w:tcPr>
            <w:tcW w:w="50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持续开展网络思政教育，在2020年度四川省易班共建高校评选活动中。我校再次荣获四川省优秀易班共建高校、优秀易班共建案例、优秀易班工作站，持续开展“双创”育人工作。2020年，学生参加团中央、教育部举办的第十二届“挑战杯”中国大学生创业计划竞赛获得铜奖1项；参加四川省2020年“挑战杯”大学生创业计划竞赛获得金奖1项、铜奖4项；参加四川省第六届“互联网+”大学生创新创业大赛获得银奖1项、铜奖3项；持续开展暑期社会实践，我校2个团队在2020年全国大中专学生志愿者暑期“三下乡”社会实践活动中被评选为全国优秀团队。</w:t>
            </w:r>
          </w:p>
        </w:tc>
      </w:tr>
      <w:tr>
        <w:tblPrEx>
          <w:tblCellMar>
            <w:top w:w="0" w:type="dxa"/>
            <w:left w:w="0" w:type="dxa"/>
            <w:bottom w:w="0" w:type="dxa"/>
            <w:right w:w="0" w:type="dxa"/>
          </w:tblCellMar>
        </w:tblPrEx>
        <w:trPr>
          <w:trHeight w:val="1297" w:hRule="atLeast"/>
          <w:jc w:val="center"/>
        </w:trPr>
        <w:tc>
          <w:tcPr>
            <w:tcW w:w="600"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年度绩效指标完成情况</w:t>
            </w: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一级指标</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二级指标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三级指标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预期指标值</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实际完成指标值</w:t>
            </w:r>
          </w:p>
        </w:tc>
      </w:tr>
      <w:tr>
        <w:tblPrEx>
          <w:tblCellMar>
            <w:top w:w="0" w:type="dxa"/>
            <w:left w:w="0" w:type="dxa"/>
            <w:bottom w:w="0" w:type="dxa"/>
            <w:right w:w="0" w:type="dxa"/>
          </w:tblCellMar>
        </w:tblPrEx>
        <w:trPr>
          <w:trHeight w:val="1042" w:hRule="atLeast"/>
          <w:jc w:val="center"/>
        </w:trPr>
        <w:tc>
          <w:tcPr>
            <w:tcW w:w="60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完</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数量指标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参加省市学生活动</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≥10项</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14项</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kern w:val="0"/>
                <w:sz w:val="24"/>
                <w:highlight w:val="none"/>
                <w:lang w:bidi="ar"/>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质量指标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学生活动获省市级奖项</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≥100人次</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263人次</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时效指标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学生活动按期完成率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100%</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成本指标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学生活动物资采购成本</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≤120万元</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98万元</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效</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益</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经济效益指标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r>
      <w:tr>
        <w:tblPrEx>
          <w:tblCellMar>
            <w:top w:w="0" w:type="dxa"/>
            <w:left w:w="0" w:type="dxa"/>
            <w:bottom w:w="0" w:type="dxa"/>
            <w:right w:w="0" w:type="dxa"/>
          </w:tblCellMar>
        </w:tblPrEx>
        <w:trPr>
          <w:trHeight w:val="1297"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社会效益指标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就业单位对学生综合素质的评价</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不断提高</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不断提高</w:t>
            </w:r>
          </w:p>
        </w:tc>
      </w:tr>
      <w:tr>
        <w:tblPrEx>
          <w:tblCellMar>
            <w:top w:w="0" w:type="dxa"/>
            <w:left w:w="0" w:type="dxa"/>
            <w:bottom w:w="0" w:type="dxa"/>
            <w:right w:w="0" w:type="dxa"/>
          </w:tblCellMar>
        </w:tblPrEx>
        <w:trPr>
          <w:trHeight w:val="1297"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kern w:val="0"/>
                <w:sz w:val="24"/>
                <w:highlight w:val="none"/>
                <w:lang w:bidi="ar"/>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生态效益指标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r>
      <w:tr>
        <w:tblPrEx>
          <w:tblCellMar>
            <w:top w:w="0" w:type="dxa"/>
            <w:left w:w="0" w:type="dxa"/>
            <w:bottom w:w="0" w:type="dxa"/>
            <w:right w:w="0" w:type="dxa"/>
          </w:tblCellMar>
        </w:tblPrEx>
        <w:trPr>
          <w:trHeight w:val="1050" w:hRule="atLeast"/>
          <w:jc w:val="center"/>
        </w:trPr>
        <w:tc>
          <w:tcPr>
            <w:tcW w:w="600" w:type="dxa"/>
            <w:tcBorders>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可持续影响指标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学生综合素质</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不断提升</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不断提升</w:t>
            </w:r>
          </w:p>
        </w:tc>
      </w:tr>
    </w:tbl>
    <w:p>
      <w:pPr>
        <w:pStyle w:val="6"/>
        <w:rPr>
          <w:rFonts w:ascii="仿宋_GB2312" w:hAnsi="仿宋_GB2312" w:eastAsia="仿宋_GB2312" w:cs="仿宋_GB2312"/>
          <w:color w:val="auto"/>
          <w:sz w:val="32"/>
          <w:szCs w:val="32"/>
          <w:highlight w:val="none"/>
        </w:rPr>
      </w:pPr>
    </w:p>
    <w:tbl>
      <w:tblPr>
        <w:tblStyle w:val="12"/>
        <w:tblpPr w:leftFromText="180" w:rightFromText="180" w:vertAnchor="text" w:horzAnchor="page" w:tblpX="982" w:tblpY="1020"/>
        <w:tblOverlap w:val="never"/>
        <w:tblW w:w="9960" w:type="dxa"/>
        <w:jc w:val="center"/>
        <w:tblLayout w:type="fixed"/>
        <w:tblCellMar>
          <w:top w:w="0" w:type="dxa"/>
          <w:left w:w="0" w:type="dxa"/>
          <w:bottom w:w="0" w:type="dxa"/>
          <w:right w:w="0" w:type="dxa"/>
        </w:tblCellMar>
      </w:tblPr>
      <w:tblGrid>
        <w:gridCol w:w="600"/>
        <w:gridCol w:w="688"/>
        <w:gridCol w:w="1165"/>
        <w:gridCol w:w="1189"/>
        <w:gridCol w:w="1258"/>
        <w:gridCol w:w="1562"/>
        <w:gridCol w:w="3498"/>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36"/>
                <w:szCs w:val="36"/>
                <w:highlight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CellMar>
            <w:top w:w="0" w:type="dxa"/>
            <w:left w:w="0" w:type="dxa"/>
            <w:bottom w:w="0" w:type="dxa"/>
            <w:right w:w="0" w:type="dxa"/>
          </w:tblCellMar>
        </w:tblPrEx>
        <w:trPr>
          <w:trHeight w:val="276" w:hRule="atLeast"/>
          <w:jc w:val="center"/>
        </w:trPr>
        <w:tc>
          <w:tcPr>
            <w:tcW w:w="99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2020   年度）</w:t>
            </w:r>
          </w:p>
        </w:tc>
      </w:tr>
      <w:tr>
        <w:tblPrEx>
          <w:tblCellMar>
            <w:top w:w="0" w:type="dxa"/>
            <w:left w:w="0" w:type="dxa"/>
            <w:bottom w:w="0" w:type="dxa"/>
            <w:right w:w="0" w:type="dxa"/>
          </w:tblCellMar>
        </w:tblPrEx>
        <w:trPr>
          <w:trHeight w:val="276"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r>
      <w:tr>
        <w:tblPrEx>
          <w:tblCellMar>
            <w:top w:w="0" w:type="dxa"/>
            <w:left w:w="0" w:type="dxa"/>
            <w:bottom w:w="0" w:type="dxa"/>
            <w:right w:w="0" w:type="dxa"/>
          </w:tblCellMar>
        </w:tblPrEx>
        <w:trPr>
          <w:trHeight w:val="276" w:hRule="atLeast"/>
          <w:jc w:val="center"/>
        </w:trPr>
        <w:tc>
          <w:tcPr>
            <w:tcW w:w="12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项目名称</w:t>
            </w:r>
          </w:p>
        </w:tc>
        <w:tc>
          <w:tcPr>
            <w:tcW w:w="86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专业建设经费</w:t>
            </w:r>
          </w:p>
        </w:tc>
      </w:tr>
      <w:tr>
        <w:tblPrEx>
          <w:tblCellMar>
            <w:top w:w="0" w:type="dxa"/>
            <w:left w:w="0" w:type="dxa"/>
            <w:bottom w:w="0" w:type="dxa"/>
            <w:right w:w="0" w:type="dxa"/>
          </w:tblCellMar>
        </w:tblPrEx>
        <w:trPr>
          <w:trHeight w:val="276" w:hRule="atLeast"/>
          <w:jc w:val="center"/>
        </w:trPr>
        <w:tc>
          <w:tcPr>
            <w:tcW w:w="12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主管部门及代码</w:t>
            </w:r>
          </w:p>
        </w:tc>
        <w:tc>
          <w:tcPr>
            <w:tcW w:w="36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四川省经济和信息化厅</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实施单位</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四川信息职业技术学院</w:t>
            </w:r>
          </w:p>
        </w:tc>
      </w:tr>
      <w:tr>
        <w:tblPrEx>
          <w:tblCellMar>
            <w:top w:w="0" w:type="dxa"/>
            <w:left w:w="0" w:type="dxa"/>
            <w:bottom w:w="0" w:type="dxa"/>
            <w:right w:w="0" w:type="dxa"/>
          </w:tblCellMar>
        </w:tblPrEx>
        <w:trPr>
          <w:trHeight w:val="1511" w:hRule="atLeast"/>
          <w:jc w:val="center"/>
        </w:trPr>
        <w:tc>
          <w:tcPr>
            <w:tcW w:w="128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项目预算</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执行情况</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（万元）</w:t>
            </w: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预算数：</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2220.04</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执行数：</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1921.81</w:t>
            </w:r>
          </w:p>
        </w:tc>
      </w:tr>
      <w:tr>
        <w:tblPrEx>
          <w:tblCellMar>
            <w:top w:w="0" w:type="dxa"/>
            <w:left w:w="0" w:type="dxa"/>
            <w:bottom w:w="0" w:type="dxa"/>
            <w:right w:w="0" w:type="dxa"/>
          </w:tblCellMar>
        </w:tblPrEx>
        <w:trPr>
          <w:trHeight w:val="276" w:hRule="atLeast"/>
          <w:jc w:val="center"/>
        </w:trPr>
        <w:tc>
          <w:tcPr>
            <w:tcW w:w="12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default" w:ascii="Arial" w:hAnsi="Arial" w:eastAsia="宋体" w:cs="Arial"/>
                <w:i w:val="0"/>
                <w:color w:val="000000"/>
                <w:kern w:val="0"/>
                <w:sz w:val="24"/>
                <w:szCs w:val="24"/>
                <w:u w:val="none"/>
                <w:lang w:val="en-US" w:eastAsia="zh-CN" w:bidi="ar"/>
              </w:rPr>
              <w:t>2098.92</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4"/>
                <w:szCs w:val="24"/>
                <w:u w:val="none"/>
                <w:lang w:val="en-US" w:eastAsia="zh-CN" w:bidi="ar"/>
              </w:rPr>
              <w:t>1917.28</w:t>
            </w:r>
          </w:p>
        </w:tc>
      </w:tr>
      <w:tr>
        <w:tblPrEx>
          <w:tblCellMar>
            <w:top w:w="0" w:type="dxa"/>
            <w:left w:w="0" w:type="dxa"/>
            <w:bottom w:w="0" w:type="dxa"/>
            <w:right w:w="0" w:type="dxa"/>
          </w:tblCellMar>
        </w:tblPrEx>
        <w:trPr>
          <w:trHeight w:val="1159" w:hRule="atLeast"/>
          <w:jc w:val="center"/>
        </w:trPr>
        <w:tc>
          <w:tcPr>
            <w:tcW w:w="12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default" w:ascii="Arial" w:hAnsi="Arial" w:eastAsia="宋体" w:cs="Arial"/>
                <w:i w:val="0"/>
                <w:color w:val="000000"/>
                <w:kern w:val="0"/>
                <w:sz w:val="24"/>
                <w:szCs w:val="24"/>
                <w:u w:val="none"/>
                <w:lang w:val="en-US" w:eastAsia="zh-CN" w:bidi="ar"/>
              </w:rPr>
              <w:t>121.12</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4"/>
                <w:szCs w:val="24"/>
                <w:u w:val="none"/>
                <w:lang w:val="en-US" w:eastAsia="zh-CN" w:bidi="ar"/>
              </w:rPr>
              <w:t>4.53</w:t>
            </w:r>
          </w:p>
        </w:tc>
      </w:tr>
      <w:tr>
        <w:tblPrEx>
          <w:tblCellMar>
            <w:top w:w="0" w:type="dxa"/>
            <w:left w:w="0" w:type="dxa"/>
            <w:bottom w:w="0" w:type="dxa"/>
            <w:right w:w="0" w:type="dxa"/>
          </w:tblCellMar>
        </w:tblPrEx>
        <w:trPr>
          <w:trHeight w:val="1042" w:hRule="atLeast"/>
          <w:jc w:val="center"/>
        </w:trPr>
        <w:tc>
          <w:tcPr>
            <w:tcW w:w="6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年</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度</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总</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体</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目</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标</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完</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成</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情</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况</w:t>
            </w:r>
          </w:p>
        </w:tc>
        <w:tc>
          <w:tcPr>
            <w:tcW w:w="43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预期目标</w:t>
            </w:r>
          </w:p>
        </w:tc>
        <w:tc>
          <w:tcPr>
            <w:tcW w:w="50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目标实际完成情况</w:t>
            </w:r>
          </w:p>
        </w:tc>
      </w:tr>
      <w:tr>
        <w:tblPrEx>
          <w:tblCellMar>
            <w:top w:w="0" w:type="dxa"/>
            <w:left w:w="0" w:type="dxa"/>
            <w:bottom w:w="0" w:type="dxa"/>
            <w:right w:w="0" w:type="dxa"/>
          </w:tblCellMar>
        </w:tblPrEx>
        <w:trPr>
          <w:trHeight w:val="953" w:hRule="atLeast"/>
          <w:jc w:val="center"/>
        </w:trPr>
        <w:tc>
          <w:tcPr>
            <w:tcW w:w="60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3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深化体制机制改革创新，创新创业教育深化改革、建立高水平师资队伍、提升技术创新与社会服务能力、加强国际交流与合作、建设智慧校园与互联网生态，打造物联网、智能制造、智能设备与控制技术、电子商务专业群</w:t>
            </w:r>
          </w:p>
        </w:tc>
        <w:tc>
          <w:tcPr>
            <w:tcW w:w="50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深化了体制机制改革创新，创新创业教育深化改革、建立了高水平师资队伍、提升了技术创新与社会服务能力、加强了国际交流与合作、建设了智慧校园与互联网生态，打造了物联网、智能制造、智能设备与控制技术、电子商务专业群</w:t>
            </w:r>
          </w:p>
        </w:tc>
      </w:tr>
      <w:tr>
        <w:tblPrEx>
          <w:tblCellMar>
            <w:top w:w="0" w:type="dxa"/>
            <w:left w:w="0" w:type="dxa"/>
            <w:bottom w:w="0" w:type="dxa"/>
            <w:right w:w="0" w:type="dxa"/>
          </w:tblCellMar>
        </w:tblPrEx>
        <w:trPr>
          <w:trHeight w:val="1297" w:hRule="atLeast"/>
          <w:jc w:val="center"/>
        </w:trPr>
        <w:tc>
          <w:tcPr>
            <w:tcW w:w="600"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年度绩效指标完成情况</w:t>
            </w: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一级指标</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二级指标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三级指标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预期指标值</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实际完成指标值</w:t>
            </w:r>
          </w:p>
        </w:tc>
      </w:tr>
      <w:tr>
        <w:tblPrEx>
          <w:tblCellMar>
            <w:top w:w="0" w:type="dxa"/>
            <w:left w:w="0" w:type="dxa"/>
            <w:bottom w:w="0" w:type="dxa"/>
            <w:right w:w="0" w:type="dxa"/>
          </w:tblCellMar>
        </w:tblPrEx>
        <w:trPr>
          <w:trHeight w:val="1042" w:hRule="atLeast"/>
          <w:jc w:val="center"/>
        </w:trPr>
        <w:tc>
          <w:tcPr>
            <w:tcW w:w="60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完</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数量指标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建设体质机制、创新创业等项目</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6个</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6个</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kern w:val="0"/>
                <w:sz w:val="24"/>
                <w:highlight w:val="none"/>
                <w:lang w:bidi="ar"/>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专业群建设(含网络课程建设）</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5个</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5个</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教育教学科研项目数量</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&gt;10项</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11项</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质量指标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师资队伍建设数量</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7个</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7个</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时效指标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购买专用设备和专用材料</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&gt;=300万元</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300万元</w:t>
            </w:r>
          </w:p>
        </w:tc>
      </w:tr>
      <w:tr>
        <w:tblPrEx>
          <w:tblCellMar>
            <w:top w:w="0" w:type="dxa"/>
            <w:left w:w="0" w:type="dxa"/>
            <w:bottom w:w="0" w:type="dxa"/>
            <w:right w:w="0" w:type="dxa"/>
          </w:tblCellMar>
        </w:tblPrEx>
        <w:trPr>
          <w:trHeight w:val="1297"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成本指标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r>
      <w:tr>
        <w:tblPrEx>
          <w:tblCellMar>
            <w:top w:w="0" w:type="dxa"/>
            <w:left w:w="0" w:type="dxa"/>
            <w:bottom w:w="0" w:type="dxa"/>
            <w:right w:w="0" w:type="dxa"/>
          </w:tblCellMar>
        </w:tblPrEx>
        <w:trPr>
          <w:trHeight w:val="1297"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kern w:val="0"/>
                <w:sz w:val="24"/>
                <w:highlight w:val="none"/>
                <w:lang w:bidi="ar"/>
              </w:rPr>
            </w:pPr>
            <w:r>
              <w:rPr>
                <w:rFonts w:hint="default" w:ascii="Arial" w:hAnsi="Arial" w:eastAsia="宋体" w:cs="Arial"/>
                <w:i w:val="0"/>
                <w:color w:val="000000"/>
                <w:kern w:val="0"/>
                <w:sz w:val="20"/>
                <w:szCs w:val="20"/>
                <w:u w:val="none"/>
                <w:lang w:val="en-US" w:eastAsia="zh-CN" w:bidi="ar"/>
              </w:rPr>
              <w:t>效</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益</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经济效益指标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为经济社会发展提供技术技能型人才</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&gt;=2000人</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2300人</w:t>
            </w:r>
          </w:p>
        </w:tc>
      </w:tr>
      <w:tr>
        <w:tblPrEx>
          <w:tblCellMar>
            <w:top w:w="0" w:type="dxa"/>
            <w:left w:w="0" w:type="dxa"/>
            <w:bottom w:w="0" w:type="dxa"/>
            <w:right w:w="0" w:type="dxa"/>
          </w:tblCellMar>
        </w:tblPrEx>
        <w:trPr>
          <w:trHeight w:val="1050" w:hRule="atLeast"/>
          <w:jc w:val="center"/>
        </w:trPr>
        <w:tc>
          <w:tcPr>
            <w:tcW w:w="600" w:type="dxa"/>
            <w:tcBorders>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社会效益指标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职业教育受益学生</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&gt;8500人</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9000人</w:t>
            </w:r>
          </w:p>
        </w:tc>
      </w:tr>
    </w:tbl>
    <w:p>
      <w:pPr>
        <w:pStyle w:val="6"/>
        <w:rPr>
          <w:rFonts w:ascii="仿宋_GB2312" w:hAnsi="仿宋_GB2312" w:eastAsia="仿宋_GB2312" w:cs="仿宋_GB2312"/>
          <w:color w:val="auto"/>
          <w:sz w:val="32"/>
          <w:szCs w:val="32"/>
          <w:highlight w:val="none"/>
        </w:rPr>
      </w:pPr>
    </w:p>
    <w:tbl>
      <w:tblPr>
        <w:tblStyle w:val="12"/>
        <w:tblpPr w:leftFromText="180" w:rightFromText="180" w:vertAnchor="text" w:horzAnchor="page" w:tblpX="982" w:tblpY="1020"/>
        <w:tblOverlap w:val="never"/>
        <w:tblW w:w="9960" w:type="dxa"/>
        <w:jc w:val="center"/>
        <w:tblLayout w:type="fixed"/>
        <w:tblCellMar>
          <w:top w:w="0" w:type="dxa"/>
          <w:left w:w="0" w:type="dxa"/>
          <w:bottom w:w="0" w:type="dxa"/>
          <w:right w:w="0" w:type="dxa"/>
        </w:tblCellMar>
      </w:tblPr>
      <w:tblGrid>
        <w:gridCol w:w="600"/>
        <w:gridCol w:w="688"/>
        <w:gridCol w:w="1165"/>
        <w:gridCol w:w="1189"/>
        <w:gridCol w:w="1258"/>
        <w:gridCol w:w="1562"/>
        <w:gridCol w:w="3498"/>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36"/>
                <w:szCs w:val="36"/>
                <w:highlight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CellMar>
            <w:top w:w="0" w:type="dxa"/>
            <w:left w:w="0" w:type="dxa"/>
            <w:bottom w:w="0" w:type="dxa"/>
            <w:right w:w="0" w:type="dxa"/>
          </w:tblCellMar>
        </w:tblPrEx>
        <w:trPr>
          <w:trHeight w:val="276" w:hRule="atLeast"/>
          <w:jc w:val="center"/>
        </w:trPr>
        <w:tc>
          <w:tcPr>
            <w:tcW w:w="99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2020   年度）</w:t>
            </w:r>
          </w:p>
        </w:tc>
      </w:tr>
      <w:tr>
        <w:tblPrEx>
          <w:tblCellMar>
            <w:top w:w="0" w:type="dxa"/>
            <w:left w:w="0" w:type="dxa"/>
            <w:bottom w:w="0" w:type="dxa"/>
            <w:right w:w="0" w:type="dxa"/>
          </w:tblCellMar>
        </w:tblPrEx>
        <w:trPr>
          <w:trHeight w:val="276"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r>
      <w:tr>
        <w:tblPrEx>
          <w:tblCellMar>
            <w:top w:w="0" w:type="dxa"/>
            <w:left w:w="0" w:type="dxa"/>
            <w:bottom w:w="0" w:type="dxa"/>
            <w:right w:w="0" w:type="dxa"/>
          </w:tblCellMar>
        </w:tblPrEx>
        <w:trPr>
          <w:trHeight w:val="276" w:hRule="atLeast"/>
          <w:jc w:val="center"/>
        </w:trPr>
        <w:tc>
          <w:tcPr>
            <w:tcW w:w="12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项目名称</w:t>
            </w:r>
          </w:p>
        </w:tc>
        <w:tc>
          <w:tcPr>
            <w:tcW w:w="86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提质培优建设教学实训设备（举办方投入）</w:t>
            </w:r>
          </w:p>
        </w:tc>
      </w:tr>
      <w:tr>
        <w:tblPrEx>
          <w:tblCellMar>
            <w:top w:w="0" w:type="dxa"/>
            <w:left w:w="0" w:type="dxa"/>
            <w:bottom w:w="0" w:type="dxa"/>
            <w:right w:w="0" w:type="dxa"/>
          </w:tblCellMar>
        </w:tblPrEx>
        <w:trPr>
          <w:trHeight w:val="276" w:hRule="atLeast"/>
          <w:jc w:val="center"/>
        </w:trPr>
        <w:tc>
          <w:tcPr>
            <w:tcW w:w="12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主管部门及代码</w:t>
            </w:r>
          </w:p>
        </w:tc>
        <w:tc>
          <w:tcPr>
            <w:tcW w:w="36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四川省经济和信息化厅</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实施单位</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四川工商职业技术学院</w:t>
            </w:r>
          </w:p>
        </w:tc>
      </w:tr>
      <w:tr>
        <w:tblPrEx>
          <w:tblCellMar>
            <w:top w:w="0" w:type="dxa"/>
            <w:left w:w="0" w:type="dxa"/>
            <w:bottom w:w="0" w:type="dxa"/>
            <w:right w:w="0" w:type="dxa"/>
          </w:tblCellMar>
        </w:tblPrEx>
        <w:trPr>
          <w:trHeight w:val="1511" w:hRule="atLeast"/>
          <w:jc w:val="center"/>
        </w:trPr>
        <w:tc>
          <w:tcPr>
            <w:tcW w:w="128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项目预算</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执行情况</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（万元）</w:t>
            </w: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预算数：</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612.0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执行数：</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506.39</w:t>
            </w:r>
          </w:p>
        </w:tc>
      </w:tr>
      <w:tr>
        <w:tblPrEx>
          <w:tblCellMar>
            <w:top w:w="0" w:type="dxa"/>
            <w:left w:w="0" w:type="dxa"/>
            <w:bottom w:w="0" w:type="dxa"/>
            <w:right w:w="0" w:type="dxa"/>
          </w:tblCellMar>
        </w:tblPrEx>
        <w:trPr>
          <w:trHeight w:val="276" w:hRule="atLeast"/>
          <w:jc w:val="center"/>
        </w:trPr>
        <w:tc>
          <w:tcPr>
            <w:tcW w:w="12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default" w:ascii="Arial" w:hAnsi="Arial" w:eastAsia="宋体" w:cs="Arial"/>
                <w:i w:val="0"/>
                <w:color w:val="000000"/>
                <w:kern w:val="0"/>
                <w:sz w:val="24"/>
                <w:szCs w:val="24"/>
                <w:u w:val="none"/>
                <w:lang w:val="en-US" w:eastAsia="zh-CN" w:bidi="ar"/>
              </w:rPr>
              <w:t>612.0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4"/>
                <w:szCs w:val="24"/>
                <w:u w:val="none"/>
                <w:lang w:val="en-US" w:eastAsia="zh-CN" w:bidi="ar"/>
              </w:rPr>
              <w:t>506.39</w:t>
            </w:r>
          </w:p>
        </w:tc>
      </w:tr>
      <w:tr>
        <w:tblPrEx>
          <w:tblCellMar>
            <w:top w:w="0" w:type="dxa"/>
            <w:left w:w="0" w:type="dxa"/>
            <w:bottom w:w="0" w:type="dxa"/>
            <w:right w:w="0" w:type="dxa"/>
          </w:tblCellMar>
        </w:tblPrEx>
        <w:trPr>
          <w:trHeight w:val="1159" w:hRule="atLeast"/>
          <w:jc w:val="center"/>
        </w:trPr>
        <w:tc>
          <w:tcPr>
            <w:tcW w:w="12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default" w:ascii="Arial" w:hAnsi="Arial" w:eastAsia="宋体" w:cs="Arial"/>
                <w:i w:val="0"/>
                <w:color w:val="000000"/>
                <w:kern w:val="0"/>
                <w:sz w:val="24"/>
                <w:szCs w:val="24"/>
                <w:u w:val="none"/>
                <w:lang w:val="en-US" w:eastAsia="zh-CN" w:bidi="ar"/>
              </w:rPr>
              <w:t>0.0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1042" w:hRule="atLeast"/>
          <w:jc w:val="center"/>
        </w:trPr>
        <w:tc>
          <w:tcPr>
            <w:tcW w:w="6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年</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度</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总</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体</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目</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标</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完</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成</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情</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况</w:t>
            </w:r>
          </w:p>
        </w:tc>
        <w:tc>
          <w:tcPr>
            <w:tcW w:w="43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预期目标</w:t>
            </w:r>
          </w:p>
        </w:tc>
        <w:tc>
          <w:tcPr>
            <w:tcW w:w="50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目标实际完成情况</w:t>
            </w:r>
          </w:p>
        </w:tc>
      </w:tr>
      <w:tr>
        <w:tblPrEx>
          <w:tblCellMar>
            <w:top w:w="0" w:type="dxa"/>
            <w:left w:w="0" w:type="dxa"/>
            <w:bottom w:w="0" w:type="dxa"/>
            <w:right w:w="0" w:type="dxa"/>
          </w:tblCellMar>
        </w:tblPrEx>
        <w:trPr>
          <w:trHeight w:val="953" w:hRule="atLeast"/>
          <w:jc w:val="center"/>
        </w:trPr>
        <w:tc>
          <w:tcPr>
            <w:tcW w:w="60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3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按照产教深度融合、校企合作、工学交替的要求，改善办学条件，添置教学必须的实验实训设备，进一步改善办学条件，更好的推进项目教学，案例教学，提高教学质量，强化学生专业培养。</w:t>
            </w:r>
          </w:p>
        </w:tc>
        <w:tc>
          <w:tcPr>
            <w:tcW w:w="50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完成校园绿化及保洁服务项目157.50万元，完成2020年多媒体教室设备采购127.89万元，完成2020年专业教学资源库建设29.99万元，完成校内课程建设任务191万元。</w:t>
            </w:r>
          </w:p>
        </w:tc>
      </w:tr>
      <w:tr>
        <w:tblPrEx>
          <w:tblCellMar>
            <w:top w:w="0" w:type="dxa"/>
            <w:left w:w="0" w:type="dxa"/>
            <w:bottom w:w="0" w:type="dxa"/>
            <w:right w:w="0" w:type="dxa"/>
          </w:tblCellMar>
        </w:tblPrEx>
        <w:trPr>
          <w:trHeight w:val="1297" w:hRule="atLeast"/>
          <w:jc w:val="center"/>
        </w:trPr>
        <w:tc>
          <w:tcPr>
            <w:tcW w:w="600"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年度绩效指标完成情况</w:t>
            </w: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一级指标</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二级指标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三级指标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预期指标值</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实际完成指标值</w:t>
            </w:r>
          </w:p>
        </w:tc>
      </w:tr>
      <w:tr>
        <w:tblPrEx>
          <w:tblCellMar>
            <w:top w:w="0" w:type="dxa"/>
            <w:left w:w="0" w:type="dxa"/>
            <w:bottom w:w="0" w:type="dxa"/>
            <w:right w:w="0" w:type="dxa"/>
          </w:tblCellMar>
        </w:tblPrEx>
        <w:trPr>
          <w:trHeight w:val="1042" w:hRule="atLeast"/>
          <w:jc w:val="center"/>
        </w:trPr>
        <w:tc>
          <w:tcPr>
            <w:tcW w:w="60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完</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数量指标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采购数量</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2（台/套）</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2（台/套）</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kern w:val="0"/>
                <w:sz w:val="24"/>
                <w:highlight w:val="none"/>
                <w:lang w:bidi="ar"/>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完成采购设备参数论证</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2次</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2次</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教学实施受益学生</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&gt;=3500人</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3500余人</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质量指标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质量验收合格率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&gt;=90%</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设备故障率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&lt;=6%</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1297"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时效指标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采购完成时间</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2019年12月前</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2020年12月</w:t>
            </w:r>
          </w:p>
        </w:tc>
      </w:tr>
      <w:tr>
        <w:tblPrEx>
          <w:tblCellMar>
            <w:top w:w="0" w:type="dxa"/>
            <w:left w:w="0" w:type="dxa"/>
            <w:bottom w:w="0" w:type="dxa"/>
            <w:right w:w="0" w:type="dxa"/>
          </w:tblCellMar>
        </w:tblPrEx>
        <w:trPr>
          <w:trHeight w:val="1297"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kern w:val="0"/>
                <w:sz w:val="24"/>
                <w:highlight w:val="none"/>
                <w:lang w:bidi="ar"/>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成本指标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教学实训环节成本节约率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&gt;=5%</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10%</w:t>
            </w:r>
          </w:p>
        </w:tc>
      </w:tr>
      <w:tr>
        <w:tblPrEx>
          <w:tblCellMar>
            <w:top w:w="0" w:type="dxa"/>
            <w:left w:w="0" w:type="dxa"/>
            <w:bottom w:w="0" w:type="dxa"/>
            <w:right w:w="0" w:type="dxa"/>
          </w:tblCellMar>
        </w:tblPrEx>
        <w:trPr>
          <w:trHeight w:val="1050" w:hRule="atLeast"/>
          <w:jc w:val="center"/>
        </w:trPr>
        <w:tc>
          <w:tcPr>
            <w:tcW w:w="600" w:type="dxa"/>
            <w:tcBorders>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效</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益</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经济效益指标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实训学生就业带动区域企业经济值</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&gt;=600万元</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600万元</w:t>
            </w:r>
          </w:p>
        </w:tc>
      </w:tr>
    </w:tbl>
    <w:p>
      <w:pPr>
        <w:pStyle w:val="6"/>
        <w:rPr>
          <w:rFonts w:ascii="仿宋_GB2312" w:hAnsi="仿宋_GB2312" w:eastAsia="仿宋_GB2312" w:cs="仿宋_GB2312"/>
          <w:color w:val="auto"/>
          <w:sz w:val="32"/>
          <w:szCs w:val="32"/>
          <w:highlight w:val="none"/>
        </w:rPr>
      </w:pPr>
    </w:p>
    <w:tbl>
      <w:tblPr>
        <w:tblStyle w:val="12"/>
        <w:tblpPr w:leftFromText="180" w:rightFromText="180" w:vertAnchor="text" w:horzAnchor="page" w:tblpX="982" w:tblpY="1020"/>
        <w:tblOverlap w:val="never"/>
        <w:tblW w:w="9960" w:type="dxa"/>
        <w:jc w:val="center"/>
        <w:tblLayout w:type="fixed"/>
        <w:tblCellMar>
          <w:top w:w="0" w:type="dxa"/>
          <w:left w:w="0" w:type="dxa"/>
          <w:bottom w:w="0" w:type="dxa"/>
          <w:right w:w="0" w:type="dxa"/>
        </w:tblCellMar>
      </w:tblPr>
      <w:tblGrid>
        <w:gridCol w:w="600"/>
        <w:gridCol w:w="688"/>
        <w:gridCol w:w="1165"/>
        <w:gridCol w:w="1189"/>
        <w:gridCol w:w="1258"/>
        <w:gridCol w:w="1562"/>
        <w:gridCol w:w="3498"/>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36"/>
                <w:szCs w:val="36"/>
                <w:highlight w:val="none"/>
              </w:rPr>
            </w:pPr>
            <w:r>
              <w:rPr>
                <w:rFonts w:hint="eastAsia" w:ascii="宋体" w:hAnsi="宋体" w:eastAsia="宋体" w:cs="宋体"/>
                <w:b/>
                <w:i w:val="0"/>
                <w:color w:val="000000"/>
                <w:kern w:val="0"/>
                <w:sz w:val="32"/>
                <w:szCs w:val="32"/>
                <w:u w:val="none"/>
                <w:lang w:val="en-US" w:eastAsia="zh-CN" w:bidi="ar"/>
              </w:rPr>
              <w:t>项目支出绩效自评表</w:t>
            </w:r>
          </w:p>
        </w:tc>
      </w:tr>
      <w:tr>
        <w:tblPrEx>
          <w:tblCellMar>
            <w:top w:w="0" w:type="dxa"/>
            <w:left w:w="0" w:type="dxa"/>
            <w:bottom w:w="0" w:type="dxa"/>
            <w:right w:w="0" w:type="dxa"/>
          </w:tblCellMar>
        </w:tblPrEx>
        <w:trPr>
          <w:trHeight w:val="276" w:hRule="atLeast"/>
          <w:jc w:val="center"/>
        </w:trPr>
        <w:tc>
          <w:tcPr>
            <w:tcW w:w="9960"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2020   年度）</w:t>
            </w:r>
          </w:p>
        </w:tc>
      </w:tr>
      <w:tr>
        <w:tblPrEx>
          <w:tblCellMar>
            <w:top w:w="0" w:type="dxa"/>
            <w:left w:w="0" w:type="dxa"/>
            <w:bottom w:w="0" w:type="dxa"/>
            <w:right w:w="0" w:type="dxa"/>
          </w:tblCellMar>
        </w:tblPrEx>
        <w:trPr>
          <w:trHeight w:val="276" w:hRule="atLeast"/>
          <w:jc w:val="center"/>
        </w:trPr>
        <w:tc>
          <w:tcPr>
            <w:tcW w:w="6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118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tc>
      </w:tr>
      <w:tr>
        <w:tblPrEx>
          <w:tblCellMar>
            <w:top w:w="0" w:type="dxa"/>
            <w:left w:w="0" w:type="dxa"/>
            <w:bottom w:w="0" w:type="dxa"/>
            <w:right w:w="0" w:type="dxa"/>
          </w:tblCellMar>
        </w:tblPrEx>
        <w:trPr>
          <w:trHeight w:val="276" w:hRule="atLeast"/>
          <w:jc w:val="center"/>
        </w:trPr>
        <w:tc>
          <w:tcPr>
            <w:tcW w:w="12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项目名称</w:t>
            </w:r>
          </w:p>
        </w:tc>
        <w:tc>
          <w:tcPr>
            <w:tcW w:w="867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2020年学生资助补助经费（高等教育）</w:t>
            </w:r>
          </w:p>
        </w:tc>
      </w:tr>
      <w:tr>
        <w:tblPrEx>
          <w:tblCellMar>
            <w:top w:w="0" w:type="dxa"/>
            <w:left w:w="0" w:type="dxa"/>
            <w:bottom w:w="0" w:type="dxa"/>
            <w:right w:w="0" w:type="dxa"/>
          </w:tblCellMar>
        </w:tblPrEx>
        <w:trPr>
          <w:trHeight w:val="276" w:hRule="atLeast"/>
          <w:jc w:val="center"/>
        </w:trPr>
        <w:tc>
          <w:tcPr>
            <w:tcW w:w="128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主管部门及代码</w:t>
            </w:r>
          </w:p>
        </w:tc>
        <w:tc>
          <w:tcPr>
            <w:tcW w:w="3612"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四川省经济和信息化厅</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实施单位</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四川工程职业技术学院</w:t>
            </w:r>
          </w:p>
        </w:tc>
      </w:tr>
      <w:tr>
        <w:tblPrEx>
          <w:tblCellMar>
            <w:top w:w="0" w:type="dxa"/>
            <w:left w:w="0" w:type="dxa"/>
            <w:bottom w:w="0" w:type="dxa"/>
            <w:right w:w="0" w:type="dxa"/>
          </w:tblCellMar>
        </w:tblPrEx>
        <w:trPr>
          <w:trHeight w:val="1511" w:hRule="atLeast"/>
          <w:jc w:val="center"/>
        </w:trPr>
        <w:tc>
          <w:tcPr>
            <w:tcW w:w="1288"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项目预算</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执行情况</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（万元）</w:t>
            </w: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预算数：</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1415.0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执行数：</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1415.0</w:t>
            </w:r>
          </w:p>
        </w:tc>
      </w:tr>
      <w:tr>
        <w:tblPrEx>
          <w:tblCellMar>
            <w:top w:w="0" w:type="dxa"/>
            <w:left w:w="0" w:type="dxa"/>
            <w:bottom w:w="0" w:type="dxa"/>
            <w:right w:w="0" w:type="dxa"/>
          </w:tblCellMar>
        </w:tblPrEx>
        <w:trPr>
          <w:trHeight w:val="276" w:hRule="atLeast"/>
          <w:jc w:val="center"/>
        </w:trPr>
        <w:tc>
          <w:tcPr>
            <w:tcW w:w="12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default" w:ascii="Arial" w:hAnsi="Arial" w:eastAsia="宋体" w:cs="Arial"/>
                <w:i w:val="0"/>
                <w:color w:val="000000"/>
                <w:kern w:val="0"/>
                <w:sz w:val="24"/>
                <w:szCs w:val="24"/>
                <w:u w:val="none"/>
                <w:lang w:val="en-US" w:eastAsia="zh-CN" w:bidi="ar"/>
              </w:rPr>
              <w:t>1415.0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其中：财政拨款</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4"/>
                <w:szCs w:val="24"/>
                <w:u w:val="none"/>
                <w:lang w:val="en-US" w:eastAsia="zh-CN" w:bidi="ar"/>
              </w:rPr>
              <w:t>1415.0</w:t>
            </w:r>
          </w:p>
        </w:tc>
      </w:tr>
      <w:tr>
        <w:tblPrEx>
          <w:tblCellMar>
            <w:top w:w="0" w:type="dxa"/>
            <w:left w:w="0" w:type="dxa"/>
            <w:bottom w:w="0" w:type="dxa"/>
            <w:right w:w="0" w:type="dxa"/>
          </w:tblCellMar>
        </w:tblPrEx>
        <w:trPr>
          <w:trHeight w:val="1159" w:hRule="atLeast"/>
          <w:jc w:val="center"/>
        </w:trPr>
        <w:tc>
          <w:tcPr>
            <w:tcW w:w="1288"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235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1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default" w:ascii="Arial" w:hAnsi="Arial" w:eastAsia="宋体" w:cs="Arial"/>
                <w:i w:val="0"/>
                <w:color w:val="000000"/>
                <w:kern w:val="0"/>
                <w:sz w:val="24"/>
                <w:szCs w:val="24"/>
                <w:u w:val="none"/>
                <w:lang w:val="en-US" w:eastAsia="zh-CN" w:bidi="ar"/>
              </w:rPr>
              <w:t>0.0</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             其他资金</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pPr>
            <w:r>
              <w:rPr>
                <w:rFonts w:hint="default" w:ascii="Arial" w:hAnsi="Arial" w:eastAsia="宋体" w:cs="Arial"/>
                <w:i w:val="0"/>
                <w:color w:val="000000"/>
                <w:kern w:val="0"/>
                <w:sz w:val="24"/>
                <w:szCs w:val="24"/>
                <w:u w:val="none"/>
                <w:lang w:val="en-US" w:eastAsia="zh-CN" w:bidi="ar"/>
              </w:rPr>
              <w:t>0.0</w:t>
            </w:r>
          </w:p>
        </w:tc>
      </w:tr>
      <w:tr>
        <w:tblPrEx>
          <w:tblCellMar>
            <w:top w:w="0" w:type="dxa"/>
            <w:left w:w="0" w:type="dxa"/>
            <w:bottom w:w="0" w:type="dxa"/>
            <w:right w:w="0" w:type="dxa"/>
          </w:tblCellMar>
        </w:tblPrEx>
        <w:trPr>
          <w:trHeight w:val="1042" w:hRule="atLeast"/>
          <w:jc w:val="center"/>
        </w:trPr>
        <w:tc>
          <w:tcPr>
            <w:tcW w:w="60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年</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度</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总</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体</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目</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标</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完</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成</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情</w:t>
            </w:r>
            <w:r>
              <w:rPr>
                <w:rFonts w:hint="default" w:ascii="Arial" w:hAnsi="Arial" w:eastAsia="宋体" w:cs="Arial"/>
                <w:i w:val="0"/>
                <w:color w:val="000000"/>
                <w:kern w:val="0"/>
                <w:sz w:val="24"/>
                <w:szCs w:val="24"/>
                <w:u w:val="none"/>
                <w:lang w:val="en-US" w:eastAsia="zh-CN" w:bidi="ar"/>
              </w:rPr>
              <w:br w:type="textWrapping"/>
            </w:r>
            <w:r>
              <w:rPr>
                <w:rFonts w:hint="default" w:ascii="Arial" w:hAnsi="Arial" w:eastAsia="宋体" w:cs="Arial"/>
                <w:i w:val="0"/>
                <w:color w:val="000000"/>
                <w:kern w:val="0"/>
                <w:sz w:val="24"/>
                <w:szCs w:val="24"/>
                <w:u w:val="none"/>
                <w:lang w:val="en-US" w:eastAsia="zh-CN" w:bidi="ar"/>
              </w:rPr>
              <w:t>况</w:t>
            </w:r>
          </w:p>
        </w:tc>
        <w:tc>
          <w:tcPr>
            <w:tcW w:w="43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预期目标</w:t>
            </w:r>
          </w:p>
        </w:tc>
        <w:tc>
          <w:tcPr>
            <w:tcW w:w="50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目标实际完成情况</w:t>
            </w:r>
          </w:p>
        </w:tc>
      </w:tr>
      <w:tr>
        <w:tblPrEx>
          <w:tblCellMar>
            <w:top w:w="0" w:type="dxa"/>
            <w:left w:w="0" w:type="dxa"/>
            <w:bottom w:w="0" w:type="dxa"/>
            <w:right w:w="0" w:type="dxa"/>
          </w:tblCellMar>
        </w:tblPrEx>
        <w:trPr>
          <w:trHeight w:val="953" w:hRule="atLeast"/>
          <w:jc w:val="center"/>
        </w:trPr>
        <w:tc>
          <w:tcPr>
            <w:tcW w:w="60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300"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奖励品学兼优在校生、资助家庭经济困难学生，确保精准扶贫困难家庭学生都能受到资助，保证贫困学生在校能满足基本生活需要，安心学习、顺利完成学业；结合“三金评选”，在全校范围内开展各类感恩主题教育活动，使学生铭记党恩、永远跟党走。培养学生的诚信意识、责任意识和感恩意识，使受奖助的4500余名学生完成学业后通过自身努力回报社会，实现以奖助学金全面激励品学兼优的家庭经济困难学生发奋学习，励志成才。</w:t>
            </w:r>
          </w:p>
        </w:tc>
        <w:tc>
          <w:tcPr>
            <w:tcW w:w="506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top"/>
          </w:tcPr>
          <w:p>
            <w:pPr>
              <w:keepNext w:val="0"/>
              <w:keepLines w:val="0"/>
              <w:widowControl/>
              <w:suppressLineNumbers w:val="0"/>
              <w:jc w:val="left"/>
              <w:textAlignment w:val="top"/>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在2020年10月-11月完成家庭经济困难学生贫困认定，确保六类特殊人群全部入库，贫困学生全覆盖，同时完成2020年国家三金评选，国奖、励志奖励品学兼优学生，助学金资助家庭经济苦难学生；2020年12月结合“三金评选”，在全校范围内开展各类感恩主题教育活动，通过学工网站、易班平台、展板，到班宣讲、主题汇报、写感谢信等形式，使学生铭记党恩、永远跟党走。培养学生的诚信意识、责任意识和感恩意识，使受奖助的4500余名学生完成学业后通过自身努力回报社会，实现以奖助学金全面激励品学兼优的家庭经济困难学生发奋学习，励志成才。</w:t>
            </w:r>
          </w:p>
        </w:tc>
      </w:tr>
      <w:tr>
        <w:tblPrEx>
          <w:tblCellMar>
            <w:top w:w="0" w:type="dxa"/>
            <w:left w:w="0" w:type="dxa"/>
            <w:bottom w:w="0" w:type="dxa"/>
            <w:right w:w="0" w:type="dxa"/>
          </w:tblCellMar>
        </w:tblPrEx>
        <w:trPr>
          <w:trHeight w:val="1297" w:hRule="atLeast"/>
          <w:jc w:val="center"/>
        </w:trPr>
        <w:tc>
          <w:tcPr>
            <w:tcW w:w="600"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年度绩效指标完成情况</w:t>
            </w:r>
          </w:p>
        </w:tc>
        <w:tc>
          <w:tcPr>
            <w:tcW w:w="6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一级指标</w:t>
            </w: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二级指标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三级指标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预期指标值</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default" w:ascii="Arial" w:hAnsi="Arial" w:eastAsia="宋体" w:cs="Arial"/>
                <w:i w:val="0"/>
                <w:color w:val="000000"/>
                <w:kern w:val="0"/>
                <w:sz w:val="24"/>
                <w:szCs w:val="24"/>
                <w:u w:val="none"/>
                <w:lang w:val="en-US" w:eastAsia="zh-CN" w:bidi="ar"/>
              </w:rPr>
              <w:t>实际完成指标值</w:t>
            </w:r>
          </w:p>
        </w:tc>
      </w:tr>
      <w:tr>
        <w:tblPrEx>
          <w:tblCellMar>
            <w:top w:w="0" w:type="dxa"/>
            <w:left w:w="0" w:type="dxa"/>
            <w:bottom w:w="0" w:type="dxa"/>
            <w:right w:w="0" w:type="dxa"/>
          </w:tblCellMar>
        </w:tblPrEx>
        <w:trPr>
          <w:trHeight w:val="1042" w:hRule="atLeast"/>
          <w:jc w:val="center"/>
        </w:trPr>
        <w:tc>
          <w:tcPr>
            <w:tcW w:w="600"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68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完</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成</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指</w:t>
            </w:r>
            <w:r>
              <w:rPr>
                <w:rFonts w:hint="default" w:ascii="Arial" w:hAnsi="Arial" w:eastAsia="宋体" w:cs="Arial"/>
                <w:i w:val="0"/>
                <w:color w:val="000000"/>
                <w:kern w:val="0"/>
                <w:sz w:val="20"/>
                <w:szCs w:val="20"/>
                <w:u w:val="none"/>
                <w:lang w:val="en-US" w:eastAsia="zh-CN" w:bidi="ar"/>
              </w:rPr>
              <w:br w:type="textWrapping"/>
            </w:r>
            <w:r>
              <w:rPr>
                <w:rFonts w:hint="default" w:ascii="Arial" w:hAnsi="Arial" w:eastAsia="宋体" w:cs="Arial"/>
                <w:i w:val="0"/>
                <w:color w:val="000000"/>
                <w:kern w:val="0"/>
                <w:sz w:val="20"/>
                <w:szCs w:val="20"/>
                <w:u w:val="none"/>
                <w:lang w:val="en-US" w:eastAsia="zh-CN" w:bidi="ar"/>
              </w:rPr>
              <w:t>标</w:t>
            </w:r>
          </w:p>
        </w:tc>
        <w:tc>
          <w:tcPr>
            <w:tcW w:w="1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数量指标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完成家庭经济困难认定学生数</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&gt;6000人</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5515人</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kern w:val="0"/>
                <w:sz w:val="24"/>
                <w:highlight w:val="none"/>
                <w:lang w:bidi="ar"/>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精准扶贫家庭学生资助覆盖率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100%</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受助学生人次</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&gt;4500人次</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4513人</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完成发放奖助学金类型</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3种</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3种</w:t>
            </w:r>
          </w:p>
        </w:tc>
      </w:tr>
      <w:tr>
        <w:tblPrEx>
          <w:tblCellMar>
            <w:top w:w="0" w:type="dxa"/>
            <w:left w:w="0" w:type="dxa"/>
            <w:bottom w:w="0" w:type="dxa"/>
            <w:right w:w="0" w:type="dxa"/>
          </w:tblCellMar>
        </w:tblPrEx>
        <w:trPr>
          <w:trHeight w:val="1042"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质量指标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奖助学金按规定及时发放率(%)</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100</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100%</w:t>
            </w:r>
          </w:p>
        </w:tc>
      </w:tr>
      <w:tr>
        <w:tblPrEx>
          <w:tblCellMar>
            <w:top w:w="0" w:type="dxa"/>
            <w:left w:w="0" w:type="dxa"/>
            <w:bottom w:w="0" w:type="dxa"/>
            <w:right w:w="0" w:type="dxa"/>
          </w:tblCellMar>
        </w:tblPrEx>
        <w:trPr>
          <w:trHeight w:val="1297"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资助评选是否公平公正公开</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是</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是</w:t>
            </w:r>
          </w:p>
        </w:tc>
      </w:tr>
      <w:tr>
        <w:tblPrEx>
          <w:tblCellMar>
            <w:top w:w="0" w:type="dxa"/>
            <w:left w:w="0" w:type="dxa"/>
            <w:bottom w:w="0" w:type="dxa"/>
            <w:right w:w="0" w:type="dxa"/>
          </w:tblCellMar>
        </w:tblPrEx>
        <w:trPr>
          <w:trHeight w:val="1297" w:hRule="atLeast"/>
          <w:jc w:val="center"/>
        </w:trPr>
        <w:tc>
          <w:tcPr>
            <w:tcW w:w="600"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kern w:val="0"/>
                <w:sz w:val="24"/>
                <w:highlight w:val="none"/>
                <w:lang w:bidi="ar"/>
              </w:rPr>
            </w:pPr>
          </w:p>
        </w:tc>
        <w:tc>
          <w:tcPr>
            <w:tcW w:w="116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保障贫困受助学生正常生活</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良好</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良好</w:t>
            </w:r>
          </w:p>
        </w:tc>
      </w:tr>
      <w:tr>
        <w:tblPrEx>
          <w:tblCellMar>
            <w:top w:w="0" w:type="dxa"/>
            <w:left w:w="0" w:type="dxa"/>
            <w:bottom w:w="0" w:type="dxa"/>
            <w:right w:w="0" w:type="dxa"/>
          </w:tblCellMar>
        </w:tblPrEx>
        <w:trPr>
          <w:trHeight w:val="1050" w:hRule="atLeast"/>
          <w:jc w:val="center"/>
        </w:trPr>
        <w:tc>
          <w:tcPr>
            <w:tcW w:w="600" w:type="dxa"/>
            <w:tcBorders>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68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rPr>
                <w:rFonts w:ascii="宋体" w:hAnsi="宋体" w:cs="宋体"/>
                <w:color w:val="auto"/>
                <w:sz w:val="24"/>
                <w:highlight w:val="none"/>
              </w:rPr>
            </w:pPr>
          </w:p>
        </w:tc>
        <w:tc>
          <w:tcPr>
            <w:tcW w:w="11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时效指标</w:t>
            </w:r>
          </w:p>
        </w:tc>
        <w:tc>
          <w:tcPr>
            <w:tcW w:w="244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国家奖助学金完成时间</w:t>
            </w:r>
          </w:p>
        </w:tc>
        <w:tc>
          <w:tcPr>
            <w:tcW w:w="156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2020年12月</w:t>
            </w:r>
          </w:p>
        </w:tc>
        <w:tc>
          <w:tcPr>
            <w:tcW w:w="34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keepNext w:val="0"/>
              <w:keepLines w:val="0"/>
              <w:widowControl/>
              <w:suppressLineNumbers w:val="0"/>
              <w:jc w:val="left"/>
              <w:textAlignment w:val="bottom"/>
              <w:rPr>
                <w:rFonts w:ascii="宋体" w:hAnsi="宋体" w:cs="宋体"/>
                <w:color w:val="auto"/>
                <w:sz w:val="24"/>
                <w:highlight w:val="none"/>
              </w:rPr>
            </w:pPr>
            <w:r>
              <w:rPr>
                <w:rFonts w:hint="default" w:ascii="Arial" w:hAnsi="Arial" w:eastAsia="宋体" w:cs="Arial"/>
                <w:i w:val="0"/>
                <w:color w:val="000000"/>
                <w:kern w:val="0"/>
                <w:sz w:val="20"/>
                <w:szCs w:val="20"/>
                <w:u w:val="none"/>
                <w:lang w:val="en-US" w:eastAsia="zh-CN" w:bidi="ar"/>
              </w:rPr>
              <w:t>2020年12月</w:t>
            </w:r>
          </w:p>
        </w:tc>
      </w:tr>
    </w:tbl>
    <w:p>
      <w:pPr>
        <w:pStyle w:val="6"/>
        <w:rPr>
          <w:rFonts w:ascii="仿宋_GB2312" w:hAnsi="仿宋_GB2312" w:eastAsia="仿宋_GB2312" w:cs="仿宋_GB2312"/>
          <w:color w:val="auto"/>
          <w:sz w:val="32"/>
          <w:szCs w:val="32"/>
          <w:highlight w:val="none"/>
        </w:rPr>
      </w:pPr>
    </w:p>
    <w:p>
      <w:pPr>
        <w:spacing w:line="580" w:lineRule="exact"/>
        <w:ind w:left="630"/>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highlight w:val="none"/>
        </w:rPr>
        <w:t>2.部门绩效评价结果。</w:t>
      </w:r>
    </w:p>
    <w:p>
      <w:pPr>
        <w:spacing w:line="580" w:lineRule="exact"/>
        <w:ind w:firstLine="640"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本部门按要求对20</w:t>
      </w:r>
      <w:r>
        <w:rPr>
          <w:rFonts w:hint="eastAsia" w:ascii="仿宋_GB2312" w:hAnsi="仿宋_GB2312" w:eastAsia="仿宋_GB2312" w:cs="仿宋_GB2312"/>
          <w:color w:val="auto"/>
          <w:sz w:val="32"/>
          <w:szCs w:val="32"/>
          <w:highlight w:val="none"/>
          <w:lang w:val="en-US" w:eastAsia="zh-CN"/>
        </w:rPr>
        <w:t>20</w:t>
      </w:r>
      <w:r>
        <w:rPr>
          <w:rFonts w:hint="eastAsia" w:ascii="仿宋_GB2312" w:hAnsi="仿宋_GB2312" w:eastAsia="仿宋_GB2312" w:cs="仿宋_GB2312"/>
          <w:color w:val="auto"/>
          <w:sz w:val="32"/>
          <w:szCs w:val="32"/>
          <w:highlight w:val="none"/>
        </w:rPr>
        <w:t>年部门整体支出绩效评价情况开展自评，《202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eastAsia="zh-CN"/>
        </w:rPr>
        <w:t>四川省经济和信息化厅</w:t>
      </w:r>
      <w:r>
        <w:rPr>
          <w:rFonts w:hint="eastAsia" w:ascii="仿宋_GB2312" w:hAnsi="仿宋_GB2312" w:eastAsia="仿宋_GB2312" w:cs="仿宋_GB2312"/>
          <w:color w:val="auto"/>
          <w:sz w:val="32"/>
          <w:szCs w:val="32"/>
          <w:highlight w:val="none"/>
        </w:rPr>
        <w:t>部门整体支出绩效评价报告》见附件（附件1）。</w:t>
      </w:r>
    </w:p>
    <w:p>
      <w:pPr>
        <w:spacing w:line="580" w:lineRule="exact"/>
        <w:ind w:firstLine="640" w:firstLineChars="200"/>
        <w:rPr>
          <w:rFonts w:ascii="仿宋_GB2312" w:eastAsia="仿宋_GB2312"/>
          <w:b/>
          <w:color w:val="auto"/>
          <w:sz w:val="32"/>
          <w:szCs w:val="32"/>
          <w:highlight w:val="none"/>
        </w:rPr>
      </w:pPr>
      <w:r>
        <w:rPr>
          <w:rFonts w:hint="eastAsia" w:ascii="仿宋_GB2312" w:hAnsi="仿宋_GB2312" w:eastAsia="仿宋_GB2312" w:cs="仿宋_GB2312"/>
          <w:color w:val="auto"/>
          <w:sz w:val="32"/>
          <w:szCs w:val="32"/>
          <w:highlight w:val="none"/>
        </w:rPr>
        <w:t>本部门自行组织对</w:t>
      </w:r>
      <w:r>
        <w:rPr>
          <w:rFonts w:hint="eastAsia" w:ascii="仿宋_GB2312" w:hAnsi="仿宋_GB2312" w:eastAsia="仿宋_GB2312" w:cs="仿宋_GB2312"/>
          <w:color w:val="auto"/>
          <w:sz w:val="32"/>
          <w:szCs w:val="32"/>
          <w:highlight w:val="none"/>
          <w:lang w:val="en-US" w:eastAsia="zh-CN"/>
        </w:rPr>
        <w:t>2个</w:t>
      </w:r>
      <w:r>
        <w:rPr>
          <w:rFonts w:hint="eastAsia" w:ascii="仿宋_GB2312" w:hAnsi="仿宋_GB2312" w:eastAsia="仿宋_GB2312" w:cs="仿宋_GB2312"/>
          <w:color w:val="auto"/>
          <w:sz w:val="32"/>
          <w:szCs w:val="32"/>
          <w:highlight w:val="none"/>
        </w:rPr>
        <w:t>专项项目、</w:t>
      </w:r>
      <w:r>
        <w:rPr>
          <w:rFonts w:hint="eastAsia" w:ascii="仿宋_GB2312" w:hAnsi="仿宋_GB2312" w:eastAsia="仿宋_GB2312" w:cs="仿宋_GB2312"/>
          <w:color w:val="auto"/>
          <w:sz w:val="32"/>
          <w:szCs w:val="32"/>
          <w:highlight w:val="none"/>
          <w:lang w:val="en-US" w:eastAsia="zh-CN"/>
        </w:rPr>
        <w:t>5个</w:t>
      </w:r>
      <w:r>
        <w:rPr>
          <w:rFonts w:hint="eastAsia" w:ascii="仿宋_GB2312" w:hAnsi="仿宋_GB2312" w:eastAsia="仿宋_GB2312" w:cs="仿宋_GB2312"/>
          <w:color w:val="auto"/>
          <w:sz w:val="32"/>
          <w:szCs w:val="32"/>
          <w:highlight w:val="none"/>
        </w:rPr>
        <w:t>部门预算项目开展了绩效评价，</w:t>
      </w:r>
      <w:r>
        <w:rPr>
          <w:rFonts w:hint="eastAsia" w:ascii="仿宋_GB2312" w:hAnsi="仿宋_GB2312" w:eastAsia="仿宋_GB2312" w:cs="仿宋_GB2312"/>
          <w:color w:val="auto"/>
          <w:sz w:val="32"/>
          <w:szCs w:val="32"/>
          <w:highlight w:val="none"/>
          <w:lang w:eastAsia="zh-CN"/>
        </w:rPr>
        <w:t>具体见</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年项目支出绩效自评报告》（附件2）</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年部门预算项目支出绩效自评报告》（附件3）</w:t>
      </w:r>
    </w:p>
    <w:p>
      <w:pPr>
        <w:numPr>
          <w:ilvl w:val="0"/>
          <w:numId w:val="4"/>
        </w:numPr>
        <w:spacing w:line="600" w:lineRule="exact"/>
        <w:ind w:firstLine="663" w:firstLineChars="150"/>
        <w:jc w:val="center"/>
        <w:outlineLvl w:val="0"/>
        <w:rPr>
          <w:rStyle w:val="25"/>
          <w:rFonts w:ascii="黑体" w:hAnsi="黑体" w:eastAsia="黑体"/>
          <w:b w:val="0"/>
          <w:color w:val="auto"/>
          <w:highlight w:val="none"/>
        </w:rPr>
      </w:pPr>
      <w:bookmarkStart w:id="55" w:name="_Toc15377226"/>
      <w:r>
        <w:rPr>
          <w:rFonts w:ascii="宋体"/>
          <w:b/>
          <w:color w:val="auto"/>
          <w:sz w:val="44"/>
          <w:szCs w:val="44"/>
          <w:highlight w:val="none"/>
        </w:rPr>
        <w:br w:type="page"/>
      </w:r>
      <w:bookmarkStart w:id="56" w:name="_Toc15396614"/>
      <w:r>
        <w:rPr>
          <w:rFonts w:hint="eastAsia" w:ascii="宋体"/>
          <w:b/>
          <w:color w:val="auto"/>
          <w:sz w:val="44"/>
          <w:szCs w:val="44"/>
          <w:highlight w:val="none"/>
          <w:lang w:val="en-US" w:eastAsia="zh-CN"/>
        </w:rPr>
        <w:t xml:space="preserve"> </w:t>
      </w:r>
      <w:bookmarkStart w:id="57" w:name="_Toc15377225"/>
      <w:bookmarkStart w:id="58"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57"/>
      <w:bookmarkEnd w:id="58"/>
    </w:p>
    <w:p>
      <w:pPr>
        <w:spacing w:line="600" w:lineRule="exact"/>
        <w:jc w:val="left"/>
        <w:rPr>
          <w:rFonts w:ascii="宋体"/>
          <w:b/>
          <w:color w:val="auto"/>
          <w:sz w:val="44"/>
          <w:szCs w:val="44"/>
          <w:highlight w:val="none"/>
        </w:rPr>
      </w:pP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3"/>
        <w:spacing w:line="56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事业收入：指事业单位开展专业业务活动及辅助活动取得的收入。如教育性收入、设计费收入等</w:t>
      </w:r>
      <w:r>
        <w:rPr>
          <w:rFonts w:hint="eastAsia" w:ascii="仿宋_GB2312" w:eastAsia="仿宋_GB2312"/>
          <w:color w:val="auto"/>
          <w:sz w:val="32"/>
          <w:szCs w:val="32"/>
          <w:highlight w:val="none"/>
          <w:lang w:eastAsia="zh-CN"/>
        </w:rPr>
        <w:t>。</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经营收入：指事业单位在专业业务活动及其辅助活动之外开展非独立核算经营活动取得的收入。如监测环境、基站检测等收入等。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其他收入：指单位取得的除上述收入以外的各项收入。主要是房租收入、咨询费收入、四川工程职业技学院上缴当地财政教育收入等。</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3"/>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rPr>
        <w:t>、年末结转和结余：指单位按有关规定结转到下年或以后年度继续使用的资金。</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一般公共服务（类）组织事务（款）一般行政管理事务（项）：指</w:t>
      </w:r>
      <w:r>
        <w:rPr>
          <w:rFonts w:hint="eastAsia" w:ascii="仿宋_GB2312" w:eastAsia="仿宋_GB2312"/>
          <w:color w:val="auto"/>
          <w:sz w:val="32"/>
          <w:szCs w:val="32"/>
          <w:highlight w:val="none"/>
          <w:lang w:eastAsia="zh-CN"/>
        </w:rPr>
        <w:t>行政单位（包括实行公务员管理的事业单位）为单独设置项级科目的其他项目支出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10.</w:t>
      </w:r>
      <w:r>
        <w:rPr>
          <w:rFonts w:hint="eastAsia" w:ascii="仿宋_GB2312" w:eastAsia="仿宋_GB2312"/>
          <w:color w:val="auto"/>
          <w:sz w:val="32"/>
          <w:szCs w:val="32"/>
          <w:highlight w:val="none"/>
        </w:rPr>
        <w:t>一般公共服务（类）市场监督管理事务（款）其他市场监督管理事务（项）：指其他市场监督管理事务</w:t>
      </w:r>
      <w:r>
        <w:rPr>
          <w:rFonts w:hint="eastAsia" w:ascii="仿宋_GB2312" w:eastAsia="仿宋_GB2312"/>
          <w:color w:val="auto"/>
          <w:sz w:val="32"/>
          <w:szCs w:val="32"/>
          <w:highlight w:val="none"/>
          <w:lang w:eastAsia="zh-CN"/>
        </w:rPr>
        <w:t>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11.</w:t>
      </w:r>
      <w:r>
        <w:rPr>
          <w:rFonts w:hint="eastAsia" w:ascii="仿宋_GB2312" w:eastAsia="仿宋_GB2312"/>
          <w:color w:val="auto"/>
          <w:sz w:val="32"/>
          <w:szCs w:val="32"/>
          <w:highlight w:val="none"/>
        </w:rPr>
        <w:t>一般公共服务（类）其他一般公共服务支出（款）其他一般公共服务支出（项）：指其他一般公共服务支出。</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12.</w:t>
      </w:r>
      <w:r>
        <w:rPr>
          <w:rFonts w:hint="eastAsia" w:ascii="仿宋_GB2312" w:eastAsia="仿宋_GB2312"/>
          <w:color w:val="auto"/>
          <w:sz w:val="32"/>
          <w:szCs w:val="32"/>
          <w:highlight w:val="none"/>
        </w:rPr>
        <w:t>教育（类）普通教育（款）学前教育（项）：指各</w:t>
      </w:r>
    </w:p>
    <w:p>
      <w:pPr>
        <w:rPr>
          <w:rFonts w:ascii="仿宋_GB2312" w:eastAsia="仿宋_GB2312"/>
          <w:color w:val="auto"/>
          <w:sz w:val="32"/>
          <w:szCs w:val="32"/>
          <w:highlight w:val="none"/>
        </w:rPr>
      </w:pPr>
      <w:r>
        <w:rPr>
          <w:rFonts w:hint="eastAsia" w:ascii="仿宋_GB2312" w:eastAsia="仿宋_GB2312"/>
          <w:color w:val="auto"/>
          <w:sz w:val="32"/>
          <w:szCs w:val="32"/>
          <w:highlight w:val="none"/>
        </w:rPr>
        <w:t>单位举办的学前教育支出。。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13.</w:t>
      </w:r>
      <w:r>
        <w:rPr>
          <w:rFonts w:hint="eastAsia" w:ascii="仿宋_GB2312" w:eastAsia="仿宋_GB2312"/>
          <w:color w:val="auto"/>
          <w:sz w:val="32"/>
          <w:szCs w:val="32"/>
          <w:highlight w:val="none"/>
        </w:rPr>
        <w:t>教育（类）普通教育（款）高等教育（项）：指国家批准设立的中央和省、自治区、直辖市各部门所属的全日制普通高等院校（包括研究生）的支出。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14.</w:t>
      </w:r>
      <w:r>
        <w:rPr>
          <w:rFonts w:hint="eastAsia" w:ascii="仿宋_GB2312" w:eastAsia="仿宋_GB2312"/>
          <w:color w:val="auto"/>
          <w:sz w:val="32"/>
          <w:szCs w:val="32"/>
          <w:highlight w:val="none"/>
        </w:rPr>
        <w:t>教育（类）职业教育（款）中等职业教育（项）：指各部门（不含人力资源社会保障部门）举办的中等业学校支出。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15.</w:t>
      </w:r>
      <w:r>
        <w:rPr>
          <w:rFonts w:hint="eastAsia" w:ascii="仿宋_GB2312" w:eastAsia="仿宋_GB2312"/>
          <w:color w:val="auto"/>
          <w:sz w:val="32"/>
          <w:szCs w:val="32"/>
          <w:highlight w:val="none"/>
        </w:rPr>
        <w:t>教育（类）职业教育（款）技校教育（项）：指人力资源社会保障部门举办的技工学校支出。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16.</w:t>
      </w:r>
      <w:r>
        <w:rPr>
          <w:rFonts w:hint="eastAsia" w:ascii="仿宋_GB2312" w:eastAsia="仿宋_GB2312"/>
          <w:color w:val="auto"/>
          <w:sz w:val="32"/>
          <w:szCs w:val="32"/>
          <w:highlight w:val="none"/>
        </w:rPr>
        <w:t>教育（类）职业教育（款）高等职业教育（项）：国家批准设立的高等职业大学、专科职业教育等面的支出。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17.</w:t>
      </w:r>
      <w:r>
        <w:rPr>
          <w:rFonts w:hint="eastAsia" w:ascii="仿宋_GB2312" w:eastAsia="仿宋_GB2312"/>
          <w:color w:val="auto"/>
          <w:sz w:val="32"/>
          <w:szCs w:val="32"/>
          <w:highlight w:val="none"/>
        </w:rPr>
        <w:t>教育（类）成人教育（款）其他成人教育支出（项）：指其他用于</w:t>
      </w:r>
      <w:r>
        <w:rPr>
          <w:rFonts w:hint="eastAsia" w:ascii="仿宋_GB2312" w:eastAsia="仿宋_GB2312"/>
          <w:color w:val="auto"/>
          <w:sz w:val="32"/>
          <w:szCs w:val="32"/>
          <w:highlight w:val="none"/>
          <w:lang w:eastAsia="zh-CN"/>
        </w:rPr>
        <w:t>成人</w:t>
      </w:r>
      <w:r>
        <w:rPr>
          <w:rFonts w:hint="eastAsia" w:ascii="仿宋_GB2312" w:eastAsia="仿宋_GB2312"/>
          <w:color w:val="auto"/>
          <w:sz w:val="32"/>
          <w:szCs w:val="32"/>
          <w:highlight w:val="none"/>
        </w:rPr>
        <w:t>教育方面的支出。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18.</w:t>
      </w:r>
      <w:r>
        <w:rPr>
          <w:rFonts w:hint="eastAsia" w:ascii="仿宋_GB2312" w:eastAsia="仿宋_GB2312"/>
          <w:color w:val="auto"/>
          <w:sz w:val="32"/>
          <w:szCs w:val="32"/>
          <w:highlight w:val="none"/>
        </w:rPr>
        <w:t>教育（类）进修及培训（款）培训支出（项）：指各</w:t>
      </w:r>
      <w:r>
        <w:rPr>
          <w:rFonts w:hint="eastAsia" w:ascii="仿宋_GB2312" w:eastAsia="仿宋_GB2312"/>
          <w:color w:val="auto"/>
          <w:sz w:val="32"/>
          <w:szCs w:val="32"/>
          <w:highlight w:val="none"/>
          <w:lang w:eastAsia="zh-CN"/>
        </w:rPr>
        <w:t>部门</w:t>
      </w:r>
      <w:r>
        <w:rPr>
          <w:rFonts w:hint="eastAsia" w:ascii="仿宋_GB2312" w:eastAsia="仿宋_GB2312"/>
          <w:color w:val="auto"/>
          <w:sz w:val="32"/>
          <w:szCs w:val="32"/>
          <w:highlight w:val="none"/>
        </w:rPr>
        <w:t>安排的用于培训的支出。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19.</w:t>
      </w:r>
      <w:r>
        <w:rPr>
          <w:rFonts w:hint="eastAsia" w:ascii="仿宋_GB2312" w:eastAsia="仿宋_GB2312"/>
          <w:color w:val="auto"/>
          <w:sz w:val="32"/>
          <w:szCs w:val="32"/>
          <w:highlight w:val="none"/>
        </w:rPr>
        <w:t>教育（类）进修及培训（款）其他进修及培训（项）：指其他用于进修及培训方面的支出。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rPr>
        <w:t>教育（类）其他教育支出（款）其他教育支出（项）：指其他用于教育方面的支出。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21.</w:t>
      </w:r>
      <w:r>
        <w:rPr>
          <w:rFonts w:hint="eastAsia" w:ascii="仿宋_GB2312" w:eastAsia="仿宋_GB2312"/>
          <w:color w:val="auto"/>
          <w:sz w:val="32"/>
          <w:szCs w:val="32"/>
          <w:highlight w:val="none"/>
        </w:rPr>
        <w:t>科学技术（类）应用研究（款）机构运行（项）：指应用研究机构的基本支出。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22.</w:t>
      </w:r>
      <w:r>
        <w:rPr>
          <w:rFonts w:hint="eastAsia" w:ascii="仿宋_GB2312" w:eastAsia="仿宋_GB2312"/>
          <w:color w:val="auto"/>
          <w:sz w:val="32"/>
          <w:szCs w:val="32"/>
          <w:highlight w:val="none"/>
        </w:rPr>
        <w:t>科学技术（类）应用研究（款）社会公益研究（项）：指指从事卫生、劳动保护、计划生育、环境科学、农业等社会公益专项科研方面的支出。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23.</w:t>
      </w:r>
      <w:r>
        <w:rPr>
          <w:rFonts w:hint="eastAsia" w:ascii="仿宋_GB2312" w:eastAsia="仿宋_GB2312"/>
          <w:color w:val="auto"/>
          <w:sz w:val="32"/>
          <w:szCs w:val="32"/>
          <w:highlight w:val="none"/>
        </w:rPr>
        <w:t>科学技术（类）技术研究与开发（款）科技成果转化与扩散（项）：指指促进科技成果转化为现实生产力的应用、推广和引导性支出，以及基本建设支出中用于支持企业科技自主创新的支出。</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24.</w:t>
      </w:r>
      <w:r>
        <w:rPr>
          <w:rFonts w:hint="eastAsia" w:ascii="仿宋_GB2312" w:eastAsia="仿宋_GB2312"/>
          <w:color w:val="auto"/>
          <w:sz w:val="32"/>
          <w:szCs w:val="32"/>
          <w:highlight w:val="none"/>
        </w:rPr>
        <w:t>科学技术（类）技术研究与开发（款）其他技术研究与开发支出（项）：指</w:t>
      </w:r>
      <w:r>
        <w:rPr>
          <w:rFonts w:hint="eastAsia" w:ascii="仿宋_GB2312" w:eastAsia="仿宋_GB2312"/>
          <w:color w:val="auto"/>
          <w:sz w:val="32"/>
          <w:szCs w:val="32"/>
          <w:highlight w:val="none"/>
          <w:lang w:eastAsia="zh-CN"/>
        </w:rPr>
        <w:t>其他用于技术研究与开发方面的支出</w:t>
      </w:r>
      <w:r>
        <w:rPr>
          <w:rFonts w:hint="eastAsia" w:ascii="仿宋_GB2312" w:eastAsia="仿宋_GB2312"/>
          <w:color w:val="auto"/>
          <w:sz w:val="32"/>
          <w:szCs w:val="32"/>
          <w:highlight w:val="none"/>
        </w:rPr>
        <w:t>。</w:t>
      </w:r>
    </w:p>
    <w:p>
      <w:pPr>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25.</w:t>
      </w:r>
      <w:r>
        <w:rPr>
          <w:rFonts w:hint="eastAsia" w:ascii="仿宋_GB2312" w:eastAsia="仿宋_GB2312"/>
          <w:color w:val="auto"/>
          <w:sz w:val="32"/>
          <w:szCs w:val="32"/>
          <w:highlight w:val="none"/>
        </w:rPr>
        <w:t>科学技术（类）科技重大项目（款）重点研发计划（项）：指重点研发计划</w:t>
      </w:r>
      <w:r>
        <w:rPr>
          <w:rFonts w:hint="eastAsia" w:ascii="仿宋_GB2312" w:eastAsia="仿宋_GB2312"/>
          <w:color w:val="auto"/>
          <w:sz w:val="32"/>
          <w:szCs w:val="32"/>
          <w:highlight w:val="none"/>
          <w:lang w:eastAsia="zh-CN"/>
        </w:rPr>
        <w:t>的经费支出</w:t>
      </w:r>
      <w:r>
        <w:rPr>
          <w:rFonts w:hint="eastAsia" w:ascii="仿宋_GB2312" w:eastAsia="仿宋_GB2312"/>
          <w:color w:val="auto"/>
          <w:sz w:val="32"/>
          <w:szCs w:val="32"/>
          <w:highlight w:val="none"/>
        </w:rPr>
        <w:t>。</w:t>
      </w:r>
    </w:p>
    <w:p>
      <w:pPr>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26.</w:t>
      </w:r>
      <w:r>
        <w:rPr>
          <w:rFonts w:hint="eastAsia" w:ascii="仿宋_GB2312" w:eastAsia="仿宋_GB2312"/>
          <w:color w:val="auto"/>
          <w:sz w:val="32"/>
          <w:szCs w:val="32"/>
          <w:highlight w:val="none"/>
        </w:rPr>
        <w:t>社会保障和就业（类）行政事业单位养老支出（款）行政单位离退休（项）：指</w:t>
      </w:r>
      <w:r>
        <w:rPr>
          <w:rFonts w:hint="eastAsia" w:ascii="仿宋_GB2312" w:eastAsia="仿宋_GB2312"/>
          <w:color w:val="auto"/>
          <w:sz w:val="32"/>
          <w:szCs w:val="32"/>
          <w:highlight w:val="none"/>
          <w:lang w:eastAsia="zh-CN"/>
        </w:rPr>
        <w:t>行</w:t>
      </w:r>
      <w:r>
        <w:rPr>
          <w:rFonts w:hint="eastAsia" w:ascii="仿宋_GB2312" w:eastAsia="仿宋_GB2312"/>
          <w:color w:val="auto"/>
          <w:sz w:val="32"/>
          <w:szCs w:val="32"/>
          <w:highlight w:val="none"/>
        </w:rPr>
        <w:t>政单位(包括实行公务员管理的事业单位）开支的离退休经费。</w:t>
      </w:r>
    </w:p>
    <w:p>
      <w:pPr>
        <w:pStyle w:val="34"/>
        <w:ind w:left="0" w:leftChars="0" w:firstLine="640" w:firstLineChars="0"/>
        <w:rPr>
          <w:rFonts w:hint="eastAsia" w:ascii="仿宋_GB2312"/>
          <w:color w:val="auto"/>
          <w:sz w:val="32"/>
          <w:szCs w:val="32"/>
          <w:highlight w:val="none"/>
          <w:lang w:eastAsia="zh-CN"/>
        </w:rPr>
      </w:pPr>
      <w:r>
        <w:rPr>
          <w:rFonts w:hint="eastAsia" w:ascii="仿宋_GB2312"/>
          <w:color w:val="auto"/>
          <w:sz w:val="32"/>
          <w:szCs w:val="32"/>
          <w:highlight w:val="none"/>
          <w:lang w:val="en-US" w:eastAsia="zh-CN"/>
        </w:rPr>
        <w:t>27</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社会保障和就业（类）行政事业单位养老支出（款）事业单位离退休（项）：</w:t>
      </w:r>
      <w:r>
        <w:rPr>
          <w:rFonts w:hint="eastAsia" w:ascii="仿宋_GB2312"/>
          <w:color w:val="auto"/>
          <w:sz w:val="32"/>
          <w:szCs w:val="32"/>
          <w:highlight w:val="none"/>
          <w:lang w:eastAsia="zh-CN"/>
        </w:rPr>
        <w:t>指事业单位开支的离退休经费。</w:t>
      </w:r>
    </w:p>
    <w:p>
      <w:pPr>
        <w:ind w:firstLine="640"/>
        <w:rPr>
          <w:rFonts w:hint="eastAsia" w:ascii="仿宋_GB2312" w:eastAsia="仿宋_GB2312"/>
          <w:color w:val="auto"/>
          <w:sz w:val="32"/>
          <w:szCs w:val="32"/>
          <w:highlight w:val="none"/>
          <w:lang w:eastAsia="zh-CN"/>
        </w:rPr>
      </w:pPr>
      <w:r>
        <w:rPr>
          <w:rFonts w:hint="eastAsia" w:ascii="仿宋_GB2312"/>
          <w:color w:val="auto"/>
          <w:sz w:val="32"/>
          <w:szCs w:val="32"/>
          <w:highlight w:val="none"/>
          <w:lang w:val="en-US" w:eastAsia="zh-CN"/>
        </w:rPr>
        <w:t>28</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社会保障和就业（类）行政事业单位养老支出（款）机关事业单位基本养老保险缴费支出（项）</w:t>
      </w:r>
      <w:r>
        <w:rPr>
          <w:rFonts w:hint="eastAsia" w:ascii="仿宋_GB2312" w:eastAsia="仿宋_GB2312"/>
          <w:color w:val="auto"/>
          <w:sz w:val="32"/>
          <w:szCs w:val="32"/>
          <w:highlight w:val="none"/>
          <w:lang w:eastAsia="zh-CN"/>
        </w:rPr>
        <w:t>：</w:t>
      </w:r>
      <w:r>
        <w:rPr>
          <w:rFonts w:hint="eastAsia" w:ascii="仿宋_GB2312"/>
          <w:color w:val="auto"/>
          <w:sz w:val="32"/>
          <w:szCs w:val="32"/>
          <w:highlight w:val="none"/>
          <w:lang w:eastAsia="zh-CN"/>
        </w:rPr>
        <w:t>指</w:t>
      </w:r>
      <w:r>
        <w:rPr>
          <w:rFonts w:hint="eastAsia" w:ascii="仿宋_GB2312" w:eastAsia="仿宋_GB2312"/>
          <w:color w:val="auto"/>
          <w:sz w:val="32"/>
          <w:szCs w:val="32"/>
          <w:highlight w:val="none"/>
          <w:lang w:eastAsia="zh-CN"/>
        </w:rPr>
        <w:t>机关事业单位实施养老保险制度由单位缴纳的基本养老保险费支出。</w:t>
      </w:r>
    </w:p>
    <w:p>
      <w:pPr>
        <w:ind w:firstLine="640"/>
        <w:rPr>
          <w:rFonts w:hint="eastAsia" w:ascii="仿宋_GB2312" w:eastAsia="仿宋_GB2312"/>
          <w:color w:val="auto"/>
          <w:sz w:val="32"/>
          <w:szCs w:val="32"/>
          <w:highlight w:val="none"/>
          <w:lang w:val="en-US" w:eastAsia="zh-CN"/>
        </w:rPr>
      </w:pPr>
      <w:r>
        <w:rPr>
          <w:rFonts w:hint="eastAsia" w:ascii="仿宋_GB2312"/>
          <w:color w:val="auto"/>
          <w:sz w:val="32"/>
          <w:szCs w:val="32"/>
          <w:highlight w:val="none"/>
          <w:lang w:val="en-US" w:eastAsia="zh-CN"/>
        </w:rPr>
        <w:t>29</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社会保障和就业（类）行政事业单位养老支出（款）机关事业单位职业年金缴费支出（项）</w:t>
      </w:r>
      <w:r>
        <w:rPr>
          <w:rFonts w:hint="eastAsia" w:ascii="仿宋_GB2312" w:eastAsia="仿宋_GB2312"/>
          <w:color w:val="auto"/>
          <w:sz w:val="32"/>
          <w:szCs w:val="32"/>
          <w:highlight w:val="none"/>
          <w:lang w:eastAsia="zh-CN"/>
        </w:rPr>
        <w:t>：指机关事业单位实施养老保险制度由单位实际缴纳的职业年金支出。</w:t>
      </w:r>
    </w:p>
    <w:p>
      <w:pPr>
        <w:pStyle w:val="34"/>
        <w:ind w:left="0" w:leftChars="0" w:firstLine="640" w:firstLineChars="0"/>
        <w:rPr>
          <w:rFonts w:hint="eastAsia" w:ascii="仿宋_GB2312" w:eastAsia="仿宋_GB2312"/>
          <w:color w:val="auto"/>
          <w:sz w:val="32"/>
          <w:szCs w:val="32"/>
          <w:highlight w:val="none"/>
        </w:rPr>
      </w:pPr>
      <w:r>
        <w:rPr>
          <w:rFonts w:hint="eastAsia" w:ascii="仿宋_GB2312"/>
          <w:color w:val="auto"/>
          <w:sz w:val="32"/>
          <w:szCs w:val="32"/>
          <w:highlight w:val="none"/>
          <w:lang w:val="en-US" w:eastAsia="zh-CN"/>
        </w:rPr>
        <w:t>30</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社会保障和就业（类）企业改革补助（款）其他企业改革发展补助（项）：指其他财政用于企业改革发展方面</w:t>
      </w:r>
    </w:p>
    <w:p>
      <w:pPr>
        <w:pStyle w:val="34"/>
        <w:ind w:left="0" w:leftChars="0" w:firstLine="0" w:firstLineChars="0"/>
        <w:rPr>
          <w:rFonts w:hint="eastAsia" w:ascii="仿宋_GB2312"/>
          <w:color w:val="auto"/>
          <w:sz w:val="32"/>
          <w:szCs w:val="32"/>
          <w:highlight w:val="none"/>
          <w:lang w:eastAsia="zh-CN"/>
        </w:rPr>
      </w:pPr>
      <w:r>
        <w:rPr>
          <w:rFonts w:hint="eastAsia" w:ascii="仿宋_GB2312" w:eastAsia="仿宋_GB2312"/>
          <w:color w:val="auto"/>
          <w:sz w:val="32"/>
          <w:szCs w:val="32"/>
          <w:highlight w:val="none"/>
        </w:rPr>
        <w:t>的补助</w:t>
      </w:r>
      <w:r>
        <w:rPr>
          <w:rFonts w:hint="eastAsia" w:ascii="仿宋_GB2312"/>
          <w:color w:val="auto"/>
          <w:sz w:val="32"/>
          <w:szCs w:val="32"/>
          <w:highlight w:val="none"/>
          <w:lang w:eastAsia="zh-CN"/>
        </w:rPr>
        <w:t>。</w:t>
      </w:r>
    </w:p>
    <w:p>
      <w:pPr>
        <w:pStyle w:val="34"/>
        <w:ind w:left="0" w:leftChars="0" w:firstLine="640" w:firstLineChars="0"/>
        <w:rPr>
          <w:rFonts w:hint="eastAsia" w:ascii="仿宋_GB2312"/>
          <w:color w:val="auto"/>
          <w:sz w:val="32"/>
          <w:szCs w:val="32"/>
          <w:highlight w:val="none"/>
          <w:lang w:eastAsia="zh-CN"/>
        </w:rPr>
      </w:pPr>
      <w:r>
        <w:rPr>
          <w:rFonts w:hint="eastAsia" w:ascii="仿宋_GB2312"/>
          <w:color w:val="auto"/>
          <w:sz w:val="32"/>
          <w:szCs w:val="32"/>
          <w:highlight w:val="none"/>
          <w:lang w:val="en-US" w:eastAsia="zh-CN"/>
        </w:rPr>
        <w:t>31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社会保障和就业（类）抚恤（款）死亡抚恤（项）：</w:t>
      </w:r>
      <w:r>
        <w:rPr>
          <w:rFonts w:hint="eastAsia" w:ascii="仿宋_GB2312"/>
          <w:color w:val="auto"/>
          <w:sz w:val="32"/>
          <w:szCs w:val="32"/>
          <w:highlight w:val="none"/>
          <w:lang w:eastAsia="zh-CN"/>
        </w:rPr>
        <w:t>指指按规定用于烈士和牺牲、病故人员家属的一次性和定期抚恤金以及丧葬补助费。</w:t>
      </w:r>
    </w:p>
    <w:p>
      <w:pPr>
        <w:pStyle w:val="34"/>
        <w:ind w:left="0" w:leftChars="0" w:firstLine="640" w:firstLineChars="0"/>
        <w:rPr>
          <w:rFonts w:hint="eastAsia" w:ascii="仿宋_GB2312"/>
          <w:color w:val="auto"/>
          <w:sz w:val="32"/>
          <w:szCs w:val="32"/>
          <w:highlight w:val="none"/>
          <w:lang w:eastAsia="zh-CN"/>
        </w:rPr>
      </w:pPr>
      <w:r>
        <w:rPr>
          <w:rFonts w:hint="eastAsia" w:ascii="仿宋_GB2312"/>
          <w:color w:val="auto"/>
          <w:sz w:val="32"/>
          <w:szCs w:val="32"/>
          <w:highlight w:val="none"/>
          <w:lang w:val="en-US" w:eastAsia="zh-CN"/>
        </w:rPr>
        <w:t>32</w:t>
      </w:r>
      <w:r>
        <w:rPr>
          <w:rFonts w:ascii="仿宋_GB2312" w:eastAsia="仿宋_GB2312"/>
          <w:color w:val="auto"/>
          <w:sz w:val="32"/>
          <w:szCs w:val="32"/>
          <w:highlight w:val="none"/>
        </w:rPr>
        <w:t>.</w:t>
      </w:r>
      <w:r>
        <w:rPr>
          <w:rFonts w:hint="eastAsia" w:ascii="仿宋_GB2312" w:eastAsia="仿宋_GB2312"/>
          <w:color w:val="auto"/>
          <w:sz w:val="32"/>
          <w:szCs w:val="32"/>
          <w:highlight w:val="none"/>
        </w:rPr>
        <w:t>社会保障和就业（类）其他社会保障和就业支出（款）</w:t>
      </w:r>
      <w:r>
        <w:rPr>
          <w:rFonts w:hint="eastAsia" w:ascii="仿宋_GB2312"/>
          <w:color w:val="auto"/>
          <w:sz w:val="32"/>
          <w:szCs w:val="32"/>
          <w:highlight w:val="none"/>
          <w:lang w:eastAsia="zh-CN"/>
        </w:rPr>
        <w:t>其</w:t>
      </w:r>
      <w:r>
        <w:rPr>
          <w:rFonts w:hint="eastAsia" w:ascii="仿宋_GB2312" w:eastAsia="仿宋_GB2312"/>
          <w:color w:val="auto"/>
          <w:sz w:val="32"/>
          <w:szCs w:val="32"/>
          <w:highlight w:val="none"/>
        </w:rPr>
        <w:t>他社会保障和就业支出（项）：</w:t>
      </w:r>
      <w:r>
        <w:rPr>
          <w:rFonts w:hint="eastAsia" w:ascii="仿宋_GB2312"/>
          <w:color w:val="auto"/>
          <w:sz w:val="32"/>
          <w:szCs w:val="32"/>
          <w:highlight w:val="none"/>
          <w:lang w:eastAsia="zh-CN"/>
        </w:rPr>
        <w:t>指其他用于社会保障和就业方面的支出。</w:t>
      </w:r>
    </w:p>
    <w:p>
      <w:pPr>
        <w:pStyle w:val="34"/>
        <w:ind w:left="0" w:leftChars="0" w:firstLine="640" w:firstLineChars="0"/>
        <w:rPr>
          <w:rFonts w:hint="eastAsia" w:ascii="仿宋_GB2312"/>
          <w:color w:val="auto"/>
          <w:sz w:val="32"/>
          <w:szCs w:val="32"/>
          <w:highlight w:val="none"/>
          <w:lang w:eastAsia="zh-CN"/>
        </w:rPr>
      </w:pPr>
      <w:r>
        <w:rPr>
          <w:rFonts w:hint="eastAsia" w:ascii="仿宋_GB2312"/>
          <w:color w:val="auto"/>
          <w:sz w:val="32"/>
          <w:szCs w:val="32"/>
          <w:highlight w:val="none"/>
          <w:lang w:val="en-US" w:eastAsia="zh-CN"/>
        </w:rPr>
        <w:t>33</w:t>
      </w:r>
      <w:r>
        <w:rPr>
          <w:rFonts w:ascii="仿宋_GB2312" w:eastAsia="仿宋_GB2312"/>
          <w:color w:val="auto"/>
          <w:sz w:val="32"/>
          <w:szCs w:val="32"/>
          <w:highlight w:val="none"/>
        </w:rPr>
        <w:t>.</w:t>
      </w:r>
      <w:r>
        <w:rPr>
          <w:rFonts w:hint="eastAsia" w:ascii="仿宋_GB2312" w:eastAsia="仿宋_GB2312"/>
          <w:color w:val="auto"/>
          <w:sz w:val="32"/>
          <w:szCs w:val="32"/>
          <w:highlight w:val="none"/>
        </w:rPr>
        <w:t>卫生健康支出（类）行政事业单位医疗（款）行政单位医疗（项）：财政部门安排的行政单位(包括实行公务员管理的事业单位，下同）基本医疗保险缴费经费，未参加医疗保险的行政单位的公费医疗经费，按国家规定享受离休人员、红军老战士待遇人员的医疗经费。</w:t>
      </w:r>
    </w:p>
    <w:p>
      <w:pPr>
        <w:pStyle w:val="34"/>
        <w:ind w:left="0" w:leftChars="0" w:firstLine="640" w:firstLineChars="200"/>
        <w:rPr>
          <w:rFonts w:hint="eastAsia"/>
          <w:lang w:val="en-US" w:eastAsia="zh-CN"/>
        </w:rPr>
      </w:pPr>
      <w:r>
        <w:rPr>
          <w:rFonts w:hint="eastAsia"/>
          <w:lang w:val="en-US" w:eastAsia="zh-CN"/>
        </w:rPr>
        <w:t>34.卫生健康支出（类）行政事业单位医疗（款）事业单位医疗（项）：指政部门安排的事业单位基本医疗保险缴费经费，未参加医疗保险的事业单位的公费医疗经费，按国家规定享受离休人员待遇的医疗经费。</w:t>
      </w:r>
    </w:p>
    <w:p>
      <w:pPr>
        <w:pStyle w:val="34"/>
        <w:ind w:left="0" w:leftChars="0" w:firstLine="640" w:firstLineChars="200"/>
        <w:rPr>
          <w:rFonts w:hint="eastAsia"/>
          <w:lang w:val="en-US" w:eastAsia="zh-CN"/>
        </w:rPr>
      </w:pPr>
      <w:r>
        <w:rPr>
          <w:rFonts w:hint="eastAsia"/>
          <w:lang w:val="en-US" w:eastAsia="zh-CN"/>
        </w:rPr>
        <w:t>35.卫生健康支出（类）行政事业单位医疗（款）公务员医疗补助（项）：指财政部门安排的公务员医疗补助经费。</w:t>
      </w:r>
    </w:p>
    <w:p>
      <w:pPr>
        <w:pStyle w:val="34"/>
        <w:ind w:left="0" w:leftChars="0" w:firstLine="640" w:firstLineChars="200"/>
        <w:rPr>
          <w:rFonts w:hint="eastAsia"/>
          <w:lang w:val="en-US" w:eastAsia="zh-CN"/>
        </w:rPr>
      </w:pPr>
      <w:r>
        <w:rPr>
          <w:rFonts w:hint="eastAsia"/>
          <w:lang w:val="en-US" w:eastAsia="zh-CN"/>
        </w:rPr>
        <w:t>36.节能环保支出（类）环境监测与监察（款）其他环境监测与监察支出（项）：指其他用于环境监测与监察方面的支出。</w:t>
      </w:r>
    </w:p>
    <w:p>
      <w:pPr>
        <w:pStyle w:val="34"/>
        <w:ind w:left="0" w:leftChars="0" w:firstLine="640" w:firstLineChars="200"/>
        <w:rPr>
          <w:rFonts w:hint="eastAsia"/>
          <w:lang w:val="en-US" w:eastAsia="zh-CN"/>
        </w:rPr>
      </w:pPr>
      <w:r>
        <w:rPr>
          <w:rFonts w:hint="eastAsia"/>
          <w:lang w:val="en-US" w:eastAsia="zh-CN"/>
        </w:rPr>
        <w:t>37.城乡社区支出（类）建设市场管理与监督（款）建设市场管理与监督（项）：指各类建筑工程强制性和推荐性标准及规范的制定与修改、建筑工程招投标等市场管理、建筑工程质量与安全监督等方面的支出。</w:t>
      </w:r>
    </w:p>
    <w:p>
      <w:pPr>
        <w:pStyle w:val="34"/>
        <w:ind w:left="0" w:leftChars="0" w:firstLine="640" w:firstLineChars="200"/>
        <w:rPr>
          <w:rFonts w:hint="eastAsia"/>
          <w:lang w:val="en-US" w:eastAsia="zh-CN"/>
        </w:rPr>
      </w:pPr>
      <w:r>
        <w:rPr>
          <w:rFonts w:hint="eastAsia"/>
          <w:lang w:val="en-US" w:eastAsia="zh-CN"/>
        </w:rPr>
        <w:t>38.资源勘探工业信息等支出（类）资源勘探开发（款）一般行政管理事物（项）：指行政单位（包括实行公务员管理的事业单位）未单独及设置项级科目的其他项目支出。</w:t>
      </w:r>
    </w:p>
    <w:p>
      <w:pPr>
        <w:pStyle w:val="34"/>
        <w:ind w:left="0" w:leftChars="0" w:firstLine="640" w:firstLineChars="200"/>
        <w:rPr>
          <w:rFonts w:hint="eastAsia"/>
          <w:lang w:val="en-US" w:eastAsia="zh-CN"/>
        </w:rPr>
      </w:pPr>
      <w:r>
        <w:rPr>
          <w:rFonts w:hint="eastAsia"/>
          <w:lang w:val="en-US" w:eastAsia="zh-CN"/>
        </w:rPr>
        <w:t>39.资源勘探工业信息等支出（类）资源勘探开发（款）黑色金属矿勘探和采选（项）：指黑色金属矿勘探和采选方面的支出。</w:t>
      </w:r>
    </w:p>
    <w:p>
      <w:pPr>
        <w:pStyle w:val="34"/>
        <w:ind w:left="0" w:leftChars="0" w:firstLine="640" w:firstLineChars="200"/>
        <w:rPr>
          <w:rFonts w:hint="eastAsia"/>
          <w:lang w:val="en-US" w:eastAsia="zh-CN"/>
        </w:rPr>
      </w:pPr>
      <w:r>
        <w:rPr>
          <w:rFonts w:hint="eastAsia"/>
          <w:lang w:val="en-US" w:eastAsia="zh-CN"/>
        </w:rPr>
        <w:t>40.资源勘探工业信息等支出（类）资源勘探开发（款）有色金属矿勘探和采选（项）：指有色金属矿勘探和采选方面的支出。</w:t>
      </w:r>
    </w:p>
    <w:p>
      <w:pPr>
        <w:pStyle w:val="34"/>
        <w:ind w:left="0" w:leftChars="0" w:firstLine="640" w:firstLineChars="200"/>
        <w:rPr>
          <w:rFonts w:hint="eastAsia"/>
          <w:lang w:val="en-US" w:eastAsia="zh-CN"/>
        </w:rPr>
      </w:pPr>
      <w:r>
        <w:rPr>
          <w:rFonts w:hint="eastAsia"/>
          <w:lang w:val="en-US" w:eastAsia="zh-CN"/>
        </w:rPr>
        <w:t>41.资源勘探工业信息等支出（类）制造业（款）行政运行（项）：指行政单位（包括实行公务员管理的事业单位）的基本支出。</w:t>
      </w:r>
    </w:p>
    <w:p>
      <w:pPr>
        <w:pStyle w:val="34"/>
        <w:ind w:left="0" w:leftChars="0" w:firstLine="640" w:firstLineChars="200"/>
        <w:rPr>
          <w:rFonts w:hint="eastAsia"/>
          <w:lang w:val="en-US" w:eastAsia="zh-CN"/>
        </w:rPr>
      </w:pPr>
      <w:r>
        <w:rPr>
          <w:rFonts w:hint="eastAsia"/>
          <w:lang w:val="en-US" w:eastAsia="zh-CN"/>
        </w:rPr>
        <w:t>42.资源勘探工业信息等支出（类）制造业（款）一般行政管理事务（项）：指行政单位(包括实行公务员管理的事业单位）未单独设置项级科目的其他项目支出。</w:t>
      </w:r>
    </w:p>
    <w:p>
      <w:pPr>
        <w:pStyle w:val="34"/>
        <w:ind w:left="0" w:leftChars="0" w:firstLine="640" w:firstLineChars="200"/>
        <w:rPr>
          <w:rFonts w:hint="eastAsia"/>
          <w:lang w:val="en-US" w:eastAsia="zh-CN"/>
        </w:rPr>
      </w:pPr>
      <w:r>
        <w:rPr>
          <w:rFonts w:hint="eastAsia"/>
          <w:lang w:val="en-US" w:eastAsia="zh-CN"/>
        </w:rPr>
        <w:t>43.资源勘探工业信息等支出（类）制造业（款）机关服务（项）：指为行政单位提供后勤服务的各类后勤服务中心、</w:t>
      </w:r>
    </w:p>
    <w:p>
      <w:pPr>
        <w:pStyle w:val="34"/>
        <w:ind w:left="0" w:leftChars="0" w:firstLine="0" w:firstLineChars="0"/>
        <w:rPr>
          <w:rFonts w:hint="eastAsia"/>
          <w:lang w:val="en-US" w:eastAsia="zh-CN"/>
        </w:rPr>
      </w:pPr>
      <w:r>
        <w:rPr>
          <w:rFonts w:hint="eastAsia"/>
          <w:lang w:val="en-US" w:eastAsia="zh-CN"/>
        </w:rPr>
        <w:t>医务室等附属事业单位的支出。</w:t>
      </w:r>
    </w:p>
    <w:p>
      <w:pPr>
        <w:pStyle w:val="34"/>
        <w:ind w:left="0" w:leftChars="0" w:firstLine="640" w:firstLineChars="200"/>
        <w:rPr>
          <w:rFonts w:hint="eastAsia"/>
          <w:lang w:val="en-US" w:eastAsia="zh-CN"/>
        </w:rPr>
      </w:pPr>
      <w:r>
        <w:rPr>
          <w:rFonts w:hint="eastAsia"/>
          <w:lang w:val="en-US" w:eastAsia="zh-CN"/>
        </w:rPr>
        <w:t>44.资源勘探信息等支出（类）制造业（款）纺织业（项）：</w:t>
      </w:r>
    </w:p>
    <w:p>
      <w:pPr>
        <w:pStyle w:val="34"/>
        <w:ind w:left="0" w:leftChars="0" w:firstLine="0" w:firstLineChars="0"/>
        <w:rPr>
          <w:rFonts w:hint="eastAsia"/>
          <w:lang w:val="en-US" w:eastAsia="zh-CN"/>
        </w:rPr>
      </w:pPr>
      <w:r>
        <w:rPr>
          <w:rFonts w:hint="eastAsia"/>
          <w:lang w:val="en-US" w:eastAsia="zh-CN"/>
        </w:rPr>
        <w:t>指用于纺织业方面的支出。</w:t>
      </w:r>
    </w:p>
    <w:p>
      <w:pPr>
        <w:pStyle w:val="34"/>
        <w:ind w:left="0" w:leftChars="0" w:firstLine="640" w:firstLineChars="200"/>
        <w:rPr>
          <w:rFonts w:hint="eastAsia"/>
          <w:lang w:val="en-US" w:eastAsia="zh-CN"/>
        </w:rPr>
      </w:pPr>
      <w:r>
        <w:rPr>
          <w:rFonts w:hint="eastAsia"/>
          <w:lang w:val="en-US" w:eastAsia="zh-CN"/>
        </w:rPr>
        <w:t>45.资源勘探工业信息等支出（类）制造业（款）电气机械及器材制造业（项）：指用于电气机械及器材制造业方面的支出。</w:t>
      </w:r>
    </w:p>
    <w:p>
      <w:pPr>
        <w:pStyle w:val="34"/>
        <w:ind w:left="0" w:leftChars="0" w:firstLine="640" w:firstLineChars="200"/>
        <w:rPr>
          <w:rFonts w:hint="eastAsia"/>
          <w:lang w:val="en-US" w:eastAsia="zh-CN"/>
        </w:rPr>
      </w:pPr>
      <w:r>
        <w:rPr>
          <w:rFonts w:hint="eastAsia"/>
          <w:lang w:val="en-US" w:eastAsia="zh-CN"/>
        </w:rPr>
        <w:t>46.资源勘探工业信息等支出（类）制造业（款）工艺品及其他制造业（项）：指用于工艺品及其他制造业方面的支出。</w:t>
      </w:r>
    </w:p>
    <w:p>
      <w:pPr>
        <w:pStyle w:val="34"/>
        <w:ind w:left="0" w:leftChars="0" w:firstLine="640" w:firstLineChars="200"/>
        <w:rPr>
          <w:rFonts w:hint="eastAsia"/>
          <w:lang w:val="en-US" w:eastAsia="zh-CN"/>
        </w:rPr>
      </w:pPr>
      <w:r>
        <w:rPr>
          <w:rFonts w:hint="eastAsia"/>
          <w:lang w:val="en-US" w:eastAsia="zh-CN"/>
        </w:rPr>
        <w:t>47.资源勘探工业信息等支出（类）制造业（款）其他制造业支出（项）：指其他用于制造业方面的支出。</w:t>
      </w:r>
    </w:p>
    <w:p>
      <w:pPr>
        <w:pStyle w:val="34"/>
        <w:ind w:left="0" w:leftChars="0" w:firstLine="640" w:firstLineChars="200"/>
        <w:rPr>
          <w:rFonts w:hint="eastAsia"/>
          <w:lang w:val="en-US" w:eastAsia="zh-CN"/>
        </w:rPr>
      </w:pPr>
      <w:r>
        <w:rPr>
          <w:rFonts w:hint="eastAsia"/>
          <w:lang w:val="en-US" w:eastAsia="zh-CN"/>
        </w:rPr>
        <w:t>48.资源勘探工业信息等支出（类）工业和信息产业监管（款）一般行政管理事务（项）：指行政单位未单独设置项级科目的其他项目支出。</w:t>
      </w:r>
    </w:p>
    <w:p>
      <w:pPr>
        <w:pStyle w:val="34"/>
        <w:ind w:left="0" w:leftChars="0" w:firstLine="640" w:firstLineChars="200"/>
        <w:rPr>
          <w:rFonts w:hint="eastAsia"/>
          <w:lang w:val="en-US" w:eastAsia="zh-CN"/>
        </w:rPr>
      </w:pPr>
      <w:r>
        <w:rPr>
          <w:rFonts w:hint="eastAsia"/>
          <w:lang w:val="en-US" w:eastAsia="zh-CN"/>
        </w:rPr>
        <w:t>49.资源勘探工业信息等支出（类）工业和信息产业监管（款）机关服务（项）：指为行政单位提供后勤服务的各类后勤服务中心、医务室等附属事业单位的支出。</w:t>
      </w:r>
    </w:p>
    <w:p>
      <w:pPr>
        <w:pStyle w:val="34"/>
        <w:ind w:left="0" w:leftChars="0" w:firstLine="640" w:firstLineChars="200"/>
        <w:rPr>
          <w:rFonts w:hint="eastAsia"/>
          <w:lang w:val="en-US" w:eastAsia="zh-CN"/>
        </w:rPr>
      </w:pPr>
      <w:r>
        <w:rPr>
          <w:rFonts w:hint="eastAsia"/>
          <w:lang w:val="en-US" w:eastAsia="zh-CN"/>
        </w:rPr>
        <w:t>50.资源勘工业探信息等支出（类）工业和信息产业监管（款）无线电监管（项）：指无线电监管方面的支出。</w:t>
      </w:r>
    </w:p>
    <w:p>
      <w:pPr>
        <w:pStyle w:val="34"/>
        <w:ind w:left="0" w:leftChars="0" w:firstLine="640" w:firstLineChars="200"/>
        <w:rPr>
          <w:rFonts w:hint="eastAsia"/>
          <w:lang w:val="en-US" w:eastAsia="zh-CN"/>
        </w:rPr>
      </w:pPr>
      <w:r>
        <w:rPr>
          <w:rFonts w:hint="eastAsia"/>
          <w:lang w:val="en-US" w:eastAsia="zh-CN"/>
        </w:rPr>
        <w:t>51.资源勘探工业信息等支出（类）工业和信息产业监管（款）其他工业和信息产业监管支出（项）：指其他用于工业和信息产业监管方面的支出。</w:t>
      </w:r>
    </w:p>
    <w:p>
      <w:pPr>
        <w:pStyle w:val="34"/>
        <w:ind w:left="0" w:leftChars="0" w:firstLine="640" w:firstLineChars="200"/>
        <w:rPr>
          <w:rFonts w:hint="eastAsia"/>
          <w:lang w:val="en-US" w:eastAsia="zh-CN"/>
        </w:rPr>
      </w:pPr>
      <w:r>
        <w:rPr>
          <w:rFonts w:hint="eastAsia"/>
          <w:lang w:val="en-US" w:eastAsia="zh-CN"/>
        </w:rPr>
        <w:t>52.资源勘探工业信息等支出（类）支持中小企业发展和管理支出（款）其他中小企业发展和管理专项（项）：指其他用于支持中小企业发展和管理等方面的支出。</w:t>
      </w:r>
    </w:p>
    <w:p>
      <w:pPr>
        <w:pStyle w:val="34"/>
        <w:ind w:left="0" w:leftChars="0" w:firstLine="640" w:firstLineChars="200"/>
        <w:rPr>
          <w:rFonts w:hint="eastAsia"/>
          <w:lang w:val="en-US" w:eastAsia="zh-CN"/>
        </w:rPr>
      </w:pPr>
      <w:r>
        <w:rPr>
          <w:rFonts w:hint="eastAsia"/>
          <w:color w:val="auto"/>
          <w:lang w:val="en-US" w:eastAsia="zh-CN"/>
        </w:rPr>
        <w:t>53.</w:t>
      </w:r>
      <w:r>
        <w:rPr>
          <w:rFonts w:hint="eastAsia"/>
          <w:lang w:val="en-US" w:eastAsia="zh-CN"/>
        </w:rPr>
        <w:t>资源勘探工业信息等支出（类）其他资源勘探工业信息等支出（款）其他资源勘探工业信息等支出（项）：指其他用于资源勘探工业信息等方面的支出。</w:t>
      </w:r>
    </w:p>
    <w:p>
      <w:pPr>
        <w:pStyle w:val="34"/>
        <w:ind w:left="0" w:leftChars="0" w:firstLine="640" w:firstLineChars="200"/>
        <w:rPr>
          <w:rFonts w:hint="eastAsia"/>
          <w:lang w:val="en-US" w:eastAsia="zh-CN"/>
        </w:rPr>
      </w:pPr>
      <w:r>
        <w:rPr>
          <w:rFonts w:hint="eastAsia"/>
          <w:lang w:val="en-US" w:eastAsia="zh-CN"/>
        </w:rPr>
        <w:t>54.住房保障支出（类）住房改革支出（款）住房公积金（项）：指行政事业单位按人力资源和社会保障部、财政部规定的基本工资和津贴补贴以及规定比例为职工缴纳的住房公积金。</w:t>
      </w:r>
    </w:p>
    <w:p>
      <w:pPr>
        <w:pStyle w:val="34"/>
        <w:ind w:left="0" w:leftChars="0" w:firstLine="640" w:firstLineChars="200"/>
        <w:rPr>
          <w:rFonts w:hint="eastAsia"/>
          <w:lang w:val="en-US" w:eastAsia="zh-CN"/>
        </w:rPr>
      </w:pPr>
      <w:r>
        <w:rPr>
          <w:rFonts w:hint="eastAsia"/>
          <w:lang w:val="en-US" w:eastAsia="zh-CN"/>
        </w:rPr>
        <w:t>55.住房保障支出（类）住房改革支出（款）购房补贴（项）：指按房改政策规定，行政事业单位向符合条件职工（含离退休人员）、军队（含武警）向转役复员离退休人员发放的用于购买住房的补贴。</w:t>
      </w:r>
    </w:p>
    <w:p>
      <w:pPr>
        <w:pStyle w:val="34"/>
        <w:ind w:left="0" w:leftChars="0" w:firstLine="640" w:firstLineChars="200"/>
        <w:rPr>
          <w:rFonts w:hint="eastAsia"/>
          <w:lang w:val="en-US" w:eastAsia="zh-CN"/>
        </w:rPr>
      </w:pPr>
      <w:r>
        <w:rPr>
          <w:rFonts w:hint="eastAsia"/>
          <w:lang w:val="en-US" w:eastAsia="zh-CN"/>
        </w:rPr>
        <w:t>56.灾害防治及应急管理支出（类）其他灾害防治及应急管理支出（款）其他灾害防治及应急管理支出（项）：指其他用于灾害防治及应急管理的支出。</w:t>
      </w:r>
    </w:p>
    <w:p>
      <w:pPr>
        <w:pStyle w:val="34"/>
        <w:ind w:left="0" w:leftChars="0" w:firstLine="640" w:firstLineChars="200"/>
        <w:rPr>
          <w:rFonts w:hint="eastAsia"/>
          <w:lang w:val="en-US" w:eastAsia="zh-CN"/>
        </w:rPr>
      </w:pPr>
      <w:r>
        <w:rPr>
          <w:rFonts w:hint="eastAsia"/>
          <w:lang w:val="en-US" w:eastAsia="zh-CN"/>
        </w:rPr>
        <w:t>57.其他支出（类）其他支出（款）其他支出（项）：指其他不能划分到具体功能科目中的支出项目。</w:t>
      </w:r>
    </w:p>
    <w:p>
      <w:pPr>
        <w:pStyle w:val="34"/>
        <w:ind w:left="0" w:leftChars="0" w:firstLine="640" w:firstLineChars="200"/>
        <w:rPr>
          <w:rFonts w:hint="eastAsia"/>
          <w:lang w:val="en-US" w:eastAsia="zh-CN"/>
        </w:rPr>
      </w:pPr>
      <w:r>
        <w:rPr>
          <w:rFonts w:hint="eastAsia"/>
          <w:lang w:val="en-US" w:eastAsia="zh-CN"/>
        </w:rPr>
        <w:t>58.债务付息支出(类) 地方政府一般债务付息支出(款)地方政府一般债务付息支出(项)：指其他不能划分到具体功能科目中的支出项目。</w:t>
      </w:r>
    </w:p>
    <w:p>
      <w:pPr>
        <w:pStyle w:val="34"/>
        <w:ind w:left="0" w:leftChars="0" w:firstLine="640" w:firstLineChars="200"/>
        <w:rPr>
          <w:rFonts w:hint="eastAsia"/>
          <w:lang w:val="en-US" w:eastAsia="zh-CN"/>
        </w:rPr>
      </w:pPr>
      <w:r>
        <w:rPr>
          <w:rFonts w:hint="eastAsia"/>
          <w:lang w:val="en-US" w:eastAsia="zh-CN"/>
        </w:rPr>
        <w:t>59.基本支出：指为保障机构正常运转、完成日常工作任务而发生的人员支出和公用支出。</w:t>
      </w:r>
    </w:p>
    <w:p>
      <w:pPr>
        <w:pStyle w:val="34"/>
        <w:ind w:left="0" w:leftChars="0" w:firstLine="640" w:firstLineChars="200"/>
        <w:rPr>
          <w:rFonts w:hint="eastAsia"/>
          <w:lang w:val="en-US" w:eastAsia="zh-CN"/>
        </w:rPr>
      </w:pPr>
      <w:r>
        <w:rPr>
          <w:rFonts w:hint="eastAsia"/>
          <w:lang w:val="en-US" w:eastAsia="zh-CN"/>
        </w:rPr>
        <w:t>60.项目支出：指在基本支出之外为完成特定行政任务和事业发展目标所发生的支出。</w:t>
      </w:r>
    </w:p>
    <w:p>
      <w:pPr>
        <w:pStyle w:val="34"/>
        <w:ind w:left="0" w:leftChars="0" w:firstLine="640" w:firstLineChars="200"/>
        <w:rPr>
          <w:rFonts w:hint="eastAsia"/>
          <w:lang w:val="en-US" w:eastAsia="zh-CN"/>
        </w:rPr>
      </w:pPr>
      <w:r>
        <w:rPr>
          <w:rFonts w:hint="eastAsia"/>
          <w:lang w:val="en-US" w:eastAsia="zh-CN"/>
        </w:rPr>
        <w:t>61.经营支出：指事业单位在专业业务活动及其辅助活动之外开展非独立核算经营活动发生的支出。</w:t>
      </w:r>
    </w:p>
    <w:p>
      <w:pPr>
        <w:pStyle w:val="34"/>
        <w:ind w:left="0" w:leftChars="0" w:firstLine="640" w:firstLineChars="200"/>
        <w:rPr>
          <w:rFonts w:hint="eastAsia"/>
          <w:lang w:val="en-US" w:eastAsia="zh-CN"/>
        </w:rPr>
      </w:pPr>
      <w:r>
        <w:rPr>
          <w:rFonts w:hint="eastAsia"/>
          <w:lang w:val="en-US" w:eastAsia="zh-CN"/>
        </w:rPr>
        <w:t>62.“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4"/>
        <w:ind w:left="0" w:leftChars="0" w:firstLine="640" w:firstLineChars="200"/>
        <w:rPr>
          <w:rFonts w:hint="eastAsia"/>
          <w:lang w:val="en-US" w:eastAsia="zh-CN"/>
        </w:rPr>
      </w:pPr>
      <w:r>
        <w:rPr>
          <w:rFonts w:hint="eastAsia"/>
          <w:lang w:val="en-US" w:eastAsia="zh-CN"/>
        </w:rPr>
        <w:t>63.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Fonts w:hint="eastAsia" w:ascii="宋体"/>
          <w:b/>
          <w:color w:val="auto"/>
          <w:sz w:val="44"/>
          <w:szCs w:val="44"/>
          <w:highlight w:val="none"/>
          <w:lang w:val="en-US" w:eastAsia="zh-CN"/>
        </w:rPr>
      </w:pPr>
    </w:p>
    <w:p>
      <w:pPr>
        <w:widowControl/>
        <w:jc w:val="left"/>
        <w:rPr>
          <w:rStyle w:val="25"/>
          <w:rFonts w:hint="eastAsia" w:ascii="黑体" w:hAnsi="黑体" w:eastAsia="黑体"/>
          <w:b w:val="0"/>
          <w:color w:val="auto"/>
          <w:highlight w:val="none"/>
          <w:lang w:eastAsia="zh-CN"/>
        </w:rPr>
      </w:pPr>
      <w:r>
        <w:rPr>
          <w:rFonts w:hint="eastAsia" w:ascii="宋体"/>
          <w:b/>
          <w:color w:val="auto"/>
          <w:sz w:val="44"/>
          <w:szCs w:val="44"/>
          <w:highlight w:val="none"/>
          <w:lang w:val="en-US" w:eastAsia="zh-CN"/>
        </w:rPr>
        <w:t xml:space="preserve">          </w:t>
      </w: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6"/>
    </w:p>
    <w:p>
      <w:pPr>
        <w:spacing w:line="600" w:lineRule="exact"/>
        <w:jc w:val="left"/>
        <w:outlineLvl w:val="0"/>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附件1</w:t>
      </w:r>
    </w:p>
    <w:p>
      <w:pPr>
        <w:pStyle w:val="6"/>
      </w:pPr>
    </w:p>
    <w:p>
      <w:pPr>
        <w:spacing w:line="600" w:lineRule="exact"/>
        <w:jc w:val="center"/>
        <w:rPr>
          <w:rFonts w:hint="eastAsia" w:ascii="方正小标宋简体" w:hAnsi="宋体" w:eastAsia="方正小标宋简体"/>
          <w:color w:val="auto"/>
          <w:kern w:val="0"/>
          <w:sz w:val="40"/>
          <w:szCs w:val="44"/>
          <w:highlight w:val="none"/>
        </w:rPr>
      </w:pPr>
      <w:r>
        <w:rPr>
          <w:rFonts w:hint="eastAsia" w:ascii="方正小标宋简体" w:hAnsi="宋体" w:eastAsia="方正小标宋简体"/>
          <w:color w:val="auto"/>
          <w:kern w:val="0"/>
          <w:sz w:val="40"/>
          <w:szCs w:val="44"/>
          <w:highlight w:val="none"/>
        </w:rPr>
        <w:t>202</w:t>
      </w:r>
      <w:r>
        <w:rPr>
          <w:rFonts w:hint="eastAsia" w:ascii="方正小标宋简体" w:hAnsi="宋体" w:eastAsia="方正小标宋简体"/>
          <w:color w:val="auto"/>
          <w:kern w:val="0"/>
          <w:sz w:val="40"/>
          <w:szCs w:val="44"/>
          <w:highlight w:val="none"/>
          <w:lang w:val="en-US" w:eastAsia="zh-CN"/>
        </w:rPr>
        <w:t>0</w:t>
      </w:r>
      <w:r>
        <w:rPr>
          <w:rFonts w:hint="eastAsia" w:ascii="方正小标宋简体" w:hAnsi="宋体" w:eastAsia="方正小标宋简体"/>
          <w:color w:val="auto"/>
          <w:kern w:val="0"/>
          <w:sz w:val="40"/>
          <w:szCs w:val="44"/>
          <w:highlight w:val="none"/>
        </w:rPr>
        <w:t>年</w:t>
      </w:r>
      <w:r>
        <w:rPr>
          <w:rFonts w:hint="eastAsia" w:ascii="方正小标宋简体" w:hAnsi="宋体" w:eastAsia="方正小标宋简体"/>
          <w:color w:val="auto"/>
          <w:kern w:val="0"/>
          <w:sz w:val="40"/>
          <w:szCs w:val="44"/>
          <w:highlight w:val="none"/>
          <w:lang w:eastAsia="zh-CN"/>
        </w:rPr>
        <w:t>四川省经济和信息化厅</w:t>
      </w:r>
      <w:r>
        <w:rPr>
          <w:rFonts w:hint="eastAsia" w:ascii="方正小标宋简体" w:hAnsi="宋体" w:eastAsia="方正小标宋简体"/>
          <w:color w:val="auto"/>
          <w:kern w:val="0"/>
          <w:sz w:val="40"/>
          <w:szCs w:val="44"/>
          <w:highlight w:val="none"/>
        </w:rPr>
        <w:t>部门整体支出</w:t>
      </w:r>
    </w:p>
    <w:p>
      <w:pPr>
        <w:spacing w:line="600" w:lineRule="exact"/>
        <w:jc w:val="center"/>
        <w:rPr>
          <w:rFonts w:hint="eastAsia" w:ascii="方正小标宋简体" w:hAnsi="宋体" w:eastAsia="方正小标宋简体"/>
          <w:color w:val="auto"/>
          <w:kern w:val="0"/>
          <w:sz w:val="40"/>
          <w:szCs w:val="44"/>
          <w:highlight w:val="none"/>
        </w:rPr>
      </w:pPr>
      <w:r>
        <w:rPr>
          <w:rFonts w:hint="eastAsia" w:ascii="方正小标宋简体" w:hAnsi="宋体" w:eastAsia="方正小标宋简体"/>
          <w:color w:val="auto"/>
          <w:kern w:val="0"/>
          <w:sz w:val="40"/>
          <w:szCs w:val="44"/>
          <w:highlight w:val="none"/>
        </w:rPr>
        <w:t>绩效评价</w:t>
      </w:r>
      <w:r>
        <w:rPr>
          <w:rFonts w:hint="eastAsia" w:ascii="方正小标宋简体" w:hAnsi="宋体" w:eastAsia="方正小标宋简体"/>
          <w:color w:val="auto"/>
          <w:kern w:val="0"/>
          <w:sz w:val="40"/>
          <w:szCs w:val="44"/>
          <w:highlight w:val="none"/>
          <w:lang w:eastAsia="zh-CN"/>
        </w:rPr>
        <w:t>自评</w:t>
      </w:r>
      <w:r>
        <w:rPr>
          <w:rFonts w:hint="eastAsia" w:ascii="方正小标宋简体" w:hAnsi="宋体" w:eastAsia="方正小标宋简体"/>
          <w:color w:val="auto"/>
          <w:kern w:val="0"/>
          <w:sz w:val="40"/>
          <w:szCs w:val="44"/>
          <w:highlight w:val="none"/>
        </w:rPr>
        <w:t>报告</w:t>
      </w:r>
    </w:p>
    <w:p>
      <w:pPr>
        <w:pStyle w:val="6"/>
        <w:rPr>
          <w:lang w:val="zh-CN"/>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600" w:lineRule="exact"/>
        <w:ind w:firstLine="640" w:firstLineChars="200"/>
        <w:rPr>
          <w:rFonts w:hint="eastAsia" w:ascii="Times New Roman" w:hAnsi="Times New Roman" w:eastAsia="楷体_GB2312"/>
          <w:color w:val="000000"/>
          <w:kern w:val="0"/>
          <w:sz w:val="32"/>
          <w:szCs w:val="32"/>
          <w:lang w:val="zh-CN"/>
        </w:rPr>
      </w:pPr>
      <w:r>
        <w:rPr>
          <w:rFonts w:hint="eastAsia" w:ascii="Times New Roman" w:hAnsi="Times New Roman" w:eastAsia="楷体_GB2312"/>
          <w:color w:val="000000"/>
          <w:kern w:val="0"/>
          <w:sz w:val="32"/>
          <w:szCs w:val="32"/>
          <w:lang w:val="zh-CN"/>
        </w:rPr>
        <w:t>（一）机构组成。</w:t>
      </w:r>
    </w:p>
    <w:p>
      <w:pPr>
        <w:widowControl/>
        <w:adjustRightInd w:val="0"/>
        <w:snapToGrid w:val="0"/>
        <w:spacing w:line="600" w:lineRule="exact"/>
        <w:ind w:firstLine="640" w:firstLineChars="200"/>
        <w:rPr>
          <w:rFonts w:hint="eastAsia" w:ascii="仿宋_GB2312" w:hAnsi="宋体" w:cs="宋体"/>
          <w:color w:val="000000"/>
          <w:kern w:val="0"/>
          <w:szCs w:val="32"/>
          <w:shd w:val="clear" w:color="auto" w:fill="FFFFFF"/>
          <w:lang w:val="zh-CN"/>
        </w:rPr>
      </w:pPr>
      <w:r>
        <w:rPr>
          <w:rFonts w:ascii="Times New Roman" w:hAnsi="Times New Roman" w:eastAsia="仿宋_GB2312"/>
          <w:sz w:val="32"/>
          <w:szCs w:val="32"/>
        </w:rPr>
        <w:t>经济和信</w:t>
      </w:r>
      <w:r>
        <w:rPr>
          <w:rFonts w:hint="eastAsia" w:ascii="Times New Roman" w:hAnsi="Times New Roman" w:eastAsia="仿宋_GB2312"/>
          <w:sz w:val="32"/>
          <w:szCs w:val="32"/>
          <w:lang w:val="zh-CN" w:eastAsia="zh-CN"/>
        </w:rPr>
        <w:t>息</w:t>
      </w:r>
      <w:r>
        <w:rPr>
          <w:rFonts w:hint="eastAsia" w:ascii="Times New Roman" w:hAnsi="Times New Roman" w:eastAsia="仿宋_GB2312"/>
          <w:sz w:val="32"/>
          <w:szCs w:val="32"/>
          <w:lang w:eastAsia="zh-CN"/>
        </w:rPr>
        <w:t>化</w:t>
      </w:r>
      <w:r>
        <w:rPr>
          <w:rFonts w:ascii="Times New Roman" w:hAnsi="Times New Roman" w:eastAsia="仿宋_GB2312"/>
          <w:sz w:val="32"/>
          <w:szCs w:val="32"/>
        </w:rPr>
        <w:t>厅</w:t>
      </w:r>
      <w:r>
        <w:rPr>
          <w:rFonts w:hint="eastAsia"/>
          <w:sz w:val="32"/>
          <w:szCs w:val="32"/>
          <w:lang w:eastAsia="zh-CN"/>
        </w:rPr>
        <w:t>机关和</w:t>
      </w:r>
      <w:r>
        <w:rPr>
          <w:rFonts w:ascii="Times New Roman" w:hAnsi="Times New Roman" w:eastAsia="仿宋_GB2312"/>
          <w:sz w:val="32"/>
          <w:szCs w:val="32"/>
        </w:rPr>
        <w:t>二级预算单位2</w:t>
      </w:r>
      <w:r>
        <w:rPr>
          <w:rFonts w:hint="eastAsia"/>
          <w:sz w:val="32"/>
          <w:szCs w:val="32"/>
          <w:lang w:val="en-US" w:eastAsia="zh-CN"/>
        </w:rPr>
        <w:t>5</w:t>
      </w:r>
      <w:r>
        <w:rPr>
          <w:rFonts w:ascii="Times New Roman" w:hAnsi="Times New Roman" w:eastAsia="仿宋_GB2312"/>
          <w:sz w:val="32"/>
          <w:szCs w:val="32"/>
        </w:rPr>
        <w:t>个，其中行政单位</w:t>
      </w:r>
      <w:r>
        <w:rPr>
          <w:rFonts w:hint="eastAsia"/>
          <w:sz w:val="32"/>
          <w:szCs w:val="32"/>
          <w:lang w:val="en-US" w:eastAsia="zh-CN"/>
        </w:rPr>
        <w:t>1</w:t>
      </w:r>
      <w:r>
        <w:rPr>
          <w:rFonts w:ascii="Times New Roman" w:hAnsi="Times New Roman" w:eastAsia="仿宋_GB2312"/>
          <w:sz w:val="32"/>
          <w:szCs w:val="32"/>
        </w:rPr>
        <w:t>个，参照公务员法管理的事业单位1个，其他事业单位23个。</w:t>
      </w:r>
    </w:p>
    <w:p>
      <w:pPr>
        <w:widowControl/>
        <w:adjustRightInd w:val="0"/>
        <w:snapToGrid w:val="0"/>
        <w:spacing w:line="600" w:lineRule="exact"/>
        <w:ind w:firstLine="640" w:firstLineChars="200"/>
        <w:rPr>
          <w:rFonts w:hint="eastAsia" w:ascii="Times New Roman" w:hAnsi="Times New Roman" w:eastAsia="楷体_GB2312"/>
          <w:color w:val="000000"/>
          <w:kern w:val="0"/>
          <w:sz w:val="32"/>
          <w:szCs w:val="32"/>
          <w:lang w:val="zh-CN"/>
        </w:rPr>
      </w:pPr>
      <w:r>
        <w:rPr>
          <w:rFonts w:hint="eastAsia" w:eastAsia="楷体_GB2312"/>
          <w:color w:val="000000"/>
          <w:kern w:val="0"/>
          <w:sz w:val="32"/>
          <w:szCs w:val="32"/>
          <w:lang w:val="zh-CN"/>
        </w:rPr>
        <w:t>（二）</w:t>
      </w:r>
      <w:r>
        <w:rPr>
          <w:rFonts w:hint="eastAsia" w:ascii="Times New Roman" w:hAnsi="Times New Roman" w:eastAsia="楷体_GB2312"/>
          <w:color w:val="000000"/>
          <w:kern w:val="0"/>
          <w:sz w:val="32"/>
          <w:szCs w:val="32"/>
          <w:lang w:val="zh-CN"/>
        </w:rPr>
        <w:t>机构职能。</w:t>
      </w:r>
    </w:p>
    <w:p>
      <w:pPr>
        <w:widowControl/>
        <w:adjustRightInd w:val="0"/>
        <w:snapToGrid w:val="0"/>
        <w:spacing w:line="600" w:lineRule="exact"/>
        <w:rPr>
          <w:rFonts w:ascii="Times New Roman" w:hAnsi="Times New Roman" w:eastAsia="仿宋_GB2312"/>
          <w:sz w:val="32"/>
          <w:szCs w:val="32"/>
        </w:rPr>
      </w:pPr>
      <w:r>
        <w:rPr>
          <w:rFonts w:hint="eastAsia"/>
          <w:sz w:val="32"/>
          <w:szCs w:val="32"/>
          <w:lang w:val="en-US" w:eastAsia="zh-CN"/>
        </w:rPr>
        <w:t xml:space="preserve">    </w:t>
      </w:r>
      <w:r>
        <w:rPr>
          <w:rFonts w:ascii="Times New Roman" w:hAnsi="Times New Roman" w:eastAsia="仿宋_GB2312"/>
          <w:sz w:val="32"/>
          <w:szCs w:val="32"/>
        </w:rPr>
        <w:t>1.贯彻实施国家有关工业经济、信息化和无线电管理的方针、政策和法律、法规，组织实施国家西部大开发战略等有关工业经济的政策措施，拟订全省有关工业经济、信息化和无线电管理的地方性法规、规章草案，负责本系统、本部门依法行政工作，落实行政执法责任制。组织推动信息化和工业化融合、工业化与城镇化联动，负责推进全省工业结构调整。</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负责拟订新型工业化发展战略和重大政策，协调解决新型工业化进程中的重大问题，组织实施工业强省战略。参与制订国民经济和社会发展规划，负责制定并组织实施工业（不含能源，下同）、信息化相关行业的发展规划、年度计划和产业政策，拟订行业技术规范与行业标准并组织实施，指导行业质量管理工作。</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监测、分析经济运行态势和质量，建立全省工业经济运行预警机制，拟订中、近期经济运行目标、政策并组织实施，协调解决经济运行中的重大问题。负责电力、煤炭、成品油、天然气等重要物资综合调控、紧急调度和交通运输协调工作，负责省级医药储备的监督管理。承办年度工业经济目标责任考核。</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负责全省企业技术改造推进工作，组织制定并实施全省企业技术改造投资规划和政策，制定并发布全省企业技术改造投资项目引导目录。提出工业和信息化固定资产投资规模的意见，按照规定权限审批、核准、备案规划内全省企业技术改造项目，组织企业技术改造项目申报国家有关专项计划并组织实施。</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负责全省企业技术创新体系建设，制定鼓励企业技术创新的政策措施，指导企业技术创新、技术引进、重大装备国产化和重大技术装备研制，编制下达全省企业技术创新项目计划并组织实施，按照规定程序会同有关部门组织企业技术中心申报、认定和建设管理工作。</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负责全省产业园区建设发展的牵头服务工作，拟订并组织实施产业园区、产业集群发展规划和政策措施，指导产业园区合理布局，负责推进重点产业园区建设发展，推进园区公共配套设施建设，组织实施产业园区公共服务平台项目计划。</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负责全省工业和信息化领域的节能降耗、清洁生产和资源节约与综合利用工作，协调推进工业化与生态环境协调发展中的重大问题，组织实施相关重大示范项目和新产品、新技术、新工艺、新设备、新材料的推广应用。</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负责推进企业信用制度建设，负责中小企业信用担保和融资体系建设并实施行业监管，负责制订工业发展资金等财政专项资金使用计划，负责企业技术改造、技术创新、生产运行等涉及财政、信贷、税收、保险等方面问题的协调，指导工业企业直接融资工作，参与工业企业上市培育工作。</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对国家重大工业经济政策实施情况进行督查，指导企业建立现代企业制度、改组改造、兼并重组，负责全省企业治乱减负工作，指导企业经营管理人员、专业技术人员培训，负责全省大企业大集团和龙头骨干企业的培育工作，负责全省中小企业发展的指导推进工作，综合协调有关部门拟订促进中小企业发展的政策措施，负责推进中小企业服务体系建设。</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负责对全省工业各行业实施行业管理，制定并组织实施相关政策措施，拟订新材料、节能环保、航空航天、生物医药等战略性新兴产业发展规划、年度计划、政策措施并组织实施。拟订加快农产品加工业发展的政策措施，参与推进农业产业化龙头企业建设，参与推进农业现代化和新农村建设。指导工业、信息化和无线电领域的社会中介组织发展。</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11.统筹推进全省信息化工作，制定并组织实施相关政策，指导电子政务、企业信息化、电子商务和物联网发展，推动跨行业、跨部门面向社会服务网络的互联互通和信息资源共享。</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12.负责全省信息基础设施建设的规划、协调和管理，组织相关部门制订通信管线规划并承担相应的管理工作，协调电信市场涉及社会公共利益的重大事项。</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13.组织协调全省信息安全保障体系建设，指导和监督政府部门、重点行业的重要信息系统与信息网络的安全保障工作，指导信息安全防范工作，参与处理网络与信息安全重大事件。</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统一配置和管理全省无线电频谱资源，依法监督管理无线电台(站)，负责无线电电磁环境保护工作，负责无线电监测、检测和干扰查处，协调军地间和省际间无线电管理相关事宜，维护空中电波秩序，依法组织实施无线电管制。</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15.会同有关部门提出工业和信息化领域对外开放和利用外资的政策建议，参与区域经济合作和承接产业转移工作。指导工业和信息化企业开展对外交流与合作、国际化经营、境外投资及兼并重组。</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16.承担省政府公布的有关行政审批事项。</w:t>
      </w:r>
    </w:p>
    <w:p>
      <w:pPr>
        <w:widowControl/>
        <w:adjustRightInd w:val="0"/>
        <w:snapToGrid w:val="0"/>
        <w:spacing w:line="600" w:lineRule="exact"/>
        <w:ind w:firstLine="640" w:firstLineChars="200"/>
        <w:rPr>
          <w:rFonts w:hint="eastAsia" w:ascii="仿宋_GB2312" w:hAnsi="宋体" w:eastAsia="仿宋_GB2312" w:cs="宋体"/>
          <w:color w:val="000000"/>
          <w:kern w:val="0"/>
          <w:szCs w:val="32"/>
          <w:shd w:val="clear" w:color="auto" w:fill="FFFFFF"/>
          <w:lang w:val="en-US" w:eastAsia="zh-CN"/>
        </w:rPr>
      </w:pPr>
      <w:r>
        <w:rPr>
          <w:rFonts w:ascii="Times New Roman" w:hAnsi="Times New Roman" w:eastAsia="仿宋_GB2312"/>
          <w:sz w:val="32"/>
          <w:szCs w:val="32"/>
        </w:rPr>
        <w:t>17.承办省政府交办的其他事项。</w:t>
      </w:r>
    </w:p>
    <w:p>
      <w:pPr>
        <w:widowControl/>
        <w:adjustRightInd w:val="0"/>
        <w:snapToGrid w:val="0"/>
        <w:spacing w:line="600" w:lineRule="exact"/>
        <w:ind w:firstLine="640" w:firstLineChars="200"/>
        <w:rPr>
          <w:rFonts w:hint="eastAsia" w:ascii="Times New Roman" w:hAnsi="Times New Roman" w:eastAsia="楷体_GB2312"/>
          <w:color w:val="000000"/>
          <w:kern w:val="0"/>
          <w:sz w:val="32"/>
          <w:szCs w:val="32"/>
          <w:lang w:val="zh-CN"/>
        </w:rPr>
      </w:pPr>
      <w:r>
        <w:rPr>
          <w:rFonts w:hint="eastAsia" w:ascii="Times New Roman" w:hAnsi="Times New Roman" w:eastAsia="楷体_GB2312"/>
          <w:color w:val="000000"/>
          <w:kern w:val="0"/>
          <w:sz w:val="32"/>
          <w:szCs w:val="32"/>
          <w:lang w:val="zh-CN"/>
        </w:rPr>
        <w:t>（三）人员概况。</w:t>
      </w:r>
    </w:p>
    <w:p>
      <w:pPr>
        <w:pStyle w:val="6"/>
        <w:adjustRightInd w:val="0"/>
        <w:snapToGrid w:val="0"/>
        <w:spacing w:beforeLines="0" w:line="600" w:lineRule="exact"/>
        <w:ind w:firstLine="640" w:firstLineChars="200"/>
        <w:rPr>
          <w:rFonts w:hint="eastAsia" w:ascii="仿宋_GB2312" w:hAnsi="宋体" w:cs="宋体"/>
          <w:color w:val="000000"/>
          <w:kern w:val="0"/>
          <w:szCs w:val="32"/>
          <w:shd w:val="clear" w:color="auto" w:fill="FFFFFF"/>
          <w:lang w:val="zh-CN"/>
        </w:rPr>
      </w:pPr>
      <w:r>
        <w:rPr>
          <w:rFonts w:ascii="Times New Roman"/>
          <w:sz w:val="32"/>
          <w:szCs w:val="32"/>
        </w:rPr>
        <w:t>经济和信息化厅</w:t>
      </w:r>
      <w:r>
        <w:rPr>
          <w:rStyle w:val="33"/>
          <w:rFonts w:ascii="Times New Roman"/>
          <w:sz w:val="32"/>
          <w:szCs w:val="32"/>
        </w:rPr>
        <w:t>总编制</w:t>
      </w:r>
      <w:r>
        <w:rPr>
          <w:rStyle w:val="33"/>
          <w:rFonts w:hint="eastAsia" w:ascii="Times New Roman"/>
          <w:sz w:val="32"/>
          <w:szCs w:val="32"/>
          <w:lang w:val="en-US" w:eastAsia="zh-CN"/>
        </w:rPr>
        <w:t>2898</w:t>
      </w:r>
      <w:r>
        <w:rPr>
          <w:rStyle w:val="33"/>
          <w:rFonts w:ascii="Times New Roman"/>
          <w:sz w:val="32"/>
          <w:szCs w:val="32"/>
        </w:rPr>
        <w:t>名，其中：行政编制</w:t>
      </w:r>
      <w:r>
        <w:rPr>
          <w:rFonts w:ascii="Times New Roman"/>
          <w:sz w:val="32"/>
          <w:szCs w:val="32"/>
        </w:rPr>
        <w:fldChar w:fldCharType="begin"/>
      </w:r>
      <w:r>
        <w:rPr>
          <w:rStyle w:val="33"/>
          <w:rFonts w:ascii="Times New Roman"/>
          <w:sz w:val="32"/>
          <w:szCs w:val="32"/>
        </w:rPr>
        <w:instrText xml:space="preserve"> MERGEFIELD D0006 </w:instrText>
      </w:r>
      <w:r>
        <w:rPr>
          <w:rFonts w:ascii="Times New Roman"/>
          <w:sz w:val="32"/>
          <w:szCs w:val="32"/>
        </w:rPr>
        <w:fldChar w:fldCharType="separate"/>
      </w:r>
      <w:r>
        <w:rPr>
          <w:rStyle w:val="33"/>
          <w:rFonts w:ascii="Times New Roman"/>
          <w:sz w:val="32"/>
          <w:szCs w:val="32"/>
        </w:rPr>
        <w:t>312</w:t>
      </w:r>
      <w:r>
        <w:rPr>
          <w:rFonts w:ascii="Times New Roman"/>
          <w:sz w:val="32"/>
          <w:szCs w:val="32"/>
        </w:rPr>
        <w:fldChar w:fldCharType="end"/>
      </w:r>
      <w:r>
        <w:rPr>
          <w:rStyle w:val="33"/>
          <w:rFonts w:ascii="Times New Roman"/>
          <w:sz w:val="32"/>
          <w:szCs w:val="32"/>
        </w:rPr>
        <w:t>名，行政执法编制</w:t>
      </w:r>
      <w:r>
        <w:rPr>
          <w:rFonts w:ascii="Times New Roman"/>
          <w:sz w:val="32"/>
          <w:szCs w:val="32"/>
        </w:rPr>
        <w:fldChar w:fldCharType="begin"/>
      </w:r>
      <w:r>
        <w:rPr>
          <w:rStyle w:val="33"/>
          <w:rFonts w:ascii="Times New Roman"/>
          <w:sz w:val="32"/>
          <w:szCs w:val="32"/>
        </w:rPr>
        <w:instrText xml:space="preserve"> MERGEFIELD D0036 </w:instrText>
      </w:r>
      <w:r>
        <w:rPr>
          <w:rFonts w:ascii="Times New Roman"/>
          <w:sz w:val="32"/>
          <w:szCs w:val="32"/>
        </w:rPr>
        <w:fldChar w:fldCharType="separate"/>
      </w:r>
      <w:r>
        <w:rPr>
          <w:rStyle w:val="33"/>
          <w:rFonts w:ascii="Times New Roman"/>
          <w:sz w:val="32"/>
          <w:szCs w:val="32"/>
        </w:rPr>
        <w:t>0</w:t>
      </w:r>
      <w:r>
        <w:rPr>
          <w:rFonts w:ascii="Times New Roman"/>
          <w:sz w:val="32"/>
          <w:szCs w:val="32"/>
        </w:rPr>
        <w:fldChar w:fldCharType="end"/>
      </w:r>
      <w:r>
        <w:rPr>
          <w:rStyle w:val="33"/>
          <w:rFonts w:ascii="Times New Roman"/>
          <w:sz w:val="32"/>
          <w:szCs w:val="32"/>
        </w:rPr>
        <w:t>名，参照公务员法管理的事业编制</w:t>
      </w:r>
      <w:r>
        <w:rPr>
          <w:rFonts w:ascii="Times New Roman"/>
          <w:sz w:val="32"/>
          <w:szCs w:val="32"/>
        </w:rPr>
        <w:fldChar w:fldCharType="begin"/>
      </w:r>
      <w:r>
        <w:rPr>
          <w:rStyle w:val="33"/>
          <w:rFonts w:ascii="Times New Roman"/>
          <w:sz w:val="32"/>
          <w:szCs w:val="32"/>
        </w:rPr>
        <w:instrText xml:space="preserve"> MERGEFIELD D0007 </w:instrText>
      </w:r>
      <w:r>
        <w:rPr>
          <w:rFonts w:ascii="Times New Roman"/>
          <w:sz w:val="32"/>
          <w:szCs w:val="32"/>
        </w:rPr>
        <w:fldChar w:fldCharType="separate"/>
      </w:r>
      <w:r>
        <w:rPr>
          <w:rStyle w:val="33"/>
          <w:rFonts w:ascii="Times New Roman"/>
          <w:sz w:val="32"/>
          <w:szCs w:val="32"/>
        </w:rPr>
        <w:t>34</w:t>
      </w:r>
      <w:r>
        <w:rPr>
          <w:rFonts w:ascii="Times New Roman"/>
          <w:sz w:val="32"/>
          <w:szCs w:val="32"/>
        </w:rPr>
        <w:fldChar w:fldCharType="end"/>
      </w:r>
      <w:r>
        <w:rPr>
          <w:rStyle w:val="33"/>
          <w:rFonts w:ascii="Times New Roman"/>
          <w:sz w:val="32"/>
          <w:szCs w:val="32"/>
        </w:rPr>
        <w:t>名，其他事业编制</w:t>
      </w:r>
      <w:r>
        <w:rPr>
          <w:rFonts w:hint="eastAsia" w:ascii="Times New Roman"/>
          <w:sz w:val="32"/>
          <w:szCs w:val="32"/>
          <w:lang w:val="en-US" w:eastAsia="zh-CN"/>
        </w:rPr>
        <w:t>2552</w:t>
      </w:r>
      <w:r>
        <w:rPr>
          <w:rStyle w:val="33"/>
          <w:rFonts w:ascii="Times New Roman"/>
          <w:sz w:val="32"/>
          <w:szCs w:val="32"/>
        </w:rPr>
        <w:t>名。在职人员总数</w:t>
      </w:r>
      <w:r>
        <w:rPr>
          <w:rFonts w:hint="eastAsia" w:ascii="Times New Roman"/>
          <w:sz w:val="32"/>
          <w:szCs w:val="32"/>
          <w:lang w:val="en-US" w:eastAsia="zh-CN"/>
        </w:rPr>
        <w:t>2325</w:t>
      </w:r>
      <w:r>
        <w:rPr>
          <w:rStyle w:val="33"/>
          <w:rFonts w:ascii="Times New Roman"/>
          <w:sz w:val="32"/>
          <w:szCs w:val="32"/>
        </w:rPr>
        <w:t>人，其中：行政人员</w:t>
      </w:r>
      <w:r>
        <w:rPr>
          <w:rFonts w:hint="eastAsia" w:ascii="Times New Roman"/>
          <w:sz w:val="32"/>
          <w:szCs w:val="32"/>
          <w:lang w:val="en-US" w:eastAsia="zh-CN"/>
        </w:rPr>
        <w:t>294</w:t>
      </w:r>
      <w:r>
        <w:rPr>
          <w:rStyle w:val="33"/>
          <w:rFonts w:ascii="Times New Roman"/>
          <w:sz w:val="32"/>
          <w:szCs w:val="32"/>
        </w:rPr>
        <w:t>人，行政执法</w:t>
      </w:r>
      <w:r>
        <w:rPr>
          <w:rFonts w:ascii="Times New Roman"/>
          <w:sz w:val="32"/>
          <w:szCs w:val="32"/>
        </w:rPr>
        <w:fldChar w:fldCharType="begin"/>
      </w:r>
      <w:r>
        <w:rPr>
          <w:rStyle w:val="33"/>
          <w:rFonts w:ascii="Times New Roman"/>
          <w:sz w:val="32"/>
          <w:szCs w:val="32"/>
        </w:rPr>
        <w:instrText xml:space="preserve"> MERGEFIELD D0037 </w:instrText>
      </w:r>
      <w:r>
        <w:rPr>
          <w:rFonts w:ascii="Times New Roman"/>
          <w:sz w:val="32"/>
          <w:szCs w:val="32"/>
        </w:rPr>
        <w:fldChar w:fldCharType="separate"/>
      </w:r>
      <w:r>
        <w:rPr>
          <w:rStyle w:val="33"/>
          <w:rFonts w:ascii="Times New Roman"/>
          <w:sz w:val="32"/>
          <w:szCs w:val="32"/>
        </w:rPr>
        <w:t>0</w:t>
      </w:r>
      <w:r>
        <w:rPr>
          <w:rFonts w:ascii="Times New Roman"/>
          <w:sz w:val="32"/>
          <w:szCs w:val="32"/>
        </w:rPr>
        <w:fldChar w:fldCharType="end"/>
      </w:r>
      <w:r>
        <w:rPr>
          <w:rStyle w:val="33"/>
          <w:rFonts w:ascii="Times New Roman"/>
          <w:sz w:val="32"/>
          <w:szCs w:val="32"/>
        </w:rPr>
        <w:t>人，参照公务员法管理的事业人员</w:t>
      </w:r>
      <w:r>
        <w:rPr>
          <w:rFonts w:hint="eastAsia" w:ascii="Times New Roman"/>
          <w:sz w:val="32"/>
          <w:szCs w:val="32"/>
          <w:lang w:val="en-US" w:eastAsia="zh-CN"/>
        </w:rPr>
        <w:t>33</w:t>
      </w:r>
      <w:r>
        <w:rPr>
          <w:rStyle w:val="33"/>
          <w:rFonts w:ascii="Times New Roman"/>
          <w:sz w:val="32"/>
          <w:szCs w:val="32"/>
        </w:rPr>
        <w:t>人，其他事业人员</w:t>
      </w:r>
      <w:r>
        <w:rPr>
          <w:rFonts w:hint="eastAsia" w:ascii="Times New Roman"/>
          <w:sz w:val="32"/>
          <w:szCs w:val="32"/>
          <w:lang w:val="en-US" w:eastAsia="zh-CN"/>
        </w:rPr>
        <w:t>1908</w:t>
      </w:r>
      <w:r>
        <w:rPr>
          <w:rStyle w:val="33"/>
          <w:rFonts w:ascii="Times New Roman"/>
          <w:sz w:val="32"/>
          <w:szCs w:val="32"/>
        </w:rPr>
        <w:t>人；离休人员</w:t>
      </w:r>
      <w:r>
        <w:rPr>
          <w:rFonts w:hint="eastAsia" w:ascii="Times New Roman"/>
          <w:sz w:val="32"/>
          <w:szCs w:val="32"/>
          <w:lang w:val="en-US" w:eastAsia="zh-CN"/>
        </w:rPr>
        <w:t>90</w:t>
      </w:r>
      <w:r>
        <w:rPr>
          <w:rStyle w:val="33"/>
          <w:rFonts w:ascii="Times New Roman"/>
          <w:sz w:val="32"/>
          <w:szCs w:val="32"/>
        </w:rPr>
        <w:t>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600" w:lineRule="exact"/>
        <w:ind w:firstLine="640" w:firstLineChars="200"/>
        <w:rPr>
          <w:rFonts w:hint="eastAsia" w:ascii="Times New Roman" w:hAnsi="Times New Roman" w:eastAsia="楷体_GB2312"/>
          <w:color w:val="000000"/>
          <w:kern w:val="0"/>
          <w:sz w:val="32"/>
          <w:szCs w:val="32"/>
          <w:lang w:val="zh-CN"/>
        </w:rPr>
      </w:pPr>
      <w:r>
        <w:rPr>
          <w:rFonts w:hint="eastAsia" w:ascii="Times New Roman" w:hAnsi="Times New Roman" w:eastAsia="楷体_GB2312"/>
          <w:color w:val="000000"/>
          <w:kern w:val="0"/>
          <w:sz w:val="32"/>
          <w:szCs w:val="32"/>
          <w:lang w:val="zh-CN"/>
        </w:rPr>
        <w:t>（一）部门财政资金收入情况。</w:t>
      </w:r>
    </w:p>
    <w:p>
      <w:pPr>
        <w:widowControl/>
        <w:adjustRightInd w:val="0"/>
        <w:snapToGrid w:val="0"/>
        <w:spacing w:line="580" w:lineRule="exact"/>
        <w:ind w:firstLine="640" w:firstLineChars="200"/>
        <w:contextualSpacing/>
        <w:jc w:val="left"/>
        <w:rPr>
          <w:rFonts w:hint="eastAsia" w:ascii="仿宋_GB2312" w:hAnsi="宋体" w:cs="宋体"/>
          <w:color w:val="000000"/>
          <w:kern w:val="0"/>
          <w:szCs w:val="32"/>
          <w:shd w:val="clear" w:color="auto" w:fill="FFFFFF"/>
          <w:lang w:val="zh-CN"/>
        </w:rPr>
      </w:pPr>
      <w:r>
        <w:rPr>
          <w:rFonts w:ascii="Times New Roman" w:hAnsi="Times New Roman" w:eastAsia="仿宋_GB2312"/>
          <w:sz w:val="32"/>
          <w:szCs w:val="32"/>
        </w:rPr>
        <w:t>20</w:t>
      </w:r>
      <w:r>
        <w:rPr>
          <w:rFonts w:hint="eastAsia"/>
          <w:sz w:val="32"/>
          <w:szCs w:val="32"/>
          <w:lang w:val="en-US" w:eastAsia="zh-CN"/>
        </w:rPr>
        <w:t>20</w:t>
      </w:r>
      <w:r>
        <w:rPr>
          <w:rFonts w:ascii="Times New Roman" w:hAnsi="Times New Roman" w:eastAsia="仿宋_GB2312"/>
          <w:sz w:val="32"/>
          <w:szCs w:val="32"/>
        </w:rPr>
        <w:t>年经济和信息化厅部门财政资金收入</w:t>
      </w:r>
      <w:r>
        <w:rPr>
          <w:rFonts w:hint="eastAsia"/>
          <w:sz w:val="32"/>
          <w:szCs w:val="32"/>
          <w:lang w:val="en-US" w:eastAsia="zh-CN"/>
        </w:rPr>
        <w:t>112256</w:t>
      </w:r>
      <w:r>
        <w:rPr>
          <w:rFonts w:ascii="Times New Roman" w:hAnsi="Times New Roman" w:eastAsia="仿宋_GB2312"/>
          <w:sz w:val="32"/>
          <w:szCs w:val="32"/>
        </w:rPr>
        <w:t>万元。</w:t>
      </w:r>
    </w:p>
    <w:p>
      <w:pPr>
        <w:widowControl/>
        <w:adjustRightInd w:val="0"/>
        <w:snapToGrid w:val="0"/>
        <w:spacing w:line="600" w:lineRule="exact"/>
        <w:ind w:firstLine="640" w:firstLineChars="200"/>
        <w:rPr>
          <w:rFonts w:hint="eastAsia" w:ascii="Times New Roman" w:hAnsi="Times New Roman" w:eastAsia="楷体_GB2312"/>
          <w:color w:val="000000"/>
          <w:kern w:val="0"/>
          <w:sz w:val="32"/>
          <w:szCs w:val="32"/>
          <w:lang w:val="zh-CN"/>
        </w:rPr>
      </w:pPr>
      <w:r>
        <w:rPr>
          <w:rFonts w:hint="eastAsia" w:eastAsia="楷体_GB2312"/>
          <w:color w:val="000000"/>
          <w:kern w:val="0"/>
          <w:sz w:val="32"/>
          <w:szCs w:val="32"/>
          <w:lang w:val="zh-CN"/>
        </w:rPr>
        <w:t>（二）</w:t>
      </w:r>
      <w:r>
        <w:rPr>
          <w:rFonts w:hint="eastAsia" w:ascii="Times New Roman" w:hAnsi="Times New Roman" w:eastAsia="楷体_GB2312"/>
          <w:color w:val="000000"/>
          <w:kern w:val="0"/>
          <w:sz w:val="32"/>
          <w:szCs w:val="32"/>
          <w:lang w:val="zh-CN"/>
        </w:rPr>
        <w:t>部门财政资金支出情况。</w:t>
      </w:r>
    </w:p>
    <w:p>
      <w:pPr>
        <w:widowControl/>
        <w:adjustRightInd w:val="0"/>
        <w:snapToGrid w:val="0"/>
        <w:spacing w:line="600" w:lineRule="exact"/>
        <w:ind w:firstLine="640" w:firstLineChars="200"/>
        <w:rPr>
          <w:rFonts w:hint="eastAsia" w:ascii="仿宋_GB2312" w:hAnsi="宋体" w:eastAsia="仿宋_GB2312" w:cs="宋体"/>
          <w:color w:val="000000"/>
          <w:kern w:val="0"/>
          <w:szCs w:val="32"/>
          <w:shd w:val="clear" w:color="auto" w:fill="FFFFFF"/>
          <w:lang w:val="en-US" w:eastAsia="zh-CN"/>
        </w:rPr>
      </w:pPr>
      <w:r>
        <w:rPr>
          <w:rFonts w:ascii="Times New Roman" w:hAnsi="Times New Roman" w:eastAsia="仿宋_GB2312"/>
          <w:sz w:val="32"/>
          <w:szCs w:val="32"/>
        </w:rPr>
        <w:t>20</w:t>
      </w:r>
      <w:r>
        <w:rPr>
          <w:rFonts w:hint="eastAsia"/>
          <w:sz w:val="32"/>
          <w:szCs w:val="32"/>
          <w:lang w:val="en-US" w:eastAsia="zh-CN"/>
        </w:rPr>
        <w:t>20</w:t>
      </w:r>
      <w:r>
        <w:rPr>
          <w:rFonts w:ascii="Times New Roman" w:hAnsi="Times New Roman" w:eastAsia="仿宋_GB2312"/>
          <w:sz w:val="32"/>
          <w:szCs w:val="32"/>
        </w:rPr>
        <w:t>年经济和信息化厅部门财政资金支出</w:t>
      </w:r>
      <w:r>
        <w:rPr>
          <w:rFonts w:hint="eastAsia"/>
          <w:sz w:val="32"/>
          <w:szCs w:val="32"/>
          <w:lang w:val="en-US" w:eastAsia="zh-CN"/>
        </w:rPr>
        <w:t>111747</w:t>
      </w:r>
      <w:r>
        <w:rPr>
          <w:rFonts w:ascii="Times New Roman" w:hAnsi="Times New Roman" w:eastAsia="仿宋_GB2312"/>
          <w:sz w:val="32"/>
          <w:szCs w:val="32"/>
        </w:rPr>
        <w:t>万元。</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widowControl/>
        <w:adjustRightInd w:val="0"/>
        <w:snapToGrid w:val="0"/>
        <w:spacing w:line="600" w:lineRule="exact"/>
        <w:ind w:firstLine="640" w:firstLineChars="200"/>
        <w:rPr>
          <w:rFonts w:hint="eastAsia" w:ascii="Times New Roman" w:hAnsi="Times New Roman" w:eastAsia="楷体_GB2312"/>
          <w:color w:val="000000"/>
          <w:kern w:val="0"/>
          <w:sz w:val="32"/>
          <w:szCs w:val="32"/>
          <w:lang w:val="zh-CN"/>
        </w:rPr>
      </w:pPr>
      <w:r>
        <w:rPr>
          <w:rFonts w:hint="eastAsia" w:ascii="Times New Roman" w:hAnsi="Times New Roman" w:eastAsia="楷体_GB2312"/>
          <w:color w:val="000000"/>
          <w:kern w:val="0"/>
          <w:sz w:val="32"/>
          <w:szCs w:val="32"/>
          <w:lang w:val="zh-CN"/>
        </w:rPr>
        <w:t>（一）部门预算管理。</w:t>
      </w:r>
    </w:p>
    <w:p>
      <w:pPr>
        <w:widowControl/>
        <w:adjustRightInd w:val="0"/>
        <w:snapToGrid w:val="0"/>
        <w:spacing w:line="600" w:lineRule="exact"/>
        <w:ind w:firstLine="640" w:firstLineChars="200"/>
        <w:rPr>
          <w:rFonts w:ascii="Times New Roman" w:hAnsi="Times New Roman" w:eastAsia="楷体_GB2312"/>
          <w:color w:val="000000"/>
          <w:kern w:val="0"/>
          <w:sz w:val="32"/>
          <w:szCs w:val="32"/>
          <w:lang w:val="zh-CN"/>
        </w:rPr>
      </w:pPr>
      <w:r>
        <w:rPr>
          <w:rFonts w:ascii="Times New Roman" w:hAnsi="Times New Roman" w:eastAsia="楷体_GB2312"/>
          <w:color w:val="000000"/>
          <w:kern w:val="0"/>
          <w:sz w:val="32"/>
          <w:szCs w:val="32"/>
          <w:lang w:val="zh-CN"/>
        </w:rPr>
        <w:t>1.部门绩效目标制定及完成情况。</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color w:val="000000"/>
          <w:kern w:val="0"/>
          <w:sz w:val="32"/>
          <w:szCs w:val="32"/>
          <w:lang w:val="zh-CN"/>
        </w:rPr>
        <w:t>2</w:t>
      </w:r>
      <w:r>
        <w:rPr>
          <w:rFonts w:ascii="Times New Roman" w:hAnsi="Times New Roman" w:eastAsia="仿宋_GB2312"/>
          <w:sz w:val="32"/>
          <w:szCs w:val="32"/>
        </w:rPr>
        <w:t>0</w:t>
      </w:r>
      <w:r>
        <w:rPr>
          <w:rFonts w:hint="eastAsia"/>
          <w:sz w:val="32"/>
          <w:szCs w:val="32"/>
          <w:lang w:val="en-US" w:eastAsia="zh-CN"/>
        </w:rPr>
        <w:t>20</w:t>
      </w:r>
      <w:r>
        <w:rPr>
          <w:rFonts w:ascii="Times New Roman" w:hAnsi="Times New Roman" w:eastAsia="仿宋_GB2312"/>
          <w:sz w:val="32"/>
          <w:szCs w:val="32"/>
        </w:rPr>
        <w:t>年，我厅严格按照省级部门预算编制规定，结合省委省政府的重点工作和部门自身的中长期发展规划等编制部门预算及支出绩效目标。按照“费随事定”的原则，对100万元以上的部门预算专用项目按要求编制了绩效目标，并编制了部门整体支出绩效目标。在目标制定过程中充分考虑绩效目标的必要性、可行性和科学性，围绕项目中内容的数量指标、质量指标、时效指标、社会效益指标、可持续影响指标、满意度指标等设定相应的预期完成值，做到了指标的细化量化</w:t>
      </w:r>
      <w:r>
        <w:rPr>
          <w:rFonts w:ascii="Times New Roman" w:hAnsi="Times New Roman" w:eastAsia="仿宋_GB2312"/>
          <w:sz w:val="32"/>
          <w:szCs w:val="32"/>
          <w:lang w:val="zh-CN"/>
        </w:rPr>
        <w:t>，</w:t>
      </w:r>
      <w:r>
        <w:rPr>
          <w:rFonts w:ascii="Times New Roman" w:hAnsi="Times New Roman" w:eastAsia="仿宋_GB2312"/>
          <w:sz w:val="32"/>
          <w:szCs w:val="32"/>
        </w:rPr>
        <w:t>保证部门预算绩效目标编制的规范性和准确性。</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20</w:t>
      </w:r>
      <w:r>
        <w:rPr>
          <w:rFonts w:hint="eastAsia"/>
          <w:sz w:val="32"/>
          <w:szCs w:val="32"/>
          <w:lang w:val="en-US" w:eastAsia="zh-CN"/>
        </w:rPr>
        <w:t>20</w:t>
      </w:r>
      <w:r>
        <w:rPr>
          <w:rFonts w:ascii="Times New Roman" w:hAnsi="Times New Roman" w:eastAsia="仿宋_GB2312"/>
          <w:sz w:val="32"/>
          <w:szCs w:val="32"/>
        </w:rPr>
        <w:t>年，</w:t>
      </w:r>
      <w:r>
        <w:rPr>
          <w:rFonts w:hint="eastAsia"/>
          <w:sz w:val="32"/>
          <w:szCs w:val="32"/>
          <w:lang w:eastAsia="zh-CN"/>
        </w:rPr>
        <w:t>我厅</w:t>
      </w:r>
      <w:r>
        <w:rPr>
          <w:rFonts w:hint="eastAsia" w:ascii="Times New Roman" w:hAnsi="Times New Roman" w:eastAsia="仿宋_GB2312"/>
          <w:sz w:val="32"/>
          <w:szCs w:val="32"/>
        </w:rPr>
        <w:t>坚定以习近平新时代中国特色社会主义思想为指导，深入贯彻党的十九大和十九届二中、三中、四中、五中全会精神，全面落实省委省政府各项决策部署，统筹疫情防控和工业经济发展，突出“工业挑大梁、制造业扛大旗”，一季度拉响警报、力保增长，二季度吹响集结号、加劲提速，三季度吹响进军号、抢抓进度，四季度吹响冲锋号、确保目标，全省工业较短时间实现回升，制造强省建设迈出新的步伐</w:t>
      </w:r>
      <w:r>
        <w:rPr>
          <w:rFonts w:ascii="Times New Roman" w:hAnsi="Times New Roman" w:eastAsia="仿宋_GB2312"/>
          <w:sz w:val="32"/>
          <w:szCs w:val="32"/>
        </w:rPr>
        <w:t>。</w:t>
      </w:r>
      <w:r>
        <w:rPr>
          <w:rFonts w:hint="eastAsia"/>
          <w:sz w:val="32"/>
          <w:szCs w:val="32"/>
          <w:lang w:eastAsia="zh-CN"/>
        </w:rPr>
        <w:t>受疫情影响，我省</w:t>
      </w:r>
      <w:r>
        <w:rPr>
          <w:rFonts w:ascii="Times New Roman" w:hAnsi="Times New Roman" w:eastAsia="仿宋_GB2312"/>
          <w:color w:val="000000"/>
          <w:sz w:val="32"/>
          <w:szCs w:val="32"/>
        </w:rPr>
        <w:t>全年规上工业增加值增长</w:t>
      </w:r>
      <w:r>
        <w:rPr>
          <w:rFonts w:hint="eastAsia"/>
          <w:color w:val="000000"/>
          <w:sz w:val="32"/>
          <w:szCs w:val="32"/>
          <w:lang w:val="en-US" w:eastAsia="zh-CN"/>
        </w:rPr>
        <w:t>4.5</w:t>
      </w:r>
      <w:r>
        <w:rPr>
          <w:rFonts w:ascii="Times New Roman" w:hAnsi="Times New Roman" w:eastAsia="仿宋_GB2312"/>
          <w:color w:val="000000"/>
          <w:sz w:val="32"/>
          <w:szCs w:val="32"/>
        </w:rPr>
        <w:t>%，</w:t>
      </w:r>
      <w:r>
        <w:rPr>
          <w:rFonts w:hint="eastAsia"/>
          <w:color w:val="000000"/>
          <w:sz w:val="32"/>
          <w:szCs w:val="32"/>
          <w:lang w:eastAsia="zh-CN"/>
        </w:rPr>
        <w:t>全省地区生产总值同比增长</w:t>
      </w:r>
      <w:r>
        <w:rPr>
          <w:rFonts w:hint="eastAsia"/>
          <w:color w:val="000000"/>
          <w:sz w:val="32"/>
          <w:szCs w:val="32"/>
          <w:lang w:val="en-US" w:eastAsia="zh-CN"/>
        </w:rPr>
        <w:t>3.8%，完成了全年规模以上工业增加值增速与全省国民生产总值（GDP）增速同步的目标；2020年，全省规模以上工业单位增加值能耗同比下降4.02%，超额完成下降0.5%的年度目标。</w:t>
      </w:r>
    </w:p>
    <w:p>
      <w:pPr>
        <w:widowControl/>
        <w:adjustRightInd w:val="0"/>
        <w:snapToGrid w:val="0"/>
        <w:spacing w:line="600" w:lineRule="exact"/>
        <w:ind w:firstLine="640" w:firstLineChars="200"/>
        <w:rPr>
          <w:rFonts w:ascii="Times New Roman" w:hAnsi="Times New Roman" w:eastAsia="楷体_GB2312"/>
          <w:color w:val="000000"/>
          <w:kern w:val="0"/>
          <w:sz w:val="32"/>
          <w:szCs w:val="32"/>
          <w:lang w:val="zh-CN"/>
        </w:rPr>
      </w:pPr>
      <w:r>
        <w:rPr>
          <w:rFonts w:ascii="Times New Roman" w:hAnsi="Times New Roman" w:eastAsia="楷体_GB2312"/>
          <w:color w:val="000000"/>
          <w:kern w:val="0"/>
          <w:sz w:val="32"/>
          <w:szCs w:val="32"/>
          <w:lang w:val="zh-CN"/>
        </w:rPr>
        <w:t>2.</w:t>
      </w:r>
      <w:r>
        <w:rPr>
          <w:rFonts w:hint="eastAsia" w:eastAsia="楷体_GB2312"/>
          <w:color w:val="000000"/>
          <w:kern w:val="0"/>
          <w:sz w:val="32"/>
          <w:szCs w:val="32"/>
          <w:lang w:val="zh-CN"/>
        </w:rPr>
        <w:t>部门</w:t>
      </w:r>
      <w:r>
        <w:rPr>
          <w:rFonts w:ascii="Times New Roman" w:hAnsi="Times New Roman" w:eastAsia="楷体_GB2312"/>
          <w:color w:val="000000"/>
          <w:kern w:val="0"/>
          <w:sz w:val="32"/>
          <w:szCs w:val="32"/>
          <w:lang w:val="zh-CN"/>
        </w:rPr>
        <w:t>预算编制及完成情况。</w:t>
      </w:r>
    </w:p>
    <w:p>
      <w:pPr>
        <w:widowControl/>
        <w:adjustRightInd w:val="0"/>
        <w:snapToGrid w:val="0"/>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根据省财政厅《关于编制省级部门2020-2022年支出规划和2020年部门预算的通知》（川财预</w:t>
      </w:r>
      <w:r>
        <w:rPr>
          <w:rFonts w:ascii="Times New Roman" w:hAnsi="Times New Roman"/>
          <w:sz w:val="32"/>
          <w:szCs w:val="32"/>
        </w:rPr>
        <w:t>﹝</w:t>
      </w:r>
      <w:r>
        <w:rPr>
          <w:rFonts w:ascii="Times New Roman" w:hAnsi="Times New Roman" w:eastAsia="仿宋_GB2312"/>
          <w:sz w:val="32"/>
          <w:szCs w:val="32"/>
        </w:rPr>
        <w:t>2019</w:t>
      </w:r>
      <w:r>
        <w:rPr>
          <w:rFonts w:ascii="Times New Roman" w:hAnsi="Times New Roman"/>
          <w:sz w:val="32"/>
          <w:szCs w:val="32"/>
        </w:rPr>
        <w:t>﹞</w:t>
      </w:r>
      <w:r>
        <w:rPr>
          <w:rFonts w:ascii="Times New Roman" w:hAnsi="Times New Roman" w:eastAsia="仿宋_GB2312"/>
          <w:sz w:val="32"/>
          <w:szCs w:val="32"/>
        </w:rPr>
        <w:t>93号）要求</w:t>
      </w:r>
      <w:r>
        <w:rPr>
          <w:rFonts w:hint="eastAsia"/>
          <w:sz w:val="32"/>
          <w:szCs w:val="32"/>
          <w:lang w:eastAsia="zh-CN"/>
        </w:rPr>
        <w:t>，结合</w:t>
      </w:r>
      <w:r>
        <w:rPr>
          <w:rFonts w:ascii="Times New Roman" w:hAnsi="Times New Roman" w:eastAsia="仿宋_GB2312"/>
          <w:sz w:val="32"/>
          <w:szCs w:val="32"/>
        </w:rPr>
        <w:t>部门预算编制口径</w:t>
      </w:r>
      <w:r>
        <w:rPr>
          <w:rFonts w:hint="eastAsia"/>
          <w:sz w:val="32"/>
          <w:szCs w:val="32"/>
          <w:lang w:eastAsia="zh-CN"/>
        </w:rPr>
        <w:t>，我厅</w:t>
      </w:r>
      <w:r>
        <w:rPr>
          <w:rFonts w:ascii="Times New Roman" w:hAnsi="Times New Roman" w:eastAsia="仿宋_GB2312"/>
          <w:sz w:val="32"/>
          <w:szCs w:val="32"/>
        </w:rPr>
        <w:t>汇总编报了</w:t>
      </w:r>
      <w:r>
        <w:rPr>
          <w:rFonts w:hint="eastAsia"/>
          <w:sz w:val="32"/>
          <w:szCs w:val="32"/>
          <w:lang w:val="en-US" w:eastAsia="zh-CN"/>
        </w:rPr>
        <w:t>2020年</w:t>
      </w:r>
      <w:r>
        <w:rPr>
          <w:rFonts w:ascii="Times New Roman" w:hAnsi="Times New Roman" w:eastAsia="仿宋_GB2312"/>
          <w:sz w:val="32"/>
          <w:szCs w:val="32"/>
        </w:rPr>
        <w:t>部门预算。</w:t>
      </w:r>
      <w:r>
        <w:rPr>
          <w:rFonts w:ascii="Times New Roman" w:hAnsi="Times New Roman" w:eastAsia="仿宋_GB2312"/>
          <w:sz w:val="32"/>
          <w:szCs w:val="32"/>
          <w:lang w:val="zh-CN"/>
        </w:rPr>
        <w:t>预算编制基本符合规范要求，</w:t>
      </w:r>
      <w:r>
        <w:rPr>
          <w:rFonts w:hint="eastAsia"/>
          <w:sz w:val="32"/>
          <w:szCs w:val="32"/>
          <w:lang w:val="zh-CN"/>
        </w:rPr>
        <w:t>但</w:t>
      </w:r>
      <w:r>
        <w:rPr>
          <w:rFonts w:ascii="Times New Roman" w:hAnsi="Times New Roman" w:eastAsia="仿宋_GB2312"/>
          <w:sz w:val="32"/>
          <w:szCs w:val="32"/>
          <w:lang w:val="zh-CN"/>
        </w:rPr>
        <w:t>预算编制准确性还有待提高，年末专项资金结余注销额较大。</w:t>
      </w:r>
    </w:p>
    <w:p>
      <w:pPr>
        <w:widowControl/>
        <w:adjustRightInd w:val="0"/>
        <w:snapToGrid w:val="0"/>
        <w:spacing w:line="600" w:lineRule="exact"/>
        <w:ind w:firstLine="640" w:firstLineChars="200"/>
        <w:rPr>
          <w:rFonts w:ascii="Times New Roman" w:hAnsi="Times New Roman" w:eastAsia="仿宋_GB2312"/>
          <w:sz w:val="32"/>
          <w:szCs w:val="32"/>
          <w:lang w:val="zh-CN"/>
        </w:rPr>
      </w:pPr>
      <w:r>
        <w:rPr>
          <w:rFonts w:hint="eastAsia"/>
          <w:sz w:val="32"/>
          <w:szCs w:val="32"/>
          <w:lang w:val="en-US" w:eastAsia="zh-CN"/>
        </w:rPr>
        <w:t>2020年</w:t>
      </w:r>
      <w:r>
        <w:rPr>
          <w:rFonts w:hint="eastAsia"/>
          <w:sz w:val="32"/>
          <w:szCs w:val="32"/>
          <w:lang w:val="zh-CN"/>
        </w:rPr>
        <w:t>部门预算执行方面，</w:t>
      </w:r>
      <w:r>
        <w:rPr>
          <w:rFonts w:ascii="Times New Roman" w:hAnsi="Times New Roman" w:eastAsia="仿宋_GB2312"/>
          <w:sz w:val="32"/>
          <w:szCs w:val="32"/>
          <w:lang w:val="zh-CN"/>
        </w:rPr>
        <w:t>部门预算支出率与财政部门的要求仍有一定差距。</w:t>
      </w:r>
      <w:r>
        <w:rPr>
          <w:rFonts w:ascii="Times New Roman" w:hAnsi="Times New Roman" w:eastAsia="仿宋_GB2312"/>
          <w:sz w:val="32"/>
          <w:szCs w:val="32"/>
        </w:rPr>
        <w:t>6月部门</w:t>
      </w:r>
      <w:r>
        <w:rPr>
          <w:rFonts w:ascii="Times New Roman" w:hAnsi="Times New Roman" w:eastAsia="仿宋_GB2312"/>
          <w:sz w:val="32"/>
          <w:szCs w:val="32"/>
          <w:lang w:val="zh-CN"/>
        </w:rPr>
        <w:t>预算执行进度为</w:t>
      </w:r>
      <w:r>
        <w:rPr>
          <w:rFonts w:ascii="Times New Roman" w:hAnsi="Times New Roman" w:eastAsia="仿宋_GB2312"/>
          <w:sz w:val="32"/>
          <w:szCs w:val="32"/>
        </w:rPr>
        <w:t>3</w:t>
      </w:r>
      <w:r>
        <w:rPr>
          <w:rFonts w:hint="eastAsia"/>
          <w:sz w:val="32"/>
          <w:szCs w:val="32"/>
          <w:lang w:val="en-US" w:eastAsia="zh-CN"/>
        </w:rPr>
        <w:t>5.87</w:t>
      </w:r>
      <w:r>
        <w:rPr>
          <w:rFonts w:ascii="Times New Roman" w:hAnsi="Times New Roman" w:eastAsia="仿宋_GB2312"/>
          <w:sz w:val="32"/>
          <w:szCs w:val="32"/>
          <w:lang w:val="zh-CN"/>
        </w:rPr>
        <w:t>%，</w:t>
      </w:r>
      <w:r>
        <w:rPr>
          <w:rFonts w:ascii="Times New Roman" w:hAnsi="Times New Roman" w:eastAsia="仿宋_GB2312"/>
          <w:sz w:val="32"/>
          <w:szCs w:val="32"/>
        </w:rPr>
        <w:t>9月部门</w:t>
      </w:r>
      <w:r>
        <w:rPr>
          <w:rFonts w:ascii="Times New Roman" w:hAnsi="Times New Roman" w:eastAsia="仿宋_GB2312"/>
          <w:sz w:val="32"/>
          <w:szCs w:val="32"/>
          <w:lang w:val="zh-CN"/>
        </w:rPr>
        <w:t>预算执行进度为</w:t>
      </w:r>
      <w:r>
        <w:rPr>
          <w:rFonts w:hint="eastAsia"/>
          <w:sz w:val="32"/>
          <w:szCs w:val="32"/>
          <w:lang w:val="en-US" w:eastAsia="zh-CN"/>
        </w:rPr>
        <w:t>61.82</w:t>
      </w:r>
      <w:r>
        <w:rPr>
          <w:rFonts w:ascii="Times New Roman" w:hAnsi="Times New Roman" w:eastAsia="仿宋_GB2312"/>
          <w:sz w:val="32"/>
          <w:szCs w:val="32"/>
          <w:lang w:val="zh-CN"/>
        </w:rPr>
        <w:t>%，</w:t>
      </w:r>
      <w:r>
        <w:rPr>
          <w:rFonts w:ascii="Times New Roman" w:hAnsi="Times New Roman" w:eastAsia="仿宋_GB2312"/>
          <w:sz w:val="32"/>
          <w:szCs w:val="32"/>
        </w:rPr>
        <w:t>11月部门</w:t>
      </w:r>
      <w:r>
        <w:rPr>
          <w:rFonts w:ascii="Times New Roman" w:hAnsi="Times New Roman" w:eastAsia="仿宋_GB2312"/>
          <w:sz w:val="32"/>
          <w:szCs w:val="32"/>
          <w:lang w:val="zh-CN"/>
        </w:rPr>
        <w:t>预算执行进度为</w:t>
      </w:r>
      <w:r>
        <w:rPr>
          <w:rFonts w:hint="eastAsia"/>
          <w:sz w:val="32"/>
          <w:szCs w:val="32"/>
          <w:lang w:val="en-US" w:eastAsia="zh-CN"/>
        </w:rPr>
        <w:t>63.8</w:t>
      </w:r>
      <w:r>
        <w:rPr>
          <w:rFonts w:ascii="Times New Roman" w:hAnsi="Times New Roman" w:eastAsia="仿宋_GB2312"/>
          <w:sz w:val="32"/>
          <w:szCs w:val="32"/>
          <w:lang w:val="zh-CN"/>
        </w:rPr>
        <w:t>%，</w:t>
      </w:r>
      <w:r>
        <w:rPr>
          <w:rFonts w:ascii="Times New Roman" w:hAnsi="Times New Roman" w:eastAsia="仿宋_GB2312"/>
          <w:sz w:val="32"/>
          <w:szCs w:val="32"/>
        </w:rPr>
        <w:t>12月预算</w:t>
      </w:r>
      <w:r>
        <w:rPr>
          <w:rFonts w:ascii="Times New Roman" w:hAnsi="Times New Roman" w:eastAsia="仿宋_GB2312"/>
          <w:sz w:val="32"/>
          <w:szCs w:val="32"/>
          <w:lang w:val="zh-CN"/>
        </w:rPr>
        <w:t>执行率为</w:t>
      </w:r>
      <w:r>
        <w:rPr>
          <w:rFonts w:hint="eastAsia"/>
          <w:sz w:val="32"/>
          <w:szCs w:val="32"/>
          <w:lang w:val="en-US" w:eastAsia="zh-CN"/>
        </w:rPr>
        <w:t>88.6</w:t>
      </w:r>
      <w:r>
        <w:rPr>
          <w:rFonts w:ascii="Times New Roman" w:hAnsi="Times New Roman" w:eastAsia="仿宋_GB2312"/>
          <w:sz w:val="32"/>
          <w:szCs w:val="32"/>
          <w:lang w:val="zh-CN"/>
        </w:rPr>
        <w:t>%。预算未执行完毕的主要原因是部分政府采购项目资金、基建项目合同未执行完毕</w:t>
      </w:r>
      <w:r>
        <w:rPr>
          <w:rFonts w:hint="eastAsia"/>
          <w:sz w:val="32"/>
          <w:szCs w:val="32"/>
          <w:lang w:val="zh-CN"/>
        </w:rPr>
        <w:t>，结转至</w:t>
      </w:r>
      <w:r>
        <w:rPr>
          <w:rFonts w:hint="eastAsia"/>
          <w:sz w:val="32"/>
          <w:szCs w:val="32"/>
          <w:lang w:val="en-US" w:eastAsia="zh-CN"/>
        </w:rPr>
        <w:t>2021年继续使用</w:t>
      </w:r>
      <w:r>
        <w:rPr>
          <w:rFonts w:ascii="Times New Roman" w:hAnsi="Times New Roman" w:eastAsia="仿宋_GB2312"/>
          <w:sz w:val="32"/>
          <w:szCs w:val="32"/>
          <w:lang w:val="zh-CN"/>
        </w:rPr>
        <w:t>。</w:t>
      </w:r>
    </w:p>
    <w:p>
      <w:pPr>
        <w:widowControl/>
        <w:adjustRightInd w:val="0"/>
        <w:snapToGrid w:val="0"/>
        <w:spacing w:line="600" w:lineRule="exact"/>
        <w:ind w:firstLine="640" w:firstLineChars="200"/>
        <w:rPr>
          <w:rFonts w:ascii="Times New Roman" w:hAnsi="Times New Roman" w:eastAsia="仿宋_GB2312"/>
          <w:sz w:val="32"/>
          <w:szCs w:val="32"/>
          <w:lang w:val="zh-CN"/>
        </w:rPr>
      </w:pPr>
      <w:r>
        <w:rPr>
          <w:rFonts w:hint="eastAsia"/>
          <w:sz w:val="32"/>
          <w:szCs w:val="32"/>
          <w:lang w:val="en-US" w:eastAsia="zh-CN"/>
        </w:rPr>
        <w:t>2020年11月，</w:t>
      </w:r>
      <w:r>
        <w:rPr>
          <w:rFonts w:hint="eastAsia"/>
          <w:sz w:val="32"/>
          <w:szCs w:val="32"/>
          <w:lang w:val="zh-CN"/>
        </w:rPr>
        <w:t>我厅</w:t>
      </w:r>
      <w:r>
        <w:rPr>
          <w:rFonts w:ascii="Times New Roman" w:hAnsi="Times New Roman" w:eastAsia="仿宋_GB2312"/>
          <w:sz w:val="32"/>
          <w:szCs w:val="32"/>
          <w:lang w:val="zh-CN"/>
        </w:rPr>
        <w:t>根据年底前工作安排，</w:t>
      </w:r>
      <w:r>
        <w:rPr>
          <w:rFonts w:hint="eastAsia"/>
          <w:sz w:val="32"/>
          <w:szCs w:val="32"/>
          <w:lang w:val="zh-CN"/>
        </w:rPr>
        <w:t>及时进行动态调整，</w:t>
      </w:r>
      <w:r>
        <w:rPr>
          <w:rFonts w:ascii="Times New Roman" w:hAnsi="Times New Roman" w:eastAsia="仿宋_GB2312"/>
          <w:sz w:val="32"/>
          <w:szCs w:val="32"/>
          <w:lang w:val="zh-CN"/>
        </w:rPr>
        <w:t>按程序对</w:t>
      </w:r>
      <w:r>
        <w:rPr>
          <w:rFonts w:hint="eastAsia"/>
          <w:sz w:val="32"/>
          <w:szCs w:val="32"/>
          <w:lang w:val="zh-CN"/>
        </w:rPr>
        <w:t>预计不再使用的资金进行了调整取消，共调整取消资金</w:t>
      </w:r>
      <w:r>
        <w:rPr>
          <w:rFonts w:hint="eastAsia"/>
          <w:sz w:val="32"/>
          <w:szCs w:val="32"/>
          <w:lang w:val="en-US" w:eastAsia="zh-CN"/>
        </w:rPr>
        <w:t>1499.1万元</w:t>
      </w:r>
      <w:r>
        <w:rPr>
          <w:rFonts w:ascii="Times New Roman" w:hAnsi="Times New Roman" w:eastAsia="仿宋_GB2312"/>
          <w:sz w:val="32"/>
          <w:szCs w:val="32"/>
          <w:lang w:val="zh-CN"/>
        </w:rPr>
        <w:t>。</w:t>
      </w:r>
    </w:p>
    <w:p>
      <w:pPr>
        <w:widowControl/>
        <w:adjustRightInd w:val="0"/>
        <w:snapToGrid w:val="0"/>
        <w:spacing w:line="600" w:lineRule="exact"/>
        <w:ind w:firstLine="640" w:firstLineChars="200"/>
        <w:rPr>
          <w:rFonts w:ascii="Times New Roman" w:hAnsi="Times New Roman" w:eastAsia="楷体_GB2312"/>
          <w:color w:val="000000"/>
          <w:kern w:val="0"/>
          <w:sz w:val="32"/>
          <w:szCs w:val="32"/>
          <w:lang w:val="zh-CN"/>
        </w:rPr>
      </w:pPr>
      <w:r>
        <w:rPr>
          <w:rFonts w:hint="eastAsia" w:ascii="Times New Roman" w:hAnsi="Times New Roman" w:eastAsia="楷体_GB2312"/>
          <w:color w:val="000000"/>
          <w:kern w:val="0"/>
          <w:sz w:val="32"/>
          <w:szCs w:val="32"/>
          <w:lang w:val="zh-CN"/>
        </w:rPr>
        <w:t>（二）结果应用情况。</w:t>
      </w:r>
    </w:p>
    <w:p>
      <w:pPr>
        <w:widowControl/>
        <w:adjustRightInd w:val="0"/>
        <w:snapToGrid w:val="0"/>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按照相关要求，我厅在部门外网的政务公开栏目，对全厅20</w:t>
      </w:r>
      <w:r>
        <w:rPr>
          <w:rFonts w:hint="eastAsia"/>
          <w:sz w:val="32"/>
          <w:szCs w:val="32"/>
          <w:lang w:val="en-US" w:eastAsia="zh-CN"/>
        </w:rPr>
        <w:t>20</w:t>
      </w:r>
      <w:r>
        <w:rPr>
          <w:rFonts w:ascii="Times New Roman" w:hAnsi="Times New Roman" w:eastAsia="仿宋_GB2312"/>
          <w:sz w:val="32"/>
          <w:szCs w:val="32"/>
        </w:rPr>
        <w:t>年部门专项绩效目标随同预算进行公开；并将部门整体绩效自评情况和自行组织的评价情况随同201</w:t>
      </w:r>
      <w:r>
        <w:rPr>
          <w:rFonts w:hint="eastAsia"/>
          <w:sz w:val="32"/>
          <w:szCs w:val="32"/>
          <w:lang w:val="en-US" w:eastAsia="zh-CN"/>
        </w:rPr>
        <w:t>9</w:t>
      </w:r>
      <w:r>
        <w:rPr>
          <w:rFonts w:ascii="Times New Roman" w:hAnsi="Times New Roman" w:eastAsia="仿宋_GB2312"/>
          <w:sz w:val="32"/>
          <w:szCs w:val="32"/>
        </w:rPr>
        <w:t>年决算进行公开。</w:t>
      </w:r>
    </w:p>
    <w:p>
      <w:pPr>
        <w:widowControl/>
        <w:adjustRightInd w:val="0"/>
        <w:snapToGrid w:val="0"/>
        <w:spacing w:line="600" w:lineRule="exact"/>
        <w:ind w:firstLine="640" w:firstLineChars="200"/>
        <w:rPr>
          <w:rFonts w:ascii="Times New Roman" w:hAnsi="Times New Roman" w:eastAsia="仿宋_GB2312"/>
          <w:sz w:val="32"/>
          <w:szCs w:val="32"/>
          <w:lang w:val="zh-CN"/>
        </w:rPr>
      </w:pPr>
      <w:r>
        <w:rPr>
          <w:rFonts w:ascii="Times New Roman" w:hAnsi="Times New Roman" w:eastAsia="仿宋_GB2312"/>
          <w:sz w:val="32"/>
          <w:szCs w:val="32"/>
        </w:rPr>
        <w:t>我厅高度重视绩效评价结果的应用，采用多种方式运用绩效评价结果，并将其转化为提高预算资金使用绩效的具体行动，加强财政支出管理的抓手。一是针对评价结果中所提出的问题和建议督促落实整改措施，及时将落实的整改情况以整改报告书的形式反馈到相关部门。增强责任和效益观念，提高财政资金支出决策水平、管理水平和资金使用效益，并加强项目财务管理。二是充分运用自评结果，将绩效评价结果作为下年安排支出资金的重要依据，为预算编制提供参考，促进财政资金的合理分配与有效使用。三是结合绩效评价结果,对被评价项目的绩效目标进行梳理，对不符合单位职能职责的项目绩效目标进行调整，同时细化量化项目绩效目标，并指引预算明细支出，从而使项目支出与部门职能职责相符。</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600" w:lineRule="exact"/>
        <w:ind w:firstLine="640" w:firstLineChars="200"/>
        <w:rPr>
          <w:rFonts w:hint="eastAsia" w:ascii="Times New Roman" w:hAnsi="Times New Roman" w:eastAsia="楷体_GB2312"/>
          <w:color w:val="000000"/>
          <w:kern w:val="0"/>
          <w:sz w:val="32"/>
          <w:szCs w:val="32"/>
          <w:lang w:val="zh-CN"/>
        </w:rPr>
      </w:pPr>
      <w:r>
        <w:rPr>
          <w:rFonts w:hint="eastAsia" w:ascii="Times New Roman" w:hAnsi="Times New Roman" w:eastAsia="楷体_GB2312"/>
          <w:color w:val="000000"/>
          <w:kern w:val="0"/>
          <w:sz w:val="32"/>
          <w:szCs w:val="32"/>
          <w:lang w:val="zh-CN"/>
        </w:rPr>
        <w:t>（一）评价结论。</w:t>
      </w:r>
    </w:p>
    <w:p>
      <w:pPr>
        <w:widowControl/>
        <w:adjustRightInd w:val="0"/>
        <w:snapToGrid w:val="0"/>
        <w:spacing w:line="600" w:lineRule="exact"/>
        <w:ind w:firstLine="640" w:firstLineChars="200"/>
        <w:contextualSpacing/>
        <w:rPr>
          <w:rFonts w:hint="eastAsia" w:ascii="仿宋_GB2312" w:hAnsi="宋体" w:cs="宋体"/>
          <w:color w:val="000000"/>
          <w:kern w:val="0"/>
          <w:szCs w:val="32"/>
          <w:shd w:val="clear" w:color="auto" w:fill="FFFFFF"/>
          <w:lang w:val="zh-CN"/>
        </w:rPr>
      </w:pPr>
      <w:r>
        <w:rPr>
          <w:rFonts w:ascii="Times New Roman" w:hAnsi="Times New Roman" w:eastAsia="仿宋_GB2312"/>
          <w:sz w:val="32"/>
          <w:szCs w:val="32"/>
        </w:rPr>
        <w:t>按照202</w:t>
      </w:r>
      <w:r>
        <w:rPr>
          <w:rFonts w:hint="eastAsia"/>
          <w:sz w:val="32"/>
          <w:szCs w:val="32"/>
          <w:lang w:val="en-US" w:eastAsia="zh-CN"/>
        </w:rPr>
        <w:t>1</w:t>
      </w:r>
      <w:r>
        <w:rPr>
          <w:rFonts w:ascii="Times New Roman" w:hAnsi="Times New Roman" w:eastAsia="仿宋_GB2312"/>
          <w:sz w:val="32"/>
          <w:szCs w:val="32"/>
        </w:rPr>
        <w:t>年度省级部门整体预算绩效评价指标体系，我厅20</w:t>
      </w:r>
      <w:r>
        <w:rPr>
          <w:rFonts w:hint="eastAsia"/>
          <w:sz w:val="32"/>
          <w:szCs w:val="32"/>
          <w:lang w:val="en-US" w:eastAsia="zh-CN"/>
        </w:rPr>
        <w:t>20</w:t>
      </w:r>
      <w:r>
        <w:rPr>
          <w:rFonts w:ascii="Times New Roman" w:hAnsi="Times New Roman" w:eastAsia="仿宋_GB2312"/>
          <w:sz w:val="32"/>
          <w:szCs w:val="32"/>
        </w:rPr>
        <w:t>年部门整体支出绩效自评</w:t>
      </w:r>
      <w:r>
        <w:rPr>
          <w:rFonts w:hint="eastAsia"/>
          <w:sz w:val="32"/>
          <w:szCs w:val="32"/>
          <w:lang w:eastAsia="zh-CN"/>
        </w:rPr>
        <w:t>折算</w:t>
      </w:r>
      <w:r>
        <w:rPr>
          <w:rFonts w:ascii="Times New Roman" w:hAnsi="Times New Roman" w:eastAsia="仿宋_GB2312"/>
          <w:sz w:val="32"/>
          <w:szCs w:val="32"/>
        </w:rPr>
        <w:t>得分</w:t>
      </w:r>
      <w:r>
        <w:rPr>
          <w:rFonts w:hint="eastAsia"/>
          <w:sz w:val="32"/>
          <w:szCs w:val="32"/>
          <w:lang w:val="en-US" w:eastAsia="zh-CN"/>
        </w:rPr>
        <w:t>88.02分</w:t>
      </w:r>
      <w:r>
        <w:rPr>
          <w:rFonts w:ascii="Times New Roman" w:hAnsi="Times New Roman" w:eastAsia="仿宋_GB2312"/>
          <w:sz w:val="32"/>
          <w:szCs w:val="32"/>
        </w:rPr>
        <w:t>（</w:t>
      </w:r>
      <w:r>
        <w:rPr>
          <w:rFonts w:hint="eastAsia"/>
          <w:sz w:val="32"/>
          <w:szCs w:val="32"/>
          <w:lang w:eastAsia="zh-CN"/>
        </w:rPr>
        <w:t>不</w:t>
      </w:r>
      <w:r>
        <w:rPr>
          <w:rFonts w:ascii="Times New Roman" w:hAnsi="Times New Roman" w:eastAsia="仿宋_GB2312"/>
          <w:sz w:val="32"/>
          <w:szCs w:val="32"/>
        </w:rPr>
        <w:t>含专项预算管理自评得分</w:t>
      </w:r>
      <w:r>
        <w:rPr>
          <w:rFonts w:hint="eastAsia"/>
          <w:sz w:val="32"/>
          <w:szCs w:val="32"/>
          <w:lang w:val="en-US" w:eastAsia="zh-CN"/>
        </w:rPr>
        <w:t>50分与自评质量得分10分，满分40分，自评得分35.21分，折算得分=35.21/40*100分=88.02分</w:t>
      </w:r>
      <w:r>
        <w:rPr>
          <w:rFonts w:ascii="Times New Roman" w:hAnsi="Times New Roman" w:eastAsia="仿宋_GB2312"/>
          <w:sz w:val="32"/>
          <w:szCs w:val="32"/>
        </w:rPr>
        <w:t>）。</w:t>
      </w:r>
    </w:p>
    <w:p>
      <w:pPr>
        <w:widowControl/>
        <w:adjustRightInd w:val="0"/>
        <w:snapToGrid w:val="0"/>
        <w:spacing w:line="600" w:lineRule="exact"/>
        <w:ind w:firstLine="640" w:firstLineChars="200"/>
        <w:rPr>
          <w:rFonts w:hint="eastAsia" w:ascii="Times New Roman" w:hAnsi="Times New Roman" w:eastAsia="楷体_GB2312"/>
          <w:color w:val="000000"/>
          <w:kern w:val="0"/>
          <w:sz w:val="32"/>
          <w:szCs w:val="32"/>
          <w:lang w:val="zh-CN"/>
        </w:rPr>
      </w:pPr>
      <w:r>
        <w:rPr>
          <w:rFonts w:hint="eastAsia" w:eastAsia="楷体_GB2312"/>
          <w:color w:val="000000"/>
          <w:kern w:val="0"/>
          <w:sz w:val="32"/>
          <w:szCs w:val="32"/>
          <w:lang w:val="zh-CN"/>
        </w:rPr>
        <w:t>（二）</w:t>
      </w:r>
      <w:r>
        <w:rPr>
          <w:rFonts w:hint="eastAsia" w:ascii="Times New Roman" w:hAnsi="Times New Roman" w:eastAsia="楷体_GB2312"/>
          <w:color w:val="000000"/>
          <w:kern w:val="0"/>
          <w:sz w:val="32"/>
          <w:szCs w:val="32"/>
          <w:lang w:val="zh-CN"/>
        </w:rPr>
        <w:t>存在问题。</w:t>
      </w:r>
    </w:p>
    <w:p>
      <w:pPr>
        <w:snapToGrid w:val="0"/>
        <w:spacing w:line="60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1.支出预算编制细化程度还不够。在预算执行过程中，</w:t>
      </w:r>
      <w:r>
        <w:rPr>
          <w:rFonts w:hint="eastAsia"/>
          <w:sz w:val="32"/>
          <w:szCs w:val="32"/>
          <w:lang w:eastAsia="zh-CN"/>
        </w:rPr>
        <w:t>部分</w:t>
      </w:r>
      <w:r>
        <w:rPr>
          <w:rFonts w:ascii="Times New Roman" w:hAnsi="Times New Roman" w:eastAsia="仿宋_GB2312"/>
          <w:sz w:val="32"/>
          <w:szCs w:val="32"/>
        </w:rPr>
        <w:t>支出项目</w:t>
      </w:r>
      <w:r>
        <w:rPr>
          <w:rFonts w:hint="eastAsia"/>
          <w:sz w:val="32"/>
          <w:szCs w:val="32"/>
          <w:lang w:eastAsia="zh-CN"/>
        </w:rPr>
        <w:t>年底结转、结余注销额度较大，拉低全年部门预算执行进度，预算编制不够准确</w:t>
      </w:r>
      <w:r>
        <w:rPr>
          <w:rFonts w:ascii="Times New Roman" w:hAnsi="Times New Roman" w:eastAsia="仿宋_GB2312"/>
          <w:sz w:val="32"/>
          <w:szCs w:val="32"/>
        </w:rPr>
        <w:t>。</w:t>
      </w:r>
    </w:p>
    <w:p>
      <w:pPr>
        <w:snapToGrid w:val="0"/>
        <w:spacing w:line="60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2.部分政府采购项目预算执行偏慢。主要原因是：部分基建资金涉及跨年项目，故资金结转至下年；部分政府采购服务项目启动时间较晚，年底前未能全部完成资金支付。</w:t>
      </w:r>
    </w:p>
    <w:p>
      <w:pPr>
        <w:snapToGrid w:val="0"/>
        <w:spacing w:line="600" w:lineRule="exact"/>
        <w:ind w:firstLine="640" w:firstLineChars="200"/>
        <w:outlineLvl w:val="0"/>
        <w:rPr>
          <w:rFonts w:hint="eastAsia" w:ascii="Times New Roman" w:hAnsi="Times New Roman" w:eastAsia="仿宋_GB2312"/>
          <w:sz w:val="32"/>
          <w:szCs w:val="32"/>
          <w:lang w:val="en-US" w:eastAsia="zh-CN"/>
        </w:rPr>
      </w:pPr>
      <w:r>
        <w:rPr>
          <w:rFonts w:hint="eastAsia"/>
          <w:sz w:val="32"/>
          <w:szCs w:val="32"/>
          <w:lang w:val="en-US" w:eastAsia="zh-CN"/>
        </w:rPr>
        <w:t>3.部分中央预算资金、一般性转移支付资金、“二次”分配预算资金下达时间较晚，导致项目启动时间滞后，部分设定的项目绩效目标当年未能完成。</w:t>
      </w:r>
    </w:p>
    <w:p>
      <w:pPr>
        <w:widowControl/>
        <w:adjustRightInd w:val="0"/>
        <w:snapToGrid w:val="0"/>
        <w:spacing w:line="600" w:lineRule="exact"/>
        <w:ind w:firstLine="640" w:firstLineChars="200"/>
        <w:rPr>
          <w:rFonts w:hint="eastAsia" w:eastAsia="楷体_GB2312"/>
          <w:color w:val="000000"/>
          <w:kern w:val="0"/>
          <w:sz w:val="32"/>
          <w:szCs w:val="32"/>
          <w:lang w:val="zh-CN"/>
        </w:rPr>
      </w:pPr>
      <w:r>
        <w:rPr>
          <w:rFonts w:hint="eastAsia" w:eastAsia="楷体_GB2312"/>
          <w:color w:val="000000"/>
          <w:kern w:val="0"/>
          <w:sz w:val="32"/>
          <w:szCs w:val="32"/>
          <w:lang w:val="zh-CN"/>
        </w:rPr>
        <w:t>（三）改进建议。</w:t>
      </w:r>
    </w:p>
    <w:p>
      <w:pPr>
        <w:snapToGrid w:val="0"/>
        <w:spacing w:line="600" w:lineRule="exact"/>
        <w:ind w:firstLine="640" w:firstLineChars="200"/>
        <w:outlineLvl w:val="0"/>
        <w:rPr>
          <w:rFonts w:hint="eastAsia"/>
          <w:sz w:val="32"/>
          <w:szCs w:val="32"/>
          <w:lang w:eastAsia="zh-CN"/>
        </w:rPr>
      </w:pPr>
      <w:r>
        <w:rPr>
          <w:rFonts w:ascii="Times New Roman" w:hAnsi="Times New Roman" w:eastAsia="仿宋_GB2312"/>
          <w:sz w:val="32"/>
          <w:szCs w:val="32"/>
        </w:rPr>
        <w:t>1.</w:t>
      </w:r>
      <w:r>
        <w:rPr>
          <w:rFonts w:hint="eastAsia"/>
          <w:sz w:val="32"/>
          <w:szCs w:val="32"/>
          <w:lang w:eastAsia="zh-CN"/>
        </w:rPr>
        <w:t>进一步加强预算编制的准确性，</w:t>
      </w:r>
      <w:r>
        <w:rPr>
          <w:rFonts w:ascii="Times New Roman" w:hAnsi="Times New Roman" w:eastAsia="仿宋_GB2312"/>
          <w:sz w:val="32"/>
          <w:szCs w:val="32"/>
        </w:rPr>
        <w:t>增强预算约束力</w:t>
      </w:r>
      <w:r>
        <w:rPr>
          <w:rFonts w:hint="eastAsia"/>
          <w:sz w:val="32"/>
          <w:szCs w:val="32"/>
          <w:lang w:eastAsia="zh-CN"/>
        </w:rPr>
        <w:t>，合理测算全年支出规模，避免年底结余结转额度较大。</w:t>
      </w:r>
    </w:p>
    <w:p>
      <w:pPr>
        <w:snapToGrid w:val="0"/>
        <w:spacing w:line="600" w:lineRule="exact"/>
        <w:ind w:firstLine="640" w:firstLineChars="200"/>
        <w:outlineLvl w:val="0"/>
        <w:rPr>
          <w:rFonts w:ascii="Times New Roman" w:hAnsi="Times New Roman" w:eastAsia="仿宋_GB2312"/>
          <w:sz w:val="32"/>
          <w:szCs w:val="32"/>
        </w:rPr>
      </w:pPr>
      <w:r>
        <w:rPr>
          <w:rFonts w:ascii="Times New Roman" w:hAnsi="Times New Roman" w:eastAsia="仿宋_GB2312"/>
          <w:sz w:val="32"/>
          <w:szCs w:val="32"/>
        </w:rPr>
        <w:t>2.</w:t>
      </w:r>
      <w:r>
        <w:rPr>
          <w:rFonts w:hint="eastAsia"/>
          <w:sz w:val="32"/>
          <w:szCs w:val="32"/>
          <w:lang w:eastAsia="zh-CN"/>
        </w:rPr>
        <w:t>进一步强化</w:t>
      </w:r>
      <w:r>
        <w:rPr>
          <w:rFonts w:ascii="Times New Roman" w:hAnsi="Times New Roman" w:eastAsia="仿宋_GB2312"/>
          <w:sz w:val="32"/>
          <w:szCs w:val="32"/>
        </w:rPr>
        <w:t>政府采购项目的统筹安排，科学规划，提前介入，充分考虑各种影响进度的因素并做好预案，以保证在预算资金下达后能尽快进入采购付款程序，提高政府采购的执行进度和项目的实施效率。</w:t>
      </w:r>
    </w:p>
    <w:p>
      <w:pPr>
        <w:snapToGrid w:val="0"/>
        <w:spacing w:line="600" w:lineRule="exact"/>
        <w:ind w:firstLine="640" w:firstLineChars="200"/>
        <w:outlineLvl w:val="0"/>
        <w:rPr>
          <w:rFonts w:hint="eastAsia"/>
          <w:sz w:val="32"/>
          <w:szCs w:val="32"/>
          <w:lang w:val="en-US" w:eastAsia="zh-CN"/>
        </w:rPr>
      </w:pPr>
      <w:r>
        <w:rPr>
          <w:rFonts w:hint="eastAsia"/>
          <w:sz w:val="32"/>
          <w:szCs w:val="32"/>
          <w:lang w:val="en-US" w:eastAsia="zh-CN"/>
        </w:rPr>
        <w:t>3.进一步做好与财政厅的沟通协调，主动争取中央预算资金、一般性转移支付、“二次”分配预算资金早下达早使用。</w:t>
      </w:r>
    </w:p>
    <w:p>
      <w:pPr>
        <w:widowControl/>
        <w:adjustRightInd w:val="0"/>
        <w:snapToGrid w:val="0"/>
        <w:spacing w:line="580" w:lineRule="exact"/>
        <w:ind w:firstLine="420" w:firstLineChars="200"/>
        <w:contextualSpacing/>
        <w:jc w:val="left"/>
        <w:rPr>
          <w:rFonts w:hint="eastAsia" w:ascii="仿宋_GB2312" w:hAnsi="宋体" w:cs="宋体"/>
          <w:color w:val="000000"/>
          <w:kern w:val="0"/>
          <w:szCs w:val="32"/>
          <w:shd w:val="clear" w:color="auto" w:fill="FFFFFF"/>
          <w:lang w:val="zh-CN"/>
        </w:rPr>
      </w:pPr>
    </w:p>
    <w:p>
      <w:pPr>
        <w:widowControl/>
        <w:adjustRightInd w:val="0"/>
        <w:snapToGrid w:val="0"/>
        <w:spacing w:line="580" w:lineRule="exact"/>
        <w:contextualSpacing/>
        <w:jc w:val="left"/>
        <w:rPr>
          <w:rFonts w:hint="eastAsia" w:ascii="仿宋_GB2312" w:hAnsi="宋体" w:cs="宋体"/>
          <w:color w:val="000000"/>
          <w:kern w:val="0"/>
          <w:szCs w:val="32"/>
          <w:shd w:val="clear" w:color="auto" w:fill="FFFFFF"/>
          <w:lang w:val="en-US" w:eastAsia="zh-CN"/>
        </w:rPr>
      </w:pPr>
      <w:r>
        <w:rPr>
          <w:rFonts w:hint="eastAsia" w:ascii="仿宋_GB2312" w:hAnsi="宋体" w:cs="宋体"/>
          <w:color w:val="000000"/>
          <w:kern w:val="0"/>
          <w:szCs w:val="32"/>
          <w:shd w:val="clear" w:color="auto" w:fill="FFFFFF"/>
          <w:lang w:val="en-US" w:eastAsia="zh-CN"/>
        </w:rPr>
        <w:t xml:space="preserve">          </w:t>
      </w:r>
    </w:p>
    <w:p>
      <w:pPr>
        <w:snapToGrid w:val="0"/>
        <w:spacing w:line="600" w:lineRule="exact"/>
        <w:ind w:firstLine="640" w:firstLineChars="200"/>
        <w:outlineLvl w:val="0"/>
        <w:rPr>
          <w:rFonts w:hint="eastAsia"/>
          <w:sz w:val="32"/>
          <w:szCs w:val="32"/>
          <w:lang w:val="en-US" w:eastAsia="zh-CN"/>
        </w:rPr>
      </w:pPr>
      <w:r>
        <w:rPr>
          <w:rFonts w:hint="eastAsia"/>
          <w:sz w:val="32"/>
          <w:szCs w:val="32"/>
          <w:lang w:val="en-US" w:eastAsia="zh-CN"/>
        </w:rPr>
        <w:t xml:space="preserve">  附件：部门整体支出自评得分表</w:t>
      </w:r>
    </w:p>
    <w:p>
      <w:pPr>
        <w:widowControl/>
        <w:adjustRightInd w:val="0"/>
        <w:snapToGrid w:val="0"/>
        <w:spacing w:line="580" w:lineRule="exact"/>
        <w:contextualSpacing/>
        <w:jc w:val="left"/>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p>
      <w:pPr>
        <w:pStyle w:val="6"/>
        <w:rPr>
          <w:rFonts w:hint="eastAsia" w:ascii="仿宋_GB2312" w:hAnsi="宋体" w:cs="宋体"/>
          <w:color w:val="000000"/>
          <w:kern w:val="0"/>
          <w:szCs w:val="32"/>
          <w:shd w:val="clear" w:color="auto" w:fill="FFFFFF"/>
          <w:lang w:val="en-US" w:eastAsia="zh-CN"/>
        </w:rPr>
      </w:pPr>
    </w:p>
    <w:tbl>
      <w:tblPr>
        <w:tblStyle w:val="12"/>
        <w:tblpPr w:leftFromText="180" w:rightFromText="180" w:vertAnchor="text" w:horzAnchor="page" w:tblpX="982" w:tblpY="1020"/>
        <w:tblOverlap w:val="never"/>
        <w:tblW w:w="9960" w:type="dxa"/>
        <w:jc w:val="center"/>
        <w:tblLayout w:type="fixed"/>
        <w:tblCellMar>
          <w:top w:w="0" w:type="dxa"/>
          <w:left w:w="0" w:type="dxa"/>
          <w:bottom w:w="0" w:type="dxa"/>
          <w:right w:w="0" w:type="dxa"/>
        </w:tblCellMar>
      </w:tblPr>
      <w:tblGrid>
        <w:gridCol w:w="581"/>
        <w:gridCol w:w="487"/>
        <w:gridCol w:w="792"/>
        <w:gridCol w:w="392"/>
        <w:gridCol w:w="2686"/>
        <w:gridCol w:w="3005"/>
        <w:gridCol w:w="751"/>
        <w:gridCol w:w="1266"/>
      </w:tblGrid>
      <w:tr>
        <w:tblPrEx>
          <w:tblCellMar>
            <w:top w:w="0" w:type="dxa"/>
            <w:left w:w="0" w:type="dxa"/>
            <w:bottom w:w="0" w:type="dxa"/>
            <w:right w:w="0" w:type="dxa"/>
          </w:tblCellMar>
        </w:tblPrEx>
        <w:trPr>
          <w:trHeight w:val="1034" w:hRule="atLeast"/>
          <w:jc w:val="center"/>
        </w:trPr>
        <w:tc>
          <w:tcPr>
            <w:tcW w:w="9960" w:type="dxa"/>
            <w:gridSpan w:val="8"/>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36"/>
                <w:szCs w:val="36"/>
                <w:highlight w:val="none"/>
              </w:rPr>
            </w:pPr>
            <w:r>
              <w:rPr>
                <w:rFonts w:hint="eastAsia" w:ascii="宋体" w:hAnsi="宋体" w:eastAsia="宋体" w:cs="宋体"/>
                <w:b/>
                <w:i w:val="0"/>
                <w:color w:val="000000"/>
                <w:kern w:val="0"/>
                <w:sz w:val="32"/>
                <w:szCs w:val="32"/>
                <w:u w:val="none"/>
                <w:lang w:val="en-US" w:eastAsia="zh-CN" w:bidi="ar"/>
              </w:rPr>
              <w:t>部门整体支出自评得分表</w:t>
            </w:r>
          </w:p>
        </w:tc>
      </w:tr>
      <w:tr>
        <w:tblPrEx>
          <w:tblCellMar>
            <w:top w:w="0" w:type="dxa"/>
            <w:left w:w="0" w:type="dxa"/>
            <w:bottom w:w="0" w:type="dxa"/>
            <w:right w:w="0" w:type="dxa"/>
          </w:tblCellMar>
        </w:tblPrEx>
        <w:trPr>
          <w:trHeight w:val="276" w:hRule="atLeast"/>
          <w:jc w:val="center"/>
        </w:trPr>
        <w:tc>
          <w:tcPr>
            <w:tcW w:w="1860"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b/>
                <w:i w:val="0"/>
                <w:color w:val="000000"/>
                <w:kern w:val="0"/>
                <w:sz w:val="24"/>
                <w:szCs w:val="24"/>
                <w:u w:val="none"/>
                <w:lang w:val="en-US" w:eastAsia="zh-CN" w:bidi="ar"/>
              </w:rPr>
              <w:t>绩效指标</w:t>
            </w:r>
          </w:p>
        </w:tc>
        <w:tc>
          <w:tcPr>
            <w:tcW w:w="39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4"/>
                <w:szCs w:val="24"/>
                <w:u w:val="none"/>
                <w:lang w:val="en-US" w:eastAsia="zh-CN" w:bidi="ar"/>
              </w:rPr>
              <w:t>指标分值</w:t>
            </w:r>
          </w:p>
        </w:tc>
        <w:tc>
          <w:tcPr>
            <w:tcW w:w="268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4"/>
                <w:szCs w:val="24"/>
                <w:u w:val="none"/>
                <w:lang w:val="en-US" w:eastAsia="zh-CN" w:bidi="ar"/>
              </w:rPr>
              <w:t>指标解释</w:t>
            </w:r>
          </w:p>
        </w:tc>
        <w:tc>
          <w:tcPr>
            <w:tcW w:w="30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4"/>
                <w:szCs w:val="24"/>
                <w:u w:val="none"/>
                <w:lang w:val="en-US" w:eastAsia="zh-CN" w:bidi="ar"/>
              </w:rPr>
              <w:t>计分标准</w:t>
            </w:r>
          </w:p>
        </w:tc>
        <w:tc>
          <w:tcPr>
            <w:tcW w:w="75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4"/>
                <w:szCs w:val="24"/>
                <w:u w:val="none"/>
                <w:lang w:val="en-US" w:eastAsia="zh-CN" w:bidi="ar"/>
              </w:rPr>
              <w:t>自评得分</w:t>
            </w:r>
          </w:p>
        </w:tc>
        <w:tc>
          <w:tcPr>
            <w:tcW w:w="12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4"/>
                <w:szCs w:val="24"/>
                <w:u w:val="none"/>
                <w:lang w:val="en-US" w:eastAsia="zh-CN" w:bidi="ar"/>
              </w:rPr>
              <w:t>得分说明</w:t>
            </w:r>
          </w:p>
        </w:tc>
      </w:tr>
      <w:tr>
        <w:tblPrEx>
          <w:tblCellMar>
            <w:top w:w="0" w:type="dxa"/>
            <w:left w:w="0" w:type="dxa"/>
            <w:bottom w:w="0" w:type="dxa"/>
            <w:right w:w="0" w:type="dxa"/>
          </w:tblCellMar>
        </w:tblPrEx>
        <w:trPr>
          <w:trHeight w:val="276" w:hRule="atLeast"/>
          <w:jc w:val="center"/>
        </w:trPr>
        <w:tc>
          <w:tcPr>
            <w:tcW w:w="5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b/>
                <w:i w:val="0"/>
                <w:color w:val="000000"/>
                <w:kern w:val="0"/>
                <w:sz w:val="24"/>
                <w:szCs w:val="24"/>
                <w:u w:val="none"/>
                <w:lang w:val="en-US" w:eastAsia="zh-CN" w:bidi="ar"/>
              </w:rPr>
              <w:t>一级指标</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4"/>
                <w:szCs w:val="24"/>
                <w:u w:val="none"/>
                <w:lang w:val="en-US" w:eastAsia="zh-CN" w:bidi="ar"/>
              </w:rPr>
              <w:t>二级指标</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4"/>
                <w:szCs w:val="24"/>
                <w:u w:val="none"/>
                <w:lang w:val="en-US" w:eastAsia="zh-CN" w:bidi="ar"/>
              </w:rPr>
              <w:t>三级指标</w:t>
            </w:r>
          </w:p>
        </w:tc>
        <w:tc>
          <w:tcPr>
            <w:tcW w:w="39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c>
          <w:tcPr>
            <w:tcW w:w="268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c>
          <w:tcPr>
            <w:tcW w:w="30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c>
          <w:tcPr>
            <w:tcW w:w="75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c>
          <w:tcPr>
            <w:tcW w:w="12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r>
      <w:tr>
        <w:tblPrEx>
          <w:tblCellMar>
            <w:top w:w="0" w:type="dxa"/>
            <w:left w:w="0" w:type="dxa"/>
            <w:bottom w:w="0" w:type="dxa"/>
            <w:right w:w="0" w:type="dxa"/>
          </w:tblCellMar>
        </w:tblPrEx>
        <w:trPr>
          <w:trHeight w:val="276"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部门预算管理（30分）</w:t>
            </w:r>
          </w:p>
        </w:tc>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预算编制（10分）</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目标制定</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4</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评价部门绩效目标是否要素完整、细化量化。</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 xml:space="preserve">1.绩效目标编制要素完整的，得2分，否则酌情扣分。                                                       2.绩效指标细化量化的，得2分，否则酌情扣分。                  有项目绩效目标的部门（单位），根据项目绩效目标编制质量打分，无项目绩效目标的部门，根据部门整体支出绩效目标打分。                                                                    </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3.8</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2020年部门整体支出绩效目标要素完整，并对相关指标进行了细化量化，但仍有改进空间，与绩效管理的要求仍有一定差距，扣0.2分。</w:t>
            </w:r>
          </w:p>
        </w:tc>
      </w:tr>
      <w:tr>
        <w:tblPrEx>
          <w:tblCellMar>
            <w:top w:w="0" w:type="dxa"/>
            <w:left w:w="0" w:type="dxa"/>
            <w:bottom w:w="0" w:type="dxa"/>
            <w:right w:w="0" w:type="dxa"/>
          </w:tblCellMar>
        </w:tblPrEx>
        <w:trPr>
          <w:trHeight w:val="276"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目标实现</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4</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评价部门绩效目标实际实现程度与预期目标的偏离度。</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以项目完成数量为核心，评价项目实际完成情况与与预期绩效目标偏离度，单个数量指标实际完成未达到预期指标或超过预期指标30%以上的，均不计分。该项指标得分=达到预期值的数量指标个数/全部数量指标个数（即评价选取的项目绩效目标包含的所有数量指标）</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3.68</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经测算，2020年64个部门预算项目的数量指标完成个数为59个，完成率92.18%，得分4*92.18%=3.68分。</w:t>
            </w:r>
          </w:p>
        </w:tc>
      </w:tr>
      <w:tr>
        <w:tblPrEx>
          <w:tblCellMar>
            <w:top w:w="0" w:type="dxa"/>
            <w:left w:w="0" w:type="dxa"/>
            <w:bottom w:w="0" w:type="dxa"/>
            <w:right w:w="0" w:type="dxa"/>
          </w:tblCellMar>
        </w:tblPrEx>
        <w:trPr>
          <w:trHeight w:val="1511"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编制准确</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评价部门年初预算编制是否科学准确。</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指标得分=（1-（10*部门全年预算调剂金额/年初部门预算数））*指标分值。其中：若部门全年预算调剂金额/年初部门预算数&gt;0.1，此项得0分。</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1.03</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2020年，年初部门预算76635.03万元，全年调剂金额3731万元，得分=（1—（10*3731/76635.03))*2=1.03分。</w:t>
            </w:r>
          </w:p>
        </w:tc>
      </w:tr>
      <w:tr>
        <w:tblPrEx>
          <w:tblCellMar>
            <w:top w:w="0" w:type="dxa"/>
            <w:left w:w="0" w:type="dxa"/>
            <w:bottom w:w="0" w:type="dxa"/>
            <w:right w:w="0" w:type="dxa"/>
          </w:tblCellMar>
        </w:tblPrEx>
        <w:trPr>
          <w:trHeight w:val="276"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 xml:space="preserve">                                                                             预算执行（12分）</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支出控制</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4</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部门公用经费及非定额公用支出控制情况。</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计算部门日常公用经费、项目支出中“办公费、印刷费、水费、电费、物业管理费”等科目年初预算数与决算数偏差程度                                                              预决算偏差程度在10%以内的，得4分。偏差度在10%-20%之间的，得2分，偏差度超过20%的，不得分。</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经计算，以上五项经费年初预算总额3931.94万元，年末决算总额3779.75万元，预决算偏离度4.03%，得分4分。</w:t>
            </w:r>
          </w:p>
        </w:tc>
      </w:tr>
      <w:tr>
        <w:tblPrEx>
          <w:tblCellMar>
            <w:top w:w="0" w:type="dxa"/>
            <w:left w:w="0" w:type="dxa"/>
            <w:bottom w:w="0" w:type="dxa"/>
            <w:right w:w="0" w:type="dxa"/>
          </w:tblCellMar>
        </w:tblPrEx>
        <w:trPr>
          <w:trHeight w:val="1159"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动态调整</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评价部门开展绩效运行监控后，将绩效监控结果应用到预算调整的情况。</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1.当部门绩效监控调整取消额和结余注销额均不为零时，指标得分=部门项目支出绩效监控调整取消额÷(部门绩效监控调整取消额+预算结余注销额）*2                                                  2.当部门绩效监控调整取消额为零，结余注销额不为零时，指标得分=（1-10*结余注销额/年度预算总额）*2，结余注销额超过部门年度预算总额10%的，指标不得分。                  3.当部门绩效监控调整取消额与结余注销额均为零时，得满分。                                                             </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1.19</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2020年扣除正常结转至2021年继续使用的预算资金与申请调整取消资金外，全年共结余注销1024.43万元。2020年11月，我厅向财政厅报送《关于申请调整取消部分预算指标的函》（川经信财资函{2020}716号，申请调整取消1499.1万元，该项得分=1499.1/（1499.1+1024.23）*2=1.19分。</w:t>
            </w:r>
          </w:p>
        </w:tc>
      </w:tr>
      <w:tr>
        <w:tblPrEx>
          <w:tblCellMar>
            <w:top w:w="0" w:type="dxa"/>
            <w:left w:w="0" w:type="dxa"/>
            <w:bottom w:w="0" w:type="dxa"/>
            <w:right w:w="0" w:type="dxa"/>
          </w:tblCellMar>
        </w:tblPrEx>
        <w:trPr>
          <w:trHeight w:val="1042" w:hRule="atLeast"/>
          <w:jc w:val="center"/>
        </w:trPr>
        <w:tc>
          <w:tcPr>
            <w:tcW w:w="581"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执行进度</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6</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评价部门在6、9、11月的预算执行情况。</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 xml:space="preserve">部门预算执行进度在6、9、11月应达到序时进度的80%、90%、90%，即实际支出进度分别达到40%、67.5%、82.5%。                                                     6、9、11月部门预算执行进度达到量化指标的各得2分，未达到目标进度的的按其实际进度占目标进度的比重计算得分。                                             </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5.17</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根据财政厅提供的执行进度表，6月我厅执行进度35.84%，按进度得分1.79分；9月执行进度61.82%，按进度得分1.83分；11月执行进度63.8%，按进度得分1.55分。合计得分5.17分。</w:t>
            </w:r>
          </w:p>
        </w:tc>
      </w:tr>
      <w:tr>
        <w:tblPrEx>
          <w:tblCellMar>
            <w:top w:w="0" w:type="dxa"/>
            <w:left w:w="0" w:type="dxa"/>
            <w:bottom w:w="0" w:type="dxa"/>
            <w:right w:w="0" w:type="dxa"/>
          </w:tblCellMar>
        </w:tblPrEx>
        <w:trPr>
          <w:trHeight w:val="953" w:hRule="atLeast"/>
          <w:jc w:val="center"/>
        </w:trPr>
        <w:tc>
          <w:tcPr>
            <w:tcW w:w="58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完成结果（8分）</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预算完成</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4</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评价部门预算项目年终预算执行情况。</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部门预算项目12月预算执行进度达到100%的，得4分，未达100%的，按照实际进度量化计算得分。</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3.54</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根据财政厅提供的全年执行进度，我厅12月执行进度88.6%，按进度得分3.54分。</w:t>
            </w:r>
          </w:p>
        </w:tc>
      </w:tr>
      <w:tr>
        <w:tblPrEx>
          <w:tblCellMar>
            <w:top w:w="0" w:type="dxa"/>
            <w:left w:w="0" w:type="dxa"/>
            <w:bottom w:w="0" w:type="dxa"/>
            <w:right w:w="0" w:type="dxa"/>
          </w:tblCellMar>
        </w:tblPrEx>
        <w:trPr>
          <w:trHeight w:val="1297" w:hRule="atLeast"/>
          <w:jc w:val="center"/>
        </w:trPr>
        <w:tc>
          <w:tcPr>
            <w:tcW w:w="58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违规记录</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4</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根据审计监督、财政检查结果反映部门上一年度部门预算管理是否合规。</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依据评价年度审计监督、财政检查结果，出现部门预算管理方面违纪违规问题的，每个问题扣0.5分，直至扣完。</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3</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按照审计厅《关于加强2019年预算执行情况审计核查发现问题整改的函》（川审派函{2020}96号），审计共指出预算编制、预算执行2类涉及预算管理的问题，扣1分。</w:t>
            </w:r>
          </w:p>
        </w:tc>
      </w:tr>
      <w:tr>
        <w:tblPrEx>
          <w:tblCellMar>
            <w:top w:w="0" w:type="dxa"/>
            <w:left w:w="0" w:type="dxa"/>
            <w:bottom w:w="0" w:type="dxa"/>
            <w:right w:w="0" w:type="dxa"/>
          </w:tblCellMar>
        </w:tblPrEx>
        <w:trPr>
          <w:trHeight w:val="1042" w:hRule="atLeast"/>
          <w:jc w:val="center"/>
        </w:trPr>
        <w:tc>
          <w:tcPr>
            <w:tcW w:w="581"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专项预算管理（50分）</w:t>
            </w:r>
          </w:p>
        </w:tc>
        <w:tc>
          <w:tcPr>
            <w:tcW w:w="811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 xml:space="preserve">部门按照专项项目自评工作要求对本部门管理的专项进行自评并打分，形成自评报告，本次提交部门整体支出绩效评价报告时暂无需提供专项自评报告。                                                                                                           评价组将对部门专项自评报告进行质量审核，根据质量审核得分，对专项自评得分进行调整，作为重点评价得分。                                                                                                </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r>
      <w:tr>
        <w:tblPrEx>
          <w:tblCellMar>
            <w:top w:w="0" w:type="dxa"/>
            <w:left w:w="0" w:type="dxa"/>
            <w:bottom w:w="0" w:type="dxa"/>
            <w:right w:w="0" w:type="dxa"/>
          </w:tblCellMar>
        </w:tblPrEx>
        <w:trPr>
          <w:trHeight w:val="1042" w:hRule="atLeast"/>
          <w:jc w:val="center"/>
        </w:trPr>
        <w:tc>
          <w:tcPr>
            <w:tcW w:w="581" w:type="dxa"/>
            <w:vMerge w:val="restart"/>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绩效结果应用（10分）</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kern w:val="0"/>
                <w:sz w:val="24"/>
                <w:highlight w:val="none"/>
                <w:lang w:bidi="ar"/>
              </w:rPr>
            </w:pPr>
            <w:r>
              <w:rPr>
                <w:rFonts w:hint="eastAsia" w:ascii="宋体" w:hAnsi="宋体" w:eastAsia="宋体" w:cs="宋体"/>
                <w:i w:val="0"/>
                <w:color w:val="000000"/>
                <w:kern w:val="0"/>
                <w:sz w:val="24"/>
                <w:szCs w:val="24"/>
                <w:u w:val="none"/>
                <w:lang w:val="en-US" w:eastAsia="zh-CN" w:bidi="ar"/>
              </w:rPr>
              <w:t>信息公开（2分）</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自评公开</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2</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评价部门是否按要求将部门整体绩效自评情况和自行组织的评价情况向社会公开。</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按要求将相关绩效信息随同决算公开的，得2分，否则不得分。</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2</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2020年8月，我厅已经按要求将2019年部门整体自评情况随同决算进行了公开，得2分。</w:t>
            </w:r>
          </w:p>
        </w:tc>
      </w:tr>
      <w:tr>
        <w:tblPrEx>
          <w:tblCellMar>
            <w:top w:w="0" w:type="dxa"/>
            <w:left w:w="0" w:type="dxa"/>
            <w:bottom w:w="0" w:type="dxa"/>
            <w:right w:w="0" w:type="dxa"/>
          </w:tblCellMar>
        </w:tblPrEx>
        <w:trPr>
          <w:trHeight w:val="1042" w:hRule="atLeast"/>
          <w:jc w:val="center"/>
        </w:trPr>
        <w:tc>
          <w:tcPr>
            <w:tcW w:w="58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8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整改反馈（8分）</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结果整改</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4</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评价部门根据绩效管理结果整改问题、完善政策、改进管理的情况。</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针对绩效管理过程中（包括绩效目标核查、绩效监控核查和重点绩效评价）提出的问题进行整改，将绩效管理结果与预算安排进行挂钩的，得4分。否则，酌情扣分。</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3.8</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我厅根据绩效管理过程中发现的问题进行了整改，并于2021年2月向财政厅报送了《关于报送2019年部门整体支出、预算内专用项目支出绩效评价问题整改情况的函》（川经信财资函{2021}104号），报送了我厅相关整改情况。同时，将2020年绩效管理情况与2021年的部门预算安排进行了挂钩，但仍需要持续改进，扣0.4分。</w:t>
            </w:r>
          </w:p>
        </w:tc>
      </w:tr>
      <w:tr>
        <w:tblPrEx>
          <w:tblCellMar>
            <w:top w:w="0" w:type="dxa"/>
            <w:left w:w="0" w:type="dxa"/>
            <w:bottom w:w="0" w:type="dxa"/>
            <w:right w:w="0" w:type="dxa"/>
          </w:tblCellMar>
        </w:tblPrEx>
        <w:trPr>
          <w:trHeight w:val="1042" w:hRule="atLeast"/>
          <w:jc w:val="center"/>
        </w:trPr>
        <w:tc>
          <w:tcPr>
            <w:tcW w:w="581" w:type="dxa"/>
            <w:vMerge w:val="continue"/>
            <w:tcBorders>
              <w:left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48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应用反馈</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4</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评价部门按要求及时向财政部门反馈结果应用情况。</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部门在规定时间内向财政部门反馈应用绩效结果报告的，得满分，否则不得分。</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4</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24"/>
                <w:szCs w:val="24"/>
                <w:u w:val="none"/>
                <w:lang w:val="en-US" w:eastAsia="zh-CN" w:bidi="ar"/>
              </w:rPr>
              <w:t>2020年10月，我厅在规定时间内向财政厅反馈了绩效结果应用情况。</w:t>
            </w:r>
          </w:p>
        </w:tc>
      </w:tr>
      <w:tr>
        <w:tblPrEx>
          <w:tblCellMar>
            <w:top w:w="0" w:type="dxa"/>
            <w:left w:w="0" w:type="dxa"/>
            <w:bottom w:w="0" w:type="dxa"/>
            <w:right w:w="0" w:type="dxa"/>
          </w:tblCellMar>
        </w:tblPrEx>
        <w:trPr>
          <w:trHeight w:val="1042" w:hRule="atLeast"/>
          <w:jc w:val="center"/>
        </w:trPr>
        <w:tc>
          <w:tcPr>
            <w:tcW w:w="581" w:type="dxa"/>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自评质量（10分）</w:t>
            </w: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自评质量（10分）</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自评准确</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4"/>
                <w:szCs w:val="24"/>
                <w:u w:val="none"/>
                <w:lang w:val="en-US" w:eastAsia="zh-CN" w:bidi="ar"/>
              </w:rPr>
              <w:t>10</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评价部门整体支出自评准确率。</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部门整体支出自评得分与评价组抽查得分差异在5%以内的，不扣分；在5%-10%之间的，扣4分，在10%-20%的，扣8分，在20%以上的，扣10分。（部门在自评时，此项指标无需打分，部门自评满分为90分）</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auto"/>
                <w:sz w:val="24"/>
                <w:highlight w:val="none"/>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1297" w:hRule="atLeast"/>
          <w:jc w:val="center"/>
        </w:trPr>
        <w:tc>
          <w:tcPr>
            <w:tcW w:w="581" w:type="dxa"/>
            <w:tcBorders>
              <w:left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48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ascii="宋体" w:hAnsi="宋体" w:cs="宋体"/>
                <w:color w:val="auto"/>
                <w:sz w:val="24"/>
                <w:highlight w:val="none"/>
              </w:rPr>
            </w:pP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right"/>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满分40分，得分35.01分</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i w:val="0"/>
                <w:color w:val="000000"/>
                <w:kern w:val="0"/>
                <w:sz w:val="24"/>
                <w:szCs w:val="24"/>
                <w:u w:val="none"/>
                <w:lang w:val="en-US" w:eastAsia="zh-CN" w:bidi="ar"/>
              </w:rPr>
              <w:t>35.21</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1297" w:hRule="atLeast"/>
          <w:jc w:val="center"/>
        </w:trPr>
        <w:tc>
          <w:tcPr>
            <w:tcW w:w="9960" w:type="dxa"/>
            <w:gridSpan w:val="8"/>
            <w:tcBorders>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b/>
                <w:i w:val="0"/>
                <w:color w:val="000000"/>
                <w:kern w:val="0"/>
                <w:sz w:val="32"/>
                <w:szCs w:val="32"/>
                <w:u w:val="none"/>
                <w:lang w:val="en-US" w:eastAsia="zh-CN" w:bidi="ar"/>
              </w:rPr>
              <w:t>部门整体支出自评得分表</w:t>
            </w:r>
          </w:p>
        </w:tc>
      </w:tr>
      <w:tr>
        <w:tblPrEx>
          <w:tblCellMar>
            <w:top w:w="0" w:type="dxa"/>
            <w:left w:w="0" w:type="dxa"/>
            <w:bottom w:w="0" w:type="dxa"/>
            <w:right w:w="0" w:type="dxa"/>
          </w:tblCellMar>
        </w:tblPrEx>
        <w:trPr>
          <w:trHeight w:val="1050" w:hRule="atLeast"/>
          <w:jc w:val="center"/>
        </w:trPr>
        <w:tc>
          <w:tcPr>
            <w:tcW w:w="1860" w:type="dxa"/>
            <w:gridSpan w:val="3"/>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b/>
                <w:i w:val="0"/>
                <w:color w:val="000000"/>
                <w:kern w:val="0"/>
                <w:sz w:val="24"/>
                <w:szCs w:val="24"/>
                <w:u w:val="none"/>
                <w:lang w:val="en-US" w:eastAsia="zh-CN" w:bidi="ar"/>
              </w:rPr>
              <w:t>绩效指标</w:t>
            </w:r>
          </w:p>
        </w:tc>
        <w:tc>
          <w:tcPr>
            <w:tcW w:w="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b/>
                <w:i w:val="0"/>
                <w:color w:val="000000"/>
                <w:kern w:val="0"/>
                <w:sz w:val="24"/>
                <w:szCs w:val="24"/>
                <w:u w:val="none"/>
                <w:lang w:val="en-US" w:eastAsia="zh-CN" w:bidi="ar"/>
              </w:rPr>
              <w:t>指标分值</w:t>
            </w:r>
          </w:p>
        </w:tc>
        <w:tc>
          <w:tcPr>
            <w:tcW w:w="268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b/>
                <w:i w:val="0"/>
                <w:color w:val="000000"/>
                <w:kern w:val="0"/>
                <w:sz w:val="24"/>
                <w:szCs w:val="24"/>
                <w:u w:val="none"/>
                <w:lang w:val="en-US" w:eastAsia="zh-CN" w:bidi="ar"/>
              </w:rPr>
              <w:t>指标解释</w:t>
            </w:r>
          </w:p>
        </w:tc>
        <w:tc>
          <w:tcPr>
            <w:tcW w:w="30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b/>
                <w:i w:val="0"/>
                <w:color w:val="000000"/>
                <w:kern w:val="0"/>
                <w:sz w:val="24"/>
                <w:szCs w:val="24"/>
                <w:u w:val="none"/>
                <w:lang w:val="en-US" w:eastAsia="zh-CN" w:bidi="ar"/>
              </w:rPr>
              <w:t>计分标准</w:t>
            </w:r>
          </w:p>
        </w:tc>
        <w:tc>
          <w:tcPr>
            <w:tcW w:w="75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ascii="宋体" w:hAnsi="宋体" w:cs="宋体"/>
                <w:color w:val="auto"/>
                <w:sz w:val="24"/>
                <w:highlight w:val="none"/>
              </w:rPr>
            </w:pPr>
            <w:r>
              <w:rPr>
                <w:rFonts w:hint="eastAsia" w:ascii="宋体" w:hAnsi="宋体" w:eastAsia="宋体" w:cs="宋体"/>
                <w:b/>
                <w:i w:val="0"/>
                <w:color w:val="000000"/>
                <w:kern w:val="0"/>
                <w:sz w:val="24"/>
                <w:szCs w:val="24"/>
                <w:u w:val="none"/>
                <w:lang w:val="en-US" w:eastAsia="zh-CN" w:bidi="ar"/>
              </w:rPr>
              <w:t>自评得分</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pPr>
            <w:r>
              <w:rPr>
                <w:rFonts w:hint="eastAsia" w:ascii="宋体" w:hAnsi="宋体" w:eastAsia="宋体" w:cs="宋体"/>
                <w:b/>
                <w:i w:val="0"/>
                <w:color w:val="000000"/>
                <w:kern w:val="0"/>
                <w:sz w:val="24"/>
                <w:szCs w:val="24"/>
                <w:u w:val="none"/>
                <w:lang w:val="en-US" w:eastAsia="zh-CN" w:bidi="ar"/>
              </w:rPr>
              <w:t>得分说明</w:t>
            </w:r>
          </w:p>
        </w:tc>
      </w:tr>
    </w:tbl>
    <w:p>
      <w:pPr>
        <w:widowControl/>
        <w:adjustRightInd w:val="0"/>
        <w:snapToGrid w:val="0"/>
        <w:spacing w:line="580" w:lineRule="exact"/>
        <w:contextualSpacing/>
        <w:jc w:val="left"/>
        <w:rPr>
          <w:rFonts w:hint="eastAsia" w:ascii="仿宋_GB2312" w:hAnsi="宋体" w:cs="宋体"/>
          <w:color w:val="000000"/>
          <w:kern w:val="0"/>
          <w:szCs w:val="32"/>
          <w:shd w:val="clear" w:color="auto" w:fill="FFFFFF"/>
          <w:lang w:val="en-US" w:eastAsia="zh-CN"/>
        </w:rPr>
      </w:pPr>
    </w:p>
    <w:p>
      <w:pPr>
        <w:snapToGrid w:val="0"/>
        <w:spacing w:line="600" w:lineRule="exact"/>
        <w:ind w:firstLine="420" w:firstLineChars="200"/>
        <w:outlineLvl w:val="0"/>
        <w:rPr>
          <w:rFonts w:hint="eastAsia" w:ascii="Times New Roman" w:hAnsi="Times New Roman" w:eastAsia="仿宋_GB2312"/>
          <w:sz w:val="32"/>
          <w:szCs w:val="32"/>
          <w:lang w:val="en-US" w:eastAsia="zh-CN"/>
        </w:rPr>
      </w:pPr>
      <w:r>
        <w:rPr>
          <w:rFonts w:hint="eastAsia" w:ascii="仿宋_GB2312" w:hAnsi="宋体" w:cs="宋体"/>
          <w:color w:val="000000"/>
          <w:kern w:val="0"/>
          <w:szCs w:val="32"/>
          <w:shd w:val="clear" w:color="auto" w:fill="FFFFFF"/>
          <w:lang w:val="en-US" w:eastAsia="zh-CN"/>
        </w:rPr>
        <w:t xml:space="preserve">                                 </w:t>
      </w:r>
      <w:r>
        <w:rPr>
          <w:rFonts w:hint="eastAsia" w:ascii="Times New Roman" w:hAnsi="Times New Roman" w:eastAsia="仿宋_GB2312"/>
          <w:sz w:val="32"/>
          <w:szCs w:val="32"/>
          <w:lang w:val="en-US" w:eastAsia="zh-CN"/>
        </w:rPr>
        <w:t xml:space="preserve"> </w:t>
      </w:r>
    </w:p>
    <w:p>
      <w:pPr>
        <w:pStyle w:val="6"/>
        <w:rPr>
          <w:rFonts w:hint="eastAsia" w:ascii="Times New Roman" w:hAnsi="Times New Roman" w:eastAsia="仿宋_GB2312"/>
          <w:sz w:val="32"/>
          <w:szCs w:val="32"/>
          <w:lang w:val="en-US" w:eastAsia="zh-CN"/>
        </w:rPr>
      </w:pPr>
    </w:p>
    <w:p>
      <w:pPr>
        <w:pStyle w:val="6"/>
        <w:rPr>
          <w:rFonts w:hint="eastAsia" w:ascii="Times New Roman" w:hAnsi="Times New Roman" w:eastAsia="仿宋_GB2312"/>
          <w:sz w:val="32"/>
          <w:szCs w:val="32"/>
          <w:lang w:val="en-US" w:eastAsia="zh-CN"/>
        </w:rPr>
      </w:pPr>
    </w:p>
    <w:p>
      <w:pPr>
        <w:pStyle w:val="6"/>
        <w:rPr>
          <w:rFonts w:hint="eastAsia" w:ascii="Times New Roman" w:hAnsi="Times New Roman" w:eastAsia="仿宋_GB2312"/>
          <w:sz w:val="32"/>
          <w:szCs w:val="32"/>
          <w:lang w:val="en-US" w:eastAsia="zh-CN"/>
        </w:rPr>
      </w:pPr>
    </w:p>
    <w:p>
      <w:pPr>
        <w:pStyle w:val="6"/>
        <w:rPr>
          <w:rFonts w:hint="eastAsia" w:ascii="Times New Roman" w:hAnsi="Times New Roman" w:eastAsia="仿宋_GB2312"/>
          <w:sz w:val="32"/>
          <w:szCs w:val="32"/>
          <w:lang w:val="en-US" w:eastAsia="zh-CN"/>
        </w:rPr>
      </w:pPr>
    </w:p>
    <w:p>
      <w:pPr>
        <w:snapToGrid w:val="0"/>
        <w:spacing w:line="600" w:lineRule="exact"/>
        <w:outlineLvl w:val="0"/>
        <w:rPr>
          <w:rFonts w:ascii="Times New Roman" w:hAnsi="Times New Roman" w:eastAsia="仿宋_GB2312"/>
          <w:sz w:val="32"/>
          <w:szCs w:val="32"/>
        </w:rPr>
      </w:pPr>
    </w:p>
    <w:p>
      <w:pPr>
        <w:pStyle w:val="6"/>
      </w:pPr>
    </w:p>
    <w:p>
      <w:pPr>
        <w:spacing w:line="580" w:lineRule="exact"/>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附件2</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left"/>
        <w:textAlignment w:val="auto"/>
        <w:outlineLvl w:val="9"/>
        <w:rPr>
          <w:rFonts w:hint="default"/>
          <w:lang w:eastAsia="zh-CN"/>
        </w:rPr>
      </w:pPr>
      <w:r>
        <w:rPr>
          <w:rFonts w:hint="default" w:ascii="Times New Roman" w:hAnsi="Times New Roman" w:eastAsia="宋体" w:cs="Times New Roman"/>
          <w:kern w:val="2"/>
          <w:sz w:val="21"/>
          <w:szCs w:val="24"/>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226060</wp:posOffset>
                </wp:positionV>
                <wp:extent cx="5574030" cy="0"/>
                <wp:effectExtent l="0" t="28575" r="7620" b="28575"/>
                <wp:wrapNone/>
                <wp:docPr id="7" name="直线 2"/>
                <wp:cNvGraphicFramePr/>
                <a:graphic xmlns:a="http://schemas.openxmlformats.org/drawingml/2006/main">
                  <a:graphicData uri="http://schemas.microsoft.com/office/word/2010/wordprocessingShape">
                    <wps:wsp>
                      <wps:cNvCnPr/>
                      <wps:spPr>
                        <a:xfrm>
                          <a:off x="0" y="0"/>
                          <a:ext cx="557403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8pt;margin-top:17.8pt;height:0pt;width:438.9pt;z-index:251659264;mso-width-relative:page;mso-height-relative:page;" filled="f" stroked="t" coordsize="21600,21600" o:gfxdata="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Fx9o1AAAAAcBAAAPAAAAAAAAAAEAIAAAACIAAABkcnMvZG93bnJldi54bWxQSwECFAAUAAAACACH&#10;TuJAz62w7O8BAADiAwAADgAAAAAAAAABACAAAAAjAQAAZHJzL2Uyb0RvYy54bWxQSwUGAAAAAAYA&#10;BgBZAQAAhAUAAAAA&#10;">
                <v:fill on="f" focussize="0,0"/>
                <v:stroke weight="4.5pt" color="#FF0000" linestyle="thinThick"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000000"/>
          <w:spacing w:val="0"/>
          <w:sz w:val="44"/>
          <w:szCs w:val="44"/>
          <w:lang w:val="zh-CN" w:eastAsia="zh-CN"/>
        </w:rPr>
      </w:pPr>
      <w:r>
        <w:rPr>
          <w:rFonts w:hint="eastAsia" w:ascii="Times New Roman" w:hAnsi="Times New Roman" w:eastAsia="方正小标宋简体" w:cs="Times New Roman"/>
          <w:color w:val="000000"/>
          <w:spacing w:val="0"/>
          <w:sz w:val="44"/>
          <w:szCs w:val="44"/>
          <w:lang w:val="zh-CN" w:eastAsia="zh-CN"/>
        </w:rPr>
        <w:t>20</w:t>
      </w:r>
      <w:r>
        <w:rPr>
          <w:rFonts w:hint="eastAsia" w:ascii="Times New Roman" w:hAnsi="Times New Roman" w:eastAsia="方正小标宋简体" w:cs="Times New Roman"/>
          <w:color w:val="000000"/>
          <w:spacing w:val="0"/>
          <w:sz w:val="44"/>
          <w:szCs w:val="44"/>
          <w:lang w:val="en-US" w:eastAsia="zh-CN"/>
        </w:rPr>
        <w:t>20</w:t>
      </w:r>
      <w:r>
        <w:rPr>
          <w:rFonts w:hint="eastAsia" w:ascii="Times New Roman" w:hAnsi="Times New Roman" w:eastAsia="方正小标宋简体" w:cs="Times New Roman"/>
          <w:color w:val="000000"/>
          <w:spacing w:val="0"/>
          <w:sz w:val="44"/>
          <w:szCs w:val="44"/>
          <w:lang w:val="zh-CN" w:eastAsia="zh-CN"/>
        </w:rPr>
        <w:t>年省级工业发展专项资金项目</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hAnsi="Times New Roman" w:eastAsia="方正小标宋简体" w:cs="Times New Roman"/>
          <w:color w:val="000000"/>
          <w:spacing w:val="0"/>
          <w:sz w:val="44"/>
          <w:szCs w:val="44"/>
          <w:lang w:val="en-US" w:eastAsia="zh-CN"/>
        </w:rPr>
      </w:pPr>
      <w:r>
        <w:rPr>
          <w:rFonts w:hint="eastAsia" w:ascii="Times New Roman" w:hAnsi="Times New Roman" w:eastAsia="方正小标宋简体" w:cs="Times New Roman"/>
          <w:color w:val="000000"/>
          <w:spacing w:val="0"/>
          <w:sz w:val="44"/>
          <w:szCs w:val="44"/>
          <w:lang w:val="zh-CN" w:eastAsia="zh-CN"/>
        </w:rPr>
        <w:t>支出绩效自评报告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spacing w:val="0"/>
          <w:sz w:val="44"/>
          <w:szCs w:val="44"/>
        </w:rPr>
      </w:pPr>
    </w:p>
    <w:p>
      <w:pPr>
        <w:keepNext w:val="0"/>
        <w:keepLines w:val="0"/>
        <w:pageBreakBefore w:val="0"/>
        <w:kinsoku/>
        <w:wordWrap/>
        <w:overflowPunct/>
        <w:topLinePunct w:val="0"/>
        <w:bidi w:val="0"/>
        <w:spacing w:line="600" w:lineRule="exact"/>
        <w:ind w:left="0" w:leftChars="0" w:right="0" w:rightChars="0"/>
        <w:outlineLvl w:val="9"/>
        <w:rPr>
          <w:rFonts w:hint="default" w:ascii="Times New Roman" w:hAnsi="Times New Roman" w:eastAsia="黑体" w:cs="Times New Roman"/>
          <w:sz w:val="32"/>
          <w:szCs w:val="32"/>
          <w:lang w:val="zh-CN"/>
        </w:rPr>
      </w:pPr>
      <w:r>
        <w:rPr>
          <w:rFonts w:hint="default" w:ascii="Times New Roman" w:hAnsi="Times New Roman" w:cs="Times New Roman"/>
          <w:bCs/>
          <w:sz w:val="32"/>
          <w:szCs w:val="32"/>
        </w:rPr>
        <w:t xml:space="preserve">    </w:t>
      </w: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zh-CN"/>
        </w:rPr>
        <w:t>项目概况</w:t>
      </w:r>
    </w:p>
    <w:p>
      <w:pPr>
        <w:keepNext w:val="0"/>
        <w:keepLines w:val="0"/>
        <w:pageBreakBefore w:val="0"/>
        <w:kinsoku/>
        <w:wordWrap/>
        <w:overflowPunct/>
        <w:topLinePunct w:val="0"/>
        <w:bidi w:val="0"/>
        <w:adjustRightInd w:val="0"/>
        <w:snapToGrid w:val="0"/>
        <w:spacing w:line="600" w:lineRule="exact"/>
        <w:ind w:left="0" w:leftChars="0" w:right="0" w:rightChars="0" w:firstLine="720"/>
        <w:outlineLvl w:val="9"/>
        <w:rPr>
          <w:rFonts w:hint="default" w:ascii="Times New Roman" w:hAnsi="Times New Roman" w:eastAsia="楷体_GB2312" w:cs="Times New Roman"/>
          <w:b w:val="0"/>
          <w:bCs/>
          <w:sz w:val="32"/>
          <w:szCs w:val="32"/>
          <w:lang w:val="zh-CN"/>
        </w:rPr>
      </w:pPr>
      <w:r>
        <w:rPr>
          <w:rFonts w:hint="default" w:ascii="Times New Roman" w:hAnsi="Times New Roman" w:eastAsia="楷体_GB2312" w:cs="Times New Roman"/>
          <w:b w:val="0"/>
          <w:bCs/>
          <w:sz w:val="32"/>
          <w:szCs w:val="32"/>
          <w:lang w:val="zh-CN"/>
        </w:rPr>
        <w:t>（一）项目主管部门在项目管理中的职能。</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outlineLvl w:val="9"/>
        <w:rPr>
          <w:rFonts w:hint="eastAsia" w:eastAsia="仿宋_GB2312"/>
          <w:sz w:val="32"/>
          <w:szCs w:val="32"/>
        </w:rPr>
      </w:pPr>
      <w:r>
        <w:rPr>
          <w:rFonts w:hint="default" w:ascii="Times New Roman" w:hAnsi="Times New Roman" w:eastAsia="仿宋" w:cs="Times New Roman"/>
          <w:sz w:val="32"/>
          <w:szCs w:val="32"/>
          <w:lang w:val="zh-CN"/>
        </w:rPr>
        <w:t>根据</w:t>
      </w:r>
      <w:r>
        <w:rPr>
          <w:rFonts w:hint="default" w:ascii="Times New Roman" w:hAnsi="Times New Roman" w:eastAsia="仿宋" w:cs="Times New Roman"/>
          <w:color w:val="auto"/>
          <w:sz w:val="32"/>
          <w:szCs w:val="32"/>
          <w:lang w:eastAsia="zh-CN"/>
        </w:rPr>
        <w:t>《</w:t>
      </w:r>
      <w:r>
        <w:rPr>
          <w:rFonts w:hint="eastAsia" w:eastAsia="仿宋" w:cs="Times New Roman"/>
          <w:color w:val="auto"/>
          <w:sz w:val="32"/>
          <w:szCs w:val="32"/>
          <w:lang w:eastAsia="zh-CN"/>
        </w:rPr>
        <w:t>四川省工业发展专项资金管理办法</w:t>
      </w:r>
      <w:r>
        <w:rPr>
          <w:rFonts w:hint="default" w:ascii="Times New Roman" w:hAnsi="Times New Roman" w:eastAsia="仿宋" w:cs="Times New Roman"/>
          <w:color w:val="auto"/>
          <w:sz w:val="32"/>
          <w:szCs w:val="32"/>
          <w:lang w:val="en-US" w:eastAsia="zh-CN"/>
        </w:rPr>
        <w:t>》（</w:t>
      </w:r>
      <w:r>
        <w:rPr>
          <w:rFonts w:hint="eastAsia" w:eastAsia="仿宋" w:cs="Times New Roman"/>
          <w:color w:val="auto"/>
          <w:sz w:val="32"/>
          <w:szCs w:val="32"/>
          <w:lang w:eastAsia="zh-CN"/>
        </w:rPr>
        <w:t>川财建〔2019〕296号</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sz w:val="32"/>
          <w:szCs w:val="32"/>
          <w:lang w:val="zh-CN"/>
        </w:rPr>
        <w:t>，</w:t>
      </w:r>
      <w:r>
        <w:rPr>
          <w:rFonts w:hint="eastAsia" w:eastAsia="仿宋" w:cs="Times New Roman"/>
          <w:sz w:val="32"/>
          <w:szCs w:val="32"/>
          <w:lang w:val="zh-CN"/>
        </w:rPr>
        <w:t>省级工业发展</w:t>
      </w:r>
      <w:r>
        <w:rPr>
          <w:rFonts w:hint="default" w:ascii="Times New Roman" w:hAnsi="Times New Roman" w:eastAsia="仿宋" w:cs="Times New Roman"/>
          <w:sz w:val="32"/>
          <w:szCs w:val="32"/>
          <w:lang w:val="zh-CN"/>
        </w:rPr>
        <w:t>资金由四川省财政厅和四川省经济和信息化</w:t>
      </w:r>
      <w:r>
        <w:rPr>
          <w:rFonts w:hint="default" w:ascii="Times New Roman" w:hAnsi="Times New Roman" w:eastAsia="仿宋" w:cs="Times New Roman"/>
          <w:sz w:val="32"/>
          <w:szCs w:val="32"/>
          <w:lang w:val="zh-CN" w:eastAsia="zh-CN"/>
        </w:rPr>
        <w:t>厅</w:t>
      </w:r>
      <w:r>
        <w:rPr>
          <w:rFonts w:hint="default" w:ascii="Times New Roman" w:hAnsi="Times New Roman" w:eastAsia="仿宋" w:cs="Times New Roman"/>
          <w:sz w:val="32"/>
          <w:szCs w:val="32"/>
          <w:lang w:val="zh-CN"/>
        </w:rPr>
        <w:t>共同管理，分工履职，共同负责。</w:t>
      </w:r>
      <w:r>
        <w:rPr>
          <w:rFonts w:eastAsia="仿宋_GB2312"/>
          <w:sz w:val="32"/>
          <w:szCs w:val="32"/>
        </w:rPr>
        <w:t>财政厅</w:t>
      </w:r>
      <w:r>
        <w:rPr>
          <w:rFonts w:hint="eastAsia" w:eastAsia="仿宋_GB2312"/>
          <w:sz w:val="32"/>
          <w:szCs w:val="32"/>
          <w:lang w:eastAsia="zh-CN"/>
        </w:rPr>
        <w:t>负责</w:t>
      </w:r>
      <w:r>
        <w:rPr>
          <w:rFonts w:hint="eastAsia" w:eastAsia="仿宋_GB2312"/>
          <w:sz w:val="32"/>
          <w:szCs w:val="32"/>
        </w:rPr>
        <w:t>安排</w:t>
      </w:r>
      <w:r>
        <w:rPr>
          <w:rFonts w:eastAsia="仿宋_GB2312"/>
          <w:sz w:val="32"/>
          <w:szCs w:val="32"/>
        </w:rPr>
        <w:t>工业发展资金年度预算；</w:t>
      </w:r>
      <w:r>
        <w:rPr>
          <w:rFonts w:hint="eastAsia" w:eastAsia="仿宋_GB2312"/>
          <w:sz w:val="32"/>
          <w:szCs w:val="32"/>
        </w:rPr>
        <w:t>会同</w:t>
      </w:r>
      <w:r>
        <w:rPr>
          <w:rFonts w:eastAsia="仿宋_GB2312"/>
          <w:sz w:val="32"/>
          <w:szCs w:val="32"/>
        </w:rPr>
        <w:t>经济和信息化厅</w:t>
      </w:r>
      <w:r>
        <w:rPr>
          <w:rFonts w:hint="eastAsia" w:eastAsia="仿宋_GB2312"/>
          <w:sz w:val="32"/>
          <w:szCs w:val="32"/>
        </w:rPr>
        <w:t>提出年度专项资金支持重点及分配方式；按规定下达预算并拨付专项资金；按规定组织专项资金绩效评价；建立专项资金定期评估、调整、退出机制和资金使用范围定期评估调整机制。</w:t>
      </w:r>
      <w:r>
        <w:rPr>
          <w:rFonts w:hint="default" w:ascii="Times New Roman" w:hAnsi="Times New Roman" w:eastAsia="仿宋" w:cs="Times New Roman"/>
          <w:sz w:val="32"/>
          <w:szCs w:val="32"/>
          <w:lang w:val="zh-CN"/>
        </w:rPr>
        <w:t>经济和信息化厅负责</w:t>
      </w:r>
      <w:r>
        <w:rPr>
          <w:rFonts w:eastAsia="仿宋_GB2312"/>
          <w:sz w:val="32"/>
          <w:szCs w:val="32"/>
        </w:rPr>
        <w:t>商财政厅提出工业发展资金年度预算分配草案</w:t>
      </w:r>
      <w:r>
        <w:rPr>
          <w:rFonts w:hint="eastAsia" w:eastAsia="仿宋_GB2312"/>
          <w:sz w:val="32"/>
          <w:szCs w:val="32"/>
        </w:rPr>
        <w:t>，并按规定程序报批</w:t>
      </w:r>
      <w:r>
        <w:rPr>
          <w:rFonts w:eastAsia="仿宋_GB2312"/>
          <w:sz w:val="32"/>
          <w:szCs w:val="32"/>
        </w:rPr>
        <w:t>；组织项目的申报和审查；</w:t>
      </w:r>
      <w:r>
        <w:rPr>
          <w:rFonts w:hint="eastAsia" w:eastAsia="仿宋_GB2312"/>
          <w:sz w:val="32"/>
          <w:szCs w:val="32"/>
        </w:rPr>
        <w:t>建立项目储备库、评审专家库，对专家和项目单位实行负面清单管理；建立</w:t>
      </w:r>
      <w:r>
        <w:rPr>
          <w:rFonts w:eastAsia="仿宋_GB2312"/>
          <w:sz w:val="32"/>
          <w:szCs w:val="32"/>
        </w:rPr>
        <w:t>工业发展资金绩效指标和标准体系；</w:t>
      </w:r>
      <w:r>
        <w:rPr>
          <w:rFonts w:hint="eastAsia" w:eastAsia="仿宋_GB2312"/>
          <w:sz w:val="32"/>
          <w:szCs w:val="32"/>
        </w:rPr>
        <w:t>提出专项资金项目年度绩效目标；组织开展专项资金绩效评价。</w:t>
      </w:r>
    </w:p>
    <w:p>
      <w:pPr>
        <w:overflowPunct w:val="0"/>
        <w:snapToGrid w:val="0"/>
        <w:spacing w:line="560" w:lineRule="exact"/>
        <w:ind w:firstLine="640" w:firstLineChars="200"/>
        <w:outlineLvl w:val="0"/>
        <w:rPr>
          <w:rFonts w:eastAsia="仿宋_GB2312"/>
          <w:sz w:val="32"/>
          <w:szCs w:val="32"/>
        </w:rPr>
      </w:pPr>
      <w:r>
        <w:rPr>
          <w:rFonts w:hint="default" w:ascii="Times New Roman" w:hAnsi="Times New Roman" w:eastAsia="仿宋" w:cs="Times New Roman"/>
          <w:sz w:val="32"/>
          <w:szCs w:val="32"/>
          <w:lang w:val="zh-CN"/>
        </w:rPr>
        <w:t>市（州）、扩权试点县（市）经济和信息化</w:t>
      </w:r>
      <w:r>
        <w:rPr>
          <w:rFonts w:hint="eastAsia" w:eastAsia="仿宋" w:cs="Times New Roman"/>
          <w:sz w:val="32"/>
          <w:szCs w:val="32"/>
          <w:lang w:val="zh-CN"/>
        </w:rPr>
        <w:t>主管</w:t>
      </w:r>
      <w:r>
        <w:rPr>
          <w:rFonts w:hint="default" w:ascii="Times New Roman" w:hAnsi="Times New Roman" w:eastAsia="仿宋" w:cs="Times New Roman"/>
          <w:sz w:val="32"/>
          <w:szCs w:val="32"/>
          <w:lang w:val="zh-CN"/>
        </w:rPr>
        <w:t>部门</w:t>
      </w:r>
      <w:r>
        <w:rPr>
          <w:rFonts w:eastAsia="仿宋_GB2312"/>
          <w:sz w:val="32"/>
          <w:szCs w:val="32"/>
        </w:rPr>
        <w:t>负责项目申报、组织实施和监督管理；</w:t>
      </w:r>
      <w:r>
        <w:rPr>
          <w:rFonts w:hint="eastAsia" w:eastAsia="仿宋_GB2312"/>
          <w:sz w:val="32"/>
          <w:szCs w:val="32"/>
        </w:rPr>
        <w:t>对专项资金实行绩效监控并开展本地区专项资金绩效自评。</w:t>
      </w:r>
      <w:r>
        <w:rPr>
          <w:rFonts w:hint="eastAsia" w:eastAsia="仿宋_GB2312"/>
          <w:sz w:val="32"/>
          <w:szCs w:val="32"/>
          <w:lang w:eastAsia="zh-CN"/>
        </w:rPr>
        <w:t>同级</w:t>
      </w:r>
      <w:r>
        <w:rPr>
          <w:rFonts w:eastAsia="仿宋_GB2312"/>
          <w:sz w:val="32"/>
          <w:szCs w:val="32"/>
        </w:rPr>
        <w:t>财政部门负责工业发展资金拨付和监督管理；组织实施本地区工业发展资金绩效评价。</w:t>
      </w:r>
    </w:p>
    <w:p>
      <w:pPr>
        <w:overflowPunct w:val="0"/>
        <w:snapToGrid w:val="0"/>
        <w:spacing w:line="560" w:lineRule="exact"/>
        <w:ind w:firstLine="640" w:firstLineChars="200"/>
        <w:outlineLvl w:val="0"/>
        <w:rPr>
          <w:rFonts w:hint="default" w:ascii="Times New Roman" w:hAnsi="Times New Roman" w:eastAsia="仿宋" w:cs="Times New Roman"/>
          <w:sz w:val="32"/>
          <w:szCs w:val="32"/>
          <w:lang w:val="zh-CN"/>
        </w:rPr>
      </w:pPr>
      <w:r>
        <w:rPr>
          <w:rFonts w:hint="eastAsia" w:ascii="Times New Roman" w:hAnsi="Times New Roman" w:eastAsia="仿宋" w:cs="Times New Roman"/>
          <w:sz w:val="32"/>
          <w:szCs w:val="32"/>
          <w:lang w:val="zh-CN"/>
        </w:rPr>
        <w:t>项目单位</w:t>
      </w:r>
      <w:r>
        <w:rPr>
          <w:rFonts w:hint="default" w:ascii="Times New Roman" w:hAnsi="Times New Roman" w:eastAsia="仿宋" w:cs="Times New Roman"/>
          <w:sz w:val="32"/>
          <w:szCs w:val="32"/>
          <w:lang w:val="zh-CN"/>
        </w:rPr>
        <w:t>负责项目的具体实施；对项目及申报资料的真实性、完整性和合规性负责；</w:t>
      </w:r>
      <w:r>
        <w:rPr>
          <w:rFonts w:hint="eastAsia" w:ascii="Times New Roman" w:hAnsi="Times New Roman" w:eastAsia="仿宋" w:cs="Times New Roman"/>
          <w:sz w:val="32"/>
          <w:szCs w:val="32"/>
          <w:lang w:val="zh-CN"/>
        </w:rPr>
        <w:t>按照有关规定</w:t>
      </w:r>
      <w:r>
        <w:rPr>
          <w:rFonts w:hint="default" w:ascii="Times New Roman" w:hAnsi="Times New Roman" w:eastAsia="仿宋" w:cs="Times New Roman"/>
          <w:sz w:val="32"/>
          <w:szCs w:val="32"/>
          <w:lang w:val="zh-CN"/>
        </w:rPr>
        <w:t>管理和使用</w:t>
      </w:r>
      <w:r>
        <w:rPr>
          <w:rFonts w:hint="eastAsia" w:ascii="Times New Roman" w:hAnsi="Times New Roman" w:eastAsia="仿宋" w:cs="Times New Roman"/>
          <w:sz w:val="32"/>
          <w:szCs w:val="32"/>
          <w:lang w:val="zh-CN"/>
        </w:rPr>
        <w:t>工业发展</w:t>
      </w:r>
      <w:r>
        <w:rPr>
          <w:rFonts w:hint="default" w:ascii="Times New Roman" w:hAnsi="Times New Roman" w:eastAsia="仿宋" w:cs="Times New Roman"/>
          <w:sz w:val="32"/>
          <w:szCs w:val="32"/>
          <w:lang w:val="zh-CN"/>
        </w:rPr>
        <w:t>资金；按要求对项目绩效进行自评。</w:t>
      </w:r>
    </w:p>
    <w:p>
      <w:pPr>
        <w:keepNext w:val="0"/>
        <w:keepLines w:val="0"/>
        <w:pageBreakBefore w:val="0"/>
        <w:kinsoku/>
        <w:wordWrap/>
        <w:overflowPunct/>
        <w:topLinePunct w:val="0"/>
        <w:bidi w:val="0"/>
        <w:adjustRightInd w:val="0"/>
        <w:snapToGrid w:val="0"/>
        <w:spacing w:line="600" w:lineRule="exact"/>
        <w:ind w:left="0" w:leftChars="0" w:right="0" w:rightChars="0" w:firstLine="720"/>
        <w:outlineLvl w:val="9"/>
        <w:rPr>
          <w:rFonts w:hint="default" w:ascii="Times New Roman" w:hAnsi="Times New Roman" w:eastAsia="楷体_GB2312" w:cs="Times New Roman"/>
          <w:b w:val="0"/>
          <w:bCs/>
          <w:sz w:val="32"/>
          <w:szCs w:val="32"/>
          <w:lang w:val="zh-CN"/>
        </w:rPr>
      </w:pPr>
      <w:r>
        <w:rPr>
          <w:rFonts w:hint="eastAsia" w:ascii="Times New Roman" w:hAnsi="Times New Roman" w:eastAsia="楷体_GB2312" w:cs="Times New Roman"/>
          <w:b w:val="0"/>
          <w:bCs/>
          <w:sz w:val="32"/>
          <w:szCs w:val="32"/>
          <w:lang w:val="zh-CN"/>
        </w:rPr>
        <w:t>（二）</w:t>
      </w:r>
      <w:r>
        <w:rPr>
          <w:rFonts w:hint="default" w:ascii="Times New Roman" w:hAnsi="Times New Roman" w:eastAsia="楷体_GB2312" w:cs="Times New Roman"/>
          <w:b w:val="0"/>
          <w:bCs/>
          <w:sz w:val="32"/>
          <w:szCs w:val="32"/>
          <w:lang w:val="zh-CN"/>
        </w:rPr>
        <w:t>项目资金申报的依据。</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outlineLvl w:val="9"/>
        <w:rPr>
          <w:rFonts w:hint="default" w:ascii="Times New Roman" w:hAnsi="Times New Roman" w:eastAsia="仿宋" w:cs="Times New Roman"/>
          <w:sz w:val="32"/>
          <w:szCs w:val="32"/>
          <w:lang w:val="zh-CN"/>
        </w:rPr>
      </w:pP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lang w:val="zh-CN"/>
        </w:rPr>
        <w:t>依据四川省经济和信息化厅《关于组织开展2020年省级工业发展资金项目征集指南的通知》（川经信财资〔2019〕236号）进行项目申报。</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outlineLvl w:val="9"/>
        <w:rPr>
          <w:rFonts w:hint="default" w:ascii="Times New Roman" w:hAnsi="Times New Roman" w:eastAsia="楷体_GB2312" w:cs="Times New Roman"/>
          <w:b w:val="0"/>
          <w:bCs/>
          <w:sz w:val="32"/>
          <w:szCs w:val="32"/>
          <w:lang w:val="zh-CN"/>
        </w:rPr>
      </w:pPr>
      <w:r>
        <w:rPr>
          <w:rFonts w:hint="eastAsia" w:ascii="Times New Roman" w:hAnsi="Times New Roman" w:eastAsia="楷体_GB2312" w:cs="Times New Roman"/>
          <w:b w:val="0"/>
          <w:bCs/>
          <w:sz w:val="32"/>
          <w:szCs w:val="32"/>
          <w:lang w:val="en-US" w:eastAsia="zh-CN"/>
        </w:rPr>
        <w:t xml:space="preserve">    （三）</w:t>
      </w:r>
      <w:r>
        <w:rPr>
          <w:rFonts w:hint="default" w:ascii="Times New Roman" w:hAnsi="Times New Roman" w:eastAsia="楷体_GB2312" w:cs="Times New Roman"/>
          <w:b w:val="0"/>
          <w:bCs/>
          <w:sz w:val="32"/>
          <w:szCs w:val="32"/>
          <w:lang w:val="zh-CN"/>
        </w:rPr>
        <w:t>资金管理办法制定情况。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outlineLvl w:val="9"/>
        <w:rPr>
          <w:rFonts w:hint="default" w:ascii="Times New Roman" w:hAnsi="Times New Roman" w:eastAsia="仿宋" w:cs="Times New Roman"/>
          <w:sz w:val="32"/>
          <w:szCs w:val="32"/>
          <w:lang w:val="zh-CN"/>
        </w:rPr>
      </w:pPr>
      <w:r>
        <w:rPr>
          <w:rFonts w:hint="eastAsia" w:eastAsia="仿宋" w:cs="Times New Roman"/>
          <w:sz w:val="32"/>
          <w:szCs w:val="32"/>
          <w:lang w:val="en-US" w:eastAsia="zh-CN"/>
        </w:rPr>
        <w:t xml:space="preserve">    </w:t>
      </w:r>
      <w:r>
        <w:rPr>
          <w:rFonts w:hint="default" w:ascii="Times New Roman" w:hAnsi="Times New Roman" w:eastAsia="仿宋" w:cs="Times New Roman"/>
          <w:sz w:val="32"/>
          <w:szCs w:val="32"/>
          <w:lang w:val="zh-CN"/>
        </w:rPr>
        <w:t>根据《预算法》等法律法规，财政厅、经济和信息化厅制定了</w:t>
      </w:r>
      <w:r>
        <w:rPr>
          <w:rFonts w:hint="default" w:ascii="Times New Roman" w:hAnsi="Times New Roman" w:eastAsia="仿宋" w:cs="Times New Roman"/>
          <w:color w:val="auto"/>
          <w:sz w:val="32"/>
          <w:szCs w:val="32"/>
          <w:lang w:eastAsia="zh-CN"/>
        </w:rPr>
        <w:t>《</w:t>
      </w:r>
      <w:r>
        <w:rPr>
          <w:rFonts w:hint="eastAsia" w:eastAsia="仿宋" w:cs="Times New Roman"/>
          <w:color w:val="auto"/>
          <w:sz w:val="32"/>
          <w:szCs w:val="32"/>
          <w:lang w:eastAsia="zh-CN"/>
        </w:rPr>
        <w:t>四川省工业发展专项资金管理办法</w:t>
      </w:r>
      <w:r>
        <w:rPr>
          <w:rFonts w:hint="default" w:ascii="Times New Roman" w:hAnsi="Times New Roman" w:eastAsia="仿宋" w:cs="Times New Roman"/>
          <w:color w:val="auto"/>
          <w:sz w:val="32"/>
          <w:szCs w:val="32"/>
          <w:lang w:val="en-US" w:eastAsia="zh-CN"/>
        </w:rPr>
        <w:t>》（</w:t>
      </w:r>
      <w:r>
        <w:rPr>
          <w:rFonts w:hint="eastAsia" w:eastAsia="仿宋" w:cs="Times New Roman"/>
          <w:color w:val="auto"/>
          <w:sz w:val="32"/>
          <w:szCs w:val="32"/>
          <w:lang w:eastAsia="zh-CN"/>
        </w:rPr>
        <w:t>川财建〔2019〕296号</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sz w:val="32"/>
          <w:szCs w:val="32"/>
          <w:lang w:val="zh-CN"/>
        </w:rPr>
        <w:t>。</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outlineLvl w:val="9"/>
        <w:rPr>
          <w:rFonts w:hint="eastAsia" w:ascii="Times New Roman" w:hAnsi="Times New Roman" w:eastAsia="楷体_GB2312" w:cs="Times New Roman"/>
          <w:b w:val="0"/>
          <w:bCs/>
          <w:sz w:val="32"/>
          <w:szCs w:val="32"/>
          <w:lang w:val="zh-CN" w:eastAsia="zh-CN"/>
        </w:rPr>
      </w:pPr>
      <w:r>
        <w:rPr>
          <w:rFonts w:hint="eastAsia" w:ascii="Times New Roman" w:hAnsi="Times New Roman" w:eastAsia="楷体_GB2312" w:cs="Times New Roman"/>
          <w:b w:val="0"/>
          <w:bCs/>
          <w:sz w:val="32"/>
          <w:szCs w:val="32"/>
          <w:lang w:val="en-US" w:eastAsia="zh-CN"/>
        </w:rPr>
        <w:t xml:space="preserve">    （四）</w:t>
      </w:r>
      <w:r>
        <w:rPr>
          <w:rFonts w:hint="eastAsia" w:ascii="Times New Roman" w:hAnsi="Times New Roman" w:eastAsia="楷体_GB2312" w:cs="Times New Roman"/>
          <w:b w:val="0"/>
          <w:bCs/>
          <w:sz w:val="32"/>
          <w:szCs w:val="32"/>
          <w:lang w:val="zh-CN" w:eastAsia="zh-CN"/>
        </w:rPr>
        <w:t>资金分配的原则及考虑因素。</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outlineLvl w:val="9"/>
        <w:rPr>
          <w:rFonts w:hint="eastAsia" w:ascii="Times New Roman" w:hAnsi="Times New Roman" w:eastAsia="仿宋" w:cs="Times New Roman"/>
          <w:b w:val="0"/>
          <w:bCs w:val="0"/>
          <w:sz w:val="32"/>
          <w:szCs w:val="32"/>
          <w:u w:val="single"/>
          <w:lang w:val="zh-CN" w:eastAsia="zh-CN"/>
        </w:rPr>
      </w:pPr>
      <w:r>
        <w:rPr>
          <w:rFonts w:hint="eastAsia" w:ascii="Times New Roman" w:hAnsi="Times New Roman" w:eastAsia="仿宋" w:cs="Times New Roman"/>
          <w:b w:val="0"/>
          <w:bCs w:val="0"/>
          <w:sz w:val="32"/>
          <w:szCs w:val="32"/>
          <w:lang w:val="en-US" w:eastAsia="zh-CN"/>
        </w:rPr>
        <w:t xml:space="preserve">    </w:t>
      </w:r>
      <w:r>
        <w:rPr>
          <w:rFonts w:hint="default" w:ascii="Times New Roman" w:hAnsi="Times New Roman" w:eastAsia="仿宋" w:cs="Times New Roman"/>
          <w:b w:val="0"/>
          <w:bCs w:val="0"/>
          <w:sz w:val="32"/>
          <w:szCs w:val="32"/>
          <w:lang w:val="en-US" w:eastAsia="zh-CN"/>
        </w:rPr>
        <w:t>专项资金分配遵循</w:t>
      </w:r>
      <w:r>
        <w:rPr>
          <w:rFonts w:hint="eastAsia" w:ascii="Times New Roman" w:hAnsi="Times New Roman" w:eastAsia="仿宋" w:cs="Times New Roman"/>
          <w:b w:val="0"/>
          <w:bCs w:val="0"/>
          <w:sz w:val="32"/>
          <w:szCs w:val="32"/>
          <w:lang w:val="en-US" w:eastAsia="zh-CN"/>
        </w:rPr>
        <w:t>“政策协调、资金聚焦、推进统筹、效益最大”的</w:t>
      </w:r>
      <w:r>
        <w:rPr>
          <w:rFonts w:hint="default" w:ascii="Times New Roman" w:hAnsi="Times New Roman" w:eastAsia="仿宋" w:cs="Times New Roman"/>
          <w:b w:val="0"/>
          <w:bCs w:val="0"/>
          <w:sz w:val="32"/>
          <w:szCs w:val="32"/>
          <w:lang w:val="en-US" w:eastAsia="zh-CN"/>
        </w:rPr>
        <w:t>原则。</w:t>
      </w:r>
      <w:r>
        <w:rPr>
          <w:rFonts w:hint="eastAsia" w:ascii="Times New Roman" w:hAnsi="Times New Roman" w:eastAsia="仿宋" w:cs="Times New Roman"/>
          <w:b w:val="0"/>
          <w:bCs w:val="0"/>
          <w:sz w:val="32"/>
          <w:szCs w:val="32"/>
          <w:lang w:val="en-US" w:eastAsia="zh-CN"/>
        </w:rPr>
        <w:t>根据</w:t>
      </w:r>
      <w:r>
        <w:rPr>
          <w:rFonts w:eastAsia="仿宋_GB2312"/>
          <w:sz w:val="32"/>
          <w:szCs w:val="32"/>
        </w:rPr>
        <w:t>当年</w:t>
      </w:r>
      <w:r>
        <w:rPr>
          <w:rFonts w:hint="eastAsia" w:eastAsia="仿宋_GB2312"/>
          <w:sz w:val="32"/>
          <w:szCs w:val="32"/>
          <w:lang w:eastAsia="zh-CN"/>
        </w:rPr>
        <w:t>资金</w:t>
      </w:r>
      <w:r>
        <w:rPr>
          <w:rFonts w:eastAsia="仿宋_GB2312"/>
          <w:sz w:val="32"/>
          <w:szCs w:val="32"/>
        </w:rPr>
        <w:t>预算规模、支持方向，以及各市（州）年度工作重点、发展指标</w:t>
      </w:r>
      <w:r>
        <w:rPr>
          <w:rFonts w:hint="eastAsia" w:eastAsia="仿宋_GB2312"/>
          <w:sz w:val="32"/>
          <w:szCs w:val="32"/>
          <w:lang w:eastAsia="zh-CN"/>
        </w:rPr>
        <w:t>，</w:t>
      </w:r>
      <w:r>
        <w:rPr>
          <w:rFonts w:hint="eastAsia" w:ascii="Times New Roman" w:hAnsi="Times New Roman" w:eastAsia="仿宋" w:cs="Times New Roman"/>
          <w:b w:val="0"/>
          <w:bCs w:val="0"/>
          <w:sz w:val="32"/>
          <w:szCs w:val="32"/>
          <w:lang w:val="en-US" w:eastAsia="zh-CN"/>
        </w:rPr>
        <w:t>项目得分比重、项目得分权重、项目投资比重、项目投资权重</w:t>
      </w:r>
      <w:r>
        <w:rPr>
          <w:rFonts w:eastAsia="仿宋_GB2312"/>
          <w:sz w:val="32"/>
          <w:szCs w:val="32"/>
        </w:rPr>
        <w:t>等因素</w:t>
      </w:r>
      <w:r>
        <w:rPr>
          <w:rFonts w:hint="eastAsia" w:ascii="Times New Roman" w:hAnsi="Times New Roman" w:eastAsia="仿宋" w:cs="Times New Roman"/>
          <w:b w:val="0"/>
          <w:bCs w:val="0"/>
          <w:sz w:val="32"/>
          <w:szCs w:val="32"/>
          <w:lang w:val="en-US" w:eastAsia="zh-CN"/>
        </w:rPr>
        <w:t>确定公式计算。</w:t>
      </w:r>
    </w:p>
    <w:p>
      <w:pPr>
        <w:keepNext w:val="0"/>
        <w:keepLines w:val="0"/>
        <w:pageBreakBefore w:val="0"/>
        <w:kinsoku/>
        <w:wordWrap/>
        <w:overflowPunct/>
        <w:topLinePunct w:val="0"/>
        <w:autoSpaceDE w:val="0"/>
        <w:autoSpaceDN w:val="0"/>
        <w:bidi w:val="0"/>
        <w:adjustRightInd w:val="0"/>
        <w:snapToGrid w:val="0"/>
        <w:spacing w:line="600" w:lineRule="exact"/>
        <w:ind w:left="0" w:leftChars="0" w:right="0" w:rightChars="0"/>
        <w:textAlignment w:val="baseline"/>
        <w:outlineLvl w:val="9"/>
        <w:rPr>
          <w:rFonts w:ascii="黑体" w:hAnsi="黑体" w:eastAsia="黑体"/>
          <w:bCs/>
          <w:color w:val="000000"/>
          <w:sz w:val="32"/>
          <w:szCs w:val="32"/>
        </w:rPr>
      </w:pPr>
      <w:r>
        <w:rPr>
          <w:rFonts w:hint="eastAsia" w:ascii="Times New Roman" w:hAnsi="Times New Roman" w:eastAsia="黑体" w:cs="Times New Roman"/>
          <w:sz w:val="32"/>
          <w:szCs w:val="32"/>
          <w:lang w:val="en-US" w:eastAsia="zh-CN"/>
        </w:rPr>
        <w:t xml:space="preserve">    二、</w:t>
      </w:r>
      <w:r>
        <w:rPr>
          <w:rFonts w:hint="eastAsia" w:ascii="Times New Roman" w:hAnsi="Times New Roman" w:eastAsia="黑体" w:cs="Times New Roman"/>
          <w:sz w:val="32"/>
          <w:szCs w:val="32"/>
          <w:lang w:val="zh-CN"/>
        </w:rPr>
        <w:t>2</w:t>
      </w:r>
      <w:r>
        <w:rPr>
          <w:rFonts w:hint="eastAsia" w:eastAsia="黑体" w:cs="Times New Roman"/>
          <w:sz w:val="32"/>
          <w:szCs w:val="32"/>
          <w:lang w:val="en-US" w:eastAsia="zh-CN"/>
        </w:rPr>
        <w:t>020</w:t>
      </w:r>
      <w:r>
        <w:rPr>
          <w:rFonts w:hint="eastAsia" w:ascii="Times New Roman" w:hAnsi="Times New Roman" w:eastAsia="黑体" w:cs="Times New Roman"/>
          <w:sz w:val="32"/>
          <w:szCs w:val="32"/>
          <w:lang w:val="zh-CN"/>
        </w:rPr>
        <w:t>年省级工业发展资金预算执行</w:t>
      </w:r>
      <w:r>
        <w:rPr>
          <w:rFonts w:hint="default" w:ascii="Times New Roman" w:hAnsi="Times New Roman" w:eastAsia="黑体" w:cs="Times New Roman"/>
          <w:sz w:val="32"/>
          <w:szCs w:val="32"/>
          <w:lang w:val="zh-CN"/>
        </w:rPr>
        <w:t>情况</w:t>
      </w:r>
    </w:p>
    <w:p>
      <w:pPr>
        <w:keepNext w:val="0"/>
        <w:keepLines w:val="0"/>
        <w:pageBreakBefore w:val="0"/>
        <w:widowControl w:val="0"/>
        <w:kinsoku/>
        <w:wordWrap/>
        <w:overflowPunct/>
        <w:topLinePunct w:val="0"/>
        <w:autoSpaceDE/>
        <w:autoSpaceDN/>
        <w:bidi w:val="0"/>
        <w:spacing w:line="600" w:lineRule="exact"/>
        <w:ind w:left="0" w:leftChars="0" w:right="0" w:rightChars="0" w:firstLine="640"/>
        <w:textAlignment w:val="auto"/>
        <w:outlineLvl w:val="9"/>
        <w:rPr>
          <w:rFonts w:hint="default" w:ascii="Times New Roman" w:hAnsi="Times New Roman" w:eastAsia="仿宋" w:cs="Times New Roman"/>
          <w:color w:val="auto"/>
          <w:kern w:val="2"/>
          <w:sz w:val="32"/>
          <w:szCs w:val="32"/>
          <w:lang w:val="en-US" w:eastAsia="zh-CN" w:bidi="ar-SA"/>
        </w:rPr>
      </w:pPr>
      <w:r>
        <w:rPr>
          <w:rFonts w:hint="default" w:ascii="Times New Roman" w:hAnsi="Times New Roman" w:eastAsia="仿宋_GB2312" w:cs="Times New Roman"/>
          <w:b w:val="0"/>
          <w:bCs w:val="0"/>
          <w:sz w:val="32"/>
          <w:szCs w:val="32"/>
        </w:rPr>
        <w:t>20</w:t>
      </w:r>
      <w:r>
        <w:rPr>
          <w:rFonts w:hint="eastAsia" w:eastAsia="仿宋_GB2312" w:cs="Times New Roman"/>
          <w:b w:val="0"/>
          <w:bCs w:val="0"/>
          <w:sz w:val="32"/>
          <w:szCs w:val="32"/>
          <w:lang w:val="en-US" w:eastAsia="zh-CN"/>
        </w:rPr>
        <w:t>20</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省级财政预算安排我厅省级工业发展资金</w:t>
      </w:r>
      <w:r>
        <w:rPr>
          <w:rFonts w:hint="default" w:ascii="Times New Roman" w:hAnsi="Times New Roman" w:eastAsia="仿宋" w:cs="Times New Roman"/>
          <w:b w:val="0"/>
          <w:bCs w:val="0"/>
          <w:color w:val="auto"/>
          <w:sz w:val="32"/>
          <w:szCs w:val="32"/>
          <w:lang w:eastAsia="zh-CN"/>
        </w:rPr>
        <w:t>安排</w:t>
      </w:r>
      <w:r>
        <w:rPr>
          <w:rFonts w:hint="eastAsia" w:ascii="Times New Roman" w:hAnsi="Times New Roman" w:eastAsia="仿宋_GB2312" w:cs="Times New Roman"/>
          <w:bCs/>
          <w:kern w:val="2"/>
          <w:sz w:val="32"/>
          <w:szCs w:val="24"/>
          <w:lang w:val="en-US" w:eastAsia="zh-CN" w:bidi="ar-SA"/>
        </w:rPr>
        <w:t>31.53</w:t>
      </w:r>
      <w:r>
        <w:rPr>
          <w:rFonts w:hint="default" w:ascii="Times New Roman" w:hAnsi="Times New Roman" w:eastAsia="仿宋_GB2312" w:cs="Times New Roman"/>
          <w:bCs/>
          <w:kern w:val="2"/>
          <w:sz w:val="32"/>
          <w:szCs w:val="24"/>
          <w:lang w:val="en-US" w:eastAsia="zh-CN" w:bidi="ar-SA"/>
        </w:rPr>
        <w:t>亿元</w:t>
      </w:r>
      <w:r>
        <w:rPr>
          <w:rFonts w:hint="default" w:ascii="Times New Roman" w:hAnsi="Times New Roman" w:eastAsia="仿宋" w:cs="Times New Roman"/>
          <w:b w:val="0"/>
          <w:bCs w:val="0"/>
          <w:color w:val="auto"/>
          <w:sz w:val="32"/>
          <w:szCs w:val="32"/>
          <w:lang w:eastAsia="zh-CN"/>
        </w:rPr>
        <w:t>，</w:t>
      </w:r>
      <w:r>
        <w:rPr>
          <w:rFonts w:hint="eastAsia" w:ascii="Times New Roman" w:hAnsi="Times New Roman" w:eastAsia="仿宋" w:cs="Times New Roman"/>
          <w:b w:val="0"/>
          <w:bCs w:val="0"/>
          <w:color w:val="auto"/>
          <w:sz w:val="32"/>
          <w:szCs w:val="32"/>
          <w:lang w:eastAsia="zh-CN"/>
        </w:rPr>
        <w:t>执行率</w:t>
      </w:r>
      <w:r>
        <w:rPr>
          <w:rFonts w:hint="eastAsia" w:ascii="Times New Roman" w:hAnsi="Times New Roman" w:eastAsia="仿宋" w:cs="Times New Roman"/>
          <w:b w:val="0"/>
          <w:bCs w:val="0"/>
          <w:color w:val="auto"/>
          <w:sz w:val="32"/>
          <w:szCs w:val="32"/>
          <w:lang w:val="en-US" w:eastAsia="zh-CN"/>
        </w:rPr>
        <w:t>100%。</w:t>
      </w:r>
      <w:r>
        <w:rPr>
          <w:rFonts w:hint="eastAsia" w:eastAsia="仿宋" w:cs="Times New Roman"/>
          <w:b w:val="0"/>
          <w:bCs w:val="0"/>
          <w:color w:val="auto"/>
          <w:kern w:val="2"/>
          <w:sz w:val="32"/>
          <w:szCs w:val="32"/>
          <w:lang w:val="en-US" w:eastAsia="zh-CN" w:bidi="ar-SA"/>
        </w:rPr>
        <w:t>其中：</w:t>
      </w:r>
      <w:r>
        <w:rPr>
          <w:rFonts w:hint="default" w:ascii="Times New Roman" w:hAnsi="Times New Roman" w:eastAsia="仿宋" w:cs="Times New Roman"/>
          <w:b w:val="0"/>
          <w:bCs w:val="0"/>
          <w:color w:val="auto"/>
          <w:kern w:val="2"/>
          <w:sz w:val="32"/>
          <w:szCs w:val="32"/>
          <w:lang w:val="en-US" w:eastAsia="zh-CN" w:bidi="ar-SA"/>
        </w:rPr>
        <w:t>项目</w:t>
      </w:r>
      <w:r>
        <w:rPr>
          <w:rFonts w:hint="eastAsia" w:eastAsia="仿宋" w:cs="Times New Roman"/>
          <w:b w:val="0"/>
          <w:bCs w:val="0"/>
          <w:color w:val="auto"/>
          <w:kern w:val="2"/>
          <w:sz w:val="32"/>
          <w:szCs w:val="32"/>
          <w:lang w:val="en-US" w:eastAsia="zh-CN" w:bidi="ar-SA"/>
        </w:rPr>
        <w:t>补助资金19.86</w:t>
      </w:r>
      <w:r>
        <w:rPr>
          <w:rFonts w:hint="default" w:ascii="Times New Roman" w:hAnsi="Times New Roman" w:eastAsia="仿宋" w:cs="Times New Roman"/>
          <w:b w:val="0"/>
          <w:bCs w:val="0"/>
          <w:color w:val="auto"/>
          <w:kern w:val="2"/>
          <w:sz w:val="32"/>
          <w:szCs w:val="32"/>
          <w:lang w:val="en-US" w:eastAsia="zh-CN" w:bidi="ar-SA"/>
        </w:rPr>
        <w:t>亿元</w:t>
      </w:r>
      <w:r>
        <w:rPr>
          <w:rFonts w:hint="eastAsia" w:ascii="Times New Roman" w:hAnsi="Times New Roman" w:eastAsia="仿宋" w:cs="Times New Roman"/>
          <w:b w:val="0"/>
          <w:bCs w:val="0"/>
          <w:color w:val="auto"/>
          <w:kern w:val="2"/>
          <w:sz w:val="32"/>
          <w:szCs w:val="32"/>
          <w:lang w:val="en-US" w:eastAsia="zh-CN" w:bidi="ar-SA"/>
        </w:rPr>
        <w:t>，带动投资800亿元；</w:t>
      </w:r>
      <w:r>
        <w:rPr>
          <w:rFonts w:hint="eastAsia" w:eastAsia="仿宋" w:cs="Times New Roman"/>
          <w:b w:val="0"/>
          <w:bCs w:val="0"/>
          <w:color w:val="auto"/>
          <w:kern w:val="2"/>
          <w:sz w:val="32"/>
          <w:szCs w:val="32"/>
          <w:lang w:val="en-US" w:eastAsia="zh-CN" w:bidi="ar-SA"/>
        </w:rPr>
        <w:t>定向财力转移支付安排资金10.67</w:t>
      </w:r>
      <w:r>
        <w:rPr>
          <w:rFonts w:hint="default" w:ascii="Times New Roman" w:hAnsi="Times New Roman" w:eastAsia="仿宋" w:cs="Times New Roman"/>
          <w:b w:val="0"/>
          <w:bCs w:val="0"/>
          <w:color w:val="auto"/>
          <w:kern w:val="2"/>
          <w:sz w:val="32"/>
          <w:szCs w:val="32"/>
          <w:lang w:val="en-US" w:eastAsia="zh-CN" w:bidi="ar-SA"/>
        </w:rPr>
        <w:t>亿元；</w:t>
      </w:r>
      <w:r>
        <w:rPr>
          <w:rFonts w:hint="default" w:ascii="Times New Roman" w:hAnsi="Times New Roman" w:eastAsia="仿宋" w:cs="Times New Roman"/>
          <w:color w:val="auto"/>
          <w:kern w:val="2"/>
          <w:sz w:val="32"/>
          <w:szCs w:val="32"/>
          <w:lang w:val="en-US" w:eastAsia="zh-CN" w:bidi="ar-SA"/>
        </w:rPr>
        <w:t>“园保贷”</w:t>
      </w:r>
      <w:r>
        <w:rPr>
          <w:rFonts w:hint="eastAsia" w:eastAsia="仿宋" w:cs="Times New Roman"/>
          <w:color w:val="auto"/>
          <w:kern w:val="2"/>
          <w:sz w:val="32"/>
          <w:szCs w:val="32"/>
          <w:lang w:val="en-US" w:eastAsia="zh-CN" w:bidi="ar-SA"/>
        </w:rPr>
        <w:t>风险补偿</w:t>
      </w:r>
      <w:r>
        <w:rPr>
          <w:rFonts w:hint="default" w:ascii="Times New Roman" w:hAnsi="Times New Roman" w:eastAsia="仿宋" w:cs="Times New Roman"/>
          <w:color w:val="auto"/>
          <w:kern w:val="2"/>
          <w:sz w:val="32"/>
          <w:szCs w:val="32"/>
          <w:lang w:val="en-US" w:eastAsia="zh-CN" w:bidi="ar-SA"/>
        </w:rPr>
        <w:t>安排</w:t>
      </w:r>
      <w:r>
        <w:rPr>
          <w:rFonts w:hint="eastAsia" w:eastAsia="仿宋" w:cs="Times New Roman"/>
          <w:color w:val="auto"/>
          <w:kern w:val="2"/>
          <w:sz w:val="32"/>
          <w:szCs w:val="32"/>
          <w:lang w:val="en-US" w:eastAsia="zh-CN" w:bidi="ar-SA"/>
        </w:rPr>
        <w:t>资金1</w:t>
      </w:r>
      <w:r>
        <w:rPr>
          <w:rFonts w:hint="default" w:ascii="Times New Roman" w:hAnsi="Times New Roman" w:eastAsia="仿宋" w:cs="Times New Roman"/>
          <w:color w:val="auto"/>
          <w:kern w:val="2"/>
          <w:sz w:val="32"/>
          <w:szCs w:val="32"/>
          <w:lang w:val="en-US" w:eastAsia="zh-CN" w:bidi="ar-SA"/>
        </w:rPr>
        <w:t>亿元</w:t>
      </w:r>
      <w:r>
        <w:rPr>
          <w:rFonts w:hint="eastAsia" w:eastAsia="仿宋" w:cs="Times New Roman"/>
          <w:color w:val="auto"/>
          <w:kern w:val="2"/>
          <w:sz w:val="32"/>
          <w:szCs w:val="32"/>
          <w:lang w:val="en-US" w:eastAsia="zh-CN" w:bidi="ar-SA"/>
        </w:rPr>
        <w:t>。全年</w:t>
      </w:r>
      <w:r>
        <w:rPr>
          <w:rFonts w:hint="eastAsia" w:ascii="Times New Roman" w:hAnsi="Times New Roman" w:eastAsia="仿宋_GB2312" w:cs="Times New Roman"/>
          <w:b w:val="0"/>
          <w:bCs w:val="0"/>
          <w:color w:val="auto"/>
          <w:kern w:val="2"/>
          <w:sz w:val="32"/>
          <w:szCs w:val="32"/>
          <w:lang w:val="en-US" w:eastAsia="zh-CN" w:bidi="ar-SA"/>
        </w:rPr>
        <w:t>安排产业扶贫、定点扶贫资金3.88亿元。</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default" w:eastAsia="仿宋" w:cs="Times New Roman"/>
          <w:b w:val="0"/>
          <w:bCs w:val="0"/>
          <w:color w:val="auto"/>
          <w:sz w:val="32"/>
          <w:szCs w:val="32"/>
          <w:lang w:eastAsia="zh-CN"/>
        </w:rPr>
      </w:pPr>
      <w:r>
        <w:rPr>
          <w:rFonts w:hint="eastAsia" w:ascii="Times New Roman" w:hAnsi="Times New Roman" w:eastAsia="仿宋_GB2312" w:cs="Times New Roman"/>
          <w:color w:val="auto"/>
          <w:sz w:val="32"/>
          <w:szCs w:val="32"/>
          <w:lang w:val="en-US" w:eastAsia="zh-CN"/>
        </w:rPr>
        <w:t>重点</w:t>
      </w:r>
      <w:r>
        <w:rPr>
          <w:rFonts w:hint="default" w:ascii="Times New Roman" w:hAnsi="Times New Roman" w:eastAsia="仿宋_GB2312" w:cs="Times New Roman"/>
          <w:color w:val="auto"/>
          <w:kern w:val="2"/>
          <w:sz w:val="32"/>
          <w:szCs w:val="32"/>
          <w:lang w:val="en-US" w:eastAsia="zh-CN" w:bidi="ar-SA"/>
        </w:rPr>
        <w:t>支持</w:t>
      </w:r>
      <w:r>
        <w:rPr>
          <w:rFonts w:hint="default" w:eastAsia="仿宋" w:cs="Times New Roman"/>
          <w:b w:val="0"/>
          <w:bCs w:val="0"/>
          <w:color w:val="auto"/>
          <w:sz w:val="32"/>
          <w:szCs w:val="32"/>
          <w:lang w:eastAsia="zh-CN"/>
        </w:rPr>
        <w:t>五大万亿产业项目</w:t>
      </w:r>
      <w:r>
        <w:rPr>
          <w:rFonts w:hint="eastAsia" w:eastAsia="仿宋" w:cs="Times New Roman"/>
          <w:b w:val="0"/>
          <w:bCs w:val="0"/>
          <w:color w:val="auto"/>
          <w:sz w:val="32"/>
          <w:szCs w:val="32"/>
          <w:lang w:val="en-US" w:eastAsia="zh-CN"/>
        </w:rPr>
        <w:t>389</w:t>
      </w:r>
      <w:r>
        <w:rPr>
          <w:rFonts w:hint="default" w:eastAsia="仿宋" w:cs="Times New Roman"/>
          <w:b w:val="0"/>
          <w:bCs w:val="0"/>
          <w:color w:val="auto"/>
          <w:sz w:val="32"/>
          <w:szCs w:val="32"/>
          <w:lang w:eastAsia="zh-CN"/>
        </w:rPr>
        <w:t>个，</w:t>
      </w:r>
      <w:r>
        <w:rPr>
          <w:rFonts w:hint="eastAsia" w:eastAsia="仿宋" w:cs="Times New Roman"/>
          <w:b w:val="0"/>
          <w:bCs w:val="0"/>
          <w:color w:val="auto"/>
          <w:sz w:val="32"/>
          <w:szCs w:val="32"/>
          <w:lang w:eastAsia="zh-CN"/>
        </w:rPr>
        <w:t>资金</w:t>
      </w:r>
      <w:r>
        <w:rPr>
          <w:rFonts w:hint="eastAsia" w:eastAsia="仿宋" w:cs="Times New Roman"/>
          <w:b w:val="0"/>
          <w:bCs w:val="0"/>
          <w:color w:val="auto"/>
          <w:sz w:val="32"/>
          <w:szCs w:val="32"/>
          <w:lang w:val="en-US" w:eastAsia="zh-CN"/>
        </w:rPr>
        <w:t>14.05亿元。</w:t>
      </w:r>
      <w:r>
        <w:rPr>
          <w:rFonts w:hint="default" w:eastAsia="仿宋" w:cs="Times New Roman"/>
          <w:b w:val="0"/>
          <w:bCs w:val="0"/>
          <w:color w:val="auto"/>
          <w:sz w:val="32"/>
          <w:szCs w:val="32"/>
          <w:lang w:eastAsia="zh-CN"/>
        </w:rPr>
        <w:t>其中：电子信息</w:t>
      </w:r>
      <w:r>
        <w:rPr>
          <w:rFonts w:hint="eastAsia" w:eastAsia="仿宋" w:cs="Times New Roman"/>
          <w:b w:val="0"/>
          <w:bCs w:val="0"/>
          <w:color w:val="auto"/>
          <w:sz w:val="32"/>
          <w:szCs w:val="32"/>
          <w:lang w:val="en-US" w:eastAsia="zh-CN"/>
        </w:rPr>
        <w:t>99</w:t>
      </w:r>
      <w:r>
        <w:rPr>
          <w:rFonts w:hint="default" w:eastAsia="仿宋" w:cs="Times New Roman"/>
          <w:b w:val="0"/>
          <w:bCs w:val="0"/>
          <w:color w:val="auto"/>
          <w:sz w:val="32"/>
          <w:szCs w:val="32"/>
          <w:lang w:eastAsia="zh-CN"/>
        </w:rPr>
        <w:t>个、</w:t>
      </w:r>
      <w:r>
        <w:rPr>
          <w:rFonts w:hint="eastAsia" w:eastAsia="仿宋" w:cs="Times New Roman"/>
          <w:b w:val="0"/>
          <w:bCs w:val="0"/>
          <w:color w:val="auto"/>
          <w:sz w:val="32"/>
          <w:szCs w:val="32"/>
          <w:lang w:eastAsia="zh-CN"/>
        </w:rPr>
        <w:t>资金</w:t>
      </w:r>
      <w:r>
        <w:rPr>
          <w:rFonts w:hint="eastAsia" w:eastAsia="仿宋" w:cs="Times New Roman"/>
          <w:b w:val="0"/>
          <w:bCs w:val="0"/>
          <w:color w:val="auto"/>
          <w:sz w:val="32"/>
          <w:szCs w:val="32"/>
          <w:lang w:val="en-US" w:eastAsia="zh-CN"/>
        </w:rPr>
        <w:t>3.47亿元，</w:t>
      </w:r>
      <w:r>
        <w:rPr>
          <w:rFonts w:hint="default" w:eastAsia="仿宋" w:cs="Times New Roman"/>
          <w:b w:val="0"/>
          <w:bCs w:val="0"/>
          <w:color w:val="auto"/>
          <w:sz w:val="32"/>
          <w:szCs w:val="32"/>
          <w:lang w:eastAsia="zh-CN"/>
        </w:rPr>
        <w:t>装备制造</w:t>
      </w:r>
      <w:r>
        <w:rPr>
          <w:rFonts w:hint="eastAsia" w:eastAsia="仿宋" w:cs="Times New Roman"/>
          <w:b w:val="0"/>
          <w:bCs w:val="0"/>
          <w:color w:val="auto"/>
          <w:sz w:val="32"/>
          <w:szCs w:val="32"/>
          <w:lang w:val="en-US" w:eastAsia="zh-CN"/>
        </w:rPr>
        <w:t>72</w:t>
      </w:r>
      <w:r>
        <w:rPr>
          <w:rFonts w:hint="default" w:eastAsia="仿宋" w:cs="Times New Roman"/>
          <w:b w:val="0"/>
          <w:bCs w:val="0"/>
          <w:color w:val="auto"/>
          <w:sz w:val="32"/>
          <w:szCs w:val="32"/>
          <w:lang w:eastAsia="zh-CN"/>
        </w:rPr>
        <w:t>个、</w:t>
      </w:r>
      <w:r>
        <w:rPr>
          <w:rFonts w:hint="eastAsia" w:eastAsia="仿宋" w:cs="Times New Roman"/>
          <w:b w:val="0"/>
          <w:bCs w:val="0"/>
          <w:color w:val="auto"/>
          <w:sz w:val="32"/>
          <w:szCs w:val="32"/>
          <w:lang w:eastAsia="zh-CN"/>
        </w:rPr>
        <w:t>资金</w:t>
      </w:r>
      <w:r>
        <w:rPr>
          <w:rFonts w:hint="eastAsia" w:eastAsia="仿宋" w:cs="Times New Roman"/>
          <w:b w:val="0"/>
          <w:bCs w:val="0"/>
          <w:color w:val="auto"/>
          <w:sz w:val="32"/>
          <w:szCs w:val="32"/>
          <w:lang w:val="en-US" w:eastAsia="zh-CN"/>
        </w:rPr>
        <w:t>2.28亿元，</w:t>
      </w:r>
      <w:r>
        <w:rPr>
          <w:rFonts w:hint="default" w:eastAsia="仿宋" w:cs="Times New Roman"/>
          <w:b w:val="0"/>
          <w:bCs w:val="0"/>
          <w:color w:val="auto"/>
          <w:sz w:val="32"/>
          <w:szCs w:val="32"/>
          <w:lang w:eastAsia="zh-CN"/>
        </w:rPr>
        <w:t>食品饮料</w:t>
      </w:r>
      <w:r>
        <w:rPr>
          <w:rFonts w:hint="eastAsia" w:eastAsia="仿宋" w:cs="Times New Roman"/>
          <w:b w:val="0"/>
          <w:bCs w:val="0"/>
          <w:color w:val="auto"/>
          <w:sz w:val="32"/>
          <w:szCs w:val="32"/>
          <w:lang w:val="en-US" w:eastAsia="zh-CN"/>
        </w:rPr>
        <w:t>87</w:t>
      </w:r>
      <w:r>
        <w:rPr>
          <w:rFonts w:hint="default" w:eastAsia="仿宋" w:cs="Times New Roman"/>
          <w:b w:val="0"/>
          <w:bCs w:val="0"/>
          <w:color w:val="auto"/>
          <w:sz w:val="32"/>
          <w:szCs w:val="32"/>
          <w:lang w:eastAsia="zh-CN"/>
        </w:rPr>
        <w:t>个、</w:t>
      </w:r>
      <w:r>
        <w:rPr>
          <w:rFonts w:hint="eastAsia" w:eastAsia="仿宋" w:cs="Times New Roman"/>
          <w:b w:val="0"/>
          <w:bCs w:val="0"/>
          <w:color w:val="auto"/>
          <w:sz w:val="32"/>
          <w:szCs w:val="32"/>
          <w:lang w:eastAsia="zh-CN"/>
        </w:rPr>
        <w:t>资金</w:t>
      </w:r>
      <w:r>
        <w:rPr>
          <w:rFonts w:hint="eastAsia" w:eastAsia="仿宋" w:cs="Times New Roman"/>
          <w:b w:val="0"/>
          <w:bCs w:val="0"/>
          <w:color w:val="auto"/>
          <w:sz w:val="32"/>
          <w:szCs w:val="32"/>
          <w:lang w:val="en-US" w:eastAsia="zh-CN"/>
        </w:rPr>
        <w:t>2.81亿元，</w:t>
      </w:r>
      <w:r>
        <w:rPr>
          <w:rFonts w:hint="default" w:eastAsia="仿宋" w:cs="Times New Roman"/>
          <w:b w:val="0"/>
          <w:bCs w:val="0"/>
          <w:color w:val="auto"/>
          <w:sz w:val="32"/>
          <w:szCs w:val="32"/>
          <w:lang w:eastAsia="zh-CN"/>
        </w:rPr>
        <w:t>先进材料</w:t>
      </w:r>
      <w:r>
        <w:rPr>
          <w:rFonts w:hint="eastAsia" w:eastAsia="仿宋" w:cs="Times New Roman"/>
          <w:b w:val="0"/>
          <w:bCs w:val="0"/>
          <w:color w:val="auto"/>
          <w:sz w:val="32"/>
          <w:szCs w:val="32"/>
          <w:lang w:val="en-US" w:eastAsia="zh-CN"/>
        </w:rPr>
        <w:t>82</w:t>
      </w:r>
      <w:r>
        <w:rPr>
          <w:rFonts w:hint="default" w:eastAsia="仿宋" w:cs="Times New Roman"/>
          <w:b w:val="0"/>
          <w:bCs w:val="0"/>
          <w:color w:val="auto"/>
          <w:sz w:val="32"/>
          <w:szCs w:val="32"/>
          <w:lang w:eastAsia="zh-CN"/>
        </w:rPr>
        <w:t>个、</w:t>
      </w:r>
      <w:r>
        <w:rPr>
          <w:rFonts w:hint="eastAsia" w:eastAsia="仿宋" w:cs="Times New Roman"/>
          <w:b w:val="0"/>
          <w:bCs w:val="0"/>
          <w:color w:val="auto"/>
          <w:sz w:val="32"/>
          <w:szCs w:val="32"/>
          <w:lang w:eastAsia="zh-CN"/>
        </w:rPr>
        <w:t>资金</w:t>
      </w:r>
      <w:r>
        <w:rPr>
          <w:rFonts w:hint="eastAsia" w:eastAsia="仿宋" w:cs="Times New Roman"/>
          <w:b w:val="0"/>
          <w:bCs w:val="0"/>
          <w:color w:val="auto"/>
          <w:sz w:val="32"/>
          <w:szCs w:val="32"/>
          <w:lang w:val="en-US" w:eastAsia="zh-CN"/>
        </w:rPr>
        <w:t>3.54亿元，</w:t>
      </w:r>
      <w:r>
        <w:rPr>
          <w:rFonts w:hint="default" w:eastAsia="仿宋" w:cs="Times New Roman"/>
          <w:b w:val="0"/>
          <w:bCs w:val="0"/>
          <w:color w:val="auto"/>
          <w:sz w:val="32"/>
          <w:szCs w:val="32"/>
          <w:lang w:eastAsia="zh-CN"/>
        </w:rPr>
        <w:t>能源化工</w:t>
      </w:r>
      <w:r>
        <w:rPr>
          <w:rFonts w:hint="eastAsia" w:eastAsia="仿宋" w:cs="Times New Roman"/>
          <w:b w:val="0"/>
          <w:bCs w:val="0"/>
          <w:color w:val="auto"/>
          <w:sz w:val="32"/>
          <w:szCs w:val="32"/>
          <w:lang w:val="en-US" w:eastAsia="zh-CN"/>
        </w:rPr>
        <w:t>49</w:t>
      </w:r>
      <w:r>
        <w:rPr>
          <w:rFonts w:hint="default" w:eastAsia="仿宋" w:cs="Times New Roman"/>
          <w:b w:val="0"/>
          <w:bCs w:val="0"/>
          <w:color w:val="auto"/>
          <w:sz w:val="32"/>
          <w:szCs w:val="32"/>
          <w:lang w:eastAsia="zh-CN"/>
        </w:rPr>
        <w:t>个</w:t>
      </w:r>
      <w:r>
        <w:rPr>
          <w:rFonts w:hint="eastAsia" w:eastAsia="仿宋" w:cs="Times New Roman"/>
          <w:b w:val="0"/>
          <w:bCs w:val="0"/>
          <w:color w:val="auto"/>
          <w:sz w:val="32"/>
          <w:szCs w:val="32"/>
          <w:lang w:eastAsia="zh-CN"/>
        </w:rPr>
        <w:t>、资金</w:t>
      </w:r>
      <w:r>
        <w:rPr>
          <w:rFonts w:hint="eastAsia" w:eastAsia="仿宋" w:cs="Times New Roman"/>
          <w:b w:val="0"/>
          <w:bCs w:val="0"/>
          <w:color w:val="auto"/>
          <w:sz w:val="32"/>
          <w:szCs w:val="32"/>
          <w:lang w:val="en-US" w:eastAsia="zh-CN"/>
        </w:rPr>
        <w:t>1.95亿元</w:t>
      </w:r>
      <w:r>
        <w:rPr>
          <w:rFonts w:hint="eastAsia" w:eastAsia="仿宋" w:cs="Times New Roman"/>
          <w:b w:val="0"/>
          <w:bCs w:val="0"/>
          <w:color w:val="auto"/>
          <w:sz w:val="32"/>
          <w:szCs w:val="32"/>
          <w:lang w:eastAsia="zh-CN"/>
        </w:rPr>
        <w:t>。</w:t>
      </w:r>
      <w:r>
        <w:rPr>
          <w:rFonts w:hint="default" w:eastAsia="仿宋" w:cs="Times New Roman"/>
          <w:b w:val="0"/>
          <w:bCs w:val="0"/>
          <w:color w:val="auto"/>
          <w:sz w:val="32"/>
          <w:szCs w:val="32"/>
          <w:lang w:eastAsia="zh-CN"/>
        </w:rPr>
        <w:t>数字经济产业项目</w:t>
      </w:r>
      <w:r>
        <w:rPr>
          <w:rFonts w:hint="eastAsia" w:eastAsia="仿宋" w:cs="Times New Roman"/>
          <w:b w:val="0"/>
          <w:bCs w:val="0"/>
          <w:color w:val="auto"/>
          <w:sz w:val="32"/>
          <w:szCs w:val="32"/>
          <w:lang w:val="en-US" w:eastAsia="zh-CN"/>
        </w:rPr>
        <w:t>185</w:t>
      </w:r>
      <w:r>
        <w:rPr>
          <w:rFonts w:hint="default" w:eastAsia="仿宋" w:cs="Times New Roman"/>
          <w:b w:val="0"/>
          <w:bCs w:val="0"/>
          <w:color w:val="auto"/>
          <w:sz w:val="32"/>
          <w:szCs w:val="32"/>
          <w:lang w:eastAsia="zh-CN"/>
        </w:rPr>
        <w:t>个</w:t>
      </w:r>
      <w:r>
        <w:rPr>
          <w:rFonts w:hint="eastAsia" w:eastAsia="仿宋" w:cs="Times New Roman"/>
          <w:b w:val="0"/>
          <w:bCs w:val="0"/>
          <w:color w:val="auto"/>
          <w:sz w:val="32"/>
          <w:szCs w:val="32"/>
          <w:lang w:eastAsia="zh-CN"/>
        </w:rPr>
        <w:t>，资金</w:t>
      </w:r>
      <w:r>
        <w:rPr>
          <w:rFonts w:hint="eastAsia" w:eastAsia="仿宋" w:cs="Times New Roman"/>
          <w:b w:val="0"/>
          <w:bCs w:val="0"/>
          <w:color w:val="auto"/>
          <w:sz w:val="32"/>
          <w:szCs w:val="32"/>
          <w:lang w:val="en-US" w:eastAsia="zh-CN"/>
        </w:rPr>
        <w:t>6.15亿元</w:t>
      </w:r>
      <w:r>
        <w:rPr>
          <w:rFonts w:hint="default" w:eastAsia="仿宋"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Times New Roman" w:hAnsi="Times New Roman" w:eastAsia="仿宋_GB2312" w:cs="Times New Roman"/>
          <w:bCs/>
          <w:color w:val="000000"/>
          <w:sz w:val="32"/>
          <w:szCs w:val="32"/>
          <w:lang w:eastAsia="zh-CN"/>
        </w:rPr>
      </w:pPr>
      <w:r>
        <w:rPr>
          <w:rFonts w:hint="eastAsia" w:eastAsia="仿宋" w:cs="Times New Roman"/>
          <w:b w:val="0"/>
          <w:bCs w:val="0"/>
          <w:color w:val="auto"/>
          <w:sz w:val="32"/>
          <w:szCs w:val="32"/>
          <w:lang w:eastAsia="zh-CN"/>
        </w:rPr>
        <w:t>在</w:t>
      </w:r>
      <w:r>
        <w:rPr>
          <w:rFonts w:hint="default" w:eastAsia="仿宋" w:cs="Times New Roman"/>
          <w:b w:val="0"/>
          <w:bCs w:val="0"/>
          <w:color w:val="auto"/>
          <w:sz w:val="32"/>
          <w:szCs w:val="32"/>
          <w:lang w:eastAsia="zh-CN"/>
        </w:rPr>
        <w:t>疫情</w:t>
      </w:r>
      <w:r>
        <w:rPr>
          <w:rFonts w:hint="eastAsia" w:eastAsia="仿宋" w:cs="Times New Roman"/>
          <w:b w:val="0"/>
          <w:bCs w:val="0"/>
          <w:color w:val="auto"/>
          <w:sz w:val="32"/>
          <w:szCs w:val="32"/>
          <w:lang w:eastAsia="zh-CN"/>
        </w:rPr>
        <w:t>期间安排疫情</w:t>
      </w:r>
      <w:r>
        <w:rPr>
          <w:rFonts w:hint="default" w:eastAsia="仿宋" w:cs="Times New Roman"/>
          <w:b w:val="0"/>
          <w:bCs w:val="0"/>
          <w:color w:val="auto"/>
          <w:sz w:val="32"/>
          <w:szCs w:val="32"/>
          <w:lang w:eastAsia="zh-CN"/>
        </w:rPr>
        <w:t>紧缺物资紧急采购和落实省政府疫情防控政策</w:t>
      </w:r>
      <w:r>
        <w:rPr>
          <w:rFonts w:hint="eastAsia" w:eastAsia="仿宋" w:cs="Times New Roman"/>
          <w:b w:val="0"/>
          <w:bCs w:val="0"/>
          <w:color w:val="auto"/>
          <w:sz w:val="32"/>
          <w:szCs w:val="32"/>
          <w:lang w:eastAsia="zh-CN"/>
        </w:rPr>
        <w:t>，助力</w:t>
      </w:r>
      <w:r>
        <w:rPr>
          <w:rFonts w:hint="default" w:eastAsia="仿宋" w:cs="Times New Roman"/>
          <w:b w:val="0"/>
          <w:bCs w:val="0"/>
          <w:color w:val="auto"/>
          <w:sz w:val="32"/>
          <w:szCs w:val="32"/>
          <w:lang w:val="en-US" w:eastAsia="zh-CN"/>
        </w:rPr>
        <w:t>工业企业</w:t>
      </w:r>
      <w:r>
        <w:rPr>
          <w:rFonts w:hint="eastAsia" w:eastAsia="仿宋" w:cs="Times New Roman"/>
          <w:b w:val="0"/>
          <w:bCs w:val="0"/>
          <w:color w:val="auto"/>
          <w:sz w:val="32"/>
          <w:szCs w:val="32"/>
          <w:lang w:val="en-US" w:eastAsia="zh-CN"/>
        </w:rPr>
        <w:t>全面复工复，</w:t>
      </w:r>
      <w:r>
        <w:rPr>
          <w:rFonts w:hint="default" w:ascii="Times New Roman" w:hAnsi="Times New Roman" w:eastAsia="仿宋_GB2312" w:cs="Times New Roman"/>
          <w:bCs/>
          <w:color w:val="000000"/>
          <w:sz w:val="32"/>
          <w:szCs w:val="32"/>
        </w:rPr>
        <w:t>安排资金</w:t>
      </w:r>
      <w:r>
        <w:rPr>
          <w:rFonts w:hint="eastAsia" w:ascii="Times New Roman" w:hAnsi="Times New Roman" w:eastAsia="仿宋_GB2312" w:cs="Times New Roman"/>
          <w:bCs/>
          <w:color w:val="000000"/>
          <w:sz w:val="32"/>
          <w:szCs w:val="32"/>
          <w:lang w:val="en-US" w:eastAsia="zh-CN"/>
        </w:rPr>
        <w:t>0.</w:t>
      </w:r>
      <w:r>
        <w:rPr>
          <w:rFonts w:hint="default" w:ascii="Times New Roman" w:hAnsi="Times New Roman" w:eastAsia="仿宋_GB2312" w:cs="Times New Roman"/>
          <w:bCs/>
          <w:color w:val="000000"/>
          <w:sz w:val="32"/>
          <w:szCs w:val="32"/>
        </w:rPr>
        <w:t>8</w:t>
      </w:r>
      <w:r>
        <w:rPr>
          <w:rFonts w:hint="eastAsia" w:ascii="Times New Roman" w:hAnsi="Times New Roman" w:eastAsia="仿宋_GB2312" w:cs="Times New Roman"/>
          <w:bCs/>
          <w:color w:val="000000"/>
          <w:sz w:val="32"/>
          <w:szCs w:val="32"/>
          <w:lang w:val="en-US" w:eastAsia="zh-CN"/>
        </w:rPr>
        <w:t>8亿</w:t>
      </w:r>
      <w:r>
        <w:rPr>
          <w:rFonts w:hint="default" w:ascii="Times New Roman" w:hAnsi="Times New Roman" w:eastAsia="仿宋_GB2312" w:cs="Times New Roman"/>
          <w:bCs/>
          <w:color w:val="000000"/>
          <w:sz w:val="32"/>
          <w:szCs w:val="32"/>
        </w:rPr>
        <w:t>元</w:t>
      </w:r>
      <w:r>
        <w:rPr>
          <w:rFonts w:hint="eastAsia" w:ascii="Times New Roman" w:hAnsi="Times New Roman" w:eastAsia="仿宋_GB2312"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spacing w:line="600" w:lineRule="exact"/>
        <w:ind w:left="0" w:leftChars="0" w:right="0" w:rightChars="0" w:firstLine="640" w:firstLineChars="200"/>
        <w:textAlignment w:val="auto"/>
        <w:outlineLvl w:val="9"/>
        <w:rPr>
          <w:rFonts w:hint="eastAsia" w:ascii="仿宋" w:hAnsi="仿宋" w:eastAsia="仿宋"/>
          <w:color w:val="auto"/>
          <w:sz w:val="32"/>
          <w:szCs w:val="32"/>
          <w:lang w:eastAsia="zh-CN"/>
        </w:rPr>
      </w:pPr>
      <w:r>
        <w:rPr>
          <w:rFonts w:hint="default" w:ascii="Times New Roman" w:hAnsi="Times New Roman" w:eastAsia="仿宋_GB2312" w:cs="Times New Roman"/>
          <w:color w:val="auto"/>
          <w:sz w:val="32"/>
          <w:szCs w:val="32"/>
          <w:lang w:val="en-US" w:eastAsia="zh-CN"/>
        </w:rPr>
        <w:t>加大</w:t>
      </w:r>
      <w:r>
        <w:rPr>
          <w:rFonts w:hint="eastAsia" w:ascii="Times New Roman" w:hAnsi="Times New Roman" w:eastAsia="仿宋_GB2312" w:cs="Times New Roman"/>
          <w:color w:val="auto"/>
          <w:sz w:val="32"/>
          <w:szCs w:val="32"/>
          <w:lang w:val="en-US" w:eastAsia="zh-CN"/>
        </w:rPr>
        <w:t>切块</w:t>
      </w:r>
      <w:r>
        <w:rPr>
          <w:rFonts w:hint="default" w:ascii="Times New Roman" w:hAnsi="Times New Roman" w:eastAsia="仿宋_GB2312" w:cs="Times New Roman"/>
          <w:color w:val="auto"/>
          <w:sz w:val="32"/>
          <w:szCs w:val="32"/>
          <w:lang w:val="en-US" w:eastAsia="zh-CN"/>
        </w:rPr>
        <w:t>力度，</w:t>
      </w:r>
      <w:r>
        <w:rPr>
          <w:rFonts w:hint="eastAsia" w:ascii="Times New Roman" w:hAnsi="Times New Roman" w:eastAsia="仿宋_GB2312" w:cs="Times New Roman"/>
          <w:color w:val="auto"/>
          <w:sz w:val="32"/>
          <w:szCs w:val="32"/>
          <w:lang w:val="en-US" w:eastAsia="zh-CN"/>
        </w:rPr>
        <w:t>根据工业基础、发展态势、资金绩效等情况，</w:t>
      </w:r>
      <w:r>
        <w:rPr>
          <w:rFonts w:hint="default" w:ascii="Times New Roman" w:hAnsi="Times New Roman" w:eastAsia="仿宋_GB2312" w:cs="Times New Roman"/>
          <w:color w:val="auto"/>
          <w:sz w:val="32"/>
          <w:szCs w:val="32"/>
          <w:lang w:val="en-US" w:eastAsia="zh-CN"/>
        </w:rPr>
        <w:t>重点对多晶硅、电解铝、大数据、锂电池、钒钛等产业聚集区</w:t>
      </w:r>
      <w:r>
        <w:rPr>
          <w:rFonts w:hint="eastAsia"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val="en-US" w:eastAsia="zh-CN"/>
        </w:rPr>
        <w:t>及工业发</w:t>
      </w:r>
      <w:r>
        <w:rPr>
          <w:rFonts w:hint="default" w:eastAsia="仿宋" w:cs="Times New Roman"/>
          <w:b w:val="0"/>
          <w:bCs w:val="0"/>
          <w:color w:val="auto"/>
          <w:sz w:val="32"/>
          <w:szCs w:val="32"/>
          <w:lang w:val="en-US" w:eastAsia="zh-CN"/>
        </w:rPr>
        <w:t>展态势较好的地区</w:t>
      </w:r>
      <w:r>
        <w:rPr>
          <w:rFonts w:hint="eastAsia" w:eastAsia="仿宋" w:cs="Times New Roman"/>
          <w:b w:val="0"/>
          <w:bCs w:val="0"/>
          <w:color w:val="auto"/>
          <w:sz w:val="32"/>
          <w:szCs w:val="32"/>
          <w:lang w:val="en-US" w:eastAsia="zh-CN"/>
        </w:rPr>
        <w:t>给予切块</w:t>
      </w:r>
      <w:r>
        <w:rPr>
          <w:rFonts w:hint="default" w:eastAsia="仿宋" w:cs="Times New Roman"/>
          <w:b w:val="0"/>
          <w:bCs w:val="0"/>
          <w:color w:val="auto"/>
          <w:sz w:val="32"/>
          <w:szCs w:val="32"/>
          <w:lang w:val="en-US" w:eastAsia="zh-CN"/>
        </w:rPr>
        <w:t>支持</w:t>
      </w:r>
      <w:r>
        <w:rPr>
          <w:rFonts w:hint="eastAsia" w:eastAsia="仿宋" w:cs="Times New Roman"/>
          <w:b w:val="0"/>
          <w:bCs w:val="0"/>
          <w:color w:val="auto"/>
          <w:sz w:val="32"/>
          <w:szCs w:val="32"/>
          <w:lang w:val="en-US" w:eastAsia="zh-CN"/>
        </w:rPr>
        <w:t>，用于各地发展工业项目，推动各地工业经济稳定增长</w:t>
      </w:r>
      <w:r>
        <w:rPr>
          <w:rFonts w:hint="default" w:eastAsia="仿宋" w:cs="Times New Roman"/>
          <w:b w:val="0"/>
          <w:bCs w:val="0"/>
          <w:color w:val="auto"/>
          <w:sz w:val="32"/>
          <w:szCs w:val="32"/>
          <w:lang w:val="en-US" w:eastAsia="zh-CN"/>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outlineLvl w:val="9"/>
        <w:rPr>
          <w:rFonts w:hint="eastAsia" w:ascii="黑体" w:hAnsi="宋体" w:eastAsia="黑体"/>
          <w:szCs w:val="32"/>
        </w:rPr>
      </w:pPr>
      <w:r>
        <w:rPr>
          <w:rFonts w:hint="eastAsia" w:ascii="仿宋_GB2312" w:hAnsi="仿宋_GB2312" w:eastAsia="仿宋_GB2312" w:cs="仿宋_GB2312"/>
          <w:bCs/>
          <w:color w:val="000000"/>
          <w:kern w:val="0"/>
          <w:sz w:val="32"/>
          <w:szCs w:val="32"/>
        </w:rPr>
        <w:t xml:space="preserve"> </w:t>
      </w:r>
      <w:r>
        <w:rPr>
          <w:rFonts w:hint="eastAsia" w:ascii="Times New Roman" w:hAnsi="Times New Roman" w:eastAsia="黑体" w:cs="Times New Roman"/>
          <w:sz w:val="32"/>
          <w:szCs w:val="32"/>
          <w:lang w:val="en-US" w:eastAsia="zh-CN"/>
        </w:rPr>
        <w:t>三、项目实施及管理情况</w:t>
      </w:r>
    </w:p>
    <w:p>
      <w:pPr>
        <w:keepNext w:val="0"/>
        <w:keepLines w:val="0"/>
        <w:pageBreakBefore w:val="0"/>
        <w:kinsoku/>
        <w:wordWrap/>
        <w:overflowPunct/>
        <w:topLinePunct w:val="0"/>
        <w:bidi w:val="0"/>
        <w:spacing w:line="600" w:lineRule="exact"/>
        <w:ind w:left="0" w:leftChars="0" w:right="0" w:rightChars="0" w:firstLine="630"/>
        <w:rPr>
          <w:rFonts w:hint="eastAsia" w:ascii="楷体" w:hAnsi="楷体" w:eastAsia="楷体" w:cs="楷体"/>
          <w:b w:val="0"/>
          <w:bCs/>
          <w:color w:val="000000"/>
          <w:sz w:val="32"/>
          <w:szCs w:val="32"/>
        </w:rPr>
      </w:pPr>
      <w:r>
        <w:rPr>
          <w:rFonts w:hint="eastAsia" w:ascii="楷体" w:hAnsi="楷体" w:eastAsia="楷体" w:cs="楷体"/>
          <w:b w:val="0"/>
          <w:bCs/>
          <w:sz w:val="32"/>
          <w:szCs w:val="32"/>
          <w:lang w:val="en-US" w:eastAsia="zh-CN"/>
        </w:rPr>
        <w:t>（一）</w:t>
      </w:r>
      <w:r>
        <w:rPr>
          <w:rFonts w:hint="eastAsia" w:ascii="楷体" w:hAnsi="楷体" w:eastAsia="楷体" w:cs="楷体"/>
          <w:b w:val="0"/>
          <w:bCs/>
          <w:sz w:val="32"/>
          <w:szCs w:val="32"/>
          <w:lang w:val="zh-CN"/>
        </w:rPr>
        <w:t>实施流程。</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outlineLvl w:val="9"/>
        <w:rPr>
          <w:rFonts w:hint="eastAsia" w:ascii="仿宋" w:hAnsi="仿宋" w:eastAsia="仿宋" w:cs="仿宋"/>
          <w:sz w:val="32"/>
          <w:szCs w:val="32"/>
          <w:lang w:val="zh-CN"/>
        </w:rPr>
      </w:pPr>
      <w:r>
        <w:rPr>
          <w:rFonts w:hint="eastAsia" w:ascii="仿宋" w:hAnsi="仿宋" w:eastAsia="仿宋" w:cs="仿宋"/>
          <w:b/>
          <w:sz w:val="32"/>
          <w:szCs w:val="32"/>
          <w:lang w:val="zh-CN"/>
        </w:rPr>
        <w:t>项目单位申报。</w:t>
      </w:r>
      <w:r>
        <w:rPr>
          <w:rFonts w:hint="eastAsia" w:ascii="仿宋" w:hAnsi="仿宋" w:eastAsia="仿宋" w:cs="仿宋"/>
          <w:b w:val="0"/>
          <w:bCs/>
          <w:sz w:val="32"/>
          <w:szCs w:val="32"/>
          <w:lang w:val="zh-CN"/>
        </w:rPr>
        <w:t>项目单位依</w:t>
      </w:r>
      <w:r>
        <w:rPr>
          <w:rFonts w:hint="eastAsia" w:ascii="仿宋" w:hAnsi="仿宋" w:eastAsia="仿宋" w:cs="仿宋"/>
          <w:sz w:val="32"/>
          <w:szCs w:val="32"/>
          <w:lang w:val="zh-CN"/>
        </w:rPr>
        <w:t>据相关专项资金管理办法和项目申报通知，</w:t>
      </w:r>
      <w:r>
        <w:rPr>
          <w:rFonts w:hint="default" w:ascii="Times New Roman" w:hAnsi="Times New Roman" w:eastAsia="仿宋_GB2312" w:cs="Times New Roman"/>
          <w:color w:val="000000"/>
          <w:kern w:val="0"/>
          <w:sz w:val="32"/>
          <w:szCs w:val="32"/>
        </w:rPr>
        <w:t>按照“先入库，后申报”原则</w:t>
      </w:r>
      <w:r>
        <w:rPr>
          <w:rFonts w:hint="eastAsia" w:ascii="Times New Roman" w:hAnsi="Times New Roman" w:eastAsia="仿宋_GB2312" w:cs="Times New Roman"/>
          <w:color w:val="000000"/>
          <w:kern w:val="0"/>
          <w:sz w:val="32"/>
          <w:szCs w:val="32"/>
          <w:lang w:eastAsia="zh-CN"/>
        </w:rPr>
        <w:t>，</w:t>
      </w:r>
      <w:r>
        <w:rPr>
          <w:rFonts w:hint="eastAsia" w:ascii="仿宋" w:hAnsi="仿宋" w:eastAsia="仿宋" w:cs="仿宋"/>
          <w:sz w:val="32"/>
          <w:szCs w:val="32"/>
          <w:lang w:val="zh-CN"/>
        </w:rPr>
        <w:t>在网上申报平台</w:t>
      </w:r>
      <w:r>
        <w:rPr>
          <w:rFonts w:hint="default" w:ascii="Times New Roman" w:hAnsi="Times New Roman" w:eastAsia="仿宋_GB2312" w:cs="Times New Roman"/>
          <w:color w:val="000000"/>
          <w:kern w:val="0"/>
          <w:sz w:val="32"/>
          <w:szCs w:val="32"/>
        </w:rPr>
        <w:t>进行项目申报</w:t>
      </w:r>
      <w:r>
        <w:rPr>
          <w:rFonts w:hint="eastAsia" w:ascii="Times New Roman" w:hAnsi="Times New Roman" w:eastAsia="仿宋_GB2312" w:cs="Times New Roman"/>
          <w:color w:val="000000"/>
          <w:kern w:val="0"/>
          <w:sz w:val="32"/>
          <w:szCs w:val="32"/>
          <w:lang w:eastAsia="zh-CN"/>
        </w:rPr>
        <w:t>，</w:t>
      </w:r>
      <w:r>
        <w:rPr>
          <w:rFonts w:hint="eastAsia" w:ascii="仿宋" w:hAnsi="仿宋" w:eastAsia="仿宋" w:cs="仿宋"/>
          <w:sz w:val="32"/>
          <w:szCs w:val="32"/>
          <w:lang w:val="zh-CN"/>
        </w:rPr>
        <w:t>同时向所在市（州）、扩权县（市）经济和信息化主管部门报送书面申报材料。</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outlineLvl w:val="9"/>
        <w:rPr>
          <w:rFonts w:hint="eastAsia" w:ascii="仿宋" w:hAnsi="仿宋" w:eastAsia="仿宋" w:cs="仿宋"/>
          <w:sz w:val="32"/>
          <w:szCs w:val="32"/>
          <w:lang w:val="zh-CN"/>
        </w:rPr>
      </w:pPr>
      <w:r>
        <w:rPr>
          <w:rFonts w:hint="eastAsia" w:ascii="仿宋" w:hAnsi="仿宋" w:eastAsia="仿宋" w:cs="仿宋"/>
          <w:b/>
          <w:sz w:val="32"/>
          <w:szCs w:val="32"/>
          <w:lang w:val="zh-CN"/>
        </w:rPr>
        <w:t>地方初审上报。</w:t>
      </w:r>
      <w:r>
        <w:rPr>
          <w:rFonts w:hint="eastAsia" w:ascii="仿宋" w:hAnsi="仿宋" w:eastAsia="仿宋" w:cs="仿宋"/>
          <w:sz w:val="32"/>
          <w:szCs w:val="32"/>
          <w:lang w:val="zh-CN"/>
        </w:rPr>
        <w:t>市（州）、扩权县（市）经济和信息化主管部门依据《资金管理办法》和项目征集通知，对申报项目资格条件及相关资料进行初审，负责项目及申报资料的现场审核，确保项目真实性和申报材料真实完整性，并将申报文和项目申报材料报送经济和信息化厅。</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outlineLvl w:val="9"/>
        <w:rPr>
          <w:rFonts w:hint="eastAsia" w:ascii="仿宋" w:hAnsi="仿宋" w:eastAsia="仿宋" w:cs="仿宋"/>
          <w:sz w:val="32"/>
          <w:szCs w:val="32"/>
          <w:lang w:val="zh-CN"/>
        </w:rPr>
      </w:pPr>
      <w:r>
        <w:rPr>
          <w:rFonts w:hint="eastAsia" w:ascii="仿宋" w:hAnsi="仿宋" w:eastAsia="仿宋" w:cs="仿宋"/>
          <w:b/>
          <w:sz w:val="32"/>
          <w:szCs w:val="32"/>
          <w:lang w:val="zh-CN"/>
        </w:rPr>
        <w:t>项目处（室）审查。</w:t>
      </w:r>
      <w:r>
        <w:rPr>
          <w:rFonts w:hint="eastAsia" w:ascii="仿宋" w:hAnsi="仿宋" w:eastAsia="仿宋" w:cs="仿宋"/>
          <w:sz w:val="32"/>
          <w:szCs w:val="32"/>
          <w:lang w:val="zh-CN"/>
        </w:rPr>
        <w:t>相关项目处（室）对市（州）、扩权县（市）经济和信息化主管部门初审上报的项目，按照国家产业政策、行业准入等方面进行初审，淘汰不符合相关要求的项目。</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outlineLvl w:val="9"/>
        <w:rPr>
          <w:rFonts w:hint="eastAsia" w:ascii="仿宋" w:hAnsi="仿宋" w:eastAsia="仿宋" w:cs="仿宋"/>
          <w:sz w:val="32"/>
          <w:szCs w:val="32"/>
          <w:lang w:val="zh-CN"/>
        </w:rPr>
      </w:pPr>
      <w:r>
        <w:rPr>
          <w:rFonts w:hint="eastAsia" w:ascii="仿宋" w:hAnsi="仿宋" w:eastAsia="仿宋" w:cs="仿宋"/>
          <w:b/>
          <w:sz w:val="32"/>
          <w:szCs w:val="32"/>
          <w:lang w:val="zh-CN"/>
        </w:rPr>
        <w:t>专家评审。</w:t>
      </w:r>
      <w:r>
        <w:rPr>
          <w:rFonts w:hint="eastAsia" w:ascii="仿宋" w:hAnsi="仿宋" w:eastAsia="仿宋" w:cs="仿宋"/>
          <w:sz w:val="32"/>
          <w:szCs w:val="32"/>
          <w:lang w:val="zh-CN"/>
        </w:rPr>
        <w:t>经济和信息化厅组织专家，由专家会同相关行业处（室）按照国家产业政策及资金管理办法、项目申报要求，从技术、财务、投资概算等方面对市（州）、扩权县（市）经济和信息化主管部门初审上报、行业处（室）审查后的项目进行评价和审查。</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default" w:ascii="Times New Roman" w:hAnsi="Times New Roman" w:eastAsia="仿宋_GB2312" w:cs="Times New Roman"/>
          <w:color w:val="000000"/>
          <w:kern w:val="0"/>
          <w:sz w:val="32"/>
          <w:szCs w:val="32"/>
        </w:rPr>
      </w:pPr>
      <w:r>
        <w:rPr>
          <w:rFonts w:hint="eastAsia" w:ascii="仿宋" w:hAnsi="仿宋" w:eastAsia="仿宋" w:cs="仿宋"/>
          <w:b/>
          <w:sz w:val="32"/>
          <w:szCs w:val="32"/>
          <w:lang w:val="zh-CN"/>
        </w:rPr>
        <w:t>现场核实。</w:t>
      </w:r>
      <w:r>
        <w:rPr>
          <w:rFonts w:hint="default" w:ascii="Times New Roman" w:hAnsi="Times New Roman" w:eastAsia="仿宋_GB2312" w:cs="Times New Roman"/>
          <w:color w:val="000000"/>
          <w:kern w:val="0"/>
          <w:sz w:val="32"/>
          <w:szCs w:val="32"/>
        </w:rPr>
        <w:t>市（州）经济和信息化主管部门对专家评审答辩通过项目进行全覆盖</w:t>
      </w:r>
      <w:r>
        <w:rPr>
          <w:rFonts w:hint="default" w:ascii="Times New Roman" w:hAnsi="Times New Roman" w:eastAsia="仿宋_GB2312" w:cs="Times New Roman"/>
          <w:color w:val="000000"/>
          <w:kern w:val="0"/>
          <w:sz w:val="32"/>
          <w:szCs w:val="32"/>
          <w:lang w:eastAsia="zh-CN"/>
        </w:rPr>
        <w:t>现场核实</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eastAsia="zh-CN"/>
        </w:rPr>
        <w:t>经</w:t>
      </w:r>
      <w:r>
        <w:rPr>
          <w:rFonts w:hint="default" w:ascii="Times New Roman" w:hAnsi="Times New Roman" w:eastAsia="仿宋_GB2312" w:cs="Times New Roman"/>
          <w:color w:val="000000"/>
          <w:kern w:val="0"/>
          <w:sz w:val="32"/>
          <w:szCs w:val="32"/>
        </w:rPr>
        <w:t>济和信息化</w:t>
      </w:r>
      <w:r>
        <w:rPr>
          <w:rFonts w:hint="eastAsia" w:ascii="Times New Roman" w:hAnsi="Times New Roman" w:eastAsia="仿宋_GB2312" w:cs="Times New Roman"/>
          <w:color w:val="000000"/>
          <w:kern w:val="0"/>
          <w:sz w:val="32"/>
          <w:szCs w:val="32"/>
          <w:lang w:eastAsia="zh-CN"/>
        </w:rPr>
        <w:t>厅</w:t>
      </w:r>
      <w:r>
        <w:rPr>
          <w:rFonts w:hint="default" w:ascii="Times New Roman" w:hAnsi="Times New Roman" w:eastAsia="仿宋_GB2312" w:cs="Times New Roman"/>
          <w:color w:val="000000"/>
          <w:kern w:val="0"/>
          <w:sz w:val="32"/>
          <w:szCs w:val="32"/>
        </w:rPr>
        <w:t>随机抽取部分项目，组织专家开展现场核</w:t>
      </w:r>
      <w:r>
        <w:rPr>
          <w:rFonts w:hint="default" w:ascii="Times New Roman" w:hAnsi="Times New Roman" w:eastAsia="仿宋_GB2312" w:cs="Times New Roman"/>
          <w:color w:val="000000"/>
          <w:kern w:val="0"/>
          <w:sz w:val="32"/>
          <w:szCs w:val="32"/>
          <w:lang w:eastAsia="zh-CN"/>
        </w:rPr>
        <w:t>实</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textAlignment w:val="auto"/>
        <w:rPr>
          <w:rFonts w:hint="default"/>
        </w:rPr>
      </w:pPr>
      <w:r>
        <w:rPr>
          <w:rFonts w:hint="default" w:ascii="仿宋" w:hAnsi="仿宋" w:eastAsia="仿宋" w:cs="仿宋"/>
          <w:b/>
          <w:sz w:val="32"/>
          <w:szCs w:val="32"/>
          <w:lang w:val="en-US" w:eastAsia="zh-CN"/>
        </w:rPr>
        <w:t>项目公示。</w:t>
      </w:r>
      <w:r>
        <w:rPr>
          <w:rFonts w:hint="default" w:ascii="Times New Roman" w:hAnsi="Times New Roman" w:eastAsia="仿宋_GB2312" w:cs="Times New Roman"/>
          <w:color w:val="000000"/>
          <w:kern w:val="0"/>
          <w:sz w:val="32"/>
          <w:szCs w:val="32"/>
        </w:rPr>
        <w:t>向社会公示</w:t>
      </w:r>
      <w:r>
        <w:rPr>
          <w:rFonts w:hint="eastAsia" w:ascii="Times New Roman" w:hAnsi="Times New Roman" w:eastAsia="仿宋_GB2312" w:cs="Times New Roman"/>
          <w:color w:val="000000"/>
          <w:kern w:val="0"/>
          <w:sz w:val="32"/>
          <w:szCs w:val="32"/>
          <w:lang w:eastAsia="zh-CN"/>
        </w:rPr>
        <w:t>拟支持项目相关信息</w:t>
      </w:r>
      <w:r>
        <w:rPr>
          <w:rFonts w:hint="default" w:ascii="Times New Roman" w:hAnsi="Times New Roman" w:eastAsia="仿宋_GB2312" w:cs="Times New Roman"/>
          <w:color w:val="000000"/>
          <w:kern w:val="0"/>
          <w:sz w:val="32"/>
          <w:szCs w:val="32"/>
        </w:rPr>
        <w:t>。</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outlineLvl w:val="9"/>
        <w:rPr>
          <w:rFonts w:hint="eastAsia" w:ascii="仿宋" w:hAnsi="仿宋" w:eastAsia="仿宋" w:cs="仿宋"/>
          <w:sz w:val="32"/>
          <w:szCs w:val="32"/>
          <w:lang w:val="zh-CN"/>
        </w:rPr>
      </w:pPr>
      <w:r>
        <w:rPr>
          <w:rFonts w:hint="eastAsia" w:ascii="仿宋" w:hAnsi="仿宋" w:eastAsia="仿宋" w:cs="仿宋"/>
          <w:b/>
          <w:sz w:val="32"/>
          <w:szCs w:val="32"/>
          <w:lang w:val="zh-CN"/>
        </w:rPr>
        <w:t>拟定分配预案。</w:t>
      </w:r>
      <w:r>
        <w:rPr>
          <w:rFonts w:hint="eastAsia" w:ascii="仿宋" w:hAnsi="仿宋" w:eastAsia="仿宋" w:cs="仿宋"/>
          <w:sz w:val="32"/>
          <w:szCs w:val="32"/>
          <w:lang w:val="zh-CN"/>
        </w:rPr>
        <w:t>将通过专家评审的项目进行重复性筛查，剔除已获得省工业发展资金支持的项目，并商财政厅初步提出年度资金分配预案。初步年度资金分配预案提交经</w:t>
      </w:r>
      <w:r>
        <w:rPr>
          <w:rFonts w:hint="default" w:ascii="Times New Roman" w:hAnsi="Times New Roman" w:eastAsia="仿宋_GB2312" w:cs="Times New Roman"/>
          <w:color w:val="000000"/>
          <w:kern w:val="0"/>
          <w:sz w:val="32"/>
          <w:szCs w:val="32"/>
        </w:rPr>
        <w:t>济和信息化</w:t>
      </w:r>
      <w:r>
        <w:rPr>
          <w:rFonts w:hint="eastAsia" w:ascii="仿宋" w:hAnsi="仿宋" w:eastAsia="仿宋" w:cs="仿宋"/>
          <w:sz w:val="32"/>
          <w:szCs w:val="32"/>
          <w:lang w:val="zh-CN"/>
        </w:rPr>
        <w:t>厅党组审议，并按照审议意见进行调整和完善。</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outlineLvl w:val="9"/>
        <w:rPr>
          <w:rFonts w:hint="eastAsia" w:ascii="仿宋" w:hAnsi="仿宋" w:eastAsia="仿宋" w:cs="仿宋"/>
          <w:sz w:val="32"/>
          <w:szCs w:val="32"/>
          <w:lang w:val="zh-CN"/>
        </w:rPr>
      </w:pPr>
      <w:r>
        <w:rPr>
          <w:rFonts w:hint="eastAsia" w:ascii="仿宋" w:hAnsi="仿宋" w:eastAsia="仿宋" w:cs="仿宋"/>
          <w:b/>
          <w:sz w:val="32"/>
          <w:szCs w:val="32"/>
          <w:lang w:val="zh-CN"/>
        </w:rPr>
        <w:t>省政府审批。</w:t>
      </w:r>
      <w:r>
        <w:rPr>
          <w:rFonts w:hint="eastAsia" w:ascii="仿宋" w:hAnsi="仿宋" w:eastAsia="仿宋" w:cs="仿宋"/>
          <w:sz w:val="32"/>
          <w:szCs w:val="32"/>
          <w:lang w:val="zh-CN"/>
        </w:rPr>
        <w:t>厅党组审议通过后的年度资金分配预案，会同财政厅按程序报送省政府审批。</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outlineLvl w:val="9"/>
        <w:rPr>
          <w:rFonts w:hint="eastAsia" w:ascii="仿宋" w:hAnsi="仿宋" w:eastAsia="仿宋" w:cs="仿宋"/>
          <w:sz w:val="32"/>
          <w:szCs w:val="32"/>
          <w:lang w:val="zh-CN"/>
        </w:rPr>
      </w:pPr>
      <w:r>
        <w:rPr>
          <w:rFonts w:hint="eastAsia" w:ascii="仿宋" w:hAnsi="仿宋" w:eastAsia="仿宋" w:cs="仿宋"/>
          <w:b/>
          <w:sz w:val="32"/>
          <w:szCs w:val="32"/>
          <w:lang w:val="zh-CN"/>
        </w:rPr>
        <w:t>资金拨付。</w:t>
      </w:r>
      <w:r>
        <w:rPr>
          <w:rFonts w:hint="eastAsia" w:ascii="仿宋" w:hAnsi="仿宋" w:eastAsia="仿宋" w:cs="仿宋"/>
          <w:sz w:val="32"/>
          <w:szCs w:val="32"/>
          <w:lang w:val="zh-CN"/>
        </w:rPr>
        <w:t>年度资金分配预案经省政府分管省领导签批后，财政厅按有关程序拨付资金到各市（州）、扩权县（市）。</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outlineLvl w:val="9"/>
        <w:rPr>
          <w:rFonts w:hint="eastAsia" w:ascii="仿宋" w:hAnsi="仿宋" w:eastAsia="仿宋" w:cs="仿宋"/>
          <w:b/>
          <w:bCs/>
          <w:sz w:val="32"/>
          <w:szCs w:val="32"/>
          <w:lang w:val="zh-CN"/>
        </w:rPr>
      </w:pPr>
      <w:r>
        <w:rPr>
          <w:rFonts w:hint="eastAsia" w:ascii="仿宋" w:hAnsi="仿宋" w:eastAsia="仿宋" w:cs="仿宋"/>
          <w:b/>
          <w:bCs/>
          <w:sz w:val="32"/>
          <w:szCs w:val="32"/>
          <w:lang w:val="zh-CN"/>
        </w:rPr>
        <w:t>按照财政定向转移资金管理办法，定向转移支付资金支持项目，由各市（州）负责项目后续管理。</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outlineLvl w:val="9"/>
        <w:rPr>
          <w:rFonts w:hint="eastAsia" w:ascii="楷体" w:hAnsi="楷体" w:eastAsia="楷体" w:cs="楷体"/>
          <w:b w:val="0"/>
          <w:bCs/>
          <w:sz w:val="32"/>
          <w:szCs w:val="32"/>
          <w:lang w:val="zh-CN" w:eastAsia="zh-CN"/>
        </w:rPr>
      </w:pPr>
      <w:r>
        <w:rPr>
          <w:rFonts w:hint="eastAsia" w:ascii="楷体" w:hAnsi="楷体" w:eastAsia="楷体" w:cs="楷体"/>
          <w:b w:val="0"/>
          <w:bCs/>
          <w:sz w:val="32"/>
          <w:szCs w:val="32"/>
          <w:lang w:val="en-US" w:eastAsia="zh-CN"/>
        </w:rPr>
        <w:t xml:space="preserve">    （二）</w:t>
      </w:r>
      <w:r>
        <w:rPr>
          <w:rFonts w:hint="eastAsia" w:ascii="楷体" w:hAnsi="楷体" w:eastAsia="楷体" w:cs="楷体"/>
          <w:b w:val="0"/>
          <w:bCs/>
          <w:sz w:val="32"/>
          <w:szCs w:val="32"/>
          <w:lang w:val="zh-CN" w:eastAsia="zh-CN"/>
        </w:rPr>
        <w:t>项目监管情况。</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right="0" w:rightChars="0"/>
        <w:outlineLvl w:val="9"/>
        <w:rPr>
          <w:rFonts w:hint="eastAsia" w:ascii="仿宋" w:hAnsi="仿宋" w:eastAsia="仿宋" w:cs="仿宋"/>
          <w:sz w:val="32"/>
          <w:szCs w:val="32"/>
          <w:lang w:val="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val="zh-CN"/>
        </w:rPr>
        <w:t>经济和信息化厅对项目建设情况、进展情况及完成情况实施监管，同时在工作调研期间对项目建设进展进行抽查核实，定期汇总全部项目进展情况。项目实施企业按要求将项目实施情况、工程进度、基础数据等定期报各地项目主管部门，各地经信部门定期、不定期到现场进行检查和指导，督促其实现预期目标。如发现问题，提出整改意见，限期整改并重新检查落实情况。通过</w:t>
      </w:r>
      <w:r>
        <w:rPr>
          <w:rFonts w:hint="eastAsia" w:ascii="仿宋" w:hAnsi="仿宋" w:eastAsia="仿宋" w:cs="仿宋"/>
          <w:sz w:val="32"/>
          <w:szCs w:val="32"/>
          <w:lang w:val="zh-CN" w:eastAsia="zh-CN"/>
        </w:rPr>
        <w:t>日常</w:t>
      </w:r>
      <w:r>
        <w:rPr>
          <w:rFonts w:hint="eastAsia" w:ascii="仿宋" w:hAnsi="仿宋" w:eastAsia="仿宋" w:cs="仿宋"/>
          <w:sz w:val="32"/>
          <w:szCs w:val="32"/>
          <w:lang w:val="zh-CN"/>
        </w:rPr>
        <w:t>监管使项目实施和资金使用基本达到预期效果。</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3" w:firstLineChars="200"/>
        <w:outlineLvl w:val="9"/>
        <w:rPr>
          <w:rFonts w:hint="eastAsia" w:ascii="仿宋" w:hAnsi="仿宋" w:eastAsia="仿宋" w:cs="仿宋"/>
          <w:b/>
          <w:sz w:val="32"/>
          <w:szCs w:val="32"/>
          <w:lang w:val="zh-CN"/>
        </w:rPr>
      </w:pPr>
      <w:r>
        <w:rPr>
          <w:rFonts w:hint="eastAsia" w:ascii="仿宋" w:hAnsi="仿宋" w:eastAsia="仿宋" w:cs="仿宋"/>
          <w:b/>
          <w:sz w:val="32"/>
          <w:szCs w:val="32"/>
          <w:lang w:val="zh-CN"/>
        </w:rPr>
        <w:t>按照财政定向转移资金管理办法，定向转移支付资金支持项目，由各市（州）自行负责项目后续监管。</w:t>
      </w:r>
    </w:p>
    <w:p>
      <w:pPr>
        <w:keepNext w:val="0"/>
        <w:keepLines w:val="0"/>
        <w:pageBreakBefore w:val="0"/>
        <w:kinsoku/>
        <w:wordWrap/>
        <w:overflowPunct/>
        <w:topLinePunct w:val="0"/>
        <w:autoSpaceDE/>
        <w:autoSpaceDN/>
        <w:bidi w:val="0"/>
        <w:adjustRightInd w:val="0"/>
        <w:snapToGrid w:val="0"/>
        <w:spacing w:line="600" w:lineRule="exact"/>
        <w:ind w:left="0" w:leftChars="0" w:right="0" w:rightChars="0" w:firstLine="640" w:firstLineChars="200"/>
        <w:outlineLvl w:val="9"/>
        <w:rPr>
          <w:rFonts w:hint="eastAsia" w:ascii="Times New Roman" w:hAnsi="Times New Roman" w:eastAsia="黑体" w:cs="Times New Roman"/>
          <w:sz w:val="32"/>
          <w:szCs w:val="32"/>
          <w:lang w:val="zh-CN" w:eastAsia="zh-CN"/>
        </w:rPr>
      </w:pPr>
      <w:r>
        <w:rPr>
          <w:rFonts w:hint="eastAsia" w:eastAsia="黑体" w:cs="Times New Roman"/>
          <w:sz w:val="32"/>
          <w:szCs w:val="32"/>
          <w:lang w:val="zh-CN" w:eastAsia="zh-CN"/>
        </w:rPr>
        <w:t>四、</w:t>
      </w:r>
      <w:r>
        <w:rPr>
          <w:rFonts w:hint="eastAsia" w:ascii="Times New Roman" w:hAnsi="Times New Roman" w:eastAsia="黑体" w:cs="Times New Roman"/>
          <w:sz w:val="32"/>
          <w:szCs w:val="32"/>
          <w:lang w:val="zh-CN" w:eastAsia="zh-CN"/>
        </w:rPr>
        <w:t>绩效目标完成情况</w:t>
      </w:r>
    </w:p>
    <w:p>
      <w:pPr>
        <w:keepNext w:val="0"/>
        <w:keepLines w:val="0"/>
        <w:pageBreakBefore w:val="0"/>
        <w:kinsoku/>
        <w:wordWrap/>
        <w:overflowPunct/>
        <w:topLinePunct w:val="0"/>
        <w:bidi w:val="0"/>
        <w:spacing w:line="600" w:lineRule="exact"/>
        <w:ind w:left="0" w:leftChars="0" w:right="0" w:rightChars="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2020</w:t>
      </w:r>
      <w:r>
        <w:rPr>
          <w:rFonts w:hint="default" w:ascii="Times New Roman" w:hAnsi="Times New Roman" w:eastAsia="仿宋" w:cs="Times New Roman"/>
          <w:sz w:val="32"/>
          <w:szCs w:val="32"/>
          <w:lang w:val="zh-CN"/>
        </w:rPr>
        <w:t>年，产业化项目和技术改造项目聚焦重点产业、重点项目，支持平均投资规模超2.5亿元的产业项目218个，其中</w:t>
      </w:r>
      <w:r>
        <w:rPr>
          <w:rFonts w:hint="eastAsia" w:eastAsia="仿宋" w:cs="Times New Roman"/>
          <w:sz w:val="32"/>
          <w:szCs w:val="32"/>
          <w:lang w:val="zh-CN"/>
        </w:rPr>
        <w:t>：</w:t>
      </w:r>
      <w:r>
        <w:rPr>
          <w:rFonts w:hint="default" w:ascii="Times New Roman" w:hAnsi="Times New Roman" w:eastAsia="仿宋" w:cs="Times New Roman"/>
          <w:sz w:val="32"/>
          <w:szCs w:val="32"/>
          <w:lang w:val="zh-CN"/>
        </w:rPr>
        <w:t>“5+1”现代工业项目185个，“16+1”重点领域项目</w:t>
      </w:r>
      <w:r>
        <w:rPr>
          <w:rFonts w:hint="default" w:ascii="Times New Roman" w:hAnsi="Times New Roman" w:eastAsia="仿宋" w:cs="Times New Roman"/>
          <w:sz w:val="32"/>
          <w:szCs w:val="32"/>
          <w:lang w:val="en-US" w:eastAsia="zh-CN"/>
        </w:rPr>
        <w:t>180个</w:t>
      </w:r>
      <w:r>
        <w:rPr>
          <w:rFonts w:hint="eastAsia" w:eastAsia="仿宋" w:cs="Times New Roman"/>
          <w:sz w:val="32"/>
          <w:szCs w:val="32"/>
          <w:lang w:val="en-US" w:eastAsia="zh-CN"/>
        </w:rPr>
        <w:t>。</w:t>
      </w:r>
      <w:r>
        <w:rPr>
          <w:rFonts w:hint="default" w:ascii="Times New Roman" w:hAnsi="Times New Roman" w:eastAsia="仿宋" w:cs="Times New Roman"/>
          <w:sz w:val="32"/>
          <w:szCs w:val="32"/>
          <w:lang w:val="en-US" w:eastAsia="zh-CN"/>
        </w:rPr>
        <w:t>这批项目的实施，将进一步引导社会资本、企业资本向先进产业集聚，加快传统优势产业转型升级步伐，提升我省产业链发展韧性，补齐产业发展短板，推动“5+1”现代工业体系加快构建。</w:t>
      </w:r>
    </w:p>
    <w:p>
      <w:pPr>
        <w:keepNext w:val="0"/>
        <w:keepLines w:val="0"/>
        <w:pageBreakBefore w:val="0"/>
        <w:kinsoku/>
        <w:wordWrap/>
        <w:overflowPunct/>
        <w:topLinePunct w:val="0"/>
        <w:bidi w:val="0"/>
        <w:spacing w:line="600" w:lineRule="exact"/>
        <w:ind w:left="0" w:leftChars="0" w:right="0" w:rightChars="0" w:firstLine="640" w:firstLineChars="200"/>
        <w:jc w:val="both"/>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产业技术研发和创新平台建设项目主要支持企业关键核心技术（产品）研发、企业创新能力提升、高端装备创新研制、工业设计体系培育等产业技术研发、成果转化、应用示范及平台建设等124个项目，该批项目预期开发新产品362项、研发新技术217项；申请专利564件，其中发明专利256件；制定技术标准69个，获取认证、许可159个；新增新产品产值47.44亿元。</w:t>
      </w:r>
      <w:r>
        <w:rPr>
          <w:rFonts w:hint="default" w:ascii="Times New Roman" w:hAnsi="Times New Roman" w:eastAsia="仿宋" w:cs="Times New Roman"/>
          <w:sz w:val="32"/>
          <w:szCs w:val="32"/>
          <w:lang w:val="en-US" w:eastAsia="zh-CN"/>
        </w:rPr>
        <w:br w:type="textWrapping"/>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产业园区</w:t>
      </w:r>
      <w:r>
        <w:rPr>
          <w:rFonts w:hint="eastAsia" w:ascii="Times New Roman" w:hAnsi="Times New Roman" w:eastAsia="仿宋" w:cs="Times New Roman"/>
          <w:sz w:val="32"/>
          <w:szCs w:val="32"/>
          <w:lang w:val="en-US" w:eastAsia="zh-CN"/>
        </w:rPr>
        <w:t>项目</w:t>
      </w:r>
      <w:r>
        <w:rPr>
          <w:rFonts w:hint="default" w:ascii="Times New Roman" w:hAnsi="Times New Roman" w:eastAsia="仿宋" w:cs="Times New Roman"/>
          <w:sz w:val="32"/>
          <w:szCs w:val="32"/>
          <w:lang w:val="en-US" w:eastAsia="zh-CN"/>
        </w:rPr>
        <w:t>重点支持特色产业园区、标准厂房（孵化器）及公共服务载体等建设，定向财力转移支付支持特色产业集群、飞地园区、贫困地区园区建设发展。另外安排省级补偿金发挥“园保贷”融资服务功能，截止2020年底，合作银行已达11家，累计服务园区100个、企业585户，放款1329笔、55亿元，贷款余额超过20亿元。</w:t>
      </w:r>
    </w:p>
    <w:p>
      <w:pPr>
        <w:keepNext w:val="0"/>
        <w:keepLines w:val="0"/>
        <w:pageBreakBefore w:val="0"/>
        <w:numPr>
          <w:ilvl w:val="0"/>
          <w:numId w:val="5"/>
        </w:numPr>
        <w:kinsoku/>
        <w:wordWrap/>
        <w:overflowPunct/>
        <w:topLinePunct w:val="0"/>
        <w:autoSpaceDE/>
        <w:autoSpaceDN/>
        <w:bidi w:val="0"/>
        <w:adjustRightInd w:val="0"/>
        <w:snapToGrid w:val="0"/>
        <w:spacing w:line="600" w:lineRule="exact"/>
        <w:ind w:left="0" w:leftChars="0" w:right="0" w:rightChars="0" w:firstLine="640" w:firstLineChars="200"/>
        <w:outlineLvl w:val="9"/>
        <w:rPr>
          <w:rFonts w:hint="eastAsia" w:eastAsia="黑体" w:cs="Times New Roman"/>
          <w:sz w:val="32"/>
          <w:szCs w:val="32"/>
          <w:lang w:val="zh-CN" w:eastAsia="zh-CN"/>
        </w:rPr>
      </w:pPr>
      <w:r>
        <w:rPr>
          <w:rFonts w:hint="eastAsia" w:eastAsia="黑体" w:cs="Times New Roman"/>
          <w:sz w:val="32"/>
          <w:szCs w:val="32"/>
          <w:lang w:val="zh-CN" w:eastAsia="zh-CN"/>
        </w:rPr>
        <w:t>违规记录</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无。</w:t>
      </w: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pStyle w:val="2"/>
        <w:rPr>
          <w:rStyle w:val="35"/>
          <w:rFonts w:hint="default" w:ascii="仿宋_GB2312" w:hAnsi="仿宋_GB2312" w:eastAsia="仿宋_GB2312"/>
          <w:sz w:val="32"/>
          <w:lang w:eastAsia="zh-CN"/>
        </w:rPr>
      </w:pPr>
    </w:p>
    <w:p>
      <w:pPr>
        <w:keepNext w:val="0"/>
        <w:keepLines w:val="0"/>
        <w:pageBreakBefore w:val="0"/>
        <w:kinsoku/>
        <w:wordWrap/>
        <w:overflowPunct/>
        <w:topLinePunct w:val="0"/>
        <w:bidi w:val="0"/>
        <w:spacing w:line="600" w:lineRule="exact"/>
        <w:ind w:left="0" w:leftChars="0" w:right="0" w:rightChars="0" w:firstLine="645"/>
        <w:jc w:val="center"/>
        <w:rPr>
          <w:rFonts w:hint="eastAsia" w:eastAsia="方正小标宋简体" w:cs="Times New Roman"/>
          <w:color w:val="000000"/>
          <w:spacing w:val="0"/>
          <w:sz w:val="44"/>
          <w:szCs w:val="44"/>
          <w:lang w:eastAsia="zh-CN"/>
        </w:rPr>
      </w:pPr>
      <w:r>
        <w:rPr>
          <w:rFonts w:hint="eastAsia" w:eastAsia="方正小标宋简体" w:cs="Times New Roman"/>
          <w:color w:val="000000"/>
          <w:spacing w:val="0"/>
          <w:sz w:val="44"/>
          <w:szCs w:val="44"/>
          <w:lang w:eastAsia="zh-CN"/>
        </w:rPr>
        <w:t>四川省经济和信息化厅</w:t>
      </w:r>
    </w:p>
    <w:p>
      <w:pPr>
        <w:keepNext w:val="0"/>
        <w:keepLines w:val="0"/>
        <w:pageBreakBefore w:val="0"/>
        <w:kinsoku/>
        <w:wordWrap/>
        <w:overflowPunct/>
        <w:topLinePunct w:val="0"/>
        <w:bidi w:val="0"/>
        <w:spacing w:line="600" w:lineRule="exact"/>
        <w:ind w:left="0" w:leftChars="0" w:right="0" w:rightChars="0" w:firstLine="645"/>
        <w:jc w:val="center"/>
        <w:rPr>
          <w:rStyle w:val="35"/>
          <w:rFonts w:hint="default" w:ascii="仿宋_GB2312" w:hAnsi="仿宋_GB2312" w:eastAsia="仿宋_GB2312"/>
          <w:sz w:val="32"/>
          <w:lang w:eastAsia="zh-CN"/>
        </w:rPr>
      </w:pPr>
      <w:r>
        <w:rPr>
          <w:rFonts w:hint="eastAsia" w:eastAsia="方正小标宋简体" w:cs="Times New Roman"/>
          <w:color w:val="000000"/>
          <w:spacing w:val="0"/>
          <w:sz w:val="44"/>
          <w:szCs w:val="44"/>
          <w:lang w:eastAsia="zh-CN"/>
        </w:rPr>
        <w:t>关于</w:t>
      </w:r>
      <w:r>
        <w:rPr>
          <w:rFonts w:hint="default" w:ascii="Times New Roman" w:hAnsi="Times New Roman" w:eastAsia="方正小标宋简体" w:cs="Times New Roman"/>
          <w:color w:val="000000"/>
          <w:spacing w:val="0"/>
          <w:sz w:val="44"/>
          <w:szCs w:val="44"/>
          <w:lang w:eastAsia="zh-CN"/>
        </w:rPr>
        <w:t>2020年四川省中小企业发展专项资金项目支出绩效自评报告</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p>
    <w:p>
      <w:pPr>
        <w:pStyle w:val="2"/>
        <w:rPr>
          <w:rFonts w:hint="default"/>
          <w:lang w:eastAsia="zh-CN"/>
        </w:rPr>
      </w:pP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一、项目概况</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(一)项目基本情况</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1、项目主管部门在项目管理中的职能。根据《中华人民共和国中小企业促进法》、《四川省省级财政定向财力转移支付管理暂行规定》（川财预〔2013〕149号）、《四川省中小企业发展专项资金管理办法》（川财建〔2019〕340号）（以下简称“管理办法”），四川省中小企业发展专项资金由四川省财政厅（以下简称“财政厅”）和四川省经济和信息化厅（以下简称“经济和信息化厅”，共同管理，分工履职，共同负责。</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财政厅根据省委、省政府决策部署并结合省级财力情况，安排中小企业资金年度预算；会同经济和信息化厅提出年度专项资金支持重点及分配方式；按规定下达预算并拨付专项资金；按规定开展资金整体绩效评价；建立专项资金定期评估、调整、退出机制和资金使用范围定期评估调整机制。地方财政部门负责中小企业资金拨付和监督管理；组织实施本地区中小企业资金绩效评价。</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经济和信息化厅围绕省委、省政府决策部署，商财政厅提出中小企业资金年度预算分配草案，并按规定程序报批；组织项目的申报和审查；建立项目储备库、评审专家库，对专家和项目单位实行负面清单管理；建立中小企业资金绩效指标和标准体系；提出专项资金项目年度绩效目标；组织开展专项资金绩效评价。地方经济和信息化部门负责项目申报、组织实施和监督管理；对专项资金实行绩效监控并开展本地区专项资金绩效自评。</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2、项目立项、申报的依据。为进一步贯彻落实国家和本省扶持中小企业的政策措施，促进我省中小企业健康发展、优化中小企业发展环境、引导地方资金扶持中小企业发展，设立中小企业发展专项资金。依据经济和信息化厅和财政厅联合印发的管理办法、申报通知和申报要求进行项目申报。</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3、资金管理办法制定情况。根据《中华人民共和国中小企业促进法》、《中华人民共和国预算法》等法律法规的规定，财政厅会同经济和信息化厅、科技厅共同制定《四川省中小企业发展专项资金管理办法》（川财建〔2019〕340号）。</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4、资金分配的原则。专项资金分配遵循“规划引领、突出重点、体现差异、强化绩效”的原则。围绕中小企业发展重点领域和关键环节，采取“省本级据实补助、省本级政府购买服务、市（州）定向财力转移支付”相结合的方式。省本级据实补助由经济和信息化厅会同财政厅，对符合条件、工商登记注册在省上的省级服务机构实施的载体建设项目、综合服务项目采取专项补助。省本级政府购买服务由经济和信息化厅会同财政厅，采取政府购买服务方式，支持省级重大工作和活动。市（州）定向财力转移支付由市（州）经济和信息化主管部门会同财政局按管理办法、申报通知等要求，组织项目申报、专家评审、现场审核、社会公示。经济和信息化厅按因素法确定预算控制数、备案审核、安排资金。</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5、资金支持方向。2020年中小企业发展专项资金项目重点支持方向为公共服务体系建设和提升发展能力。</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1）公共服务体系建设。支持中小企业公共服务机构、省级小型微型企业创业创新示范基地实施的增添服务设施设备、推进信息化建设、提升服务供给能力的建设项目和为中小微企业提供创新创业、科技服务、人才培训、市场开拓、信息化、投资融资等服务项目。支持省级小型微型企业创业创新示范基地和中小企业公共服务示范平台争创国家级小型微型企业创业创新示范基地和中小企业公共服务示范平台。对新进入省级小型微型企业创业创新示范基地的科技型小微企业给予厂房租赁补助。支持开展《中小企业促进法》及相关政策宣贯、实施全省中小企业发展环境第三方评估、省级中小企业培育库建设、“十四五”中小企业发展重大课题研究、建立四川省中小企业综合发展指数（体系）、专精特新企业高质量发展综合诊断、中小企业专精特新发展与提质增效培训、管理者素质提升专题培训、“创客天府”创新创业大赛、中小微企业云服务大会、中小企业“银河”培训、“双创”大讲堂、小微工业企业升规培育、重点中小（微）企业生产经营监测、优化提升四川省中小企业公共服务体系课题研究等。</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2）提升发展能力。支持专精特新发展。支持中小企业围绕重点产业和重点领域为大企业、大项目和产业链提供零部件、元器件、配套产品和配套服务；发展特色优势产业，支持弘扬传统技艺和地域文化，研制生产具有传统文化和地方特色的产品；创建专精特新企业，重点支持国家级专精特新“小巨人”企业。支持提质增效和转型升级。开展传统生产工艺和设备改造升级，提高信息化应用水平；支持企业技术创新和商业模式创新，开展重点企业全方位诊断，提升管理素质和水平；支持提升产品质量，实施品牌培育推广。实施中小企业“育苗壮干”梯度培育工程，支持中小企业扩大生产和提高市场占有率，培育高成长型企业、行业“小巨人”企业，推动大中小企业融通发展。</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二、2020年中小企业发展专项资金预算执行情况</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2020年中小企业发展专项资金总预算额度2亿元，分两批次安排19458万元。</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第一批次共安排项目417个，资金18000万元。安排省本级据实补助项目9个，支持金额1440万元。安排省本级政府购买服务项目9个，支持金额1260万元。安排市（州）定向财力转移支付项目399个，支持金额15300万元，其中：提升能力类项目270个，支持金额9999万元，占比65.35%；公共服务体系建设类项目129个，支持金额5301万元，占比34.65%。</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第二批次共安排省级小型微型企业创业创新示范基地疫情期间厂房租金减免补助项目39个，支持金额1458万元。</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三、项目实施及管理情况</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（一）实施流程。</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1.定向财力转移支付项目。</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市州公开组织。根据管理办法、申报通知和申报要求，各市（州）经济和信息化主管部门会同当地财政局制定下发申报通知，对支持方向、支持方式、申报程序、申报时间进行明确要求。</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企业自主申报。企业依据管理办法和申报通知要求，按照“先入库，后申报”原则，在网上申报平台进行项目申报，同时向所在市（州）经济和信息化主管部门报送书面申报材料。</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地方审核上报。市（州）经济和信息化主管部门依据管理办法和申报通知等文件要求，开展项目审核、专家评审、现场核查、社会公示等工作，制定本地区支持项目和资金安排计划，并上报经济和信息化厅备案。</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开展备案审查。经济和信息化厅对市（州）经济和信息化主管部门报送的支持项目和资金安排计划进行备案审查，主要审查是否符合产业政策、行业准入条件、支持方向、支持方式以及重复申报（支持）等方面。根据项目审查情况，在预算控制数的基础上，对市（州）资金预算额度进行相应调整，提出审查意见。各市（州）经济和信息化主管部门根据审查意见对拟支持项目和资金安排计划做出相应调整，将本地区资金安排工作、支持项目和资金安排计划等情况正式报经济和信息化厅备案。</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履行报批程序。经济和信息化厅商财政厅提出年度资金安排建议方案，并提交经济和信息化厅党组审议。将党组审议通过的年度资金安排建议方案会同财政厅按程序报送分管省领导审批。</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开展资金拨付。年度资金安排建议方案经分管省领导签批同意后，财政厅按有关程序拨付市（州）、扩权县。</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2.省本级项目。</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1）省本级据实补助项目。由经济和信息化厅负责组织申报、审核、评审和公示，提出资金分配建议。商财政厅提出资金安排建议方案，报经济和信息化厅党组审议。审议通过后报分管省领导审批，分管省领导签批同意后财政厅按有关程序拨付。</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2）省本级政府购买服务项目。根据《中华人民共和国预算法》《中华人民共和国政府采购法》《中华人民共和国合同法》等法律、行政法规的规定，经过确定采购项目、项目资金预算、制定资金计划、厅党组审议、财政资金立项、招标确定供应商、双方签订合同、项目监督执行、项目验收总结、财政资金拨付等流程实施。</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（二）项目监管情况。</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按照财政定向转移资金管理办法，定向转移支付资金支持项目，由各市（州）经济和信息化主管部门会同财政局负责项目实施、资金拨付、绩效自评等监管。</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省本级项目由经济和信息化厅对项目建设、进展、完成等情况及资金到位情况监管，同时不定期对项目及资金情况进行核实。</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四、绩效目标完成情况</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2020年共安排中小企业发展专项资金1.9458亿元，涉及项目456个。全年规上中小工业企业和中小服务业企业实现营业收入分别为2.985万亿元、3942亿元，增长分别为3.4%、1.4%；中小工业企业利润总额增长11.8%，为支持中小企业健康发展，特别是应到新冠疫情的冲击和恢复平稳生产发挥了重要作用，大大超过预期目标。</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一）中小企业健康发展基础进一步夯实。2020年，我们积极发挥财政资金的引导撬动作用，强化政策宣贯和培训服务，推动发展环境进一步优化，注重提升“专精特新”等重点中小企业管理能力，推动我省中小企业健康发展。一是中小企业政策法规普及率提高，法律知识宣讲多点覆盖。开展中小微企业法律政策市州行7场次，辅导中小企业管理者1000余人，营造中小微企业良好发展环境。二是提升中小企业管理水平，大力弘扬企业家精神。开展“创客天府”创新创业大赛、中小企业“银河”培训、“双创”大讲堂、企业家管理者素质提升、中小企业提质增效绿色发展和专精特新与隐性冠军等系列专题培训，参加人数1400余人次，企业满意度达到95%。三是组织专业机构对22家专精特新“小巨人”企业进行全面诊断并实施管理提升综合改造，帮助企业查找问题和短板，提出改进、提升建议方案并指导企业实施改进，为企业做大做强、健康发展奠定基础。四是推进第三方评估机构对全省21个市（州）中小企业发展环境的评估工作，针对发现的问题指导各地积极改进和优化发展环境。五是组织科研院所开展“十四五”全省中小企业健康高质量发展和中小企业健康发展创新示范区建设等前瞻性、战略性重大课题研究，为进一步完善促进中小企业健康发展的法规体系和工作机制奠定坚实基础。</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二）中小企业发展能力提升显著。提升发展能力项目的实施，带动中小企业专精特新、提质增效、优质企业培育和工业小微企业升规培育等方向。2020年，全省工业小微企业升级为规模以上企业取得明显成效，年度新入规1825户。培养国家级专精特新“小巨人”60户，省级“专精特新”、高成长、行业“小巨人”等重点中小企业580余户，优质中小企业队伍进一步壮大</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三）中小企业服务体系进一步完善。一是加快形成“一体两翼多层”中小企业公共服务体系,推动建设覆盖省市县多级的服务体系整体布局，在资源聚集、年服务能力和线上服务占比方面实现“三提升”。培育中小企业公共服务平台，2020年新培育国家级、省级中小企业公共服务示范平台分别为6家和31家，我省有效期内国家级、省级服务示范平台分别达到17家和71家。二是构建“苗圃（众创空间）—孵化器—加速器—产业园”孵化体系，2020年底我省有效期内国家级、省级小型微型企业创业创新示范基地分别达到11家和88家。三是开展“中小企业服务提升年”重点服务活动，2020年全省共开展各类中小企业服务活动10万场次，服务中小企业34万家次，服务人数85万人次，服务满意度超96%。</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四）政策性支持减免中小企业租金。根据《四川省人民政府办公厅关于应对新型冠状病毒肺炎疫情缓解中小企业生产经营困难的政策措施》（川办发〔2020〕10号）要求，积极支持省级小型微型企业创业创新示范基地疫情期间减免中小企业厂房租金。2020年2-3月期间16个市（州）的示范基地减免厂房租金4066.11万元，进一步缓解中小企业生产经营困难。</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五、评价结论</w:t>
      </w:r>
    </w:p>
    <w:p>
      <w:pPr>
        <w:keepNext w:val="0"/>
        <w:keepLines w:val="0"/>
        <w:pageBreakBefore w:val="0"/>
        <w:kinsoku/>
        <w:wordWrap/>
        <w:overflowPunct/>
        <w:topLinePunct w:val="0"/>
        <w:bidi w:val="0"/>
        <w:spacing w:line="600" w:lineRule="exact"/>
        <w:ind w:left="0" w:leftChars="0" w:right="0" w:rightChars="0" w:firstLine="645"/>
        <w:rPr>
          <w:rStyle w:val="35"/>
          <w:rFonts w:hint="default" w:ascii="仿宋_GB2312" w:hAnsi="仿宋_GB2312" w:eastAsia="仿宋_GB2312"/>
          <w:sz w:val="32"/>
          <w:lang w:eastAsia="zh-CN"/>
        </w:rPr>
      </w:pPr>
      <w:r>
        <w:rPr>
          <w:rStyle w:val="35"/>
          <w:rFonts w:hint="default" w:ascii="仿宋_GB2312" w:hAnsi="仿宋_GB2312" w:eastAsia="仿宋_GB2312"/>
          <w:sz w:val="32"/>
          <w:lang w:eastAsia="zh-CN"/>
        </w:rPr>
        <w:t>中小企业发展专项资金安排严格按照资金管理办法及《四川省省级财政定向财力转移支付管理暂行规定》执行，项目安排过程符合有关规定，支持的项目管理制度都较为健全，保障财政资金的合理、高效使用，确保财政绩效优于预期目标。</w:t>
      </w:r>
    </w:p>
    <w:p>
      <w:pPr>
        <w:widowControl/>
        <w:spacing w:line="580" w:lineRule="exact"/>
        <w:ind w:firstLine="640" w:firstLineChars="200"/>
        <w:contextualSpacing/>
        <w:jc w:val="center"/>
        <w:rPr>
          <w:rFonts w:hint="eastAsia" w:ascii="仿宋_GB2312" w:hAnsi="宋体" w:eastAsia="仿宋_GB2312" w:cs="Times New Roman"/>
          <w:color w:val="auto"/>
          <w:sz w:val="32"/>
          <w:szCs w:val="32"/>
          <w:highlight w:val="none"/>
          <w:shd w:val="clear" w:color="auto" w:fill="FFFFFF"/>
          <w:lang w:val="zh-CN"/>
        </w:rPr>
      </w:pPr>
    </w:p>
    <w:p>
      <w:pPr>
        <w:pStyle w:val="6"/>
        <w:rPr>
          <w:rFonts w:hint="eastAsia" w:eastAsia="仿宋_GB2312"/>
          <w:color w:val="auto"/>
          <w:highlight w:val="none"/>
          <w:lang w:val="en-US" w:eastAsia="zh-CN"/>
        </w:rPr>
      </w:pPr>
      <w:r>
        <w:rPr>
          <w:rFonts w:hint="eastAsia"/>
          <w:color w:val="auto"/>
          <w:highlight w:val="none"/>
          <w:lang w:val="en-US" w:eastAsia="zh-CN"/>
        </w:rPr>
        <w:t xml:space="preserve">                     </w:t>
      </w:r>
    </w:p>
    <w:p>
      <w:pPr>
        <w:spacing w:line="580" w:lineRule="exact"/>
        <w:ind w:firstLine="640"/>
        <w:rPr>
          <w:rFonts w:ascii="仿宋_GB2312" w:hAnsi="仿宋_GB2312" w:eastAsia="仿宋_GB2312" w:cs="仿宋_GB2312"/>
          <w:color w:val="auto"/>
          <w:sz w:val="32"/>
          <w:szCs w:val="32"/>
          <w:highlight w:val="none"/>
        </w:rPr>
      </w:pPr>
    </w:p>
    <w:p>
      <w:pPr>
        <w:spacing w:line="580" w:lineRule="exact"/>
        <w:rPr>
          <w:rFonts w:hint="eastAsia" w:ascii="仿宋_GB2312" w:hAnsi="仿宋_GB2312" w:eastAsia="黑体" w:cs="仿宋_GB2312"/>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eastAsia" w:ascii="方正小标宋简体" w:hAnsi="宋体" w:eastAsia="方正小标宋简体"/>
          <w:color w:val="auto"/>
          <w:sz w:val="44"/>
          <w:szCs w:val="44"/>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2020年部门预算项目支出绩效自评报告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Ansi="宋体" w:eastAsia="仿宋_GB2312"/>
          <w:color w:val="auto"/>
          <w:sz w:val="32"/>
          <w:szCs w:val="32"/>
          <w:highlight w:val="none"/>
        </w:rPr>
      </w:pPr>
      <w:r>
        <w:rPr>
          <w:rFonts w:hint="eastAsia" w:hAnsi="宋体" w:eastAsia="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2020年学生资助补助经费（高等教育）项目</w:t>
      </w:r>
      <w:r>
        <w:rPr>
          <w:rFonts w:hint="eastAsia" w:hAnsi="宋体" w:eastAsia="仿宋_GB2312"/>
          <w:color w:val="auto"/>
          <w:sz w:val="32"/>
          <w:szCs w:val="32"/>
          <w:highlight w:val="none"/>
        </w:rPr>
        <w:t>）</w:t>
      </w:r>
    </w:p>
    <w:bookmarkEnd w:id="55"/>
    <w:p>
      <w:pPr>
        <w:keepNext w:val="0"/>
        <w:keepLines w:val="0"/>
        <w:pageBreakBefore w:val="0"/>
        <w:widowControl w:val="0"/>
        <w:kinsoku/>
        <w:wordWrap/>
        <w:overflowPunct/>
        <w:topLinePunct w:val="0"/>
        <w:autoSpaceDE/>
        <w:autoSpaceDN/>
        <w:bidi w:val="0"/>
        <w:adjustRightInd/>
        <w:snapToGrid w:val="0"/>
        <w:spacing w:line="600" w:lineRule="exact"/>
        <w:textAlignment w:val="auto"/>
        <w:outlineLvl w:val="9"/>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加强2020年学生资助补助经费（高等教育）项目预算的绩效管理，进一步强化预算支出责任，提高2020年学生资助补助经费使用效率和效益，提升获奖受助学生和家长的满意度，根据上级有关要求和学校党委指示，我校成立了2020年学生资助补助经费（高等教育）项目绩效评价工作组，于5月6日-30日期间，对我校2020年国家奖学金、国家励志奖学金、国家助学金的资助经费实施了自我绩效评价工作，现将绩效评价结果报告如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一、基本情况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（一）项目概况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1．设立背景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激励我校学生勤奋学习、努力进取，在德、智、体、美等方面全面发展，激发家庭经济困难学生奋发图强，砥砺前行，充分体现党和政府、学校对家庭经济困难学生的关怀，帮助他们顺利完成学业，根据《四川省财政厅 教育厅关于印发&lt;四川省普通高校国家奖助学金管理办法&gt;的通知》，我校设立了2020年国家奖学金、国家励志奖学金、国家助学金资助经费项目，由学校学生资助管理中心负责该项目的具体实施，计财处负责该项目的资金管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2．项目实施范围和方式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2020年学生资助补助经费（高等教育）项目实施范围为我校所有全日制在校大学专科学生。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该资助项目实施方式为：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（1）国家奖学金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根据四川省教育厅、四川省学生资助管理中心关于国家奖学金的相关管理办法，落实大学生教育资助政策。国家奖学金奖励对象为表现特别突出，学习特别优异的全日制在校学生，奖励标准为每人每年8000元。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国家奖学金的学生应具备的基本条件：热爱社会主义，拥护中国共产党的领导；遵守宪法和法律，遵守学校各项规章制度；诚实守信，品德优良；勤奋学习，积极上进；在校期间学习成绩优异，德、智、体、美等方面全面发展，社会实践、创新能力、综合素质等方面特别突出；在评比的当学年中获得学习奖学金“一等奖学金”或“三好学生”（获得专业内同等级或以上的其他奖项须系主管学生工作的领导须及时与学生资助中心负责人沟通）且学习成绩排名与综合考评成绩排名均须位于同年级同专业前10%。对于不能满足“评比当学年获学习奖学金‘一等奖学金’的条件”但学习成绩排名或综合考评成绩排名均位于评选范围前30%以内的学生，必须在道德风尚、学术研究、学科竞赛、创新发明、社会实践、社会工作、体育竞赛、文艺比赛等某一方面表现特别优秀。无违法违纪问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（2）国家励志奖学金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根据四川省教育厅、四川省学生资助管理中心关于国家励志奖学金的相关管理办法，落实对家庭经济困难的优秀大学生的奖励帮扶政策。国家励志奖学金奖励资助对象为奋发向上，品学兼优的家庭经济困难全日制在校学生。奖励资助标准为每人每年5000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国家励志奖学金的学生应具备的基本条件：热爱社会主义祖国，拥护中国共产党的领导；遵守宪法和法律，遵守《高等学校学生行为准则》和学校规章制度；无违纪记录；诚实守信，道德品质优良；在校期间学习成绩优秀，德、智、体、美等方面全面发展，在评比的当学年中获学习奖学金 “三等”及其以上奖学金，且学习成绩排名与综合考评成绩排名均须位于同年级同专业前10%。评比的当学年已被认定为家庭经济困难学生，生活俭朴，衣着朴素；对于不能满足“评比当学年中获得学习奖学金‘三等’及其以上奖学金”条件，但学习成绩排名或综合考评成绩排名均位于评选范围前30%以内的学生，必须在道德风尚、学术研究、学科竞赛、创新发明、社会实践、社会工作、体育竞赛、文艺比赛等某一方面表现特别优秀，方可申请国家励志奖学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（3）国家助学金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根据四川省教育厅关于国家助学金的相关管理办法，落实家庭经济困难学生的资助政策。国家助学金资助对象为积极上进的家庭经济困难在校学生。奖励资助标准为平均每人每年3300元，资助面占在校生的30%以上。根据申请学生的家庭经济困难程度分为三个档次，其中，一档: 家庭经济一般困难，每人每年2100元；二档：家庭经济困难，每人每年3300元；三档：家庭经济特殊困难，每人每年4500元。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申请国家助学金的学生应具备的基本条件：热爱社会主义祖国，拥护中国共产党的领导；诚实守信，道德品质优良；自觉遵守法律法规；遵守《高等学校学生行为准则》和学校规章制度，无违纪记录，无不良嗜好；勤奋学习，积极上进；已被认定为家庭经济困难学生，生活俭朴，衣着朴素； 积极参加社会服务和爱心公益活动。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在国家助学评定时，学校按要求优先资助家庭经济困难的建档立卡家庭学生、特困孤残学生、城乡低保家庭或持特困家庭学生、革命烈士或困公牺牲军人子女、少数民族家庭经济困难学生。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3．项目资金的投入及使用情况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2020年，我校2020年学生资助补助经费（高等教育）项目预算安排资金1415万元，用于优秀学生的奖励及家庭经济困难学生资助，资金来源均为省财政资金。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（二）项目绩效目标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1．项目绩效总目标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奖励品学兼优在校生、资助家庭经济困难学生，确保精准扶贫困难家庭学生都能受到资助，保证贫困学生在校能满足基本生活需要，安心学习、顺利完成学业；结合“三金评选”，在全校范围内开展各类感恩主题教育活动，通过学工网站、易班平台、展板，到班宣讲、主题汇报、写感谢信等形式，使学生铭记党恩、永远跟党走。培养学生的诚信意识、责任意识和感恩意识，使受奖助的4500余名学生完成学业后通过自身努力回报社会，实现以奖助学金全面激励品学兼优的家庭经济困难学生发奋学习，励志成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2．项目具体绩效目标</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做好国家奖助学金项目评定工作，确保公平、公正、公开，做到应助尽助，精准资助；做好国家奖助学金项目资金发放工作，确保及时、准确；发挥好国家奖助学金项目效益，促进学生个人成长。</w:t>
      </w:r>
    </w:p>
    <w:tbl>
      <w:tblPr>
        <w:tblStyle w:val="12"/>
        <w:tblW w:w="8134" w:type="dxa"/>
        <w:tblInd w:w="113" w:type="dxa"/>
        <w:tblLayout w:type="fixed"/>
        <w:tblCellMar>
          <w:top w:w="0" w:type="dxa"/>
          <w:left w:w="108" w:type="dxa"/>
          <w:bottom w:w="0" w:type="dxa"/>
          <w:right w:w="108" w:type="dxa"/>
        </w:tblCellMar>
      </w:tblPr>
      <w:tblGrid>
        <w:gridCol w:w="1016"/>
        <w:gridCol w:w="1336"/>
        <w:gridCol w:w="3256"/>
        <w:gridCol w:w="1190"/>
        <w:gridCol w:w="1336"/>
      </w:tblGrid>
      <w:tr>
        <w:tblPrEx>
          <w:tblCellMar>
            <w:top w:w="0" w:type="dxa"/>
            <w:left w:w="108" w:type="dxa"/>
            <w:bottom w:w="0" w:type="dxa"/>
            <w:right w:w="108" w:type="dxa"/>
          </w:tblCellMar>
        </w:tblPrEx>
        <w:trPr>
          <w:trHeight w:val="255" w:hRule="atLeast"/>
        </w:trPr>
        <w:tc>
          <w:tcPr>
            <w:tcW w:w="8134" w:type="dxa"/>
            <w:gridSpan w:val="5"/>
            <w:tcBorders>
              <w:top w:val="nil"/>
              <w:left w:val="nil"/>
              <w:bottom w:val="single" w:color="auto" w:sz="4" w:space="0"/>
              <w:right w:val="nil"/>
            </w:tcBorders>
            <w:shd w:val="clear" w:color="auto" w:fill="auto"/>
            <w:vAlign w:val="bottom"/>
          </w:tcPr>
          <w:p>
            <w:pPr>
              <w:widowControl/>
              <w:jc w:val="center"/>
              <w:rPr>
                <w:rFonts w:ascii="Arial" w:hAnsi="Arial" w:eastAsia="宋体" w:cs="Arial"/>
                <w:kern w:val="0"/>
                <w:sz w:val="20"/>
                <w:szCs w:val="20"/>
              </w:rPr>
            </w:pPr>
            <w:r>
              <w:rPr>
                <w:rFonts w:ascii="Arial" w:hAnsi="Arial" w:eastAsia="宋体" w:cs="Arial"/>
                <w:kern w:val="0"/>
                <w:sz w:val="20"/>
                <w:szCs w:val="20"/>
              </w:rPr>
              <w:t>2020</w:t>
            </w:r>
            <w:r>
              <w:rPr>
                <w:rFonts w:hint="eastAsia" w:ascii="宋体" w:hAnsi="宋体" w:eastAsia="宋体" w:cs="Arial"/>
                <w:kern w:val="0"/>
                <w:sz w:val="20"/>
                <w:szCs w:val="20"/>
              </w:rPr>
              <w:t>年学生资助补助经费（高等教育）</w:t>
            </w:r>
          </w:p>
        </w:tc>
      </w:tr>
      <w:tr>
        <w:tblPrEx>
          <w:tblCellMar>
            <w:top w:w="0" w:type="dxa"/>
            <w:left w:w="108" w:type="dxa"/>
            <w:bottom w:w="0" w:type="dxa"/>
            <w:right w:w="108" w:type="dxa"/>
          </w:tblCellMar>
        </w:tblPrEx>
        <w:trPr>
          <w:trHeight w:val="420" w:hRule="atLeast"/>
        </w:trPr>
        <w:tc>
          <w:tcPr>
            <w:tcW w:w="101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一级指标</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6"/>
                <w:szCs w:val="16"/>
              </w:rPr>
            </w:pPr>
            <w:r>
              <w:rPr>
                <w:rFonts w:hint="eastAsia" w:ascii="宋体" w:hAnsi="宋体" w:eastAsia="宋体" w:cs="Arial"/>
                <w:kern w:val="0"/>
                <w:sz w:val="16"/>
                <w:szCs w:val="16"/>
              </w:rPr>
              <w:t>二级指标</w:t>
            </w: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6"/>
                <w:szCs w:val="16"/>
              </w:rPr>
            </w:pPr>
            <w:r>
              <w:rPr>
                <w:rFonts w:hint="eastAsia" w:ascii="宋体" w:hAnsi="宋体" w:eastAsia="宋体" w:cs="Arial"/>
                <w:kern w:val="0"/>
                <w:sz w:val="16"/>
                <w:szCs w:val="16"/>
              </w:rPr>
              <w:t>三级指标</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6"/>
                <w:szCs w:val="16"/>
              </w:rPr>
            </w:pPr>
            <w:r>
              <w:rPr>
                <w:rFonts w:hint="eastAsia" w:ascii="宋体" w:hAnsi="宋体" w:eastAsia="宋体" w:cs="Arial"/>
                <w:kern w:val="0"/>
                <w:sz w:val="16"/>
                <w:szCs w:val="16"/>
              </w:rPr>
              <w:t>预期指标值</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6"/>
                <w:szCs w:val="16"/>
              </w:rPr>
            </w:pPr>
            <w:r>
              <w:rPr>
                <w:rFonts w:hint="eastAsia" w:ascii="宋体" w:hAnsi="宋体" w:eastAsia="宋体" w:cs="Arial"/>
                <w:kern w:val="0"/>
                <w:sz w:val="16"/>
                <w:szCs w:val="16"/>
              </w:rPr>
              <w:t>实际完成指标值</w:t>
            </w:r>
          </w:p>
        </w:tc>
      </w:tr>
      <w:tr>
        <w:tblPrEx>
          <w:tblCellMar>
            <w:top w:w="0" w:type="dxa"/>
            <w:left w:w="108" w:type="dxa"/>
            <w:bottom w:w="0" w:type="dxa"/>
            <w:right w:w="108" w:type="dxa"/>
          </w:tblCellMar>
        </w:tblPrEx>
        <w:trPr>
          <w:trHeight w:val="56" w:hRule="atLeast"/>
        </w:trPr>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6"/>
                <w:szCs w:val="16"/>
              </w:rPr>
            </w:pPr>
            <w:r>
              <w:rPr>
                <w:rFonts w:ascii="Arial" w:hAnsi="Arial" w:eastAsia="宋体" w:cs="Arial"/>
                <w:kern w:val="0"/>
                <w:sz w:val="16"/>
                <w:szCs w:val="16"/>
              </w:rPr>
              <w:t>完成指标</w:t>
            </w:r>
          </w:p>
        </w:tc>
        <w:tc>
          <w:tcPr>
            <w:tcW w:w="13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数量指标</w:t>
            </w: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完成家庭经济困难认定学生数</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&gt;6000人</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5515</w:t>
            </w:r>
            <w:r>
              <w:rPr>
                <w:rFonts w:hint="eastAsia" w:ascii="宋体" w:hAnsi="宋体" w:eastAsia="宋体" w:cs="Arial"/>
                <w:kern w:val="0"/>
                <w:sz w:val="16"/>
                <w:szCs w:val="16"/>
              </w:rPr>
              <w:t>人</w:t>
            </w:r>
          </w:p>
        </w:tc>
      </w:tr>
      <w:tr>
        <w:tblPrEx>
          <w:tblCellMar>
            <w:top w:w="0" w:type="dxa"/>
            <w:left w:w="108" w:type="dxa"/>
            <w:bottom w:w="0" w:type="dxa"/>
            <w:right w:w="108" w:type="dxa"/>
          </w:tblCellMar>
        </w:tblPrEx>
        <w:trPr>
          <w:trHeight w:val="143"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精准扶贫家庭学生资助覆盖率</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100%</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100%</w:t>
            </w:r>
          </w:p>
        </w:tc>
      </w:tr>
      <w:tr>
        <w:tblPrEx>
          <w:tblCellMar>
            <w:top w:w="0" w:type="dxa"/>
            <w:left w:w="108" w:type="dxa"/>
            <w:bottom w:w="0" w:type="dxa"/>
            <w:right w:w="108" w:type="dxa"/>
          </w:tblCellMar>
        </w:tblPrEx>
        <w:trPr>
          <w:trHeight w:val="105"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受助学生人次</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&gt;4500人次</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4513</w:t>
            </w:r>
            <w:r>
              <w:rPr>
                <w:rFonts w:hint="eastAsia" w:ascii="宋体" w:hAnsi="宋体" w:eastAsia="宋体" w:cs="Arial"/>
                <w:kern w:val="0"/>
                <w:sz w:val="16"/>
                <w:szCs w:val="16"/>
              </w:rPr>
              <w:t>人</w:t>
            </w:r>
          </w:p>
        </w:tc>
      </w:tr>
      <w:tr>
        <w:tblPrEx>
          <w:tblCellMar>
            <w:top w:w="0" w:type="dxa"/>
            <w:left w:w="108" w:type="dxa"/>
            <w:bottom w:w="0" w:type="dxa"/>
            <w:right w:w="108" w:type="dxa"/>
          </w:tblCellMar>
        </w:tblPrEx>
        <w:trPr>
          <w:trHeight w:val="209"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完成发放奖助学金类型</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3种</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3</w:t>
            </w:r>
            <w:r>
              <w:rPr>
                <w:rFonts w:hint="eastAsia" w:ascii="宋体" w:hAnsi="宋体" w:eastAsia="宋体" w:cs="Arial"/>
                <w:kern w:val="0"/>
                <w:sz w:val="16"/>
                <w:szCs w:val="16"/>
              </w:rPr>
              <w:t>种</w:t>
            </w:r>
          </w:p>
        </w:tc>
      </w:tr>
      <w:tr>
        <w:tblPrEx>
          <w:tblCellMar>
            <w:top w:w="0" w:type="dxa"/>
            <w:left w:w="108" w:type="dxa"/>
            <w:bottom w:w="0" w:type="dxa"/>
            <w:right w:w="108" w:type="dxa"/>
          </w:tblCellMar>
        </w:tblPrEx>
        <w:trPr>
          <w:trHeight w:val="171"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质量指标</w:t>
            </w: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奖助学金按规定及时发放率(%)</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100</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100</w:t>
            </w:r>
          </w:p>
        </w:tc>
      </w:tr>
      <w:tr>
        <w:tblPrEx>
          <w:tblCellMar>
            <w:top w:w="0" w:type="dxa"/>
            <w:left w:w="108" w:type="dxa"/>
            <w:bottom w:w="0" w:type="dxa"/>
            <w:right w:w="108" w:type="dxa"/>
          </w:tblCellMar>
        </w:tblPrEx>
        <w:trPr>
          <w:trHeight w:val="275"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资助评选是否公平公正公开</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是</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是</w:t>
            </w:r>
          </w:p>
        </w:tc>
      </w:tr>
      <w:tr>
        <w:tblPrEx>
          <w:tblCellMar>
            <w:top w:w="0" w:type="dxa"/>
            <w:left w:w="108" w:type="dxa"/>
            <w:bottom w:w="0" w:type="dxa"/>
            <w:right w:w="108" w:type="dxa"/>
          </w:tblCellMar>
        </w:tblPrEx>
        <w:trPr>
          <w:trHeight w:val="255"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6"/>
                <w:szCs w:val="16"/>
              </w:rPr>
            </w:pPr>
            <w:r>
              <w:rPr>
                <w:rFonts w:ascii="Arial" w:hAnsi="Arial" w:eastAsia="宋体" w:cs="Arial"/>
                <w:kern w:val="0"/>
                <w:sz w:val="16"/>
                <w:szCs w:val="16"/>
              </w:rPr>
              <w:t>保障贫困受助学生正常生活</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良好</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良好</w:t>
            </w:r>
          </w:p>
        </w:tc>
      </w:tr>
      <w:tr>
        <w:tblPrEx>
          <w:tblCellMar>
            <w:top w:w="0" w:type="dxa"/>
            <w:left w:w="108" w:type="dxa"/>
            <w:bottom w:w="0" w:type="dxa"/>
            <w:right w:w="108" w:type="dxa"/>
          </w:tblCellMar>
        </w:tblPrEx>
        <w:trPr>
          <w:trHeight w:val="199"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6"/>
                <w:szCs w:val="16"/>
              </w:rPr>
            </w:pPr>
            <w:r>
              <w:rPr>
                <w:rFonts w:ascii="Arial" w:hAnsi="Arial" w:eastAsia="宋体" w:cs="Arial"/>
                <w:kern w:val="0"/>
                <w:sz w:val="16"/>
                <w:szCs w:val="16"/>
              </w:rPr>
              <w:t>时效指标</w:t>
            </w: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国家奖助学金完成时间</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2020年12月</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2020年12月</w:t>
            </w:r>
          </w:p>
        </w:tc>
      </w:tr>
      <w:tr>
        <w:tblPrEx>
          <w:tblCellMar>
            <w:top w:w="0" w:type="dxa"/>
            <w:left w:w="108" w:type="dxa"/>
            <w:bottom w:w="0" w:type="dxa"/>
            <w:right w:w="108" w:type="dxa"/>
          </w:tblCellMar>
        </w:tblPrEx>
        <w:trPr>
          <w:trHeight w:val="161"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成本指标</w:t>
            </w: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国家奖学金</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12.8万</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13.6</w:t>
            </w:r>
            <w:r>
              <w:rPr>
                <w:rFonts w:hint="eastAsia" w:ascii="宋体" w:hAnsi="宋体" w:eastAsia="宋体" w:cs="Arial"/>
                <w:kern w:val="0"/>
                <w:sz w:val="15"/>
                <w:szCs w:val="15"/>
              </w:rPr>
              <w:t>万</w:t>
            </w:r>
          </w:p>
        </w:tc>
      </w:tr>
      <w:tr>
        <w:tblPrEx>
          <w:tblCellMar>
            <w:top w:w="0" w:type="dxa"/>
            <w:left w:w="108" w:type="dxa"/>
            <w:bottom w:w="0" w:type="dxa"/>
            <w:right w:w="108" w:type="dxa"/>
          </w:tblCellMar>
        </w:tblPrEx>
        <w:trPr>
          <w:trHeight w:val="265"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国家励志奖学金</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166万元</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30.58</w:t>
            </w:r>
            <w:r>
              <w:rPr>
                <w:rFonts w:hint="eastAsia" w:ascii="宋体" w:hAnsi="宋体" w:eastAsia="宋体" w:cs="Arial"/>
                <w:kern w:val="0"/>
                <w:sz w:val="15"/>
                <w:szCs w:val="15"/>
              </w:rPr>
              <w:t>万</w:t>
            </w:r>
          </w:p>
        </w:tc>
      </w:tr>
      <w:tr>
        <w:tblPrEx>
          <w:tblCellMar>
            <w:top w:w="0" w:type="dxa"/>
            <w:left w:w="108" w:type="dxa"/>
            <w:bottom w:w="0" w:type="dxa"/>
            <w:right w:w="108" w:type="dxa"/>
          </w:tblCellMar>
        </w:tblPrEx>
        <w:trPr>
          <w:trHeight w:val="85"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国家助学金</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1236.2万元</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1370.82</w:t>
            </w:r>
            <w:r>
              <w:rPr>
                <w:rFonts w:hint="eastAsia" w:ascii="宋体" w:hAnsi="宋体" w:eastAsia="宋体" w:cs="Arial"/>
                <w:kern w:val="0"/>
                <w:sz w:val="15"/>
                <w:szCs w:val="15"/>
              </w:rPr>
              <w:t>万</w:t>
            </w:r>
          </w:p>
        </w:tc>
      </w:tr>
      <w:tr>
        <w:tblPrEx>
          <w:tblCellMar>
            <w:top w:w="0" w:type="dxa"/>
            <w:left w:w="108" w:type="dxa"/>
            <w:bottom w:w="0" w:type="dxa"/>
            <w:right w:w="108" w:type="dxa"/>
          </w:tblCellMar>
        </w:tblPrEx>
        <w:trPr>
          <w:trHeight w:val="219" w:hRule="atLeast"/>
        </w:trPr>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　效益指标</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6"/>
                <w:szCs w:val="16"/>
              </w:rPr>
            </w:pPr>
            <w:r>
              <w:rPr>
                <w:rFonts w:ascii="Arial" w:hAnsi="Arial" w:eastAsia="宋体" w:cs="Arial"/>
                <w:kern w:val="0"/>
                <w:sz w:val="16"/>
                <w:szCs w:val="16"/>
              </w:rPr>
              <w:t>社会效益指标</w:t>
            </w: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学生因贫失学率(%)</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0</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0</w:t>
            </w:r>
          </w:p>
        </w:tc>
      </w:tr>
      <w:tr>
        <w:tblPrEx>
          <w:tblCellMar>
            <w:top w:w="0" w:type="dxa"/>
            <w:left w:w="108" w:type="dxa"/>
            <w:bottom w:w="0" w:type="dxa"/>
            <w:right w:w="108" w:type="dxa"/>
          </w:tblCellMar>
        </w:tblPrEx>
        <w:trPr>
          <w:trHeight w:val="181"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6"/>
                <w:szCs w:val="16"/>
              </w:rPr>
            </w:pP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可持续影响指标</w:t>
            </w: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学生和家长对党和国家以及社会的感恩意识</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提升</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6"/>
                <w:szCs w:val="16"/>
              </w:rPr>
            </w:pPr>
            <w:r>
              <w:rPr>
                <w:rFonts w:hint="eastAsia" w:ascii="宋体" w:hAnsi="宋体" w:eastAsia="宋体" w:cs="Arial"/>
                <w:kern w:val="0"/>
                <w:sz w:val="16"/>
                <w:szCs w:val="16"/>
              </w:rPr>
              <w:t>提升</w:t>
            </w:r>
          </w:p>
        </w:tc>
      </w:tr>
      <w:tr>
        <w:tblPrEx>
          <w:tblCellMar>
            <w:top w:w="0" w:type="dxa"/>
            <w:left w:w="108" w:type="dxa"/>
            <w:bottom w:w="0" w:type="dxa"/>
            <w:right w:w="108" w:type="dxa"/>
          </w:tblCellMar>
        </w:tblPrEx>
        <w:trPr>
          <w:trHeight w:val="143" w:hRule="atLeast"/>
        </w:trPr>
        <w:tc>
          <w:tcPr>
            <w:tcW w:w="10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6"/>
                <w:szCs w:val="16"/>
              </w:rPr>
            </w:pPr>
            <w:r>
              <w:rPr>
                <w:rFonts w:ascii="Arial" w:hAnsi="Arial" w:eastAsia="宋体" w:cs="Arial"/>
                <w:kern w:val="0"/>
                <w:sz w:val="16"/>
                <w:szCs w:val="16"/>
              </w:rPr>
              <w:t>满意度指标</w:t>
            </w:r>
          </w:p>
        </w:tc>
        <w:tc>
          <w:tcPr>
            <w:tcW w:w="133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满意度指标</w:t>
            </w: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学生、家长抽样调查满意度(%)</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90</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95</w:t>
            </w:r>
          </w:p>
        </w:tc>
      </w:tr>
      <w:tr>
        <w:tblPrEx>
          <w:tblCellMar>
            <w:top w:w="0" w:type="dxa"/>
            <w:left w:w="108" w:type="dxa"/>
            <w:bottom w:w="0" w:type="dxa"/>
            <w:right w:w="108" w:type="dxa"/>
          </w:tblCellMar>
        </w:tblPrEx>
        <w:trPr>
          <w:trHeight w:val="91"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学生评优、助学评定投诉率(%)</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0</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0.02</w:t>
            </w:r>
          </w:p>
        </w:tc>
      </w:tr>
      <w:tr>
        <w:tblPrEx>
          <w:tblCellMar>
            <w:top w:w="0" w:type="dxa"/>
            <w:left w:w="108" w:type="dxa"/>
            <w:bottom w:w="0" w:type="dxa"/>
            <w:right w:w="108" w:type="dxa"/>
          </w:tblCellMar>
        </w:tblPrEx>
        <w:trPr>
          <w:trHeight w:val="255" w:hRule="atLeast"/>
        </w:trPr>
        <w:tc>
          <w:tcPr>
            <w:tcW w:w="101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1336"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6"/>
                <w:szCs w:val="16"/>
              </w:rPr>
            </w:pPr>
          </w:p>
        </w:tc>
        <w:tc>
          <w:tcPr>
            <w:tcW w:w="325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受资助学生满意度(%)</w:t>
            </w:r>
          </w:p>
        </w:tc>
        <w:tc>
          <w:tcPr>
            <w:tcW w:w="1190"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95</w:t>
            </w:r>
          </w:p>
        </w:tc>
        <w:tc>
          <w:tcPr>
            <w:tcW w:w="133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6"/>
                <w:szCs w:val="16"/>
              </w:rPr>
            </w:pPr>
            <w:r>
              <w:rPr>
                <w:rFonts w:ascii="Arial" w:hAnsi="Arial" w:eastAsia="宋体" w:cs="Arial"/>
                <w:kern w:val="0"/>
                <w:sz w:val="16"/>
                <w:szCs w:val="16"/>
              </w:rPr>
              <w:t>97</w:t>
            </w:r>
          </w:p>
        </w:tc>
      </w:tr>
    </w:tbl>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二、评价工作开展情况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包括评价组织情况、评价指标体系、评价方法和评价标准等内容。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（一）评价组织情况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根据要求，我校成立了国家奖助学金项目绩效自我评价工作小组，由学校监审处处长任组长，计财处处长、学生处处长、学生资助管理中心主任任副组长。评价工作小组依据相关工作文件，制订了本次项目绩效评价的工作思路和实施方案。通过对国家奖助学金的资金分配，名额划分，各级机构评定的过程进行核查，在资金发放追踪，获奖受助学生及家长满意度调查等的基础上，剖析问题产生原因。工作小组围绕评价指标体系对项目进行评价，形成国家奖助学金项目绩效自评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（二）评价标准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本次评价以国家、四川省教育厅、财政厅及四川省学生资助管理中心相关文件精神为指导标准，以预先制定的目标、计划、预算等数据作为评价标准，以其他兄弟院校在该项目绩效评价数据作为参考标准。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（三）评价方法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组织绩效评价工作组在学生资助管理中心、计财处及各系所做项目工作汇报的基础上，深入实地调研，对照评价指标进行评价，对项目支出的实施情况进行核查，并采用现场核查评定和专家评议相结合、定量与定性相结合方法。</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（四）评价指标体系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项目评价指标体系分为完成指标、效益指标、满意度指标三个方面对评价指标体系进行逐步分解。评价小组根据该资助项目支出的实际情况，针对项目特点及各指标维度，确定各个指标所占总体绩效的权重，完成指标权重值为70%，效益指标权重值为15%，满意度指标权重值为15%。</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完成指标包括数量指标、质量指标、时效指标、成本指标；效益指标包括数量效益指标和可持续影响指标；满意度指标主要反映项目社会效益及资助对象的满意度情况。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三、综合评价结论（附评分表）</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经我校国家奖助学金项目绩效自我评价工作小组详细调查，对照指标体系进行评价，我校本项目绩效评价综合得分91分，评价等级为优秀，详见下表。本项目立项符合国家产业政策，项目管理有效，社会效益明显，对学生、家长及社会形成了可持续的影响。</w:t>
      </w:r>
    </w:p>
    <w:tbl>
      <w:tblPr>
        <w:tblStyle w:val="12"/>
        <w:tblW w:w="8522" w:type="dxa"/>
        <w:tblInd w:w="0" w:type="dxa"/>
        <w:tblLayout w:type="fixed"/>
        <w:tblCellMar>
          <w:top w:w="0" w:type="dxa"/>
          <w:left w:w="108" w:type="dxa"/>
          <w:bottom w:w="0" w:type="dxa"/>
          <w:right w:w="108" w:type="dxa"/>
        </w:tblCellMar>
      </w:tblPr>
      <w:tblGrid>
        <w:gridCol w:w="531"/>
        <w:gridCol w:w="1277"/>
        <w:gridCol w:w="3082"/>
        <w:gridCol w:w="528"/>
        <w:gridCol w:w="1144"/>
        <w:gridCol w:w="1144"/>
        <w:gridCol w:w="816"/>
      </w:tblGrid>
      <w:tr>
        <w:tblPrEx>
          <w:tblCellMar>
            <w:top w:w="0" w:type="dxa"/>
            <w:left w:w="108" w:type="dxa"/>
            <w:bottom w:w="0" w:type="dxa"/>
            <w:right w:w="108" w:type="dxa"/>
          </w:tblCellMar>
        </w:tblPrEx>
        <w:trPr>
          <w:trHeight w:val="255" w:hRule="atLeast"/>
        </w:trPr>
        <w:tc>
          <w:tcPr>
            <w:tcW w:w="8522" w:type="dxa"/>
            <w:gridSpan w:val="7"/>
            <w:tcBorders>
              <w:top w:val="nil"/>
              <w:left w:val="nil"/>
              <w:bottom w:val="single" w:color="auto" w:sz="4" w:space="0"/>
              <w:right w:val="nil"/>
            </w:tcBorders>
            <w:shd w:val="clear" w:color="auto" w:fill="auto"/>
            <w:vAlign w:val="center"/>
          </w:tcPr>
          <w:p>
            <w:pPr>
              <w:widowControl/>
              <w:jc w:val="center"/>
              <w:rPr>
                <w:rFonts w:ascii="Arial" w:hAnsi="Arial" w:eastAsia="宋体" w:cs="Arial"/>
                <w:kern w:val="0"/>
                <w:sz w:val="20"/>
                <w:szCs w:val="20"/>
              </w:rPr>
            </w:pPr>
            <w:r>
              <w:rPr>
                <w:b/>
                <w:bCs/>
                <w:color w:val="000000"/>
                <w:sz w:val="28"/>
                <w:szCs w:val="28"/>
              </w:rPr>
              <w:t>2020</w:t>
            </w:r>
            <w:r>
              <w:rPr>
                <w:rFonts w:hint="eastAsia"/>
                <w:b/>
                <w:bCs/>
                <w:color w:val="000000"/>
                <w:sz w:val="28"/>
                <w:szCs w:val="28"/>
              </w:rPr>
              <w:t>年学生资助补助经费（高等教育）项目绩效自评指标评分表</w:t>
            </w:r>
          </w:p>
        </w:tc>
      </w:tr>
      <w:tr>
        <w:tblPrEx>
          <w:tblCellMar>
            <w:top w:w="0" w:type="dxa"/>
            <w:left w:w="108" w:type="dxa"/>
            <w:bottom w:w="0" w:type="dxa"/>
            <w:right w:w="108" w:type="dxa"/>
          </w:tblCellMar>
        </w:tblPrEx>
        <w:trPr>
          <w:trHeight w:val="420" w:hRule="atLeast"/>
        </w:trPr>
        <w:tc>
          <w:tcPr>
            <w:tcW w:w="53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5"/>
                <w:szCs w:val="15"/>
              </w:rPr>
            </w:pPr>
            <w:r>
              <w:rPr>
                <w:rFonts w:hint="eastAsia" w:ascii="宋体" w:hAnsi="宋体" w:eastAsia="宋体" w:cs="Arial"/>
                <w:kern w:val="0"/>
                <w:sz w:val="15"/>
                <w:szCs w:val="15"/>
              </w:rPr>
              <w:t>一级指标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5"/>
                <w:szCs w:val="15"/>
              </w:rPr>
            </w:pPr>
            <w:r>
              <w:rPr>
                <w:rFonts w:hint="eastAsia" w:ascii="宋体" w:hAnsi="宋体" w:eastAsia="宋体" w:cs="Arial"/>
                <w:kern w:val="0"/>
                <w:sz w:val="15"/>
                <w:szCs w:val="15"/>
              </w:rPr>
              <w:t>二级指标</w:t>
            </w: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5"/>
                <w:szCs w:val="15"/>
              </w:rPr>
            </w:pPr>
            <w:r>
              <w:rPr>
                <w:rFonts w:hint="eastAsia" w:ascii="宋体" w:hAnsi="宋体" w:eastAsia="宋体" w:cs="Arial"/>
                <w:kern w:val="0"/>
                <w:sz w:val="15"/>
                <w:szCs w:val="15"/>
              </w:rPr>
              <w:t>三级指标</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5"/>
                <w:szCs w:val="15"/>
              </w:rPr>
            </w:pPr>
            <w:r>
              <w:rPr>
                <w:rFonts w:hint="eastAsia" w:ascii="宋体" w:hAnsi="宋体" w:eastAsia="宋体" w:cs="Arial"/>
                <w:kern w:val="0"/>
                <w:sz w:val="15"/>
                <w:szCs w:val="15"/>
              </w:rPr>
              <w:t>分值</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5"/>
                <w:szCs w:val="15"/>
              </w:rPr>
            </w:pPr>
            <w:r>
              <w:rPr>
                <w:rFonts w:hint="eastAsia" w:ascii="宋体" w:hAnsi="宋体" w:eastAsia="宋体" w:cs="Arial"/>
                <w:kern w:val="0"/>
                <w:sz w:val="15"/>
                <w:szCs w:val="15"/>
              </w:rPr>
              <w:t>预期指标值</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5"/>
                <w:szCs w:val="15"/>
              </w:rPr>
            </w:pPr>
            <w:r>
              <w:rPr>
                <w:rFonts w:hint="eastAsia" w:ascii="宋体" w:hAnsi="宋体" w:eastAsia="宋体" w:cs="Arial"/>
                <w:kern w:val="0"/>
                <w:sz w:val="15"/>
                <w:szCs w:val="15"/>
              </w:rPr>
              <w:t>实际完成指标值</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5"/>
                <w:szCs w:val="15"/>
              </w:rPr>
            </w:pPr>
            <w:r>
              <w:rPr>
                <w:rFonts w:hint="eastAsia" w:ascii="宋体" w:hAnsi="宋体" w:eastAsia="宋体" w:cs="Arial"/>
                <w:kern w:val="0"/>
                <w:sz w:val="15"/>
                <w:szCs w:val="15"/>
              </w:rPr>
              <w:t>实际得分</w:t>
            </w:r>
          </w:p>
        </w:tc>
      </w:tr>
      <w:tr>
        <w:tblPrEx>
          <w:tblCellMar>
            <w:top w:w="0" w:type="dxa"/>
            <w:left w:w="108" w:type="dxa"/>
            <w:bottom w:w="0" w:type="dxa"/>
            <w:right w:w="108" w:type="dxa"/>
          </w:tblCellMar>
        </w:tblPrEx>
        <w:trPr>
          <w:trHeight w:val="420" w:hRule="atLeast"/>
        </w:trPr>
        <w:tc>
          <w:tcPr>
            <w:tcW w:w="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5"/>
                <w:szCs w:val="15"/>
              </w:rPr>
            </w:pPr>
            <w:r>
              <w:rPr>
                <w:rFonts w:hint="eastAsia" w:ascii="宋体" w:hAnsi="宋体" w:eastAsia="宋体" w:cs="Arial"/>
                <w:kern w:val="0"/>
                <w:sz w:val="15"/>
                <w:szCs w:val="15"/>
              </w:rPr>
              <w:t>完成指标</w:t>
            </w:r>
          </w:p>
        </w:tc>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5"/>
                <w:szCs w:val="15"/>
              </w:rPr>
            </w:pPr>
            <w:r>
              <w:rPr>
                <w:rFonts w:ascii="Arial" w:hAnsi="Arial" w:eastAsia="宋体" w:cs="Arial"/>
                <w:kern w:val="0"/>
                <w:sz w:val="15"/>
                <w:szCs w:val="15"/>
              </w:rPr>
              <w:t>数量指标</w:t>
            </w:r>
          </w:p>
        </w:tc>
        <w:tc>
          <w:tcPr>
            <w:tcW w:w="30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完成家庭经济困难认定学生数</w:t>
            </w:r>
          </w:p>
        </w:tc>
        <w:tc>
          <w:tcPr>
            <w:tcW w:w="528"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&gt;6000人</w:t>
            </w:r>
          </w:p>
        </w:tc>
        <w:tc>
          <w:tcPr>
            <w:tcW w:w="1144"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5515</w:t>
            </w:r>
            <w:r>
              <w:rPr>
                <w:rFonts w:hint="eastAsia" w:ascii="宋体" w:hAnsi="宋体" w:eastAsia="宋体" w:cs="Arial"/>
                <w:kern w:val="0"/>
                <w:sz w:val="15"/>
                <w:szCs w:val="15"/>
              </w:rPr>
              <w:t>人</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3</w:t>
            </w:r>
          </w:p>
        </w:tc>
      </w:tr>
      <w:tr>
        <w:tblPrEx>
          <w:tblCellMar>
            <w:top w:w="0" w:type="dxa"/>
            <w:left w:w="108" w:type="dxa"/>
            <w:bottom w:w="0" w:type="dxa"/>
            <w:right w:w="108" w:type="dxa"/>
          </w:tblCellMar>
        </w:tblPrEx>
        <w:trPr>
          <w:trHeight w:val="255"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5"/>
                <w:szCs w:val="15"/>
              </w:rPr>
            </w:pP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精准扶贫家庭学生资助覆盖率</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100%</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100%</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r>
      <w:tr>
        <w:tblPrEx>
          <w:tblCellMar>
            <w:top w:w="0" w:type="dxa"/>
            <w:left w:w="108" w:type="dxa"/>
            <w:bottom w:w="0" w:type="dxa"/>
            <w:right w:w="108" w:type="dxa"/>
          </w:tblCellMar>
        </w:tblPrEx>
        <w:trPr>
          <w:trHeight w:val="255"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5"/>
                <w:szCs w:val="15"/>
              </w:rPr>
            </w:pP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受助学生人次</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&gt;4500</w:t>
            </w:r>
            <w:r>
              <w:rPr>
                <w:rFonts w:hint="eastAsia" w:ascii="宋体" w:hAnsi="宋体" w:eastAsia="宋体" w:cs="Arial"/>
                <w:kern w:val="0"/>
                <w:sz w:val="15"/>
                <w:szCs w:val="15"/>
              </w:rPr>
              <w:t>人次</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4513</w:t>
            </w:r>
            <w:r>
              <w:rPr>
                <w:rFonts w:hint="eastAsia" w:ascii="宋体" w:hAnsi="宋体" w:eastAsia="宋体" w:cs="Arial"/>
                <w:kern w:val="0"/>
                <w:sz w:val="15"/>
                <w:szCs w:val="15"/>
              </w:rPr>
              <w:t>人</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r>
      <w:tr>
        <w:tblPrEx>
          <w:tblCellMar>
            <w:top w:w="0" w:type="dxa"/>
            <w:left w:w="108" w:type="dxa"/>
            <w:bottom w:w="0" w:type="dxa"/>
            <w:right w:w="108" w:type="dxa"/>
          </w:tblCellMar>
        </w:tblPrEx>
        <w:trPr>
          <w:trHeight w:val="255"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5"/>
                <w:szCs w:val="15"/>
              </w:rPr>
            </w:pP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完成发放奖助学金类型</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3</w:t>
            </w:r>
            <w:r>
              <w:rPr>
                <w:rFonts w:hint="eastAsia" w:ascii="宋体" w:hAnsi="宋体" w:eastAsia="宋体" w:cs="Arial"/>
                <w:kern w:val="0"/>
                <w:sz w:val="15"/>
                <w:szCs w:val="15"/>
              </w:rPr>
              <w:t>种</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3</w:t>
            </w:r>
            <w:r>
              <w:rPr>
                <w:rFonts w:hint="eastAsia" w:ascii="宋体" w:hAnsi="宋体" w:eastAsia="宋体" w:cs="Arial"/>
                <w:kern w:val="0"/>
                <w:sz w:val="15"/>
                <w:szCs w:val="15"/>
              </w:rPr>
              <w:t>种</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r>
      <w:tr>
        <w:tblPrEx>
          <w:tblCellMar>
            <w:top w:w="0" w:type="dxa"/>
            <w:left w:w="108" w:type="dxa"/>
            <w:bottom w:w="0" w:type="dxa"/>
            <w:right w:w="108" w:type="dxa"/>
          </w:tblCellMar>
        </w:tblPrEx>
        <w:trPr>
          <w:trHeight w:val="255"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质量指标</w:t>
            </w: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奖助学金按规定及时发放率(%)</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10</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100</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100</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10</w:t>
            </w:r>
          </w:p>
        </w:tc>
      </w:tr>
      <w:tr>
        <w:tblPrEx>
          <w:tblCellMar>
            <w:top w:w="0" w:type="dxa"/>
            <w:left w:w="108" w:type="dxa"/>
            <w:bottom w:w="0" w:type="dxa"/>
            <w:right w:w="108" w:type="dxa"/>
          </w:tblCellMar>
        </w:tblPrEx>
        <w:trPr>
          <w:trHeight w:val="255"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5"/>
                <w:szCs w:val="15"/>
              </w:rPr>
            </w:pP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资助评选是否公平公正公开</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10</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是</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5"/>
                <w:szCs w:val="15"/>
              </w:rPr>
            </w:pPr>
            <w:r>
              <w:rPr>
                <w:rFonts w:hint="eastAsia" w:ascii="宋体" w:hAnsi="宋体" w:eastAsia="宋体" w:cs="Arial"/>
                <w:kern w:val="0"/>
                <w:sz w:val="15"/>
                <w:szCs w:val="15"/>
              </w:rPr>
              <w:t>是</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5"/>
                <w:szCs w:val="15"/>
              </w:rPr>
            </w:pPr>
            <w:r>
              <w:rPr>
                <w:rFonts w:ascii="Arial" w:hAnsi="Arial" w:eastAsia="宋体" w:cs="Arial"/>
                <w:kern w:val="0"/>
                <w:sz w:val="15"/>
                <w:szCs w:val="15"/>
              </w:rPr>
              <w:t>10</w:t>
            </w:r>
          </w:p>
        </w:tc>
      </w:tr>
      <w:tr>
        <w:tblPrEx>
          <w:tblCellMar>
            <w:top w:w="0" w:type="dxa"/>
            <w:left w:w="108" w:type="dxa"/>
            <w:bottom w:w="0" w:type="dxa"/>
            <w:right w:w="108" w:type="dxa"/>
          </w:tblCellMar>
        </w:tblPrEx>
        <w:trPr>
          <w:trHeight w:val="255"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5"/>
                <w:szCs w:val="15"/>
              </w:rPr>
            </w:pP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保障贫困受助学生正常生活</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10</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良好</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5"/>
                <w:szCs w:val="15"/>
              </w:rPr>
            </w:pPr>
            <w:r>
              <w:rPr>
                <w:rFonts w:hint="eastAsia" w:ascii="宋体" w:hAnsi="宋体" w:eastAsia="宋体" w:cs="Arial"/>
                <w:kern w:val="0"/>
                <w:sz w:val="15"/>
                <w:szCs w:val="15"/>
              </w:rPr>
              <w:t>良好</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5"/>
                <w:szCs w:val="15"/>
              </w:rPr>
            </w:pPr>
            <w:r>
              <w:rPr>
                <w:rFonts w:ascii="Arial" w:hAnsi="Arial" w:eastAsia="宋体" w:cs="Arial"/>
                <w:kern w:val="0"/>
                <w:sz w:val="15"/>
                <w:szCs w:val="15"/>
              </w:rPr>
              <w:t>10</w:t>
            </w:r>
          </w:p>
        </w:tc>
      </w:tr>
      <w:tr>
        <w:tblPrEx>
          <w:tblCellMar>
            <w:top w:w="0" w:type="dxa"/>
            <w:left w:w="108" w:type="dxa"/>
            <w:bottom w:w="0" w:type="dxa"/>
            <w:right w:w="108" w:type="dxa"/>
          </w:tblCellMar>
        </w:tblPrEx>
        <w:trPr>
          <w:trHeight w:val="255"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时效指标</w:t>
            </w: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国家奖助学金完成时间</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2020年12月</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2020年12月</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r>
      <w:tr>
        <w:tblPrEx>
          <w:tblCellMar>
            <w:top w:w="0" w:type="dxa"/>
            <w:left w:w="108" w:type="dxa"/>
            <w:bottom w:w="0" w:type="dxa"/>
            <w:right w:w="108" w:type="dxa"/>
          </w:tblCellMar>
        </w:tblPrEx>
        <w:trPr>
          <w:trHeight w:val="255"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成本指标</w:t>
            </w: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国家奖学金</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12.8</w:t>
            </w:r>
            <w:r>
              <w:rPr>
                <w:rFonts w:hint="eastAsia" w:ascii="宋体" w:hAnsi="宋体" w:eastAsia="宋体" w:cs="Arial"/>
                <w:kern w:val="0"/>
                <w:sz w:val="15"/>
                <w:szCs w:val="15"/>
              </w:rPr>
              <w:t>万</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13.6</w:t>
            </w:r>
            <w:r>
              <w:rPr>
                <w:rFonts w:hint="eastAsia" w:ascii="宋体" w:hAnsi="宋体" w:eastAsia="宋体" w:cs="Arial"/>
                <w:kern w:val="0"/>
                <w:sz w:val="15"/>
                <w:szCs w:val="15"/>
              </w:rPr>
              <w:t>万</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r>
      <w:tr>
        <w:tblPrEx>
          <w:tblCellMar>
            <w:top w:w="0" w:type="dxa"/>
            <w:left w:w="108" w:type="dxa"/>
            <w:bottom w:w="0" w:type="dxa"/>
            <w:right w:w="108" w:type="dxa"/>
          </w:tblCellMar>
        </w:tblPrEx>
        <w:trPr>
          <w:trHeight w:val="255"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5"/>
                <w:szCs w:val="15"/>
              </w:rPr>
            </w:pPr>
          </w:p>
        </w:tc>
        <w:tc>
          <w:tcPr>
            <w:tcW w:w="30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国家励志奖学金</w:t>
            </w:r>
          </w:p>
        </w:tc>
        <w:tc>
          <w:tcPr>
            <w:tcW w:w="528"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166</w:t>
            </w:r>
            <w:r>
              <w:rPr>
                <w:rFonts w:hint="eastAsia" w:ascii="宋体" w:hAnsi="宋体" w:eastAsia="宋体" w:cs="Arial"/>
                <w:kern w:val="0"/>
                <w:sz w:val="15"/>
                <w:szCs w:val="15"/>
              </w:rPr>
              <w:t>万元</w:t>
            </w:r>
          </w:p>
        </w:tc>
        <w:tc>
          <w:tcPr>
            <w:tcW w:w="1144"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30.58</w:t>
            </w:r>
            <w:r>
              <w:rPr>
                <w:rFonts w:hint="eastAsia" w:ascii="宋体" w:hAnsi="宋体" w:eastAsia="宋体" w:cs="Arial"/>
                <w:kern w:val="0"/>
                <w:sz w:val="15"/>
                <w:szCs w:val="15"/>
              </w:rPr>
              <w:t>万</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2</w:t>
            </w:r>
          </w:p>
        </w:tc>
      </w:tr>
      <w:tr>
        <w:tblPrEx>
          <w:tblCellMar>
            <w:top w:w="0" w:type="dxa"/>
            <w:left w:w="108" w:type="dxa"/>
            <w:bottom w:w="0" w:type="dxa"/>
            <w:right w:w="108" w:type="dxa"/>
          </w:tblCellMar>
        </w:tblPrEx>
        <w:trPr>
          <w:trHeight w:val="420"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5"/>
                <w:szCs w:val="15"/>
              </w:rPr>
            </w:pP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国家助学金</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1236.2万元</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1370.82</w:t>
            </w:r>
            <w:r>
              <w:rPr>
                <w:rFonts w:hint="eastAsia" w:ascii="宋体" w:hAnsi="宋体" w:eastAsia="宋体" w:cs="Arial"/>
                <w:kern w:val="0"/>
                <w:sz w:val="15"/>
                <w:szCs w:val="15"/>
              </w:rPr>
              <w:t>万</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r>
      <w:tr>
        <w:tblPrEx>
          <w:tblCellMar>
            <w:top w:w="0" w:type="dxa"/>
            <w:left w:w="108" w:type="dxa"/>
            <w:bottom w:w="0" w:type="dxa"/>
            <w:right w:w="108" w:type="dxa"/>
          </w:tblCellMar>
        </w:tblPrEx>
        <w:trPr>
          <w:trHeight w:val="420" w:hRule="atLeast"/>
        </w:trPr>
        <w:tc>
          <w:tcPr>
            <w:tcW w:w="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5"/>
                <w:szCs w:val="15"/>
              </w:rPr>
            </w:pPr>
            <w:r>
              <w:rPr>
                <w:rFonts w:hint="eastAsia" w:ascii="宋体" w:hAnsi="宋体" w:eastAsia="宋体" w:cs="Arial"/>
                <w:kern w:val="0"/>
                <w:sz w:val="15"/>
                <w:szCs w:val="15"/>
              </w:rPr>
              <w:t>效益指标</w:t>
            </w:r>
          </w:p>
        </w:tc>
        <w:tc>
          <w:tcPr>
            <w:tcW w:w="1277"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5"/>
                <w:szCs w:val="15"/>
              </w:rPr>
            </w:pPr>
            <w:r>
              <w:rPr>
                <w:rFonts w:ascii="Arial" w:hAnsi="Arial" w:eastAsia="宋体" w:cs="Arial"/>
                <w:kern w:val="0"/>
                <w:sz w:val="15"/>
                <w:szCs w:val="15"/>
              </w:rPr>
              <w:t>社会效益指标</w:t>
            </w: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学生因贫失学率(%)</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10</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0</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0</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10</w:t>
            </w:r>
          </w:p>
        </w:tc>
      </w:tr>
      <w:tr>
        <w:tblPrEx>
          <w:tblCellMar>
            <w:top w:w="0" w:type="dxa"/>
            <w:left w:w="108" w:type="dxa"/>
            <w:bottom w:w="0" w:type="dxa"/>
            <w:right w:w="108" w:type="dxa"/>
          </w:tblCellMar>
        </w:tblPrEx>
        <w:trPr>
          <w:trHeight w:val="420"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tcBorders>
              <w:top w:val="nil"/>
              <w:left w:val="nil"/>
              <w:bottom w:val="single" w:color="auto" w:sz="4" w:space="0"/>
              <w:right w:val="single" w:color="auto" w:sz="4" w:space="0"/>
            </w:tcBorders>
            <w:shd w:val="clear" w:color="auto" w:fill="auto"/>
            <w:vAlign w:val="center"/>
          </w:tcPr>
          <w:p>
            <w:pPr>
              <w:widowControl/>
              <w:spacing w:line="24" w:lineRule="auto"/>
              <w:jc w:val="center"/>
              <w:rPr>
                <w:rFonts w:ascii="Arial" w:hAnsi="Arial" w:eastAsia="宋体" w:cs="Arial"/>
                <w:kern w:val="0"/>
                <w:sz w:val="15"/>
                <w:szCs w:val="15"/>
              </w:rPr>
            </w:pPr>
            <w:r>
              <w:rPr>
                <w:rFonts w:ascii="Arial" w:hAnsi="Arial" w:eastAsia="宋体" w:cs="Arial"/>
                <w:kern w:val="0"/>
                <w:sz w:val="15"/>
                <w:szCs w:val="15"/>
              </w:rPr>
              <w:t>可持续影响指标</w:t>
            </w: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学生和家长对党和国家以及社会的感恩意识</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5"/>
                <w:szCs w:val="15"/>
              </w:rPr>
            </w:pPr>
            <w:r>
              <w:rPr>
                <w:rFonts w:hint="eastAsia" w:ascii="宋体" w:hAnsi="宋体" w:eastAsia="宋体" w:cs="Arial"/>
                <w:kern w:val="0"/>
                <w:sz w:val="15"/>
                <w:szCs w:val="15"/>
              </w:rPr>
              <w:t>提升</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Arial"/>
                <w:kern w:val="0"/>
                <w:sz w:val="15"/>
                <w:szCs w:val="15"/>
              </w:rPr>
            </w:pPr>
            <w:r>
              <w:rPr>
                <w:rFonts w:hint="eastAsia" w:ascii="宋体" w:hAnsi="宋体" w:eastAsia="宋体" w:cs="Arial"/>
                <w:kern w:val="0"/>
                <w:sz w:val="15"/>
                <w:szCs w:val="15"/>
              </w:rPr>
              <w:t>提升</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5"/>
                <w:szCs w:val="15"/>
              </w:rPr>
            </w:pPr>
            <w:r>
              <w:rPr>
                <w:rFonts w:ascii="Arial" w:hAnsi="Arial" w:eastAsia="宋体" w:cs="Arial"/>
                <w:kern w:val="0"/>
                <w:sz w:val="15"/>
                <w:szCs w:val="15"/>
              </w:rPr>
              <w:t>5</w:t>
            </w:r>
          </w:p>
        </w:tc>
      </w:tr>
      <w:tr>
        <w:tblPrEx>
          <w:tblCellMar>
            <w:top w:w="0" w:type="dxa"/>
            <w:left w:w="108" w:type="dxa"/>
            <w:bottom w:w="0" w:type="dxa"/>
            <w:right w:w="108" w:type="dxa"/>
          </w:tblCellMar>
        </w:tblPrEx>
        <w:trPr>
          <w:trHeight w:val="255" w:hRule="atLeast"/>
        </w:trPr>
        <w:tc>
          <w:tcPr>
            <w:tcW w:w="5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5"/>
                <w:szCs w:val="15"/>
              </w:rPr>
            </w:pPr>
            <w:r>
              <w:rPr>
                <w:rFonts w:hint="eastAsia" w:ascii="宋体" w:hAnsi="宋体" w:eastAsia="宋体" w:cs="Arial"/>
                <w:kern w:val="0"/>
                <w:sz w:val="15"/>
                <w:szCs w:val="15"/>
              </w:rPr>
              <w:t>满意度指标</w:t>
            </w:r>
          </w:p>
        </w:tc>
        <w:tc>
          <w:tcPr>
            <w:tcW w:w="127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5"/>
                <w:szCs w:val="15"/>
              </w:rPr>
            </w:pPr>
            <w:r>
              <w:rPr>
                <w:rFonts w:ascii="Arial" w:hAnsi="Arial" w:eastAsia="宋体" w:cs="Arial"/>
                <w:kern w:val="0"/>
                <w:sz w:val="15"/>
                <w:szCs w:val="15"/>
              </w:rPr>
              <w:t>满意度指标</w:t>
            </w: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学生、家长抽样调查满意度(%)</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90</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95</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r>
      <w:tr>
        <w:tblPrEx>
          <w:tblCellMar>
            <w:top w:w="0" w:type="dxa"/>
            <w:left w:w="108" w:type="dxa"/>
            <w:bottom w:w="0" w:type="dxa"/>
            <w:right w:w="108" w:type="dxa"/>
          </w:tblCellMar>
        </w:tblPrEx>
        <w:trPr>
          <w:trHeight w:val="255"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5"/>
                <w:szCs w:val="15"/>
              </w:rPr>
            </w:pPr>
          </w:p>
        </w:tc>
        <w:tc>
          <w:tcPr>
            <w:tcW w:w="308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学生评优、助学评定投诉率(%)</w:t>
            </w:r>
          </w:p>
        </w:tc>
        <w:tc>
          <w:tcPr>
            <w:tcW w:w="528"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0</w:t>
            </w:r>
          </w:p>
        </w:tc>
        <w:tc>
          <w:tcPr>
            <w:tcW w:w="1144"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0.02</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Arial" w:hAnsi="Arial" w:eastAsia="宋体" w:cs="Arial"/>
                <w:kern w:val="0"/>
                <w:sz w:val="15"/>
                <w:szCs w:val="15"/>
              </w:rPr>
            </w:pPr>
            <w:r>
              <w:rPr>
                <w:rFonts w:ascii="Arial" w:hAnsi="Arial" w:eastAsia="宋体" w:cs="Arial"/>
                <w:kern w:val="0"/>
                <w:sz w:val="15"/>
                <w:szCs w:val="15"/>
              </w:rPr>
              <w:t>3</w:t>
            </w:r>
          </w:p>
        </w:tc>
      </w:tr>
      <w:tr>
        <w:tblPrEx>
          <w:tblCellMar>
            <w:top w:w="0" w:type="dxa"/>
            <w:left w:w="108" w:type="dxa"/>
            <w:bottom w:w="0" w:type="dxa"/>
            <w:right w:w="108" w:type="dxa"/>
          </w:tblCellMar>
        </w:tblPrEx>
        <w:trPr>
          <w:trHeight w:val="255" w:hRule="atLeast"/>
        </w:trPr>
        <w:tc>
          <w:tcPr>
            <w:tcW w:w="531"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Arial"/>
                <w:kern w:val="0"/>
                <w:sz w:val="15"/>
                <w:szCs w:val="15"/>
              </w:rPr>
            </w:pPr>
          </w:p>
        </w:tc>
        <w:tc>
          <w:tcPr>
            <w:tcW w:w="1277" w:type="dxa"/>
            <w:vMerge w:val="continue"/>
            <w:tcBorders>
              <w:top w:val="nil"/>
              <w:left w:val="single" w:color="auto" w:sz="4" w:space="0"/>
              <w:bottom w:val="single" w:color="auto" w:sz="4" w:space="0"/>
              <w:right w:val="single" w:color="auto" w:sz="4" w:space="0"/>
            </w:tcBorders>
            <w:shd w:val="clear" w:color="auto" w:fill="auto"/>
            <w:vAlign w:val="center"/>
          </w:tcPr>
          <w:p>
            <w:pPr>
              <w:widowControl/>
              <w:jc w:val="left"/>
              <w:rPr>
                <w:rFonts w:ascii="Arial" w:hAnsi="Arial" w:eastAsia="宋体" w:cs="Arial"/>
                <w:kern w:val="0"/>
                <w:sz w:val="15"/>
                <w:szCs w:val="15"/>
              </w:rPr>
            </w:pPr>
          </w:p>
        </w:tc>
        <w:tc>
          <w:tcPr>
            <w:tcW w:w="3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受资助学生满意度(%)</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95</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97</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5</w:t>
            </w:r>
          </w:p>
        </w:tc>
      </w:tr>
      <w:tr>
        <w:tblPrEx>
          <w:tblCellMar>
            <w:top w:w="0" w:type="dxa"/>
            <w:left w:w="108" w:type="dxa"/>
            <w:bottom w:w="0" w:type="dxa"/>
            <w:right w:w="108" w:type="dxa"/>
          </w:tblCellMar>
        </w:tblPrEx>
        <w:trPr>
          <w:trHeight w:val="255" w:hRule="atLeast"/>
        </w:trPr>
        <w:tc>
          <w:tcPr>
            <w:tcW w:w="48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Arial"/>
                <w:kern w:val="0"/>
                <w:sz w:val="15"/>
                <w:szCs w:val="15"/>
              </w:rPr>
            </w:pPr>
            <w:r>
              <w:rPr>
                <w:rFonts w:hint="eastAsia" w:ascii="宋体" w:hAnsi="宋体" w:eastAsia="宋体" w:cs="Arial"/>
                <w:kern w:val="0"/>
                <w:sz w:val="15"/>
                <w:szCs w:val="15"/>
              </w:rPr>
              <w:t>合计</w:t>
            </w:r>
          </w:p>
        </w:tc>
        <w:tc>
          <w:tcPr>
            <w:tcW w:w="528"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5"/>
                <w:szCs w:val="15"/>
              </w:rPr>
            </w:pPr>
            <w:r>
              <w:rPr>
                <w:rFonts w:ascii="Arial" w:hAnsi="Arial" w:eastAsia="宋体" w:cs="Arial"/>
                <w:kern w:val="0"/>
                <w:sz w:val="15"/>
                <w:szCs w:val="15"/>
              </w:rPr>
              <w:t>100</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　</w:t>
            </w:r>
          </w:p>
        </w:tc>
        <w:tc>
          <w:tcPr>
            <w:tcW w:w="1144" w:type="dxa"/>
            <w:tcBorders>
              <w:top w:val="nil"/>
              <w:left w:val="nil"/>
              <w:bottom w:val="single" w:color="auto" w:sz="4" w:space="0"/>
              <w:right w:val="single" w:color="auto" w:sz="4" w:space="0"/>
            </w:tcBorders>
            <w:shd w:val="clear" w:color="auto" w:fill="auto"/>
            <w:vAlign w:val="center"/>
          </w:tcPr>
          <w:p>
            <w:pPr>
              <w:widowControl/>
              <w:jc w:val="center"/>
              <w:rPr>
                <w:rFonts w:ascii="Arial" w:hAnsi="Arial" w:eastAsia="宋体" w:cs="Arial"/>
                <w:kern w:val="0"/>
                <w:sz w:val="15"/>
                <w:szCs w:val="15"/>
              </w:rPr>
            </w:pPr>
            <w:r>
              <w:rPr>
                <w:rFonts w:ascii="Arial" w:hAnsi="Arial" w:eastAsia="宋体" w:cs="Arial"/>
                <w:kern w:val="0"/>
                <w:sz w:val="15"/>
                <w:szCs w:val="15"/>
              </w:rPr>
              <w:t>　</w:t>
            </w:r>
          </w:p>
        </w:tc>
        <w:tc>
          <w:tcPr>
            <w:tcW w:w="816" w:type="dxa"/>
            <w:tcBorders>
              <w:top w:val="nil"/>
              <w:left w:val="nil"/>
              <w:bottom w:val="single" w:color="auto" w:sz="4" w:space="0"/>
              <w:right w:val="single" w:color="auto" w:sz="4" w:space="0"/>
            </w:tcBorders>
            <w:shd w:val="clear" w:color="auto" w:fill="auto"/>
            <w:vAlign w:val="center"/>
          </w:tcPr>
          <w:p>
            <w:pPr>
              <w:widowControl/>
              <w:jc w:val="center"/>
              <w:rPr>
                <w:rFonts w:hint="eastAsia" w:ascii="Arial" w:hAnsi="Arial" w:eastAsia="宋体" w:cs="Arial"/>
                <w:kern w:val="0"/>
                <w:sz w:val="15"/>
                <w:szCs w:val="15"/>
              </w:rPr>
            </w:pPr>
            <w:r>
              <w:rPr>
                <w:rFonts w:ascii="Arial" w:hAnsi="Arial" w:eastAsia="宋体" w:cs="Arial"/>
                <w:kern w:val="0"/>
                <w:sz w:val="15"/>
                <w:szCs w:val="15"/>
              </w:rPr>
              <w:t>93</w:t>
            </w:r>
          </w:p>
        </w:tc>
      </w:tr>
    </w:tbl>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评分说明：数量指标中家庭经济困难认定学生数预期指标值&gt;6000人,实际完成指标值为5515人，因国家扶贫政策成效明显， 众多家庭实现脱贫，家庭经济状况得到极大改善，申请困难认定学生的人数相比预期减少；成本指标中国家励志奖学金预期指标值支出166万元，完成指标值为30.58万元，主要原因是，年初设定目标为全年学校国家励志奖学金的发放总额，实际发生额为205万元，该项目支出30.58万元，中期追加其他项目支出174.42万元；满意度指标中学生评优、助学评定投诉率预期指标值为0%，实际指标值为0.02%，主要因为在实际评审过程中，1位学生因为信息不对称或是其他参评学生信息不了解，对评审过程存在疑问，经充分沟通，该学生已无异议 。</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四、绩效评价分析</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（一）项目决策情况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学校国家奖助学金资助项目上级文件为科学依据，立项规范，国家奖助学金资助项目符合国家相关法律法规，项目总目标在于激励在校学生努力学习，奋发向上，力争上游；保障家庭经济困难学生基本生活，保证其都能安心学习，顺利完成学业。立项具有很强的合理性。学校学生资助管理中心与计财处共同完成项目绩效目标指标，指标清晰、可衡量，资金量与预算相匹配，本项目绩效指标十分明确。同时，本项目资金由四川省财政厅拨付，在规定时间全部到齐。学校将该项目所有资金均用于我校学生的奖励与资助，执行率百分之百，项目资金全部落实到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（二）项目管理情况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根据该项目的管理要求，我校成立了以党委书记和校长任组长的学院国家奖助学金评审领导小组和评审委员会，建立了校、系、班为单位的三级学生资助管理机构，由学校学生资助管理中心负责该项目的全面统筹，各机构均有固定场所和办公设备，我校国家奖助学金助学项目管理机构健全。学校制定了《家庭经济困难学生认定管理办法》、《国家奖助学金评审管理办法》、《国家奖助学金档案管理办法》等系列评审管理制度，并在评审前发布了《关于评选2020年国家奖助学金通知》文件，在管理制度中，明确了国家奖学金、国家励志奖学金、国家助学金的申请条件，评选标准和评选、审核流程，做到评审过程有据可依，有章可循，本项目评审管理制度完整，质量可控。本项目评审过程中，辅导员、班级导师、系部党总支书记、党政办班子等，层级清楚、分工明确，履行职责，发挥作用。各级评定结果均有公示期并设立了举报投诉电话，对学生举报投诉的事件确保在本工作日内进行积极调查和妥善处理，保证了整个学生奖助学金评审程序的公开、公平、公正。</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学校计财处对该项目资金建立有相应的管理制度，并实行单独核算，做到专款专用。该资助项目的账簿及原始凭证齐全，账实相符，能全面反映项目资金使用的财务信息和实际状况，会计核算清楚规范，做到随时可随时调档追踪所有资金的来源与去向。</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（三）项目产出情况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2020年，我校在校生人数12612人，评定国家奖学金17人，资助率0.13%，符合国家奖学金条件的优秀学生覆盖率66%，资助资金13.6万元；国家励志奖学金62人，资助率0.49%，符合励志奖学金资助的励志学生覆盖率74%，资助资金30.58万元；评选国家助学金4086人，资助率32.40%，家庭经济困难学生覆盖率100%，资助资金1370.82万元。2020年国家奖助学金资助项目资金均在规定时间内发放到位。四川省学生资助管理中心下达关于发放国家奖助学金通知的要求后，学校学生资助管理中心及时向学校提交请款报告，审批通过后，组织获奖受助学生进行信息核对并签字。将获奖受助学生信息报送学校计财处，并组织学生将本人银行卡绑定I工院系统，由学校计财处及时、准确发放到每一位获奖受助学生银行卡。学生收到资助资金后，学校学生资助管理中心组织学生进行到账确认签字，实现资金环流的闭合。</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（四）项目效益情况。</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2020年，国家奖助学金资助项目实现了对我校家庭经济困难学生的应助尽助，精准资助，我校无一学生出现因家庭经济困难而退学情况。在国家奖助学金秋季发放完成后，我校立即在全校范围内开展了“示范引领、感恩教育”系列活动，在获奖受助学生中选择优秀典型，要求各班、各系通过工作网站、易班平台、展板等多方式、多途径进行宣传，并鼓励各系、各班邀请优秀受助学生到系到班开展宣讲，为其他学生树立榜样。动员获奖受助学生以“感恩•奉献•砥砺前行”为主题，给党和国家、学校写一封信，增强学生对国家资助的认识，促进资助资金的合理使用，强化受助学生的学习教育。国家奖助学金资助项目不仅减轻了我校受助学生家庭经济压力，为受助学生心理压力减负，让学生安心于学业，促进个人得到全面的发展和提升，同时也通过感恩教育、示范引领，让其他同学感受到党和国家的关怀与温暖，朋辈教育激发全校学生的学习斗志。学生积极参加社会志愿者等公益活动，用实际行动回馈于社会。我校获奖受助学学生呈现就业率高，就业质量高趋势，能扎根于基层，勤奋刻苦，为国家发展，民族复兴贡献力量。通过对家庭经济困难学生走访、电话访谈等方式抽样调查，学生家长对学校学生资助十分满意，对党和国家满怀感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五、存在主要问题</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1．项目绩效评价对学校来说，还属于比较新的一个领域，对其认识还需要一个过程，传统的、固有的观念也给绩效评价工作带来比较大的阻力。</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学校缺少一个对应的业务部门和专业技术人才来管理、负责绩效评价工作。项目绩效评价的工作由相关部门成立的临时组织负责，组织中的成员均为经过专业的业务培训，导致在评价过程中，工作开展比较吃力，一定程度上影响绩效项目评价的过程和结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六、相关措施建议</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1.上级部门加强对下级部门的项目绩效评价工作的业务指导，同时，组织下级部门的相关业务人员进行专业的业务培训，提高项目绩效评价工作的理论水平和实践工作水平。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2.学校层面要重视项目绩效评价工作，应成立相对稳定的项目绩效评价工作小组，工作小组成员要加强对项目绩效评价工作的认识，自觉学习相关知识和理论，提高业务水平。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2020年部门预算项目支出绩效自评报告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Ansi="宋体" w:eastAsia="仿宋_GB2312"/>
          <w:color w:val="auto"/>
          <w:sz w:val="32"/>
          <w:szCs w:val="32"/>
          <w:highlight w:val="none"/>
        </w:rPr>
      </w:pPr>
      <w:r>
        <w:rPr>
          <w:rFonts w:hint="eastAsia" w:hAnsi="宋体" w:eastAsia="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CN" w:bidi="ar-SA"/>
        </w:rPr>
        <w:t>提质培优建设教学实训设备项目</w:t>
      </w:r>
      <w:r>
        <w:rPr>
          <w:rFonts w:hint="eastAsia" w:hAnsi="宋体" w:eastAsia="仿宋_GB2312"/>
          <w:color w:val="auto"/>
          <w:sz w:val="32"/>
          <w:szCs w:val="32"/>
          <w:highlight w:val="none"/>
        </w:rPr>
        <w:t>）</w:t>
      </w:r>
    </w:p>
    <w:p>
      <w:pPr>
        <w:pStyle w:val="6"/>
        <w:rPr>
          <w:rFonts w:hint="eastAsia" w:hAnsi="仿宋_GB2312" w:cs="仿宋_GB2312"/>
          <w:color w:val="auto"/>
          <w:sz w:val="32"/>
          <w:szCs w:val="32"/>
          <w:highlight w:val="none"/>
          <w:lang w:val="en-US" w:eastAsia="zh-CN"/>
        </w:rPr>
      </w:pP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一、基本情况</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2020年根据年初预算安排，项目资金内容包含政府采购项目资金421万元和非政府采购项目资金191万元。政府采购项目包含设备类采购和服务类采购，包括：多媒体教室设备采购130万元，酒食系教学资源库采购100万元，校园公共场所绿化外包191万（根据提前政府采购三年中标合同延续项目）。非政府采购项目包括：完善工业设计创客教室35万元，信息系综合实训楼机房网线、电源改造30万元， 教务处课程建设49万元，教学课程运营平台建设20万元，专业教材出版49万元，信息系电子商务专业竞赛8万元。</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该项目资金实际投入612万元，实际完成506.39万元，年末结转69.99万元，年末结余35.62万元，结余资金被财政收回。</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该项目预期绩效目标是高职学院按照产教深度融合、校企合作、工学交替的要求，通过资金投入改善办学条件，添置教学必须的实验实训设备，进一步更好的推进项目教学，案例教学，提高教学质量，强化学生专业培养。</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二、评价工作开展情况</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学校严格按照省经信厅、省财政厅预算绩效编制要求，结合学校教育教学、行政管理、后勤保障、优质院校建设等情况，编制预算项目和预算金额，预算编制尽可能细化量化，测算依据充分，确保科学准确，尤其是预算绩效目标从数量、质量、时间、效益等方面均编制了具体目标。</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三、综合评价结论（附评分表）</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学校自觉遵守财经纪律，较好完成了该项目资金的预期目标任务，保证了教育教学正常运转，尤其是省级优质院校建设任务。根据2020年预算项目支出绩效评价指标体系的计分标准，该项目资金使用绩效评价综合结论为96分。</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四、绩效评价分析</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（一）项目决策情况</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学校制定并完善了相关财务管理制度，建立了内部控制体系，在项目资金使用过程中，加强内部控制，严格报账审核，对资料不齐全、票据不规范、签字手续不完善的不予报销，项目资金申请、审核、支付由不同人员完成，按月通报预算执行进度，组织召开预算执行推进会，严格预算执行考核，保证了各项目标任务及全年预算任务的完成，保证了资金合规、有效使用。</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（二）项目管理情况</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学校严格按照要求，对照项目绩效目标和年度工作任务，按照民主、公开原则，将绩效目标与实际完成情况进行了梳理，并向各部门进行了通报，要求各部门增强预算绩效意识，进一步采取措施，加快预算执行进度，提高资金使用效益。</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（三）项目产出情况</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通过一年的建设，完成项目资金506.39万元，购买的实训设施设备可持续使用8年及以上，学生综合素质及学生满意度超过90%。</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（四）项目效益情况</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该项目完成年初预算编制绩效目标11项任务，基本完成项目资金绩效目标。</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五、存在主要问题</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1．预算编制预见性还不够，考虑还不够周全，项目支出预算还不够准确。</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2.预算执行不均衡，上半年预算执行很慢，下半年预算执行压力较大，预算执行进度不能达到财政厅的序时进度要求，特别是酒食系教学资源库采购项目，因采购程序多，建设周期长，预算执行滞后，未完成资金支付任务，出现资金结转使用现象。</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六、相关措施建议</w:t>
      </w:r>
    </w:p>
    <w:p>
      <w:pPr>
        <w:pStyle w:val="6"/>
        <w:rPr>
          <w:rFonts w:hint="eastAsia" w:hAnsi="仿宋_GB2312" w:cs="仿宋_GB2312"/>
          <w:color w:val="auto"/>
          <w:sz w:val="32"/>
          <w:szCs w:val="32"/>
          <w:highlight w:val="none"/>
          <w:lang w:val="en-US" w:eastAsia="zh-CN"/>
        </w:rPr>
      </w:pPr>
      <w:r>
        <w:rPr>
          <w:rFonts w:hint="eastAsia" w:hAnsi="仿宋_GB2312" w:cs="仿宋_GB2312"/>
          <w:color w:val="auto"/>
          <w:sz w:val="32"/>
          <w:szCs w:val="32"/>
          <w:highlight w:val="none"/>
          <w:lang w:val="en-US" w:eastAsia="zh-CN"/>
        </w:rPr>
        <w:t xml:space="preserve">    1.加强预算法规的宣传学习，进一步增强预算管理意识，提高预算编制水平，确保预算编制科学化、精细化，增强预算的可执行性。</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2.加强财务管理制度建设，强化内部控制监督体系。按时统计并通报预算执行进度，严格预算执行考核，督促各部门早计划，早安排，尤其是政府采购项目，要做好规划论证与参数编制，避免招标流标，提高预算执行均衡性与执行率。 </w:t>
      </w:r>
      <w:r>
        <w:rPr>
          <w:rFonts w:hint="eastAsia" w:ascii="仿宋_GB2312" w:hAnsi="仿宋_GB2312" w:eastAsia="仿宋_GB2312" w:cs="仿宋_GB2312"/>
          <w:color w:val="auto"/>
          <w:sz w:val="32"/>
          <w:szCs w:val="32"/>
          <w:highlight w:val="none"/>
          <w:lang w:eastAsia="zh-CN"/>
        </w:rPr>
        <w:t>视项目</w:t>
      </w: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2020年部门预算项目支出绩效自评报告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Ansi="宋体" w:eastAsia="仿宋_GB2312"/>
          <w:color w:val="auto"/>
          <w:sz w:val="32"/>
          <w:szCs w:val="32"/>
          <w:highlight w:val="none"/>
        </w:rPr>
      </w:pPr>
      <w:r>
        <w:rPr>
          <w:rFonts w:hint="eastAsia" w:hAnsi="宋体" w:eastAsia="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CN" w:bidi="ar-SA"/>
        </w:rPr>
        <w:t>学生素质工程项目</w:t>
      </w:r>
      <w:r>
        <w:rPr>
          <w:rFonts w:hint="eastAsia" w:hAnsi="宋体" w:eastAsia="仿宋_GB2312"/>
          <w:color w:val="auto"/>
          <w:sz w:val="32"/>
          <w:szCs w:val="32"/>
          <w:highlight w:val="none"/>
        </w:rPr>
        <w:t>）</w:t>
      </w: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一、基本情况</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学校2020年预算并实施了学生素质工程项目。本项目主要包括学生思想素质工程、心理素质工程、身体健康工程、生活服务工程、社会实践工程、社团活动建设工程、青年学生思想引领工程等建设内容，预算财政拨款302万元，财政专户管理的资金20万元。</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在新冠疫情防控的背景下，全校师生共同努力，圆满地完成了项目建设。本项目执行财政拨款资金296.04万元，财政专户管理的资金0万元， 完成了7项绩效指标，均达到预期指标值，分别是：参加14项省市学生活动，获得省市级奖项263人次，学生活动按期完成率100%，控制学生活动物资采购成本98万元，学生综合素质以及就业单位对学生评价不断提高，学生满意度达到95%。</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二、评价工作开展情况</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学校认真组织相关部门人员，积极开展项目绩效评价工作。首先确定预算绩效评价的评价主体为学校学生处，该部门为本项目的主管部门，熟悉学生活动的管理与流程，确定了本项目涵盖的参与人员、项目内容以及资金预算。评价客体为本项目整体完成情况，主要包括学生思想、心理、身体、生活服务、社会实践、团队建设等方面的活动。在评价指标体系的设定方面，学校本着正确衡量预算作用的目的，充分考虑项目经费投入和成果产出的效率、效益和效果，在选取指标的时候遵循可操作性原则、重要性原则、科学性原则、可比性原则、长期效益原则等几大指标原则，设定了7项绩效指标，这些指标易获取，具有可操作性；数量适中，不会使整个体系臃肿；特点鲜明，能保证评价质量；在纵向横向均可比的情况下，拒绝短视行为，引导评价客体的长期效益意识。评价方法采用层次分析法，通过熟悉项目情况的人员对相关元素重要性的判断，两两形成比较，判断出相比较的元素谁更加重要以及相对的重要程度，在通过判断矩阵来确定各指标的权重值。此方法操作简单，结果明确，使用范围广，是常用的分析方法。评价标准采用分级评分法和是否评分法相结合的方法。</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三、综合评价结论</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在2020年新冠疫情防控的背景下，本项目财政拨款预算执行进度达到98.03%，圆满完成预算设定的绩效评价指标。</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该绩效评价体系指标比较符合实际，既可以为学校提供决策依据，又可以为学生部门提供比较数据，充分衡量投入产出效果，对项目的编制有促进作用。</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四、绩效评价分析</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（一）项目决策情况</w:t>
      </w:r>
    </w:p>
    <w:p>
      <w:pPr>
        <w:pStyle w:val="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项目在设立时严格遵照学校制定的文件《四川化工职业技术学院预算管理暂行办法》《四川化工职业技术学院专用项目预算管理暂行办法》，经过学校专用项目预算编审小组初审、分管校领导统筹、学校院长办公会初审，再经教指委、学术委、教代会审议，学校院长办公会复审，学校党委会审定，批准2020年预算并执行本项目，管理制度健全完善，与学校年度目标一致。</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（二）项目管理情况</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本项目全力服务学校“12348”学生育人工作体系，紧紧围绕学生发展规律，根据学校学生工作年度目标任务，有序开展项目管理工作。</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（三）项目产出情况</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本项目实际完成指标值均超过预期指标值。</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（四）项目效益情况。</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本项目持续提升学生综合素质，就业单位对学生综合素质评价不断提高。</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五、存在主要问题</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一是部分学生活动受疫情反复影响，不能顺利开展，影响预算执行效果。二是学生素质工程中学生活动存在上半年少、下半年多的客观事实。</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六、相关措施建议</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一是合理规划学生活动，做到全年均衡开展,经费均衡使用。二是加强业务培训，指导学生素质工程部门负责人和具体经办人合理规划经费使用情况。</w:t>
      </w: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                     </w:t>
      </w: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2020年部门预算项目支出绩效自评报告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Ansi="宋体" w:eastAsia="仿宋_GB2312"/>
          <w:color w:val="auto"/>
          <w:sz w:val="32"/>
          <w:szCs w:val="32"/>
          <w:highlight w:val="none"/>
        </w:rPr>
      </w:pPr>
      <w:r>
        <w:rPr>
          <w:rFonts w:hint="eastAsia" w:hAnsi="宋体" w:eastAsia="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安保和学生宿舍管理项目</w:t>
      </w:r>
      <w:r>
        <w:rPr>
          <w:rFonts w:hint="eastAsia" w:hAnsi="宋体" w:eastAsia="仿宋_GB2312"/>
          <w:color w:val="auto"/>
          <w:sz w:val="32"/>
          <w:szCs w:val="32"/>
          <w:highlight w:val="none"/>
        </w:rPr>
        <w:t>）</w:t>
      </w:r>
    </w:p>
    <w:p>
      <w:pPr>
        <w:pStyle w:val="6"/>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一、基本情况</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（一）项目概况：</w:t>
      </w:r>
    </w:p>
    <w:p>
      <w:pPr>
        <w:pStyle w:val="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 随着学院发展，在校生规模增加，承担社会培训任务增加，需加强校园安保管理、学生管理工作。为给师生营造更安全和谐的生活学习环境，提高学生宿舍管理的服务质量，维护校园安全，保障师生员工工作生活秩序，我院实施安保和学生宿舍管理外购项目，项目分为以下三部分：</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 xml:space="preserve">1.校园安保和秩序维护 </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组建保安和教官团队、负责校园安保工作：负责校园各重点区域的监控、执勤和巡逻工作，负责排查校园安全隐患，防范并及时处置突发事件，负责学生违纪的纠正并协助学生管理部门的教育工作，协助完成学校交办的其他与安保相关的工作，协助学校进行学生德育教育、礼仪教育、国防知识教育及军事模拟训练。</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2.宿舍管理服务</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组建生活老师和教官团队、负责宿舍管理工作：负责宿舍内的公物、卫生和秩序管理，指导、监督、检查宿舍的内务卫生并落实作息制度，监控防范宿舍安全隐患并及时处理突发事件，负责学生在宿舍内的生活服务，做好和学生、家长的沟通，纠正学生违纪并协助学生管理部门做好教育工作，协助安保部门做好消防、防汛、防暴恐和安全隐患排查、完成学校交办的其他与宿舍管理相关的工作。</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3.校园公共区域服务管理</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组建安保和环境维护团队，进行24小时安全监管和巡查，负责区域内公物、设施设备、卫生和秩序管理，负责门岗和车辆管理，监控防范安全隐患并及时处理突发事件，负责区域内消防、防汛、防暴恐和安全隐患排查，负责区域内卫生打扫保洁和环境保护，完成学校交办的其他管理相关的工作。</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项目实施至今，管理工作出现了科学有序高效的局面，学校有效得杜绝了校园内公共场所吸烟、乱丢乱扔等不文明现象，学生违纪、安全事件发生率大幅度降低。学校管理受到师生家长社会一致好评。上级有关部门领导在视察我校工作后，认为此管理模式是学生管理模式的新尝试且卓有成效，适合在技工院校系统推广。</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（二）项目实施情况：</w:t>
      </w:r>
    </w:p>
    <w:tbl>
      <w:tblPr>
        <w:tblStyle w:val="13"/>
        <w:tblpPr w:leftFromText="180" w:rightFromText="180" w:vertAnchor="text" w:horzAnchor="margin" w:tblpY="280"/>
        <w:tblW w:w="87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3000"/>
        <w:gridCol w:w="2440"/>
        <w:gridCol w:w="1418"/>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5" w:type="dxa"/>
          </w:tcPr>
          <w:p>
            <w:pPr>
              <w:jc w:val="center"/>
              <w:rPr>
                <w:rFonts w:ascii="黑体" w:hAnsi="黑体" w:eastAsia="黑体"/>
                <w:sz w:val="24"/>
                <w:szCs w:val="24"/>
              </w:rPr>
            </w:pPr>
            <w:r>
              <w:rPr>
                <w:rFonts w:hint="eastAsia" w:ascii="黑体" w:hAnsi="黑体" w:eastAsia="黑体"/>
                <w:sz w:val="24"/>
                <w:szCs w:val="24"/>
              </w:rPr>
              <w:t>序号</w:t>
            </w:r>
          </w:p>
        </w:tc>
        <w:tc>
          <w:tcPr>
            <w:tcW w:w="3000" w:type="dxa"/>
          </w:tcPr>
          <w:p>
            <w:pPr>
              <w:jc w:val="center"/>
              <w:rPr>
                <w:rFonts w:ascii="黑体" w:hAnsi="黑体" w:eastAsia="黑体"/>
                <w:sz w:val="24"/>
                <w:szCs w:val="24"/>
              </w:rPr>
            </w:pPr>
            <w:r>
              <w:rPr>
                <w:rFonts w:hint="eastAsia" w:ascii="黑体" w:hAnsi="黑体" w:eastAsia="黑体"/>
                <w:sz w:val="24"/>
                <w:szCs w:val="24"/>
              </w:rPr>
              <w:t>实施内容</w:t>
            </w:r>
          </w:p>
        </w:tc>
        <w:tc>
          <w:tcPr>
            <w:tcW w:w="2440" w:type="dxa"/>
          </w:tcPr>
          <w:p>
            <w:pPr>
              <w:jc w:val="center"/>
              <w:rPr>
                <w:rFonts w:ascii="黑体" w:hAnsi="黑体" w:eastAsia="黑体"/>
                <w:sz w:val="24"/>
                <w:szCs w:val="24"/>
              </w:rPr>
            </w:pPr>
            <w:r>
              <w:rPr>
                <w:rFonts w:hint="eastAsia" w:ascii="黑体" w:hAnsi="黑体" w:eastAsia="黑体"/>
                <w:sz w:val="24"/>
                <w:szCs w:val="24"/>
              </w:rPr>
              <w:t>完成时间</w:t>
            </w:r>
          </w:p>
        </w:tc>
        <w:tc>
          <w:tcPr>
            <w:tcW w:w="1418" w:type="dxa"/>
          </w:tcPr>
          <w:p>
            <w:pPr>
              <w:rPr>
                <w:rFonts w:ascii="黑体" w:hAnsi="黑体" w:eastAsia="黑体"/>
                <w:sz w:val="24"/>
                <w:szCs w:val="24"/>
              </w:rPr>
            </w:pPr>
            <w:r>
              <w:rPr>
                <w:rFonts w:hint="eastAsia" w:ascii="黑体" w:hAnsi="黑体" w:eastAsia="黑体"/>
                <w:sz w:val="24"/>
                <w:szCs w:val="24"/>
              </w:rPr>
              <w:t>完成效果</w:t>
            </w:r>
          </w:p>
        </w:tc>
        <w:tc>
          <w:tcPr>
            <w:tcW w:w="1023" w:type="dxa"/>
          </w:tcPr>
          <w:p>
            <w:pP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5" w:type="dxa"/>
          </w:tcPr>
          <w:p>
            <w:pPr>
              <w:rPr>
                <w:sz w:val="24"/>
                <w:szCs w:val="24"/>
              </w:rPr>
            </w:pPr>
            <w:r>
              <w:rPr>
                <w:rFonts w:hint="eastAsia"/>
                <w:sz w:val="24"/>
                <w:szCs w:val="24"/>
              </w:rPr>
              <w:t xml:space="preserve"> </w:t>
            </w:r>
            <w:r>
              <w:rPr>
                <w:sz w:val="24"/>
                <w:szCs w:val="24"/>
              </w:rPr>
              <w:t xml:space="preserve"> </w:t>
            </w:r>
            <w:r>
              <w:rPr>
                <w:rFonts w:hint="eastAsia"/>
                <w:sz w:val="24"/>
                <w:szCs w:val="24"/>
              </w:rPr>
              <w:t>1</w:t>
            </w:r>
          </w:p>
        </w:tc>
        <w:tc>
          <w:tcPr>
            <w:tcW w:w="3000" w:type="dxa"/>
          </w:tcPr>
          <w:p>
            <w:pPr>
              <w:ind w:firstLine="480" w:firstLineChars="200"/>
              <w:rPr>
                <w:sz w:val="24"/>
                <w:szCs w:val="24"/>
              </w:rPr>
            </w:pPr>
            <w:r>
              <w:rPr>
                <w:rFonts w:hint="eastAsia"/>
                <w:sz w:val="24"/>
                <w:szCs w:val="24"/>
              </w:rPr>
              <w:t>公开招标、合同签订</w:t>
            </w:r>
          </w:p>
        </w:tc>
        <w:tc>
          <w:tcPr>
            <w:tcW w:w="2440" w:type="dxa"/>
          </w:tcPr>
          <w:p>
            <w:pPr>
              <w:rPr>
                <w:sz w:val="24"/>
                <w:szCs w:val="24"/>
              </w:rPr>
            </w:pPr>
            <w:r>
              <w:rPr>
                <w:rFonts w:hint="eastAsia"/>
                <w:sz w:val="24"/>
                <w:szCs w:val="24"/>
              </w:rPr>
              <w:t>2020.</w:t>
            </w:r>
          </w:p>
        </w:tc>
        <w:tc>
          <w:tcPr>
            <w:tcW w:w="1418" w:type="dxa"/>
          </w:tcPr>
          <w:p>
            <w:pPr>
              <w:ind w:firstLine="480" w:firstLineChars="200"/>
              <w:rPr>
                <w:sz w:val="24"/>
                <w:szCs w:val="24"/>
              </w:rPr>
            </w:pPr>
            <w:r>
              <w:rPr>
                <w:rFonts w:hint="eastAsia"/>
                <w:sz w:val="24"/>
                <w:szCs w:val="24"/>
              </w:rPr>
              <w:t>完成</w:t>
            </w:r>
          </w:p>
        </w:tc>
        <w:tc>
          <w:tcPr>
            <w:tcW w:w="1023" w:type="dxa"/>
          </w:tcPr>
          <w:p>
            <w:pPr>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05" w:type="dxa"/>
          </w:tcPr>
          <w:p>
            <w:pPr>
              <w:rPr>
                <w:sz w:val="24"/>
                <w:szCs w:val="24"/>
              </w:rPr>
            </w:pPr>
            <w:r>
              <w:rPr>
                <w:rFonts w:hint="eastAsia"/>
                <w:sz w:val="24"/>
                <w:szCs w:val="24"/>
              </w:rPr>
              <w:t xml:space="preserve"> </w:t>
            </w:r>
            <w:r>
              <w:rPr>
                <w:sz w:val="24"/>
                <w:szCs w:val="24"/>
              </w:rPr>
              <w:t xml:space="preserve"> </w:t>
            </w:r>
            <w:r>
              <w:rPr>
                <w:rFonts w:hint="eastAsia"/>
                <w:sz w:val="24"/>
                <w:szCs w:val="24"/>
              </w:rPr>
              <w:t>2</w:t>
            </w:r>
          </w:p>
        </w:tc>
        <w:tc>
          <w:tcPr>
            <w:tcW w:w="3000" w:type="dxa"/>
          </w:tcPr>
          <w:p>
            <w:pPr>
              <w:ind w:firstLine="480" w:firstLineChars="200"/>
              <w:rPr>
                <w:sz w:val="24"/>
                <w:szCs w:val="24"/>
              </w:rPr>
            </w:pPr>
            <w:r>
              <w:rPr>
                <w:rFonts w:hint="eastAsia"/>
                <w:sz w:val="24"/>
                <w:szCs w:val="24"/>
              </w:rPr>
              <w:t>管理团队组建（完善）</w:t>
            </w:r>
          </w:p>
        </w:tc>
        <w:tc>
          <w:tcPr>
            <w:tcW w:w="2440" w:type="dxa"/>
          </w:tcPr>
          <w:p>
            <w:pPr>
              <w:rPr>
                <w:sz w:val="24"/>
                <w:szCs w:val="24"/>
              </w:rPr>
            </w:pPr>
            <w:r>
              <w:rPr>
                <w:rFonts w:hint="eastAsia"/>
                <w:sz w:val="24"/>
                <w:szCs w:val="24"/>
              </w:rPr>
              <w:t>2020.5</w:t>
            </w:r>
          </w:p>
        </w:tc>
        <w:tc>
          <w:tcPr>
            <w:tcW w:w="1418" w:type="dxa"/>
          </w:tcPr>
          <w:p>
            <w:pPr>
              <w:ind w:firstLine="480" w:firstLineChars="200"/>
              <w:rPr>
                <w:sz w:val="24"/>
                <w:szCs w:val="24"/>
              </w:rPr>
            </w:pPr>
            <w:r>
              <w:rPr>
                <w:rFonts w:hint="eastAsia"/>
                <w:sz w:val="24"/>
                <w:szCs w:val="24"/>
              </w:rPr>
              <w:t>完成</w:t>
            </w:r>
          </w:p>
        </w:tc>
        <w:tc>
          <w:tcPr>
            <w:tcW w:w="1023" w:type="dxa"/>
          </w:tcPr>
          <w:p>
            <w:pPr>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5" w:type="dxa"/>
          </w:tcPr>
          <w:p>
            <w:pPr>
              <w:ind w:firstLine="240" w:firstLineChars="100"/>
              <w:rPr>
                <w:sz w:val="24"/>
                <w:szCs w:val="24"/>
              </w:rPr>
            </w:pPr>
            <w:r>
              <w:rPr>
                <w:rFonts w:hint="eastAsia"/>
                <w:sz w:val="24"/>
                <w:szCs w:val="24"/>
              </w:rPr>
              <w:t>3</w:t>
            </w:r>
          </w:p>
        </w:tc>
        <w:tc>
          <w:tcPr>
            <w:tcW w:w="3000" w:type="dxa"/>
          </w:tcPr>
          <w:p>
            <w:pPr>
              <w:rPr>
                <w:sz w:val="24"/>
                <w:szCs w:val="24"/>
              </w:rPr>
            </w:pPr>
            <w:r>
              <w:rPr>
                <w:rFonts w:hint="eastAsia"/>
                <w:sz w:val="24"/>
                <w:szCs w:val="24"/>
              </w:rPr>
              <w:t>管理运行协调、教育、考核</w:t>
            </w:r>
          </w:p>
        </w:tc>
        <w:tc>
          <w:tcPr>
            <w:tcW w:w="2440" w:type="dxa"/>
          </w:tcPr>
          <w:p>
            <w:pPr>
              <w:rPr>
                <w:sz w:val="24"/>
                <w:szCs w:val="24"/>
              </w:rPr>
            </w:pPr>
            <w:r>
              <w:rPr>
                <w:rFonts w:hint="eastAsia"/>
                <w:sz w:val="24"/>
                <w:szCs w:val="24"/>
              </w:rPr>
              <w:t>2020.5</w:t>
            </w:r>
            <w:r>
              <w:rPr>
                <w:sz w:val="24"/>
                <w:szCs w:val="24"/>
              </w:rPr>
              <w:t>—</w:t>
            </w:r>
            <w:r>
              <w:rPr>
                <w:rFonts w:hint="eastAsia"/>
                <w:sz w:val="24"/>
                <w:szCs w:val="24"/>
              </w:rPr>
              <w:t>2020.12</w:t>
            </w:r>
          </w:p>
        </w:tc>
        <w:tc>
          <w:tcPr>
            <w:tcW w:w="1418" w:type="dxa"/>
          </w:tcPr>
          <w:p>
            <w:pPr>
              <w:ind w:firstLine="480" w:firstLineChars="200"/>
              <w:rPr>
                <w:sz w:val="24"/>
                <w:szCs w:val="24"/>
              </w:rPr>
            </w:pPr>
            <w:r>
              <w:rPr>
                <w:rFonts w:hint="eastAsia"/>
                <w:sz w:val="24"/>
                <w:szCs w:val="24"/>
              </w:rPr>
              <w:t>完成</w:t>
            </w:r>
          </w:p>
        </w:tc>
        <w:tc>
          <w:tcPr>
            <w:tcW w:w="1023" w:type="dxa"/>
          </w:tcPr>
          <w:p>
            <w:pPr>
              <w:ind w:firstLine="480" w:firstLineChars="20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05" w:type="dxa"/>
          </w:tcPr>
          <w:p>
            <w:pPr>
              <w:ind w:firstLine="240" w:firstLineChars="100"/>
              <w:rPr>
                <w:sz w:val="24"/>
                <w:szCs w:val="24"/>
              </w:rPr>
            </w:pPr>
            <w:r>
              <w:rPr>
                <w:rFonts w:hint="eastAsia"/>
                <w:sz w:val="24"/>
                <w:szCs w:val="24"/>
              </w:rPr>
              <w:t>4</w:t>
            </w:r>
          </w:p>
        </w:tc>
        <w:tc>
          <w:tcPr>
            <w:tcW w:w="3000" w:type="dxa"/>
          </w:tcPr>
          <w:p>
            <w:pPr>
              <w:ind w:firstLine="480" w:firstLineChars="200"/>
              <w:rPr>
                <w:sz w:val="24"/>
                <w:szCs w:val="24"/>
              </w:rPr>
            </w:pPr>
            <w:r>
              <w:rPr>
                <w:rFonts w:hint="eastAsia"/>
                <w:sz w:val="24"/>
                <w:szCs w:val="24"/>
              </w:rPr>
              <w:t>项目实施验收评估</w:t>
            </w:r>
          </w:p>
        </w:tc>
        <w:tc>
          <w:tcPr>
            <w:tcW w:w="2440" w:type="dxa"/>
          </w:tcPr>
          <w:p>
            <w:pPr>
              <w:rPr>
                <w:sz w:val="24"/>
                <w:szCs w:val="24"/>
              </w:rPr>
            </w:pPr>
            <w:r>
              <w:rPr>
                <w:rFonts w:hint="eastAsia"/>
                <w:sz w:val="24"/>
                <w:szCs w:val="24"/>
              </w:rPr>
              <w:t>2020.12</w:t>
            </w:r>
          </w:p>
        </w:tc>
        <w:tc>
          <w:tcPr>
            <w:tcW w:w="1418" w:type="dxa"/>
          </w:tcPr>
          <w:p>
            <w:pPr>
              <w:ind w:firstLine="480" w:firstLineChars="200"/>
              <w:rPr>
                <w:sz w:val="24"/>
                <w:szCs w:val="24"/>
              </w:rPr>
            </w:pPr>
            <w:r>
              <w:rPr>
                <w:rFonts w:hint="eastAsia"/>
                <w:sz w:val="24"/>
                <w:szCs w:val="24"/>
              </w:rPr>
              <w:t>良好</w:t>
            </w:r>
          </w:p>
        </w:tc>
        <w:tc>
          <w:tcPr>
            <w:tcW w:w="1023" w:type="dxa"/>
          </w:tcPr>
          <w:p>
            <w:pPr>
              <w:ind w:firstLine="480" w:firstLineChars="200"/>
              <w:rPr>
                <w:sz w:val="24"/>
                <w:szCs w:val="24"/>
              </w:rPr>
            </w:pPr>
          </w:p>
        </w:tc>
      </w:tr>
    </w:tbl>
    <w:p>
      <w:pPr>
        <w:pStyle w:val="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（三）资金投入使用情况：</w:t>
      </w:r>
    </w:p>
    <w:tbl>
      <w:tblPr>
        <w:tblStyle w:val="13"/>
        <w:tblW w:w="87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6"/>
        <w:gridCol w:w="1754"/>
        <w:gridCol w:w="2127"/>
        <w:gridCol w:w="1701"/>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756" w:type="dxa"/>
          </w:tcPr>
          <w:p>
            <w:pPr>
              <w:ind w:firstLine="280" w:firstLineChars="100"/>
              <w:jc w:val="center"/>
              <w:rPr>
                <w:rFonts w:ascii="黑体" w:hAnsi="黑体" w:eastAsia="黑体"/>
                <w:sz w:val="28"/>
                <w:szCs w:val="28"/>
              </w:rPr>
            </w:pPr>
            <w:r>
              <w:rPr>
                <w:rFonts w:hint="eastAsia" w:ascii="黑体" w:hAnsi="黑体" w:eastAsia="黑体"/>
                <w:sz w:val="28"/>
                <w:szCs w:val="28"/>
              </w:rPr>
              <w:t>项目预算</w:t>
            </w:r>
          </w:p>
        </w:tc>
        <w:tc>
          <w:tcPr>
            <w:tcW w:w="1754" w:type="dxa"/>
          </w:tcPr>
          <w:p>
            <w:pPr>
              <w:ind w:firstLine="280" w:firstLineChars="100"/>
              <w:jc w:val="center"/>
              <w:rPr>
                <w:rFonts w:ascii="黑体" w:hAnsi="黑体" w:eastAsia="黑体"/>
                <w:sz w:val="28"/>
                <w:szCs w:val="28"/>
              </w:rPr>
            </w:pPr>
            <w:r>
              <w:rPr>
                <w:rFonts w:hint="eastAsia" w:ascii="黑体" w:hAnsi="黑体" w:eastAsia="黑体"/>
                <w:sz w:val="28"/>
                <w:szCs w:val="28"/>
              </w:rPr>
              <w:t>实际支付</w:t>
            </w:r>
          </w:p>
        </w:tc>
        <w:tc>
          <w:tcPr>
            <w:tcW w:w="2127" w:type="dxa"/>
          </w:tcPr>
          <w:p>
            <w:pPr>
              <w:jc w:val="center"/>
              <w:rPr>
                <w:rFonts w:ascii="黑体" w:hAnsi="黑体" w:eastAsia="黑体"/>
                <w:sz w:val="28"/>
                <w:szCs w:val="28"/>
              </w:rPr>
            </w:pPr>
            <w:r>
              <w:rPr>
                <w:rFonts w:hint="eastAsia" w:ascii="黑体" w:hAnsi="黑体" w:eastAsia="黑体"/>
                <w:sz w:val="28"/>
                <w:szCs w:val="28"/>
              </w:rPr>
              <w:t>合同支付方式</w:t>
            </w:r>
          </w:p>
        </w:tc>
        <w:tc>
          <w:tcPr>
            <w:tcW w:w="1701" w:type="dxa"/>
          </w:tcPr>
          <w:p>
            <w:pPr>
              <w:jc w:val="center"/>
              <w:rPr>
                <w:rFonts w:ascii="黑体" w:hAnsi="黑体" w:eastAsia="黑体"/>
                <w:sz w:val="28"/>
                <w:szCs w:val="28"/>
              </w:rPr>
            </w:pPr>
            <w:r>
              <w:rPr>
                <w:rFonts w:hint="eastAsia" w:ascii="黑体" w:hAnsi="黑体" w:eastAsia="黑体"/>
                <w:sz w:val="28"/>
                <w:szCs w:val="28"/>
              </w:rPr>
              <w:t>资金使用率</w:t>
            </w:r>
          </w:p>
        </w:tc>
        <w:tc>
          <w:tcPr>
            <w:tcW w:w="1444" w:type="dxa"/>
          </w:tcPr>
          <w:p>
            <w:pPr>
              <w:jc w:val="center"/>
              <w:rPr>
                <w:rFonts w:ascii="黑体" w:hAnsi="黑体" w:eastAsia="黑体"/>
                <w:sz w:val="28"/>
                <w:szCs w:val="28"/>
              </w:rPr>
            </w:pPr>
            <w:r>
              <w:rPr>
                <w:rFonts w:hint="eastAsia" w:ascii="黑体" w:hAnsi="黑体" w:eastAsia="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56" w:type="dxa"/>
          </w:tcPr>
          <w:p>
            <w:pPr>
              <w:ind w:firstLine="600" w:firstLineChars="200"/>
              <w:rPr>
                <w:sz w:val="30"/>
                <w:szCs w:val="30"/>
              </w:rPr>
            </w:pPr>
            <w:r>
              <w:rPr>
                <w:rFonts w:hint="eastAsia"/>
                <w:sz w:val="30"/>
                <w:szCs w:val="30"/>
              </w:rPr>
              <w:t>120</w:t>
            </w:r>
          </w:p>
        </w:tc>
        <w:tc>
          <w:tcPr>
            <w:tcW w:w="1754" w:type="dxa"/>
          </w:tcPr>
          <w:p>
            <w:pPr>
              <w:ind w:firstLine="600" w:firstLineChars="200"/>
              <w:rPr>
                <w:sz w:val="24"/>
                <w:szCs w:val="24"/>
              </w:rPr>
            </w:pPr>
            <w:r>
              <w:rPr>
                <w:rFonts w:hint="eastAsia"/>
                <w:sz w:val="30"/>
                <w:szCs w:val="30"/>
              </w:rPr>
              <w:t>120</w:t>
            </w:r>
          </w:p>
        </w:tc>
        <w:tc>
          <w:tcPr>
            <w:tcW w:w="2127" w:type="dxa"/>
          </w:tcPr>
          <w:p>
            <w:pPr>
              <w:ind w:firstLine="300" w:firstLineChars="100"/>
              <w:rPr>
                <w:sz w:val="24"/>
                <w:szCs w:val="24"/>
              </w:rPr>
            </w:pPr>
            <w:r>
              <w:rPr>
                <w:rFonts w:hint="eastAsia"/>
                <w:sz w:val="30"/>
                <w:szCs w:val="30"/>
              </w:rPr>
              <w:t>按季度支付</w:t>
            </w:r>
          </w:p>
        </w:tc>
        <w:tc>
          <w:tcPr>
            <w:tcW w:w="1701" w:type="dxa"/>
          </w:tcPr>
          <w:p>
            <w:pPr>
              <w:ind w:firstLine="300" w:firstLineChars="100"/>
              <w:rPr>
                <w:sz w:val="24"/>
                <w:szCs w:val="24"/>
              </w:rPr>
            </w:pPr>
            <w:r>
              <w:rPr>
                <w:rFonts w:hint="eastAsia"/>
                <w:sz w:val="30"/>
                <w:szCs w:val="30"/>
              </w:rPr>
              <w:t>100%</w:t>
            </w:r>
          </w:p>
        </w:tc>
        <w:tc>
          <w:tcPr>
            <w:tcW w:w="1444" w:type="dxa"/>
          </w:tcPr>
          <w:p>
            <w:pPr>
              <w:rPr>
                <w:sz w:val="24"/>
                <w:szCs w:val="24"/>
              </w:rPr>
            </w:pPr>
            <w:r>
              <w:rPr>
                <w:rFonts w:hint="eastAsia"/>
                <w:sz w:val="24"/>
                <w:szCs w:val="24"/>
              </w:rPr>
              <w:t>全年已付完</w:t>
            </w:r>
          </w:p>
        </w:tc>
      </w:tr>
    </w:tbl>
    <w:p>
      <w:pPr>
        <w:pStyle w:val="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（四）项目绩效目标：</w:t>
      </w:r>
    </w:p>
    <w:tbl>
      <w:tblPr>
        <w:tblStyle w:val="12"/>
        <w:tblW w:w="8409" w:type="dxa"/>
        <w:tblInd w:w="113" w:type="dxa"/>
        <w:tblLayout w:type="fixed"/>
        <w:tblCellMar>
          <w:top w:w="0" w:type="dxa"/>
          <w:left w:w="108" w:type="dxa"/>
          <w:bottom w:w="0" w:type="dxa"/>
          <w:right w:w="108" w:type="dxa"/>
        </w:tblCellMar>
      </w:tblPr>
      <w:tblGrid>
        <w:gridCol w:w="436"/>
        <w:gridCol w:w="835"/>
        <w:gridCol w:w="1134"/>
        <w:gridCol w:w="3119"/>
        <w:gridCol w:w="1842"/>
        <w:gridCol w:w="1043"/>
      </w:tblGrid>
      <w:tr>
        <w:tblPrEx>
          <w:tblCellMar>
            <w:top w:w="0" w:type="dxa"/>
            <w:left w:w="108" w:type="dxa"/>
            <w:bottom w:w="0" w:type="dxa"/>
            <w:right w:w="108" w:type="dxa"/>
          </w:tblCellMar>
        </w:tblPrEx>
        <w:trPr>
          <w:trHeight w:val="387"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总体目标</w:t>
            </w:r>
          </w:p>
        </w:tc>
        <w:tc>
          <w:tcPr>
            <w:tcW w:w="797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年度目标（2020年）</w:t>
            </w:r>
          </w:p>
        </w:tc>
      </w:tr>
      <w:tr>
        <w:tblPrEx>
          <w:tblCellMar>
            <w:top w:w="0" w:type="dxa"/>
            <w:left w:w="108" w:type="dxa"/>
            <w:bottom w:w="0" w:type="dxa"/>
            <w:right w:w="108" w:type="dxa"/>
          </w:tblCellMar>
        </w:tblPrEx>
        <w:trPr>
          <w:trHeight w:val="871"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7973" w:type="dxa"/>
            <w:gridSpan w:val="5"/>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为了全校师生员工能够正常地工作、学习，保证校园的安定祥和</w:t>
            </w:r>
          </w:p>
        </w:tc>
      </w:tr>
      <w:tr>
        <w:tblPrEx>
          <w:tblCellMar>
            <w:top w:w="0" w:type="dxa"/>
            <w:left w:w="108" w:type="dxa"/>
            <w:bottom w:w="0" w:type="dxa"/>
            <w:right w:w="108" w:type="dxa"/>
          </w:tblCellMar>
        </w:tblPrEx>
        <w:trPr>
          <w:trHeight w:val="578" w:hRule="atLeast"/>
        </w:trPr>
        <w:tc>
          <w:tcPr>
            <w:tcW w:w="4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绩</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效</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指</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标</w:t>
            </w:r>
          </w:p>
        </w:tc>
        <w:tc>
          <w:tcPr>
            <w:tcW w:w="83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一级</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指标</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二级指标</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三级指标</w:t>
            </w:r>
          </w:p>
        </w:tc>
        <w:tc>
          <w:tcPr>
            <w:tcW w:w="1842"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指标值（包含数字及文字描述）</w:t>
            </w:r>
          </w:p>
        </w:tc>
        <w:tc>
          <w:tcPr>
            <w:tcW w:w="104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实际完成量</w:t>
            </w:r>
          </w:p>
        </w:tc>
      </w:tr>
      <w:tr>
        <w:tblPrEx>
          <w:tblCellMar>
            <w:top w:w="0" w:type="dxa"/>
            <w:left w:w="108" w:type="dxa"/>
            <w:bottom w:w="0" w:type="dxa"/>
            <w:right w:w="108" w:type="dxa"/>
          </w:tblCellMar>
        </w:tblPrEx>
        <w:trPr>
          <w:trHeight w:val="462"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83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完成</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数量指标</w:t>
            </w:r>
          </w:p>
        </w:tc>
        <w:tc>
          <w:tcPr>
            <w:tcW w:w="31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外购管理服务人员劳务</w:t>
            </w:r>
          </w:p>
        </w:tc>
        <w:tc>
          <w:tcPr>
            <w:tcW w:w="1842" w:type="dxa"/>
            <w:tcBorders>
              <w:top w:val="single" w:color="000000" w:sz="4" w:space="0"/>
              <w:left w:val="nil"/>
              <w:bottom w:val="single" w:color="000000"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27人的管理人员</w:t>
            </w:r>
          </w:p>
        </w:tc>
        <w:tc>
          <w:tcPr>
            <w:tcW w:w="104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30人</w:t>
            </w:r>
          </w:p>
        </w:tc>
      </w:tr>
      <w:tr>
        <w:tblPrEx>
          <w:tblCellMar>
            <w:top w:w="0" w:type="dxa"/>
            <w:left w:w="108" w:type="dxa"/>
            <w:bottom w:w="0" w:type="dxa"/>
            <w:right w:w="108" w:type="dxa"/>
          </w:tblCellMar>
        </w:tblPrEx>
        <w:trPr>
          <w:trHeight w:val="462"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835" w:type="dxa"/>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1134"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质量指标</w:t>
            </w:r>
          </w:p>
        </w:tc>
        <w:tc>
          <w:tcPr>
            <w:tcW w:w="31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安全教育工作落实普及率</w:t>
            </w:r>
          </w:p>
        </w:tc>
        <w:tc>
          <w:tcPr>
            <w:tcW w:w="1842" w:type="dxa"/>
            <w:tcBorders>
              <w:top w:val="single" w:color="000000" w:sz="4" w:space="0"/>
              <w:left w:val="nil"/>
              <w:bottom w:val="single" w:color="000000"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约90%</w:t>
            </w:r>
          </w:p>
        </w:tc>
        <w:tc>
          <w:tcPr>
            <w:tcW w:w="104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95%</w:t>
            </w:r>
          </w:p>
        </w:tc>
      </w:tr>
      <w:tr>
        <w:tblPrEx>
          <w:tblCellMar>
            <w:top w:w="0" w:type="dxa"/>
            <w:left w:w="108" w:type="dxa"/>
            <w:bottom w:w="0" w:type="dxa"/>
            <w:right w:w="108" w:type="dxa"/>
          </w:tblCellMar>
        </w:tblPrEx>
        <w:trPr>
          <w:trHeight w:val="462"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835" w:type="dxa"/>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1134" w:type="dxa"/>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31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安全事件及时处置率</w:t>
            </w:r>
          </w:p>
        </w:tc>
        <w:tc>
          <w:tcPr>
            <w:tcW w:w="1842" w:type="dxa"/>
            <w:tcBorders>
              <w:top w:val="single" w:color="000000" w:sz="4" w:space="0"/>
              <w:left w:val="nil"/>
              <w:bottom w:val="single" w:color="000000" w:sz="4" w:space="0"/>
              <w:right w:val="single" w:color="auto"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约90%</w:t>
            </w:r>
          </w:p>
        </w:tc>
        <w:tc>
          <w:tcPr>
            <w:tcW w:w="104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等线" w:hAnsi="等线" w:eastAsia="等线" w:cs="宋体"/>
                <w:color w:val="000000"/>
                <w:kern w:val="0"/>
                <w:sz w:val="22"/>
                <w:szCs w:val="22"/>
              </w:rPr>
            </w:pPr>
            <w:r>
              <w:rPr>
                <w:rFonts w:hint="eastAsia" w:ascii="等线" w:hAnsi="等线" w:eastAsia="等线" w:cs="宋体"/>
                <w:color w:val="000000"/>
                <w:kern w:val="0"/>
                <w:sz w:val="22"/>
                <w:szCs w:val="22"/>
              </w:rPr>
              <w:t>100%</w:t>
            </w:r>
          </w:p>
        </w:tc>
      </w:tr>
      <w:tr>
        <w:tblPrEx>
          <w:tblCellMar>
            <w:top w:w="0" w:type="dxa"/>
            <w:left w:w="108" w:type="dxa"/>
            <w:bottom w:w="0" w:type="dxa"/>
            <w:right w:w="108" w:type="dxa"/>
          </w:tblCellMar>
        </w:tblPrEx>
        <w:trPr>
          <w:trHeight w:val="1186"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835" w:type="dxa"/>
            <w:vMerge w:val="restart"/>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效益</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指标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经济效益指标</w:t>
            </w:r>
          </w:p>
        </w:tc>
        <w:tc>
          <w:tcPr>
            <w:tcW w:w="31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每年节约学生伤害处理费用</w:t>
            </w:r>
          </w:p>
        </w:tc>
        <w:tc>
          <w:tcPr>
            <w:tcW w:w="1842" w:type="dxa"/>
            <w:tcBorders>
              <w:top w:val="single" w:color="000000" w:sz="4" w:space="0"/>
              <w:left w:val="nil"/>
              <w:bottom w:val="single" w:color="000000" w:sz="4" w:space="0"/>
              <w:right w:val="single" w:color="auto" w:sz="4" w:space="0"/>
            </w:tcBorders>
            <w:shd w:val="clear" w:color="auto" w:fill="auto"/>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2万元</w:t>
            </w:r>
          </w:p>
        </w:tc>
        <w:tc>
          <w:tcPr>
            <w:tcW w:w="104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2万元</w:t>
            </w:r>
          </w:p>
        </w:tc>
      </w:tr>
      <w:tr>
        <w:tblPrEx>
          <w:tblCellMar>
            <w:top w:w="0" w:type="dxa"/>
            <w:left w:w="108" w:type="dxa"/>
            <w:bottom w:w="0" w:type="dxa"/>
            <w:right w:w="108" w:type="dxa"/>
          </w:tblCellMar>
        </w:tblPrEx>
        <w:trPr>
          <w:trHeight w:val="976"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835" w:type="dxa"/>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社会效益指标</w:t>
            </w:r>
          </w:p>
        </w:tc>
        <w:tc>
          <w:tcPr>
            <w:tcW w:w="31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在同类型学校中形成示范效果</w:t>
            </w:r>
          </w:p>
        </w:tc>
        <w:tc>
          <w:tcPr>
            <w:tcW w:w="1842" w:type="dxa"/>
            <w:tcBorders>
              <w:top w:val="single" w:color="000000" w:sz="4" w:space="0"/>
              <w:left w:val="nil"/>
              <w:bottom w:val="single" w:color="000000" w:sz="4" w:space="0"/>
              <w:right w:val="single" w:color="auto" w:sz="4" w:space="0"/>
            </w:tcBorders>
            <w:shd w:val="clear" w:color="auto" w:fill="auto"/>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良好</w:t>
            </w:r>
          </w:p>
        </w:tc>
        <w:tc>
          <w:tcPr>
            <w:tcW w:w="104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良好</w:t>
            </w:r>
          </w:p>
        </w:tc>
      </w:tr>
      <w:tr>
        <w:tblPrEx>
          <w:tblCellMar>
            <w:top w:w="0" w:type="dxa"/>
            <w:left w:w="108" w:type="dxa"/>
            <w:bottom w:w="0" w:type="dxa"/>
            <w:right w:w="108" w:type="dxa"/>
          </w:tblCellMar>
        </w:tblPrEx>
        <w:trPr>
          <w:trHeight w:val="692"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835" w:type="dxa"/>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生态效益指标</w:t>
            </w:r>
          </w:p>
        </w:tc>
        <w:tc>
          <w:tcPr>
            <w:tcW w:w="31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管理团队环保工作</w:t>
            </w:r>
          </w:p>
        </w:tc>
        <w:tc>
          <w:tcPr>
            <w:tcW w:w="1842" w:type="dxa"/>
            <w:tcBorders>
              <w:top w:val="single" w:color="000000" w:sz="4" w:space="0"/>
              <w:left w:val="nil"/>
              <w:bottom w:val="single" w:color="000000" w:sz="4" w:space="0"/>
              <w:right w:val="single" w:color="auto" w:sz="4" w:space="0"/>
            </w:tcBorders>
            <w:shd w:val="clear" w:color="auto" w:fill="auto"/>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良好</w:t>
            </w:r>
          </w:p>
        </w:tc>
        <w:tc>
          <w:tcPr>
            <w:tcW w:w="104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良好</w:t>
            </w:r>
          </w:p>
        </w:tc>
      </w:tr>
      <w:tr>
        <w:tblPrEx>
          <w:tblCellMar>
            <w:top w:w="0" w:type="dxa"/>
            <w:left w:w="108" w:type="dxa"/>
            <w:bottom w:w="0" w:type="dxa"/>
            <w:right w:w="108" w:type="dxa"/>
          </w:tblCellMar>
        </w:tblPrEx>
        <w:trPr>
          <w:trHeight w:val="889"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835" w:type="dxa"/>
            <w:vMerge w:val="continue"/>
            <w:tcBorders>
              <w:top w:val="single" w:color="000000" w:sz="4" w:space="0"/>
              <w:left w:val="nil"/>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可持续影响指标</w:t>
            </w:r>
          </w:p>
        </w:tc>
        <w:tc>
          <w:tcPr>
            <w:tcW w:w="31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外购管理服务质量持续提升</w:t>
            </w:r>
          </w:p>
        </w:tc>
        <w:tc>
          <w:tcPr>
            <w:tcW w:w="1842" w:type="dxa"/>
            <w:tcBorders>
              <w:top w:val="single" w:color="000000" w:sz="4" w:space="0"/>
              <w:left w:val="nil"/>
              <w:bottom w:val="single" w:color="000000" w:sz="4" w:space="0"/>
              <w:right w:val="single" w:color="auto" w:sz="4" w:space="0"/>
            </w:tcBorders>
            <w:shd w:val="clear" w:color="auto" w:fill="auto"/>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2年</w:t>
            </w:r>
          </w:p>
        </w:tc>
        <w:tc>
          <w:tcPr>
            <w:tcW w:w="104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5年</w:t>
            </w:r>
          </w:p>
        </w:tc>
      </w:tr>
      <w:tr>
        <w:tblPrEx>
          <w:tblCellMar>
            <w:top w:w="0" w:type="dxa"/>
            <w:left w:w="108" w:type="dxa"/>
            <w:bottom w:w="0" w:type="dxa"/>
            <w:right w:w="108" w:type="dxa"/>
          </w:tblCellMar>
        </w:tblPrEx>
        <w:trPr>
          <w:trHeight w:val="462" w:hRule="atLeast"/>
        </w:trPr>
        <w:tc>
          <w:tcPr>
            <w:tcW w:w="436"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等线" w:hAnsi="等线" w:eastAsia="等线" w:cs="宋体"/>
                <w:color w:val="000000"/>
                <w:kern w:val="0"/>
                <w:sz w:val="22"/>
                <w:szCs w:val="22"/>
              </w:rPr>
            </w:pPr>
          </w:p>
        </w:tc>
        <w:tc>
          <w:tcPr>
            <w:tcW w:w="835"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满意度指</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标</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满意度指标</w:t>
            </w:r>
          </w:p>
        </w:tc>
        <w:tc>
          <w:tcPr>
            <w:tcW w:w="3119" w:type="dxa"/>
            <w:tcBorders>
              <w:top w:val="single" w:color="000000" w:sz="4" w:space="0"/>
              <w:left w:val="nil"/>
              <w:bottom w:val="single" w:color="000000" w:sz="4" w:space="0"/>
              <w:right w:val="single" w:color="000000" w:sz="4" w:space="0"/>
            </w:tcBorders>
            <w:shd w:val="clear" w:color="auto" w:fill="auto"/>
            <w:vAlign w:val="center"/>
          </w:tcPr>
          <w:p>
            <w:pPr>
              <w:widowControl/>
              <w:jc w:val="center"/>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师生家长满意度</w:t>
            </w:r>
          </w:p>
        </w:tc>
        <w:tc>
          <w:tcPr>
            <w:tcW w:w="1842" w:type="dxa"/>
            <w:tcBorders>
              <w:top w:val="single" w:color="000000" w:sz="4" w:space="0"/>
              <w:left w:val="nil"/>
              <w:bottom w:val="single" w:color="000000" w:sz="4" w:space="0"/>
              <w:right w:val="single" w:color="auto" w:sz="4" w:space="0"/>
            </w:tcBorders>
            <w:shd w:val="clear" w:color="auto" w:fill="auto"/>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约90%</w:t>
            </w:r>
          </w:p>
        </w:tc>
        <w:tc>
          <w:tcPr>
            <w:tcW w:w="1043" w:type="dxa"/>
            <w:tcBorders>
              <w:top w:val="single" w:color="000000" w:sz="4" w:space="0"/>
              <w:left w:val="single" w:color="auto" w:sz="4" w:space="0"/>
              <w:bottom w:val="single" w:color="000000" w:sz="4" w:space="0"/>
              <w:right w:val="single" w:color="000000" w:sz="4" w:space="0"/>
            </w:tcBorders>
            <w:shd w:val="clear" w:color="auto" w:fill="auto"/>
            <w:vAlign w:val="center"/>
          </w:tcPr>
          <w:p>
            <w:pPr>
              <w:widowControl/>
              <w:jc w:val="left"/>
              <w:rPr>
                <w:rFonts w:ascii="等线" w:hAnsi="等线" w:eastAsia="等线" w:cs="宋体"/>
                <w:color w:val="000000" w:themeColor="text1"/>
                <w:kern w:val="0"/>
                <w:sz w:val="22"/>
                <w:szCs w:val="22"/>
                <w14:textFill>
                  <w14:solidFill>
                    <w14:schemeClr w14:val="tx1"/>
                  </w14:solidFill>
                </w14:textFill>
              </w:rPr>
            </w:pPr>
            <w:r>
              <w:rPr>
                <w:rFonts w:hint="eastAsia" w:ascii="等线" w:hAnsi="等线" w:eastAsia="等线" w:cs="宋体"/>
                <w:color w:val="000000" w:themeColor="text1"/>
                <w:kern w:val="0"/>
                <w:sz w:val="22"/>
                <w:szCs w:val="22"/>
                <w14:textFill>
                  <w14:solidFill>
                    <w14:schemeClr w14:val="tx1"/>
                  </w14:solidFill>
                </w14:textFill>
              </w:rPr>
              <w:t>99%</w:t>
            </w:r>
          </w:p>
        </w:tc>
      </w:tr>
    </w:tbl>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二、评价工作开展情况</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（一）评价组织情况</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1．设立验收评估工作小组</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组长：巫显会（副院长）</w:t>
      </w:r>
    </w:p>
    <w:p>
      <w:pPr>
        <w:pStyle w:val="6"/>
        <w:ind w:firstLine="640"/>
        <w:rPr>
          <w:rFonts w:hint="eastAsia"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组员：赵继英（财资处处长）、林燕（教育督导室主任）、</w:t>
      </w:r>
      <w:r>
        <w:rPr>
          <w:rFonts w:hint="eastAsia" w:hAnsi="仿宋_GB2312" w:cs="仿宋_GB2312"/>
          <w:color w:val="auto"/>
          <w:sz w:val="32"/>
          <w:szCs w:val="32"/>
          <w:highlight w:val="none"/>
          <w:lang w:val="en-US" w:eastAsia="zh-CN"/>
        </w:rPr>
        <w:t xml:space="preserve">  </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何涛（学生工作处处长）、孙永劲、王清锋（管理团队分管干事）</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2．工作内容和时间节点</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69"/>
        <w:gridCol w:w="2552"/>
        <w:gridCol w:w="11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7" w:type="dxa"/>
          </w:tcPr>
          <w:p>
            <w:pPr>
              <w:tabs>
                <w:tab w:val="left" w:pos="680"/>
              </w:tabs>
              <w:jc w:val="center"/>
              <w:rPr>
                <w:rFonts w:ascii="黑体" w:hAnsi="黑体" w:eastAsia="黑体"/>
                <w:sz w:val="28"/>
                <w:szCs w:val="28"/>
              </w:rPr>
            </w:pPr>
            <w:r>
              <w:rPr>
                <w:rFonts w:hint="eastAsia" w:ascii="黑体" w:hAnsi="黑体" w:eastAsia="黑体"/>
                <w:sz w:val="28"/>
                <w:szCs w:val="28"/>
              </w:rPr>
              <w:t>序号</w:t>
            </w:r>
          </w:p>
        </w:tc>
        <w:tc>
          <w:tcPr>
            <w:tcW w:w="3969" w:type="dxa"/>
          </w:tcPr>
          <w:p>
            <w:pPr>
              <w:tabs>
                <w:tab w:val="left" w:pos="680"/>
              </w:tabs>
              <w:jc w:val="center"/>
              <w:rPr>
                <w:rFonts w:ascii="黑体" w:hAnsi="黑体" w:eastAsia="黑体"/>
                <w:sz w:val="28"/>
                <w:szCs w:val="28"/>
              </w:rPr>
            </w:pPr>
            <w:r>
              <w:rPr>
                <w:rFonts w:hint="eastAsia" w:ascii="黑体" w:hAnsi="黑体" w:eastAsia="黑体"/>
                <w:sz w:val="28"/>
                <w:szCs w:val="28"/>
              </w:rPr>
              <w:t>工作内容</w:t>
            </w:r>
          </w:p>
        </w:tc>
        <w:tc>
          <w:tcPr>
            <w:tcW w:w="2552" w:type="dxa"/>
          </w:tcPr>
          <w:p>
            <w:pPr>
              <w:tabs>
                <w:tab w:val="left" w:pos="680"/>
              </w:tabs>
              <w:jc w:val="center"/>
              <w:rPr>
                <w:rFonts w:ascii="黑体" w:hAnsi="黑体" w:eastAsia="黑体"/>
                <w:sz w:val="28"/>
                <w:szCs w:val="28"/>
              </w:rPr>
            </w:pPr>
            <w:r>
              <w:rPr>
                <w:rFonts w:hint="eastAsia" w:ascii="黑体" w:hAnsi="黑体" w:eastAsia="黑体"/>
                <w:sz w:val="28"/>
                <w:szCs w:val="28"/>
              </w:rPr>
              <w:t>工作时限</w:t>
            </w:r>
          </w:p>
        </w:tc>
        <w:tc>
          <w:tcPr>
            <w:tcW w:w="1184" w:type="dxa"/>
          </w:tcPr>
          <w:p>
            <w:pPr>
              <w:tabs>
                <w:tab w:val="left" w:pos="680"/>
              </w:tabs>
              <w:jc w:val="center"/>
              <w:rPr>
                <w:rFonts w:ascii="黑体" w:hAnsi="黑体" w:eastAsia="黑体"/>
                <w:sz w:val="28"/>
                <w:szCs w:val="28"/>
              </w:rPr>
            </w:pPr>
            <w:r>
              <w:rPr>
                <w:rFonts w:hint="eastAsia" w:ascii="黑体" w:hAnsi="黑体" w:eastAsia="黑体"/>
                <w:sz w:val="28"/>
                <w:szCs w:val="28"/>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7" w:type="dxa"/>
          </w:tcPr>
          <w:p>
            <w:pPr>
              <w:tabs>
                <w:tab w:val="left" w:pos="680"/>
              </w:tabs>
              <w:jc w:val="center"/>
              <w:rPr>
                <w:rFonts w:ascii="仿宋" w:hAnsi="仿宋" w:eastAsia="仿宋"/>
                <w:sz w:val="28"/>
                <w:szCs w:val="28"/>
              </w:rPr>
            </w:pPr>
            <w:r>
              <w:rPr>
                <w:rFonts w:hint="eastAsia" w:ascii="仿宋" w:hAnsi="仿宋" w:eastAsia="仿宋"/>
                <w:sz w:val="28"/>
                <w:szCs w:val="28"/>
              </w:rPr>
              <w:t>1</w:t>
            </w:r>
          </w:p>
        </w:tc>
        <w:tc>
          <w:tcPr>
            <w:tcW w:w="3969" w:type="dxa"/>
          </w:tcPr>
          <w:p>
            <w:pPr>
              <w:tabs>
                <w:tab w:val="left" w:pos="680"/>
              </w:tabs>
              <w:rPr>
                <w:rFonts w:ascii="仿宋" w:hAnsi="仿宋" w:eastAsia="仿宋"/>
                <w:sz w:val="28"/>
                <w:szCs w:val="28"/>
              </w:rPr>
            </w:pPr>
            <w:r>
              <w:rPr>
                <w:rFonts w:hint="eastAsia" w:ascii="仿宋" w:hAnsi="仿宋" w:eastAsia="仿宋"/>
                <w:sz w:val="28"/>
                <w:szCs w:val="28"/>
              </w:rPr>
              <w:t>召开项目评价工作会议</w:t>
            </w:r>
          </w:p>
        </w:tc>
        <w:tc>
          <w:tcPr>
            <w:tcW w:w="2552" w:type="dxa"/>
          </w:tcPr>
          <w:p>
            <w:pPr>
              <w:tabs>
                <w:tab w:val="left" w:pos="680"/>
              </w:tabs>
              <w:rPr>
                <w:rFonts w:ascii="仿宋" w:hAnsi="仿宋" w:eastAsia="仿宋"/>
                <w:sz w:val="28"/>
                <w:szCs w:val="28"/>
              </w:rPr>
            </w:pPr>
            <w:r>
              <w:rPr>
                <w:rFonts w:hint="eastAsia" w:ascii="仿宋" w:hAnsi="仿宋" w:eastAsia="仿宋"/>
                <w:sz w:val="28"/>
                <w:szCs w:val="28"/>
              </w:rPr>
              <w:t>2020.11</w:t>
            </w:r>
            <w:r>
              <w:rPr>
                <w:rFonts w:ascii="仿宋" w:hAnsi="仿宋" w:eastAsia="仿宋"/>
                <w:sz w:val="28"/>
                <w:szCs w:val="28"/>
              </w:rPr>
              <w:t>—</w:t>
            </w:r>
            <w:r>
              <w:rPr>
                <w:rFonts w:hint="eastAsia" w:ascii="仿宋" w:hAnsi="仿宋" w:eastAsia="仿宋"/>
                <w:sz w:val="28"/>
                <w:szCs w:val="28"/>
              </w:rPr>
              <w:t>2020.12</w:t>
            </w:r>
          </w:p>
        </w:tc>
        <w:tc>
          <w:tcPr>
            <w:tcW w:w="1184" w:type="dxa"/>
          </w:tcPr>
          <w:p>
            <w:pPr>
              <w:tabs>
                <w:tab w:val="left" w:pos="680"/>
              </w:tabs>
              <w:rPr>
                <w:rFonts w:ascii="仿宋" w:hAnsi="仿宋" w:eastAsia="仿宋"/>
                <w:sz w:val="28"/>
                <w:szCs w:val="28"/>
              </w:rPr>
            </w:pPr>
            <w:r>
              <w:rPr>
                <w:rFonts w:hint="eastAsia" w:ascii="仿宋" w:hAnsi="仿宋" w:eastAsia="仿宋"/>
                <w:sz w:val="28"/>
                <w:szCs w:val="28"/>
              </w:rPr>
              <w:t>巫显会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7" w:type="dxa"/>
          </w:tcPr>
          <w:p>
            <w:pPr>
              <w:tabs>
                <w:tab w:val="left" w:pos="680"/>
              </w:tabs>
              <w:jc w:val="center"/>
              <w:rPr>
                <w:rFonts w:ascii="仿宋" w:hAnsi="仿宋" w:eastAsia="仿宋"/>
                <w:sz w:val="28"/>
                <w:szCs w:val="28"/>
              </w:rPr>
            </w:pPr>
            <w:r>
              <w:rPr>
                <w:rFonts w:hint="eastAsia" w:ascii="仿宋" w:hAnsi="仿宋" w:eastAsia="仿宋"/>
                <w:sz w:val="28"/>
                <w:szCs w:val="28"/>
              </w:rPr>
              <w:t>2</w:t>
            </w:r>
          </w:p>
        </w:tc>
        <w:tc>
          <w:tcPr>
            <w:tcW w:w="3969" w:type="dxa"/>
          </w:tcPr>
          <w:p>
            <w:pPr>
              <w:tabs>
                <w:tab w:val="left" w:pos="680"/>
              </w:tabs>
              <w:rPr>
                <w:rFonts w:ascii="仿宋" w:hAnsi="仿宋" w:eastAsia="仿宋"/>
                <w:sz w:val="28"/>
                <w:szCs w:val="28"/>
              </w:rPr>
            </w:pPr>
            <w:r>
              <w:rPr>
                <w:rFonts w:hint="eastAsia" w:ascii="仿宋" w:hAnsi="仿宋" w:eastAsia="仿宋"/>
                <w:sz w:val="28"/>
                <w:szCs w:val="28"/>
              </w:rPr>
              <w:t>根据合同和考核细则开展评价</w:t>
            </w:r>
          </w:p>
        </w:tc>
        <w:tc>
          <w:tcPr>
            <w:tcW w:w="2552" w:type="dxa"/>
          </w:tcPr>
          <w:p>
            <w:pPr>
              <w:tabs>
                <w:tab w:val="left" w:pos="680"/>
              </w:tabs>
              <w:rPr>
                <w:rFonts w:ascii="仿宋" w:hAnsi="仿宋" w:eastAsia="仿宋"/>
                <w:sz w:val="28"/>
                <w:szCs w:val="28"/>
              </w:rPr>
            </w:pPr>
            <w:r>
              <w:rPr>
                <w:rFonts w:hint="eastAsia" w:ascii="仿宋" w:hAnsi="仿宋" w:eastAsia="仿宋"/>
                <w:sz w:val="28"/>
                <w:szCs w:val="28"/>
              </w:rPr>
              <w:t>2020.12</w:t>
            </w:r>
          </w:p>
        </w:tc>
        <w:tc>
          <w:tcPr>
            <w:tcW w:w="1184" w:type="dxa"/>
          </w:tcPr>
          <w:p>
            <w:pPr>
              <w:tabs>
                <w:tab w:val="left" w:pos="680"/>
              </w:tabs>
              <w:rPr>
                <w:rFonts w:ascii="仿宋" w:hAnsi="仿宋" w:eastAsia="仿宋"/>
                <w:sz w:val="28"/>
                <w:szCs w:val="28"/>
              </w:rPr>
            </w:pPr>
            <w:r>
              <w:rPr>
                <w:rFonts w:hint="eastAsia" w:ascii="仿宋" w:hAnsi="仿宋" w:eastAsia="仿宋"/>
                <w:sz w:val="28"/>
                <w:szCs w:val="28"/>
              </w:rPr>
              <w:t>何涛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817" w:type="dxa"/>
          </w:tcPr>
          <w:p>
            <w:pPr>
              <w:tabs>
                <w:tab w:val="left" w:pos="680"/>
              </w:tabs>
              <w:jc w:val="center"/>
              <w:rPr>
                <w:rFonts w:ascii="仿宋" w:hAnsi="仿宋" w:eastAsia="仿宋"/>
                <w:sz w:val="28"/>
                <w:szCs w:val="28"/>
              </w:rPr>
            </w:pPr>
            <w:r>
              <w:rPr>
                <w:rFonts w:hint="eastAsia" w:ascii="仿宋" w:hAnsi="仿宋" w:eastAsia="仿宋"/>
                <w:sz w:val="28"/>
                <w:szCs w:val="28"/>
              </w:rPr>
              <w:t>3</w:t>
            </w:r>
          </w:p>
        </w:tc>
        <w:tc>
          <w:tcPr>
            <w:tcW w:w="3969" w:type="dxa"/>
          </w:tcPr>
          <w:p>
            <w:pPr>
              <w:tabs>
                <w:tab w:val="left" w:pos="680"/>
              </w:tabs>
              <w:rPr>
                <w:rFonts w:ascii="仿宋" w:hAnsi="仿宋" w:eastAsia="仿宋"/>
                <w:sz w:val="28"/>
                <w:szCs w:val="28"/>
              </w:rPr>
            </w:pPr>
            <w:r>
              <w:rPr>
                <w:rFonts w:hint="eastAsia" w:ascii="仿宋" w:hAnsi="仿宋" w:eastAsia="仿宋"/>
                <w:sz w:val="28"/>
                <w:szCs w:val="28"/>
              </w:rPr>
              <w:t>完成政府采购履约验收</w:t>
            </w:r>
          </w:p>
        </w:tc>
        <w:tc>
          <w:tcPr>
            <w:tcW w:w="2552" w:type="dxa"/>
          </w:tcPr>
          <w:p>
            <w:pPr>
              <w:tabs>
                <w:tab w:val="left" w:pos="680"/>
              </w:tabs>
              <w:rPr>
                <w:rFonts w:ascii="仿宋" w:hAnsi="仿宋" w:eastAsia="仿宋"/>
                <w:sz w:val="28"/>
                <w:szCs w:val="28"/>
              </w:rPr>
            </w:pPr>
            <w:r>
              <w:rPr>
                <w:rFonts w:hint="eastAsia" w:ascii="仿宋" w:hAnsi="仿宋" w:eastAsia="仿宋"/>
                <w:sz w:val="28"/>
                <w:szCs w:val="28"/>
              </w:rPr>
              <w:t>2020.12</w:t>
            </w:r>
          </w:p>
        </w:tc>
        <w:tc>
          <w:tcPr>
            <w:tcW w:w="1184" w:type="dxa"/>
          </w:tcPr>
          <w:p>
            <w:pPr>
              <w:tabs>
                <w:tab w:val="left" w:pos="680"/>
              </w:tabs>
              <w:rPr>
                <w:rFonts w:ascii="仿宋" w:hAnsi="仿宋" w:eastAsia="仿宋"/>
                <w:sz w:val="28"/>
                <w:szCs w:val="28"/>
              </w:rPr>
            </w:pPr>
            <w:r>
              <w:rPr>
                <w:rFonts w:hint="eastAsia" w:ascii="仿宋" w:hAnsi="仿宋" w:eastAsia="仿宋"/>
                <w:sz w:val="28"/>
                <w:szCs w:val="28"/>
              </w:rPr>
              <w:t>林燕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817" w:type="dxa"/>
          </w:tcPr>
          <w:p>
            <w:pPr>
              <w:tabs>
                <w:tab w:val="left" w:pos="680"/>
              </w:tabs>
              <w:jc w:val="center"/>
              <w:rPr>
                <w:rFonts w:ascii="仿宋" w:hAnsi="仿宋" w:eastAsia="仿宋"/>
                <w:sz w:val="28"/>
                <w:szCs w:val="28"/>
              </w:rPr>
            </w:pPr>
            <w:r>
              <w:rPr>
                <w:rFonts w:hint="eastAsia" w:ascii="仿宋" w:hAnsi="仿宋" w:eastAsia="仿宋"/>
                <w:sz w:val="28"/>
                <w:szCs w:val="28"/>
              </w:rPr>
              <w:t>4</w:t>
            </w:r>
          </w:p>
        </w:tc>
        <w:tc>
          <w:tcPr>
            <w:tcW w:w="3969" w:type="dxa"/>
          </w:tcPr>
          <w:p>
            <w:pPr>
              <w:tabs>
                <w:tab w:val="left" w:pos="680"/>
              </w:tabs>
              <w:rPr>
                <w:rFonts w:ascii="仿宋" w:hAnsi="仿宋" w:eastAsia="仿宋"/>
                <w:sz w:val="28"/>
                <w:szCs w:val="28"/>
              </w:rPr>
            </w:pPr>
            <w:r>
              <w:rPr>
                <w:rFonts w:hint="eastAsia" w:ascii="仿宋" w:hAnsi="仿宋" w:eastAsia="仿宋"/>
                <w:sz w:val="28"/>
                <w:szCs w:val="28"/>
              </w:rPr>
              <w:t>完成学生、家长问卷调查</w:t>
            </w:r>
          </w:p>
        </w:tc>
        <w:tc>
          <w:tcPr>
            <w:tcW w:w="2552" w:type="dxa"/>
          </w:tcPr>
          <w:p>
            <w:pPr>
              <w:tabs>
                <w:tab w:val="left" w:pos="680"/>
              </w:tabs>
              <w:rPr>
                <w:rFonts w:ascii="仿宋" w:hAnsi="仿宋" w:eastAsia="仿宋"/>
                <w:sz w:val="28"/>
                <w:szCs w:val="28"/>
              </w:rPr>
            </w:pPr>
            <w:r>
              <w:rPr>
                <w:rFonts w:hint="eastAsia" w:ascii="仿宋" w:hAnsi="仿宋" w:eastAsia="仿宋"/>
                <w:sz w:val="28"/>
                <w:szCs w:val="28"/>
              </w:rPr>
              <w:t>2021.4</w:t>
            </w:r>
          </w:p>
        </w:tc>
        <w:tc>
          <w:tcPr>
            <w:tcW w:w="1184" w:type="dxa"/>
          </w:tcPr>
          <w:p>
            <w:pPr>
              <w:tabs>
                <w:tab w:val="left" w:pos="680"/>
              </w:tabs>
              <w:rPr>
                <w:rFonts w:ascii="仿宋" w:hAnsi="仿宋" w:eastAsia="仿宋"/>
                <w:sz w:val="28"/>
                <w:szCs w:val="28"/>
              </w:rPr>
            </w:pPr>
            <w:r>
              <w:rPr>
                <w:rFonts w:hint="eastAsia" w:ascii="仿宋" w:hAnsi="仿宋" w:eastAsia="仿宋"/>
                <w:sz w:val="28"/>
                <w:szCs w:val="28"/>
              </w:rPr>
              <w:t>何涛</w:t>
            </w:r>
          </w:p>
        </w:tc>
      </w:tr>
    </w:tbl>
    <w:p>
      <w:pPr>
        <w:pStyle w:val="6"/>
        <w:numPr>
          <w:ilvl w:val="0"/>
          <w:numId w:val="6"/>
        </w:numPr>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评价指标体系</w:t>
      </w:r>
    </w:p>
    <w:p>
      <w:pPr>
        <w:pStyle w:val="6"/>
        <w:numPr>
          <w:ilvl w:val="0"/>
          <w:numId w:val="0"/>
        </w:numPr>
        <w:rPr>
          <w:rFonts w:hint="eastAsia" w:ascii="仿宋_GB2312" w:hAnsi="仿宋_GB2312" w:eastAsia="仿宋_GB2312" w:cs="仿宋_GB2312"/>
          <w:color w:val="auto"/>
          <w:sz w:val="32"/>
          <w:szCs w:val="32"/>
          <w:highlight w:val="none"/>
          <w:lang w:eastAsia="zh-CN"/>
        </w:rPr>
      </w:pPr>
      <w:r>
        <w:drawing>
          <wp:inline distT="0" distB="0" distL="0" distR="0">
            <wp:extent cx="5159375" cy="41503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170316" cy="4159401"/>
                    </a:xfrm>
                    <a:prstGeom prst="rect">
                      <a:avLst/>
                    </a:prstGeom>
                    <a:noFill/>
                    <a:ln>
                      <a:noFill/>
                    </a:ln>
                  </pic:spPr>
                </pic:pic>
              </a:graphicData>
            </a:graphic>
          </wp:inline>
        </w:drawing>
      </w:r>
    </w:p>
    <w:p>
      <w:pPr>
        <w:pStyle w:val="6"/>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（三）评价方法和评价标准</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410"/>
        <w:gridCol w:w="1701"/>
        <w:gridCol w:w="3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680"/>
              </w:tabs>
              <w:jc w:val="center"/>
              <w:rPr>
                <w:rFonts w:ascii="黑体" w:hAnsi="黑体" w:eastAsia="黑体"/>
                <w:sz w:val="28"/>
                <w:szCs w:val="28"/>
              </w:rPr>
            </w:pPr>
            <w:r>
              <w:rPr>
                <w:rFonts w:hint="eastAsia" w:ascii="黑体" w:hAnsi="黑体" w:eastAsia="黑体"/>
                <w:sz w:val="28"/>
                <w:szCs w:val="28"/>
              </w:rPr>
              <w:t>序号</w:t>
            </w:r>
          </w:p>
        </w:tc>
        <w:tc>
          <w:tcPr>
            <w:tcW w:w="2410" w:type="dxa"/>
          </w:tcPr>
          <w:p>
            <w:pPr>
              <w:tabs>
                <w:tab w:val="left" w:pos="680"/>
              </w:tabs>
              <w:jc w:val="center"/>
              <w:rPr>
                <w:rFonts w:ascii="黑体" w:hAnsi="黑体" w:eastAsia="黑体"/>
                <w:sz w:val="28"/>
                <w:szCs w:val="28"/>
              </w:rPr>
            </w:pPr>
            <w:r>
              <w:rPr>
                <w:rFonts w:hint="eastAsia" w:ascii="黑体" w:hAnsi="黑体" w:eastAsia="黑体"/>
                <w:sz w:val="28"/>
                <w:szCs w:val="28"/>
              </w:rPr>
              <w:t>指标内容</w:t>
            </w:r>
          </w:p>
        </w:tc>
        <w:tc>
          <w:tcPr>
            <w:tcW w:w="1701" w:type="dxa"/>
          </w:tcPr>
          <w:p>
            <w:pPr>
              <w:tabs>
                <w:tab w:val="left" w:pos="680"/>
              </w:tabs>
              <w:jc w:val="center"/>
              <w:rPr>
                <w:rFonts w:ascii="黑体" w:hAnsi="黑体" w:eastAsia="黑体"/>
                <w:sz w:val="28"/>
                <w:szCs w:val="28"/>
              </w:rPr>
            </w:pPr>
            <w:r>
              <w:rPr>
                <w:rFonts w:hint="eastAsia" w:ascii="黑体" w:hAnsi="黑体" w:eastAsia="黑体"/>
                <w:sz w:val="28"/>
                <w:szCs w:val="28"/>
              </w:rPr>
              <w:t>评价方法</w:t>
            </w:r>
          </w:p>
        </w:tc>
        <w:tc>
          <w:tcPr>
            <w:tcW w:w="3594" w:type="dxa"/>
          </w:tcPr>
          <w:p>
            <w:pPr>
              <w:tabs>
                <w:tab w:val="left" w:pos="680"/>
              </w:tabs>
              <w:jc w:val="center"/>
              <w:rPr>
                <w:rFonts w:ascii="黑体" w:hAnsi="黑体" w:eastAsia="黑体"/>
                <w:sz w:val="28"/>
                <w:szCs w:val="28"/>
              </w:rPr>
            </w:pPr>
            <w:r>
              <w:rPr>
                <w:rFonts w:hint="eastAsia" w:ascii="黑体" w:hAnsi="黑体" w:eastAsia="黑体"/>
                <w:sz w:val="28"/>
                <w:szCs w:val="28"/>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680"/>
              </w:tabs>
              <w:jc w:val="center"/>
              <w:rPr>
                <w:rFonts w:ascii="仿宋" w:hAnsi="仿宋" w:eastAsia="仿宋"/>
                <w:sz w:val="28"/>
                <w:szCs w:val="28"/>
              </w:rPr>
            </w:pPr>
            <w:r>
              <w:rPr>
                <w:rFonts w:hint="eastAsia" w:ascii="仿宋" w:hAnsi="仿宋" w:eastAsia="仿宋"/>
                <w:sz w:val="28"/>
                <w:szCs w:val="28"/>
              </w:rPr>
              <w:t>1</w:t>
            </w:r>
          </w:p>
        </w:tc>
        <w:tc>
          <w:tcPr>
            <w:tcW w:w="2410" w:type="dxa"/>
          </w:tcPr>
          <w:p>
            <w:pPr>
              <w:tabs>
                <w:tab w:val="left" w:pos="680"/>
              </w:tabs>
              <w:rPr>
                <w:rFonts w:ascii="仿宋" w:hAnsi="仿宋" w:eastAsia="仿宋"/>
                <w:sz w:val="28"/>
                <w:szCs w:val="28"/>
              </w:rPr>
            </w:pPr>
            <w:r>
              <w:rPr>
                <w:rFonts w:hint="eastAsia" w:ascii="仿宋" w:hAnsi="仿宋" w:eastAsia="仿宋"/>
                <w:sz w:val="28"/>
                <w:szCs w:val="28"/>
              </w:rPr>
              <w:t>数量指标</w:t>
            </w:r>
          </w:p>
        </w:tc>
        <w:tc>
          <w:tcPr>
            <w:tcW w:w="1701" w:type="dxa"/>
          </w:tcPr>
          <w:p>
            <w:pPr>
              <w:tabs>
                <w:tab w:val="left" w:pos="680"/>
              </w:tabs>
              <w:rPr>
                <w:rFonts w:ascii="仿宋" w:hAnsi="仿宋" w:eastAsia="仿宋"/>
                <w:sz w:val="28"/>
                <w:szCs w:val="28"/>
              </w:rPr>
            </w:pPr>
            <w:r>
              <w:rPr>
                <w:rFonts w:hint="eastAsia" w:ascii="仿宋" w:hAnsi="仿宋" w:eastAsia="仿宋"/>
                <w:sz w:val="28"/>
                <w:szCs w:val="28"/>
              </w:rPr>
              <w:t>综合检查</w:t>
            </w:r>
          </w:p>
        </w:tc>
        <w:tc>
          <w:tcPr>
            <w:tcW w:w="3594" w:type="dxa"/>
          </w:tcPr>
          <w:p>
            <w:pPr>
              <w:tabs>
                <w:tab w:val="left" w:pos="680"/>
              </w:tabs>
              <w:rPr>
                <w:rFonts w:ascii="仿宋" w:hAnsi="仿宋" w:eastAsia="仿宋"/>
                <w:sz w:val="28"/>
                <w:szCs w:val="28"/>
              </w:rPr>
            </w:pPr>
            <w:r>
              <w:rPr>
                <w:rFonts w:hint="eastAsia" w:ascii="仿宋" w:hAnsi="仿宋" w:eastAsia="仿宋"/>
                <w:sz w:val="28"/>
                <w:szCs w:val="28"/>
              </w:rPr>
              <w:t>合同、事件处置记录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680"/>
              </w:tabs>
              <w:jc w:val="center"/>
              <w:rPr>
                <w:rFonts w:ascii="仿宋" w:hAnsi="仿宋" w:eastAsia="仿宋"/>
                <w:sz w:val="28"/>
                <w:szCs w:val="28"/>
              </w:rPr>
            </w:pPr>
            <w:r>
              <w:rPr>
                <w:rFonts w:hint="eastAsia" w:ascii="仿宋" w:hAnsi="仿宋" w:eastAsia="仿宋"/>
                <w:sz w:val="28"/>
                <w:szCs w:val="28"/>
              </w:rPr>
              <w:t>2</w:t>
            </w:r>
          </w:p>
        </w:tc>
        <w:tc>
          <w:tcPr>
            <w:tcW w:w="2410" w:type="dxa"/>
          </w:tcPr>
          <w:p>
            <w:pPr>
              <w:tabs>
                <w:tab w:val="left" w:pos="680"/>
              </w:tabs>
              <w:rPr>
                <w:rFonts w:ascii="仿宋" w:hAnsi="仿宋" w:eastAsia="仿宋"/>
                <w:sz w:val="28"/>
                <w:szCs w:val="28"/>
              </w:rPr>
            </w:pPr>
            <w:r>
              <w:rPr>
                <w:rFonts w:hint="eastAsia" w:ascii="仿宋" w:hAnsi="仿宋" w:eastAsia="仿宋"/>
                <w:sz w:val="28"/>
                <w:szCs w:val="28"/>
              </w:rPr>
              <w:t>质量指标</w:t>
            </w:r>
          </w:p>
        </w:tc>
        <w:tc>
          <w:tcPr>
            <w:tcW w:w="1701" w:type="dxa"/>
          </w:tcPr>
          <w:p>
            <w:pPr>
              <w:tabs>
                <w:tab w:val="left" w:pos="680"/>
              </w:tabs>
              <w:rPr>
                <w:rFonts w:ascii="仿宋" w:hAnsi="仿宋" w:eastAsia="仿宋"/>
                <w:sz w:val="28"/>
                <w:szCs w:val="28"/>
              </w:rPr>
            </w:pPr>
            <w:r>
              <w:rPr>
                <w:rFonts w:hint="eastAsia" w:ascii="仿宋" w:hAnsi="仿宋" w:eastAsia="仿宋"/>
                <w:sz w:val="28"/>
                <w:szCs w:val="28"/>
              </w:rPr>
              <w:t>检查合议</w:t>
            </w:r>
          </w:p>
        </w:tc>
        <w:tc>
          <w:tcPr>
            <w:tcW w:w="3594" w:type="dxa"/>
          </w:tcPr>
          <w:p>
            <w:pPr>
              <w:tabs>
                <w:tab w:val="left" w:pos="680"/>
              </w:tabs>
              <w:rPr>
                <w:rFonts w:ascii="仿宋" w:hAnsi="仿宋" w:eastAsia="仿宋"/>
                <w:sz w:val="28"/>
                <w:szCs w:val="28"/>
              </w:rPr>
            </w:pPr>
            <w:r>
              <w:rPr>
                <w:rFonts w:hint="eastAsia" w:ascii="仿宋" w:hAnsi="仿宋" w:eastAsia="仿宋"/>
                <w:sz w:val="28"/>
                <w:szCs w:val="28"/>
              </w:rPr>
              <w:t>合同、考核细则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680"/>
              </w:tabs>
              <w:jc w:val="center"/>
              <w:rPr>
                <w:rFonts w:ascii="仿宋" w:hAnsi="仿宋" w:eastAsia="仿宋"/>
                <w:sz w:val="28"/>
                <w:szCs w:val="28"/>
              </w:rPr>
            </w:pPr>
            <w:r>
              <w:rPr>
                <w:rFonts w:hint="eastAsia" w:ascii="仿宋" w:hAnsi="仿宋" w:eastAsia="仿宋"/>
                <w:sz w:val="28"/>
                <w:szCs w:val="28"/>
              </w:rPr>
              <w:t>3</w:t>
            </w:r>
          </w:p>
        </w:tc>
        <w:tc>
          <w:tcPr>
            <w:tcW w:w="2410" w:type="dxa"/>
          </w:tcPr>
          <w:p>
            <w:pPr>
              <w:tabs>
                <w:tab w:val="left" w:pos="680"/>
              </w:tabs>
              <w:rPr>
                <w:rFonts w:ascii="仿宋" w:hAnsi="仿宋" w:eastAsia="仿宋"/>
                <w:sz w:val="28"/>
                <w:szCs w:val="28"/>
              </w:rPr>
            </w:pPr>
            <w:r>
              <w:rPr>
                <w:rFonts w:hint="eastAsia" w:ascii="仿宋" w:hAnsi="仿宋" w:eastAsia="仿宋"/>
                <w:sz w:val="28"/>
                <w:szCs w:val="28"/>
              </w:rPr>
              <w:t>效益指标</w:t>
            </w:r>
          </w:p>
        </w:tc>
        <w:tc>
          <w:tcPr>
            <w:tcW w:w="1701" w:type="dxa"/>
          </w:tcPr>
          <w:p>
            <w:pPr>
              <w:tabs>
                <w:tab w:val="left" w:pos="680"/>
              </w:tabs>
              <w:rPr>
                <w:rFonts w:ascii="仿宋" w:hAnsi="仿宋" w:eastAsia="仿宋"/>
                <w:sz w:val="28"/>
                <w:szCs w:val="28"/>
              </w:rPr>
            </w:pPr>
            <w:r>
              <w:rPr>
                <w:rFonts w:hint="eastAsia" w:ascii="仿宋" w:hAnsi="仿宋" w:eastAsia="仿宋"/>
                <w:sz w:val="28"/>
                <w:szCs w:val="28"/>
              </w:rPr>
              <w:t>检查合议</w:t>
            </w:r>
          </w:p>
        </w:tc>
        <w:tc>
          <w:tcPr>
            <w:tcW w:w="3594" w:type="dxa"/>
          </w:tcPr>
          <w:p>
            <w:pPr>
              <w:tabs>
                <w:tab w:val="left" w:pos="680"/>
              </w:tabs>
              <w:rPr>
                <w:rFonts w:ascii="仿宋" w:hAnsi="仿宋" w:eastAsia="仿宋"/>
                <w:sz w:val="28"/>
                <w:szCs w:val="28"/>
              </w:rPr>
            </w:pPr>
            <w:r>
              <w:rPr>
                <w:rFonts w:hint="eastAsia" w:ascii="仿宋" w:hAnsi="仿宋" w:eastAsia="仿宋"/>
                <w:sz w:val="28"/>
                <w:szCs w:val="28"/>
              </w:rPr>
              <w:t>项目申报目标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tabs>
                <w:tab w:val="left" w:pos="680"/>
              </w:tabs>
              <w:jc w:val="center"/>
              <w:rPr>
                <w:rFonts w:ascii="仿宋" w:hAnsi="仿宋" w:eastAsia="仿宋"/>
                <w:sz w:val="28"/>
                <w:szCs w:val="28"/>
              </w:rPr>
            </w:pPr>
            <w:r>
              <w:rPr>
                <w:rFonts w:hint="eastAsia" w:ascii="仿宋" w:hAnsi="仿宋" w:eastAsia="仿宋"/>
                <w:sz w:val="28"/>
                <w:szCs w:val="28"/>
              </w:rPr>
              <w:t>4</w:t>
            </w:r>
          </w:p>
        </w:tc>
        <w:tc>
          <w:tcPr>
            <w:tcW w:w="2410" w:type="dxa"/>
          </w:tcPr>
          <w:p>
            <w:pPr>
              <w:tabs>
                <w:tab w:val="left" w:pos="680"/>
              </w:tabs>
              <w:rPr>
                <w:rFonts w:ascii="仿宋" w:hAnsi="仿宋" w:eastAsia="仿宋"/>
                <w:sz w:val="28"/>
                <w:szCs w:val="28"/>
              </w:rPr>
            </w:pPr>
            <w:r>
              <w:rPr>
                <w:rFonts w:hint="eastAsia" w:ascii="仿宋" w:hAnsi="仿宋" w:eastAsia="仿宋"/>
                <w:sz w:val="28"/>
                <w:szCs w:val="28"/>
              </w:rPr>
              <w:t>满意度指标</w:t>
            </w:r>
          </w:p>
        </w:tc>
        <w:tc>
          <w:tcPr>
            <w:tcW w:w="1701" w:type="dxa"/>
          </w:tcPr>
          <w:p>
            <w:pPr>
              <w:tabs>
                <w:tab w:val="left" w:pos="680"/>
              </w:tabs>
              <w:rPr>
                <w:rFonts w:ascii="仿宋" w:hAnsi="仿宋" w:eastAsia="仿宋"/>
                <w:sz w:val="28"/>
                <w:szCs w:val="28"/>
              </w:rPr>
            </w:pPr>
            <w:r>
              <w:rPr>
                <w:rFonts w:hint="eastAsia" w:ascii="仿宋" w:hAnsi="仿宋" w:eastAsia="仿宋"/>
                <w:sz w:val="28"/>
                <w:szCs w:val="28"/>
              </w:rPr>
              <w:t>问卷调查</w:t>
            </w:r>
          </w:p>
        </w:tc>
        <w:tc>
          <w:tcPr>
            <w:tcW w:w="3594" w:type="dxa"/>
          </w:tcPr>
          <w:p>
            <w:pPr>
              <w:tabs>
                <w:tab w:val="left" w:pos="680"/>
              </w:tabs>
              <w:rPr>
                <w:rFonts w:ascii="仿宋" w:hAnsi="仿宋" w:eastAsia="仿宋"/>
                <w:sz w:val="28"/>
                <w:szCs w:val="28"/>
              </w:rPr>
            </w:pPr>
            <w:r>
              <w:rPr>
                <w:rFonts w:hint="eastAsia" w:ascii="仿宋" w:hAnsi="仿宋" w:eastAsia="仿宋"/>
                <w:sz w:val="28"/>
                <w:szCs w:val="28"/>
              </w:rPr>
              <w:t>项目申报目标</w:t>
            </w:r>
          </w:p>
        </w:tc>
      </w:tr>
    </w:tbl>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三、综合评价结论（附评分表）</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2020年度我院严格依法依规完成实施安保合学生宿舍管理项目。完成管理服务人员劳务外购，加强人防、物防、技防，落实安全教育任务，及时排查处置安全隐患，校园安全、师生教学生活秩序井然，开拓了技工院校管理的新途径，圆满完成项目目标，自评等次为：优。</w:t>
      </w:r>
    </w:p>
    <w:p>
      <w:pPr>
        <w:pStyle w:val="6"/>
        <w:rPr>
          <w:rFonts w:hint="eastAsia" w:ascii="仿宋_GB2312" w:hAnsi="仿宋_GB2312" w:eastAsia="仿宋_GB2312" w:cs="仿宋_GB2312"/>
          <w:color w:val="auto"/>
          <w:sz w:val="32"/>
          <w:szCs w:val="32"/>
          <w:highlight w:val="none"/>
          <w:lang w:eastAsia="zh-CN"/>
        </w:rPr>
      </w:pPr>
      <w:r>
        <w:rPr>
          <w:rFonts w:hint="eastAsia"/>
        </w:rPr>
        <w:drawing>
          <wp:inline distT="0" distB="0" distL="0" distR="0">
            <wp:extent cx="5274310" cy="3835400"/>
            <wp:effectExtent l="0" t="0" r="254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274310" cy="3835400"/>
                    </a:xfrm>
                    <a:prstGeom prst="rect">
                      <a:avLst/>
                    </a:prstGeom>
                  </pic:spPr>
                </pic:pic>
              </a:graphicData>
            </a:graphic>
          </wp:inline>
        </w:drawing>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四、绩效评价分析</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（一）项目决策情况</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强化校园安全管理，是我院提升治理能力的顶层决策要求。自2015年8月始我院为适应新的教育管理形式，在广泛考察和论证的基础上，2020年7月通过公开招标的形式于引进了四川智诚物业管理公司入校参与校园安保和学生宿舍的管理。</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智诚公司有丰富的校园管理和学生管理经验，在省内外有百余家学校的成功管理案例，尤其是服务于多家“9+3”学校，其管理效果和社会口碑均符合我院要求。</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（二）项目管理情况</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1.我院严格依法依规按照学院内部控制制度要求，通过公开招标的形式于引进了服务，签订合同并制定细化的服务质量考核细则。</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2.在项目实施过程中设立专人对项目进行管理，更新了合同和考核办法，确保了外包管理按学校要求稳定高效运行。</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3. 通过召开管理团队协调会、座谈会、培训会等形式监督工作运行。管理团队上交工作计划和总结，按计划开展工作。学生管理部门与管理团队公司完成月度书面反馈。</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4. 以合同和考核细则为依据严格考核。严格要求各岗位执行痕迹管理，确保每天数据都及时记录并可量化。全年共纠正门卫疏忽事件3起，处理学生投诉1起。管理团队整体工作严谨，未出现违规违纪行为，外购服务进行新一轮招标，配齐岗位人员，补充食堂二楼住宿区生活老师2人，调整因年龄、工作实效不符合要求的保安、保洁、生活老师5人。</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（三）项目产出和效益情况</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1.该项目运行以来，共完成30人的劳务外购；</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2.配置微型消防站一个，整理清理校园各处消防设施，增添消防设备；</w:t>
      </w:r>
    </w:p>
    <w:p>
      <w:pPr>
        <w:pStyle w:val="6"/>
        <w:ind w:firstLine="640"/>
        <w:rPr>
          <w:rFonts w:hint="eastAsia" w:hAnsi="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3.加强安全教育工作的落实对安全制度进行梳理，完成</w:t>
      </w:r>
      <w:r>
        <w:rPr>
          <w:rFonts w:hint="eastAsia" w:hAnsi="仿宋_GB2312" w:cs="仿宋_GB2312"/>
          <w:color w:val="auto"/>
          <w:sz w:val="32"/>
          <w:szCs w:val="32"/>
          <w:highlight w:val="none"/>
          <w:lang w:val="en-US" w:eastAsia="zh-CN"/>
        </w:rPr>
        <w:t xml:space="preserve">   </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各部门安全责任书的制定和签订工作；</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4.通过班主任例会、处务会等形式对教师进行了安全教育、学生层面的安全培训、安全主题班会、安全展示展览、警示教育等；</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5.我院已形成：学生安全员、教师系部安全员、管理团队安全员安全隐患排查整改发现的巡查体系，抓住开学，节假日周末放假前假期中等安全节点，结合安全重点部位进行安全检查。及时排查人员设施设备，场所等安全隐患，并做到及时整改。</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6. 我院十分重视学生安全和纪律教育，抓紧后进违纪学生的帮扶，学院全年违纪率较上一年大幅度下降，无打架斗殴等严重人员伤害事故，学生伤害事故处理费用大幅下降。</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7. 我院校园安保及学生管理的创新举措，开拓了技工院校管理的新途径，实施运行以来效果较好。在2020年12月四川省教育厅专家组对我院示范校建设中期验收中，我院获评A等优秀等级，在同类学校中具有示范作用。</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五、存在主要问题</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1. 学生查寝数据统计时间较长，项目信息化管理有待加强。</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2.因学生较多，生活老师楼层分布，住宿条件有待改善。</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3.管理团队工作人员业务能力，沟通技巧有待加强。</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六、相关措施建议</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1.针对存在的问题：</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（1）以示范校建设为依托，加强信息化建设，增强管理服务智能化水平。</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（2）加快学府校区建设，切实解决生活老师住宿问题。</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（3）强化校企沟通，增加管理团队各类业务能力提升培训。</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2.针对该项目未来的发展：</w:t>
      </w: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（1）继续深化校企合作，创新探索学生管理更多更高效的模式。</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（2）加强监管，不断考核总结学生管理外购服务的优缺点，扬长避短，使该项目产生的效用在同类学校中更具引领和先进性。</w:t>
      </w: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ascii="方正小标宋简体" w:hAnsi="宋体" w:eastAsia="方正小标宋简体"/>
          <w:color w:val="auto"/>
          <w:sz w:val="44"/>
          <w:szCs w:val="44"/>
          <w:highlight w:val="none"/>
        </w:rPr>
      </w:pPr>
      <w:r>
        <w:rPr>
          <w:rFonts w:hint="eastAsia" w:ascii="方正小标宋简体" w:hAnsi="宋体" w:eastAsia="方正小标宋简体"/>
          <w:color w:val="auto"/>
          <w:sz w:val="44"/>
          <w:szCs w:val="44"/>
          <w:highlight w:val="none"/>
          <w:lang w:val="en-US" w:eastAsia="zh-CN"/>
        </w:rPr>
        <w:t>2020年部门预算项目支出绩效自评报告</w:t>
      </w:r>
    </w:p>
    <w:p>
      <w:pPr>
        <w:keepNext w:val="0"/>
        <w:keepLines w:val="0"/>
        <w:pageBreakBefore w:val="0"/>
        <w:widowControl w:val="0"/>
        <w:tabs>
          <w:tab w:val="left" w:pos="3885"/>
        </w:tabs>
        <w:kinsoku/>
        <w:wordWrap/>
        <w:overflowPunct/>
        <w:topLinePunct w:val="0"/>
        <w:autoSpaceDE/>
        <w:autoSpaceDN/>
        <w:bidi w:val="0"/>
        <w:adjustRightInd/>
        <w:snapToGrid w:val="0"/>
        <w:spacing w:line="600" w:lineRule="exact"/>
        <w:jc w:val="center"/>
        <w:textAlignment w:val="auto"/>
        <w:outlineLvl w:val="9"/>
        <w:rPr>
          <w:rFonts w:hAnsi="宋体" w:eastAsia="仿宋_GB2312"/>
          <w:color w:val="auto"/>
          <w:sz w:val="32"/>
          <w:szCs w:val="32"/>
          <w:highlight w:val="none"/>
        </w:rPr>
      </w:pPr>
      <w:r>
        <w:rPr>
          <w:rFonts w:hint="eastAsia" w:hAnsi="宋体" w:eastAsia="仿宋_GB2312"/>
          <w:color w:val="auto"/>
          <w:sz w:val="32"/>
          <w:szCs w:val="32"/>
          <w:highlight w:val="none"/>
        </w:rPr>
        <w:t>（</w:t>
      </w:r>
      <w:r>
        <w:rPr>
          <w:rFonts w:hint="eastAsia" w:ascii="仿宋_GB2312" w:hAnsi="仿宋_GB2312" w:eastAsia="仿宋_GB2312" w:cs="仿宋_GB2312"/>
          <w:color w:val="auto"/>
          <w:kern w:val="0"/>
          <w:sz w:val="32"/>
          <w:szCs w:val="32"/>
          <w:highlight w:val="none"/>
          <w:lang w:val="en-US" w:eastAsia="zh-CN" w:bidi="ar-SA"/>
        </w:rPr>
        <w:t>优质校及创新行动建设经费项目</w:t>
      </w:r>
      <w:r>
        <w:rPr>
          <w:rFonts w:hint="eastAsia" w:hAnsi="宋体" w:eastAsia="仿宋_GB2312"/>
          <w:color w:val="auto"/>
          <w:sz w:val="32"/>
          <w:szCs w:val="32"/>
          <w:highlight w:val="none"/>
        </w:rPr>
        <w:t>）</w:t>
      </w:r>
    </w:p>
    <w:p>
      <w:pPr>
        <w:pStyle w:val="6"/>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rPr>
          <w:rFonts w:hint="eastAsia" w:ascii="仿宋_GB2312" w:hAnsi="仿宋_GB2312" w:eastAsia="仿宋_GB2312" w:cs="仿宋_GB2312"/>
          <w:color w:val="auto"/>
          <w:sz w:val="32"/>
          <w:szCs w:val="32"/>
          <w:highlight w:val="none"/>
          <w:lang w:eastAsia="zh-CN"/>
        </w:rPr>
      </w:pPr>
      <w:r>
        <w:rPr>
          <w:rFonts w:hint="eastAsia" w:hAnsi="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lang w:eastAsia="zh-CN"/>
        </w:rPr>
        <w:t>一、基本情况</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（一）项目概况</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为贯彻落实《国务院关于加快发展现代职业教育的决定》（国发〔2014〕19号）、教育部《高等职业教育创新发展行动计划（2015-2018年）》（教职成〔2015〕9号）和《四川省人民政府关于加快发展现代职业教育的实施意见》（川府发〔2014〕48号）等文件精神，充分发挥优质教育资源的示范引领、辐射带动作用，加快发展现代职业教育，全面提升四川省高等职业教育发展质量，加快培育大批具有专业技能与工匠精神的高素质劳动者和人才，四川省于2017年7月启动的优质高职院校建设项目。</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学院为提高学院的办学质量，提交申请成为四川省优质高职院校建设项目的培育院校。学院为了加大优质院校的投入力度，将建设计划所需的建设资金列入年度预算设立了优质校及创新行动建设经费，确保建设资金充足到位。</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（二）项目实施情况</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学院优质校建设包括深化体制机制改革创新、高水平专业(含计算机与软件专业群、物联网专业群、智能制造专业群、智能设备与控制专业群和电子商务专业群5个子项目)、创新创业教育深化改革、高水平师资队伍、技术创新与社会服务能力提升、国际合作与交流和智慧校园，共11个子项目。</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项目建设分三阶段。推进建设阶段：制定制度，分解任务，有序推进；优化提升阶段：阶段性总结，打造特色亮点，破解难题；总结验收阶段：建设总结，迎接检查验收。</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（三）资金投入使用情况</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2020年优质校及创新行动建设经费项目资金预算数2220.04万元，其中财政拨款2098.92万元，其他资金121.12万元；执行数1921.81万元，其中财政拨款1917.28万元，其他资金4.53万元。</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（四）项目绩效目标</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该项目绩效目标为深化体制机制改革创新，创新创业教育深化改革、建立高水平师资队伍、提升技术创新与社会服务能力、加强国际交流与合作、建设智慧校园与互联网生态，打造物联网、智能制造、智能设备与控制技术、电子商务专业群。</w:t>
      </w:r>
    </w:p>
    <w:tbl>
      <w:tblPr>
        <w:tblStyle w:val="12"/>
        <w:tblpPr w:leftFromText="180" w:rightFromText="180" w:vertAnchor="text" w:horzAnchor="page" w:tblpX="1600" w:tblpY="575"/>
        <w:tblOverlap w:val="never"/>
        <w:tblW w:w="8677" w:type="dxa"/>
        <w:tblInd w:w="0" w:type="dxa"/>
        <w:shd w:val="clear" w:color="auto" w:fill="auto"/>
        <w:tblLayout w:type="fixed"/>
        <w:tblCellMar>
          <w:top w:w="0" w:type="dxa"/>
          <w:left w:w="0" w:type="dxa"/>
          <w:bottom w:w="0" w:type="dxa"/>
          <w:right w:w="0" w:type="dxa"/>
        </w:tblCellMar>
      </w:tblPr>
      <w:tblGrid>
        <w:gridCol w:w="487"/>
        <w:gridCol w:w="675"/>
        <w:gridCol w:w="1451"/>
        <w:gridCol w:w="2889"/>
        <w:gridCol w:w="3175"/>
      </w:tblGrid>
      <w:tr>
        <w:tblPrEx>
          <w:shd w:val="clear" w:color="auto" w:fill="auto"/>
          <w:tblCellMar>
            <w:top w:w="0" w:type="dxa"/>
            <w:left w:w="0" w:type="dxa"/>
            <w:bottom w:w="0" w:type="dxa"/>
            <w:right w:w="0" w:type="dxa"/>
          </w:tblCellMar>
        </w:tblPrEx>
        <w:trPr>
          <w:trHeight w:val="1181" w:hRule="atLeast"/>
        </w:trPr>
        <w:tc>
          <w:tcPr>
            <w:tcW w:w="487" w:type="dxa"/>
            <w:vMerge w:val="restart"/>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绩</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效</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指</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标</w:t>
            </w:r>
          </w:p>
        </w:tc>
        <w:tc>
          <w:tcPr>
            <w:tcW w:w="675"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一级</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指标</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二级指标</w:t>
            </w:r>
          </w:p>
        </w:tc>
        <w:tc>
          <w:tcPr>
            <w:tcW w:w="288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三级指标</w:t>
            </w:r>
          </w:p>
        </w:tc>
        <w:tc>
          <w:tcPr>
            <w:tcW w:w="3175"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指标值（包含数字及文字描述）</w:t>
            </w:r>
          </w:p>
        </w:tc>
      </w:tr>
      <w:tr>
        <w:tblPrEx>
          <w:tblCellMar>
            <w:top w:w="0" w:type="dxa"/>
            <w:left w:w="0" w:type="dxa"/>
            <w:bottom w:w="0" w:type="dxa"/>
            <w:right w:w="0" w:type="dxa"/>
          </w:tblCellMar>
        </w:tblPrEx>
        <w:trPr>
          <w:trHeight w:val="600"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675"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完</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成</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指</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标</w:t>
            </w:r>
          </w:p>
        </w:tc>
        <w:tc>
          <w:tcPr>
            <w:tcW w:w="1451"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数量指标</w:t>
            </w:r>
          </w:p>
        </w:tc>
        <w:tc>
          <w:tcPr>
            <w:tcW w:w="2889"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建设体质机制、创新创业等项目</w:t>
            </w:r>
          </w:p>
        </w:tc>
        <w:tc>
          <w:tcPr>
            <w:tcW w:w="3175"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6个</w:t>
            </w:r>
          </w:p>
        </w:tc>
      </w:tr>
      <w:tr>
        <w:tblPrEx>
          <w:tblCellMar>
            <w:top w:w="0" w:type="dxa"/>
            <w:left w:w="0" w:type="dxa"/>
            <w:bottom w:w="0" w:type="dxa"/>
            <w:right w:w="0" w:type="dxa"/>
          </w:tblCellMar>
        </w:tblPrEx>
        <w:trPr>
          <w:trHeight w:val="600"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1451"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2889"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专业群建设(含网络课程建设）</w:t>
            </w:r>
          </w:p>
        </w:tc>
        <w:tc>
          <w:tcPr>
            <w:tcW w:w="3175"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5个</w:t>
            </w:r>
          </w:p>
        </w:tc>
      </w:tr>
      <w:tr>
        <w:tblPrEx>
          <w:tblCellMar>
            <w:top w:w="0" w:type="dxa"/>
            <w:left w:w="0" w:type="dxa"/>
            <w:bottom w:w="0" w:type="dxa"/>
            <w:right w:w="0" w:type="dxa"/>
          </w:tblCellMar>
        </w:tblPrEx>
        <w:trPr>
          <w:trHeight w:val="600"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1451"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2889"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教育教学科研项目数量</w:t>
            </w:r>
          </w:p>
        </w:tc>
        <w:tc>
          <w:tcPr>
            <w:tcW w:w="3175"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&gt;10项</w:t>
            </w:r>
          </w:p>
        </w:tc>
      </w:tr>
      <w:tr>
        <w:tblPrEx>
          <w:tblCellMar>
            <w:top w:w="0" w:type="dxa"/>
            <w:left w:w="0" w:type="dxa"/>
            <w:bottom w:w="0" w:type="dxa"/>
            <w:right w:w="0" w:type="dxa"/>
          </w:tblCellMar>
        </w:tblPrEx>
        <w:trPr>
          <w:trHeight w:val="600"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1451"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质量指标</w:t>
            </w:r>
          </w:p>
        </w:tc>
        <w:tc>
          <w:tcPr>
            <w:tcW w:w="2889"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师资队伍建设数量</w:t>
            </w:r>
          </w:p>
        </w:tc>
        <w:tc>
          <w:tcPr>
            <w:tcW w:w="3175"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7个</w:t>
            </w:r>
          </w:p>
        </w:tc>
      </w:tr>
      <w:tr>
        <w:tblPrEx>
          <w:tblCellMar>
            <w:top w:w="0" w:type="dxa"/>
            <w:left w:w="0" w:type="dxa"/>
            <w:bottom w:w="0" w:type="dxa"/>
            <w:right w:w="0" w:type="dxa"/>
          </w:tblCellMar>
        </w:tblPrEx>
        <w:trPr>
          <w:trHeight w:val="600"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1451"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时效指标</w:t>
            </w:r>
          </w:p>
        </w:tc>
        <w:tc>
          <w:tcPr>
            <w:tcW w:w="2889"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购买专用设备和专用材料</w:t>
            </w:r>
          </w:p>
        </w:tc>
        <w:tc>
          <w:tcPr>
            <w:tcW w:w="3175"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&gt;=300万元</w:t>
            </w:r>
          </w:p>
        </w:tc>
      </w:tr>
      <w:tr>
        <w:tblPrEx>
          <w:tblCellMar>
            <w:top w:w="0" w:type="dxa"/>
            <w:left w:w="0" w:type="dxa"/>
            <w:bottom w:w="0" w:type="dxa"/>
            <w:right w:w="0" w:type="dxa"/>
          </w:tblCellMar>
        </w:tblPrEx>
        <w:trPr>
          <w:trHeight w:val="1181"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675" w:type="dxa"/>
            <w:vMerge w:val="restart"/>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效</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益</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指</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标</w:t>
            </w:r>
          </w:p>
        </w:tc>
        <w:tc>
          <w:tcPr>
            <w:tcW w:w="1451"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经济效益指标</w:t>
            </w:r>
          </w:p>
        </w:tc>
        <w:tc>
          <w:tcPr>
            <w:tcW w:w="2889"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为经济社会发展提供技术技能型人才</w:t>
            </w:r>
          </w:p>
        </w:tc>
        <w:tc>
          <w:tcPr>
            <w:tcW w:w="3175"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&gt;=2000人</w:t>
            </w:r>
          </w:p>
        </w:tc>
      </w:tr>
      <w:tr>
        <w:tblPrEx>
          <w:tblCellMar>
            <w:top w:w="0" w:type="dxa"/>
            <w:left w:w="0" w:type="dxa"/>
            <w:bottom w:w="0" w:type="dxa"/>
            <w:right w:w="0" w:type="dxa"/>
          </w:tblCellMar>
        </w:tblPrEx>
        <w:trPr>
          <w:trHeight w:val="600"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1451"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社会效益指标</w:t>
            </w:r>
          </w:p>
        </w:tc>
        <w:tc>
          <w:tcPr>
            <w:tcW w:w="2889"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职业教育受益学生</w:t>
            </w:r>
          </w:p>
        </w:tc>
        <w:tc>
          <w:tcPr>
            <w:tcW w:w="3175"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&gt;8500人</w:t>
            </w:r>
          </w:p>
        </w:tc>
      </w:tr>
      <w:tr>
        <w:tblPrEx>
          <w:tblCellMar>
            <w:top w:w="0" w:type="dxa"/>
            <w:left w:w="0" w:type="dxa"/>
            <w:bottom w:w="0" w:type="dxa"/>
            <w:right w:w="0" w:type="dxa"/>
          </w:tblCellMar>
        </w:tblPrEx>
        <w:trPr>
          <w:trHeight w:val="1181"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675" w:type="dxa"/>
            <w:vMerge w:val="continue"/>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1451"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可持续影响指标</w:t>
            </w:r>
          </w:p>
        </w:tc>
        <w:tc>
          <w:tcPr>
            <w:tcW w:w="2889"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教师事业持续发展人数</w:t>
            </w:r>
          </w:p>
        </w:tc>
        <w:tc>
          <w:tcPr>
            <w:tcW w:w="3175"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&gt;=400人</w:t>
            </w:r>
          </w:p>
        </w:tc>
      </w:tr>
      <w:tr>
        <w:tblPrEx>
          <w:tblCellMar>
            <w:top w:w="0" w:type="dxa"/>
            <w:left w:w="0" w:type="dxa"/>
            <w:bottom w:w="0" w:type="dxa"/>
            <w:right w:w="0" w:type="dxa"/>
          </w:tblCellMar>
        </w:tblPrEx>
        <w:trPr>
          <w:trHeight w:val="2933" w:hRule="atLeast"/>
        </w:trPr>
        <w:tc>
          <w:tcPr>
            <w:tcW w:w="4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等线" w:hAnsi="等线" w:eastAsia="等线" w:cs="等线"/>
                <w:i w:val="0"/>
                <w:color w:val="000000"/>
                <w:sz w:val="22"/>
                <w:szCs w:val="22"/>
                <w:u w:val="none"/>
              </w:rPr>
            </w:pPr>
          </w:p>
        </w:tc>
        <w:tc>
          <w:tcPr>
            <w:tcW w:w="675"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满</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意</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度</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指</w:t>
            </w:r>
            <w:r>
              <w:rPr>
                <w:rFonts w:hint="eastAsia" w:ascii="等线" w:hAnsi="等线" w:eastAsia="等线" w:cs="等线"/>
                <w:i w:val="0"/>
                <w:color w:val="000000"/>
                <w:kern w:val="0"/>
                <w:sz w:val="22"/>
                <w:szCs w:val="22"/>
                <w:u w:val="none"/>
                <w:lang w:val="en-US" w:eastAsia="zh-CN" w:bidi="ar"/>
              </w:rPr>
              <w:br w:type="textWrapping"/>
            </w:r>
            <w:r>
              <w:rPr>
                <w:rFonts w:hint="eastAsia" w:ascii="等线" w:hAnsi="等线" w:eastAsia="等线" w:cs="等线"/>
                <w:i w:val="0"/>
                <w:color w:val="000000"/>
                <w:kern w:val="0"/>
                <w:sz w:val="22"/>
                <w:szCs w:val="22"/>
                <w:u w:val="none"/>
                <w:lang w:val="en-US" w:eastAsia="zh-CN" w:bidi="ar"/>
              </w:rPr>
              <w:t>标</w:t>
            </w:r>
          </w:p>
        </w:tc>
        <w:tc>
          <w:tcPr>
            <w:tcW w:w="1451"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满意度指标</w:t>
            </w:r>
          </w:p>
        </w:tc>
        <w:tc>
          <w:tcPr>
            <w:tcW w:w="2889"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学校师生及主管部门满意度</w:t>
            </w:r>
          </w:p>
        </w:tc>
        <w:tc>
          <w:tcPr>
            <w:tcW w:w="3175" w:type="dxa"/>
            <w:tcBorders>
              <w:top w:val="single" w:color="000000" w:sz="4" w:space="0"/>
              <w:left w:val="nil"/>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&gt;=90%</w:t>
            </w:r>
          </w:p>
        </w:tc>
      </w:tr>
    </w:tbl>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二、评价工作开展情况</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（一）评价组织情况</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学院成立了优质校建设领导小组和建设办公室，制定了优质校建设《项目实施管理办法》《专项资金管理办法》等管理制度，实行项目负责制和目标考核，加强过程监理，稳步推进项目建设。</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（二）评价指标体系</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按照财政部发布的《项目支出绩效评价管理办法》财预[2020]10号文件的要求，本次评价主要从项目的决策、过程、产出、效益四个方面展开，为满足评价需要，指标体系共设置三级，包括3个一级指标，5个二级指标，12个三级指标。</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（三）评价方法</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本次评价采用定量与定性评价相结合的比较法，总分由各项指标得分汇总形成。</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定量指标得分按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定性指标得分按照以下方法评定：根据指标完成情况分为达成年度指标、部分达成年度指标并具有一定效果、未达成年度指标且效果较差三档，分别按照该指标对应分值区间100%-80%（含）、80%-60%（含）、60%-0%合理确定分值。</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（四）评价标准</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按照财政部发布的《项目支出绩效评价管理办法》（财预[2020]10号），本项目绩效评价标准为计划标准，以预先制定的目标、计划、预算、定额等作为评价标准。</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二、综合评价结论（附评分表）</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本次评价项目管理制度有待完善，项目符合省委、省政府重大决策部署，与项目年度目标一致。资金分配结果与规划计划一致，按规定及时分配了专项预算资金，项目资金使用符合相关的财务管理制度规定，资金都能拨付到具体支持的项目上，项目实施符合相关管理制度规定。</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由于疫情原因，政府采购结转资金尚未支付导致项目资金使用率为86.57%。</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社会贡献率为95%，就业贡献率为95%。</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附表：评分表</w:t>
      </w:r>
    </w:p>
    <w:tbl>
      <w:tblPr>
        <w:tblStyle w:val="12"/>
        <w:tblW w:w="9645" w:type="dxa"/>
        <w:tblInd w:w="93" w:type="dxa"/>
        <w:shd w:val="clear" w:color="auto" w:fill="auto"/>
        <w:tblLayout w:type="fixed"/>
        <w:tblCellMar>
          <w:top w:w="0" w:type="dxa"/>
          <w:left w:w="108" w:type="dxa"/>
          <w:bottom w:w="0" w:type="dxa"/>
          <w:right w:w="108" w:type="dxa"/>
        </w:tblCellMar>
      </w:tblPr>
      <w:tblGrid>
        <w:gridCol w:w="986"/>
        <w:gridCol w:w="1389"/>
        <w:gridCol w:w="1038"/>
        <w:gridCol w:w="622"/>
        <w:gridCol w:w="1040"/>
        <w:gridCol w:w="1459"/>
        <w:gridCol w:w="1437"/>
        <w:gridCol w:w="626"/>
        <w:gridCol w:w="1048"/>
      </w:tblGrid>
      <w:tr>
        <w:tblPrEx>
          <w:shd w:val="clear" w:color="auto" w:fill="auto"/>
          <w:tblCellMar>
            <w:top w:w="0" w:type="dxa"/>
            <w:left w:w="108" w:type="dxa"/>
            <w:bottom w:w="0" w:type="dxa"/>
            <w:right w:w="108" w:type="dxa"/>
          </w:tblCellMar>
        </w:tblPrEx>
        <w:trPr>
          <w:trHeight w:val="340"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三级指标</w:t>
            </w:r>
          </w:p>
        </w:tc>
        <w:tc>
          <w:tcPr>
            <w:tcW w:w="6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指标分值</w:t>
            </w:r>
          </w:p>
        </w:tc>
        <w:tc>
          <w:tcPr>
            <w:tcW w:w="10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指标解释</w:t>
            </w:r>
          </w:p>
        </w:tc>
        <w:tc>
          <w:tcPr>
            <w:tcW w:w="2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评分标准</w:t>
            </w:r>
          </w:p>
        </w:tc>
        <w:tc>
          <w:tcPr>
            <w:tcW w:w="6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指标得分</w:t>
            </w:r>
          </w:p>
        </w:tc>
        <w:tc>
          <w:tcPr>
            <w:tcW w:w="10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扣分原因</w:t>
            </w:r>
          </w:p>
        </w:tc>
      </w:tr>
      <w:tr>
        <w:tblPrEx>
          <w:tblCellMar>
            <w:top w:w="0" w:type="dxa"/>
            <w:left w:w="108" w:type="dxa"/>
            <w:bottom w:w="0" w:type="dxa"/>
            <w:right w:w="108" w:type="dxa"/>
          </w:tblCellMar>
        </w:tblPrEx>
        <w:trPr>
          <w:trHeight w:val="34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方法归类</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计算方式</w:t>
            </w:r>
          </w:p>
        </w:tc>
        <w:tc>
          <w:tcPr>
            <w:tcW w:w="6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通用指标（30/30分）</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项目决策（8/8分）</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程序严密</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项目设立是否经过严格评估论证，管理制度是否健全完善</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分级评分法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0-不完善0.6-较完善1-完善</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管理制度有待完善</w:t>
            </w:r>
          </w:p>
        </w:tc>
      </w:tr>
      <w:tr>
        <w:tblPrEx>
          <w:tblCellMar>
            <w:top w:w="0" w:type="dxa"/>
            <w:left w:w="108" w:type="dxa"/>
            <w:bottom w:w="0" w:type="dxa"/>
            <w:right w:w="108" w:type="dxa"/>
          </w:tblCellMar>
        </w:tblPrEx>
        <w:trPr>
          <w:trHeight w:val="243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规划合理</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项目规划是否符合省委、省政府重大决策部署，是否与项目年度目标一致</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分级评分法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0-不合理0.6-较合理1-合理</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项目实施（12/12分）</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分配合理</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项目资金分配结果是否与规划计划一致；是否按规定及时分配专项预算资金</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是否评分法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0-否      1-是</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使用合规</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项目资金使用是否符合相关的财务管理制度规定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缺（错）项扣分法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发现一处扣0.5分，直至扣完</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08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执行有效</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项目实施是否符合相关管理制度规定</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缺（错）项扣分法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发现一处扣0.5分，直至扣完</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完成结果（10/10分）</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预算完成</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项目资金拨付到具体支持对象企业、项目（人）的情况</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指标得分=项目资金到人到户额度/项目资金额度*100%*指标分值</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62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目标完成</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项目实施后是否完成预期目标</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指标得分=实际完成任务量/绩效目标设定任务量*100%*指标分量</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因疫情原因，政府采购结转资金尚未支付</w:t>
            </w:r>
          </w:p>
        </w:tc>
      </w:tr>
      <w:tr>
        <w:tblPrEx>
          <w:tblCellMar>
            <w:top w:w="0" w:type="dxa"/>
            <w:left w:w="108" w:type="dxa"/>
            <w:bottom w:w="0" w:type="dxa"/>
            <w:right w:w="108" w:type="dxa"/>
          </w:tblCellMar>
        </w:tblPrEx>
        <w:trPr>
          <w:trHeight w:val="216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违规记录</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项目管理是否合规</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分级评分法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0-合规       0.3-3处及以上不合规  0.6-2处不合规       0.8-1处不合规            1-合规</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2430"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共性指标（20/20分）</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项目效果</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符合性</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项目实施效果是否与省委、省政府重大产业政策、规划布局、资金投向等匹配吻合</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指标地方=项目实施符合的点位数/所有选点总数*100%*指标分值</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432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成长性</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反应不同类型产业政策实施对相关行政企业成长性的促进作用，主要反应支持对象的创新、创造、创业情况，产业结构情况，持续盈利能力情况。</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指标得分=各项具体指标得分的平均分</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1890" w:hRule="atLeas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特性指标（50/50分）</w:t>
            </w:r>
          </w:p>
        </w:tc>
        <w:tc>
          <w:tcPr>
            <w:tcW w:w="13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社会贡献率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企业运用资产为社会创造价值的能力</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指标得分=社会贡献率/标准值*指标分值（社会贡献率/标准值&gt;1按1计算，负值按0计算）</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社会贡献率为</w:t>
            </w:r>
            <w:r>
              <w:rPr>
                <w:rFonts w:hint="eastAsia" w:ascii="宋体" w:hAnsi="宋体" w:eastAsia="宋体" w:cs="宋体"/>
                <w:i w:val="0"/>
                <w:iCs w:val="0"/>
                <w:color w:val="000000"/>
                <w:sz w:val="22"/>
                <w:szCs w:val="22"/>
                <w:u w:val="none"/>
                <w:lang w:val="en-US" w:eastAsia="zh-CN"/>
              </w:rPr>
              <w:t>95%</w:t>
            </w:r>
          </w:p>
        </w:tc>
      </w:tr>
      <w:tr>
        <w:tblPrEx>
          <w:tblCellMar>
            <w:top w:w="0" w:type="dxa"/>
            <w:left w:w="108" w:type="dxa"/>
            <w:bottom w:w="0" w:type="dxa"/>
            <w:right w:w="108" w:type="dxa"/>
          </w:tblCellMar>
        </w:tblPrEx>
        <w:trPr>
          <w:trHeight w:val="1890"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3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就业贡献率</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企业就业人数增量变化</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比率分值法</w:t>
            </w:r>
          </w:p>
        </w:tc>
        <w:tc>
          <w:tcPr>
            <w:tcW w:w="14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指标得分=就业贡献率/标准值*指标分值（就业贡献率/标准值&gt;1按1计算，负值按0计算）</w:t>
            </w:r>
          </w:p>
        </w:tc>
        <w:tc>
          <w:tcPr>
            <w:tcW w:w="6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eastAsia="zh-CN"/>
              </w:rPr>
              <w:t>就业贡献率为</w:t>
            </w:r>
            <w:r>
              <w:rPr>
                <w:rFonts w:hint="eastAsia" w:ascii="宋体" w:hAnsi="宋体" w:eastAsia="宋体" w:cs="宋体"/>
                <w:i w:val="0"/>
                <w:iCs w:val="0"/>
                <w:color w:val="000000"/>
                <w:sz w:val="22"/>
                <w:szCs w:val="22"/>
                <w:u w:val="none"/>
                <w:lang w:val="en-US" w:eastAsia="zh-CN"/>
              </w:rPr>
              <w:t>95%</w:t>
            </w:r>
          </w:p>
        </w:tc>
      </w:tr>
      <w:tr>
        <w:tblPrEx>
          <w:tblCellMar>
            <w:top w:w="0" w:type="dxa"/>
            <w:left w:w="108" w:type="dxa"/>
            <w:bottom w:w="0" w:type="dxa"/>
            <w:right w:w="108" w:type="dxa"/>
          </w:tblCellMar>
        </w:tblPrEx>
        <w:trPr>
          <w:trHeight w:val="540" w:hRule="atLeast"/>
        </w:trPr>
        <w:tc>
          <w:tcPr>
            <w:tcW w:w="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总分合计</w:t>
            </w:r>
          </w:p>
        </w:tc>
        <w:tc>
          <w:tcPr>
            <w:tcW w:w="698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90.4</w:t>
            </w:r>
          </w:p>
        </w:tc>
      </w:tr>
    </w:tbl>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四、绩效评价分析</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（一）项目决策情况</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学院收到省财政厅的专项预算下达通知后，按照文件规定的适用范围，召开党委会，确定专项资金的建设内容，确实履行了三重一大决策制度，并于会后向省财政厅报送了专项资金的实施使用方案，确保专项资金的具体用途和投向符合要求。</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（二）项目管理情况</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优质校及创新行动建设经费资金的管理使用坚持科学安排、合理配置、专款专用、专账核算。为使项目资金管理更加精细化，学院安排建设部门与财务部门共同管理专项资金，特别是对课程、专业等课题建设，指定了专人审核资金的使用，规范资金管理。在项目建设过程中，定期通报专项资金使用情况，并下达专项资金催办通知，推动项目进度，并制定了《四川信息职业技术学院优质高职院校建设项目专项资金管理办法》、《项目实施管理办法》，以进一步加强项目专项资金的管理。</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（三）项目产出情况</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1.深化体制机制改革创新建设成效</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加强党的建设，完善党委领导下院长负责制；以“一章八制”为统领，加强内部治理，推进现代大学制度建设；依据学院章程，成立学院理事会；修订《学术委员会章程》，健全学术管理体系；推进内部质量保证体系诊断与改进。</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深化人事改革，增强内部活力；成立党委教师工作部、教师发展中心；建立了高层次聘用人才工资动态增长机制，建立健全内部分配机制体制；完善了教学名师、教学创新团队、技能大师工作室、“双师型”教师等相关制度。</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2.高水平专业建设成效</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共投入3000多万元，新(扩)建校内实训室20个，生均仪器设备值达1.335万元，校内生产性实训学时比例达55%，新建校外实训基地92个。完成7个生产性实训基地和1个虚拟仿真实训中心建设，联合企业完成项目(产品)8项，开发国家资源库课程2门；建成省级精品在线开放课程12门、创新创业示范课程6门，建设项目化课程67门、混合式教学课程50门，校企联合开发工学结合特色教材30多部。软件技术、通信技术和数控技术3个专业建成为国家级骨干专业；建成1个国家级、4个省级、7个院级生产性实训基地和1个省级虚拟仿真实训中心。</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获国家教学成果奖二等奖1项，省级教学成果奖3项，其中一等奖1项、三等奖2项；承办全省职业院校技能大赛8项；学生参加职业院校技能大赛共获奖75项，其中国家级一等奖1项、二等奖2项、三等奖4项，省级一等奖14项、二等奖24项、三等奖30项，综合成绩居省内前列。教师参加高职院校教学能力大赛获奖27项，其中国家三等奖1项，省级一等奖9项、二等奖9项、三等奖8项，专业综合实力显著增强。</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3.产教融合校企合作建设成效</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新建5个企业学院，积极推进产教融合，2个专业开展国家级现代学徒制试点、5个专业开展省级试点，组建各类学徒制专班10个。合作企业达261家，2020年接受学生实习实训15329人月、接受学生就业1595人。与京东、联想等企业开展“订单式”人才培养，组建订单班20余个，培养学生800多人。联合企业积极推进1+X证书制度试点工作，申报获批29个证书试点。共建236个校外实训基地，兼职教师承担的专业课学时比例达50%左右，个别专业近70%的实训课程在校外实训基地完成。与企业联合开展产品项目研制，实现产值近8700万元；承接合作企业商业软件开发测试项目7项，产值60.86万元。校企联合开展社会培训总人数1100余人次，服务广元智慧城市建设，完成科研成果转化7项。</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4.高水平师资队伍建设成效</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成立学院教师发展中心，搭建教师发展平台，建立教师培训研修基地17个，每年安排教师参加工程实践锻炼或国家培训，实现了专业教师五年一周期轮训，建设了一支理论与实践无缝对接的“双师型”教师队伍。</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引进国家千人计划入选者2人，建设院级教学创新团队4个，技能大师工作室7个，培养黄炎培职业教育杰出教师1人，省优秀教师1人，省劳模技能大师创新工作室1人，省委直接掌握高层次人才1人，教学名师6人，市级学术和技术带头人4人，广元市“蜀道英才”6人。</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5.技术创新与社会服务能力提升建设成效</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建成物联网技术应用中心、消费者行为研究中心、AI应用技术研究中心等11个科研平台；组织社会考试服务考生33303人次，实现收益108.4万元。建成国家级高技能人才培训基地，开展技术培训92092人次，收入1151.7423万元。实现科技成果转化2项，经济效益300万元，为市委市政府提供重要价值调研报告或决策参考6篇。</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开展职教讲座14场，挂职互派13人次，专家咨询17人次；开展教师进修培训12期300人次，乡村旅游从业技能培训2期150余人次。举办“农民夜校”技能培训65期，开展种养殖技术培训25期，开展慰问活动20次，发放慰问金、慰问物资价值60.58万元，举办文化下乡文艺演出3场，组织致富带头人技术培训40次，培育培养致富带头人25人。</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6.国际合作与交流建设成效</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设立“丝路”奖学金、优秀国际学生奖学金、国际交流专项奖学金，招收13个“一带一路”沿线国家216名学生，资助学生走出国门3批59人次；建设11门中英双语专业课程；组织赴德国开展“基于信息物理融合系统cps的智能制造技术”等3个专题培训，累计培训教师114人次；开展“中德高校合作培养酒店管理专业双元制大学生试点工程”，组建酒店管理国际班；新增国际合作伙伴12个，与泰国商会大学中国国际学院组建了“中泰丝路国际学院”。</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7.智慧校园建设成效</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建设了诊改管理平台、校本数据平台、大数据分析平台，服务诊改；建设了一站式服务大厅，进行事务流程再造和跨部门协作；实现疫情防控信息化，完成信息化服务治理，适应新常态发展的智慧校园格局逐步形成。</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推进混合式教学改革和在线教学，建立网络教学和大数据两个平台，实施“二平台、二终端、三联动”在线教学模式。建成智慧教室35间，自建资源3295GB，现有资源总数达342693个。构建了“12335”信息化建设模式，成效逐步显现，学院被评为四川省信息化人才培训基地、四川省信息网络安全专业技术人员继续教育机构、国家高技能人才培训基地、全国职业院校数字校园建设实验校。</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8.创新创业教育深化改革建设成效</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成立了创新创业学院，依托“引培孵助”四级递进创新创业人才培养体系架构了“专创五融合”双创培养模式，建立了“立体化”创新创业指导服务体系，不断丰富“六位一体”创新创业实践平台。</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建成3门省级创新创业示范课程，新拓展创新创业实践基地6个，搭建项目加速平台6个，孵化学生创业企业20家，建成省级示范大学生创新创业俱乐部，获得省教育厅大学生创新创业训练计划项目立项300项，人社部门创业补助45项。双创实践获得“教育部高校思政工作实践育人精品项目”称号，获省级创新创业教学改革项目立项9项，省教育体制机制改革试点项目立项1项。学生获“互联网+”大学生创新创业大赛国家级银奖1项，成为全省获此殊荣的三所高职院校之一；获省级金奖2项、银奖6项、铜奖15项。</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（四）项目效益情况</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1.根植信息产业，创新欠发达地区人才培养模式</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不断创新“双元主体、平台+方向、双证融合、双学分制”电子信息人才培养模式，模式成果“欠发达地区高职院校电子信息类人才培养模式创新与实践”获国家级教学成果奖二等奖和省级教学成果奖一等奖。模式被省内外高职院校学习借鉴，先后被中国教育报、省市电视台等媒体报道，推广效果良好，获得广泛认可。</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优化“引培孵助”四级递进双创人才培养体系，构建“专创五融合”双创育人模式，搭建“六位一体”创新创业实践平台，获“教育部高校思政工作实践育人精品项目”立项，相关成果获省级教学成果奖三等奖。学院先后获“全国第三批创业孵化示范基地”“省级大学生创新创业园区”“省级科技孵化器”“省级大学生创新创业示范俱乐部”等称号，创新发展影响力居全省前列。</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2.深化产教融合，提升电子信息人才培养质量</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全力打造“四川省电子信息产教融合协同育人基地”，以企业学院为载体，推进产教融合，实践成果“实现‘五共同’，创新高校企业学院体制机制的研究与实践”获省级教学成果奖三等奖。开展学徒制、订单定制培养；与企业联合开展项目研制、承接商业软件项目开发；联合开展技术服务、联合申报立项各级科研项目、专利，开展科研成果转化。</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近三届毕业生初次就业率始终保持在95%以上，根据麦可思质量评价报告，近三届毕业生对教学的满意度评价分别为94%、94%、93%，对母校的满意度分别为96%、96%、95%，学院育人工作开展成效较好。近三届毕业生在省内就业比例分别为74.2%、69.2%、74.4%，在成都就业比例分别为48.3%、50.0%、54.2%，为成都建设成为“国家中心城市”贡献了力量。</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3.发挥示范作用，带动革命老区兄弟院校发展</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学院以职教集团(联盟)为平台，与巴中职院、广元职高等20余所职业院校开展深度对口支援(交流)合作，在专业建设、课程建设、师资队伍建设等方面提供了全方位的帮扶支持。</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与26所中职学校开展中高职衔接合作，领办苍溪职中和开江职中专业，共同制定培养方案、共享实训条件，引领带动革命老区职业院校专业建设，充分发挥职教引领示范作用。</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4.实施智志双扶，担当高职院校脱贫攻坚使命</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学院按照“教育帮扶、产业帮扶、信息帮扶、科技帮扶”思路，聚焦民生改善，建设生态移民安置点、标准化党建阵地；聚焦产业转型，建设特色生态产业基地，开展种植、养殖技术培训，搭建线上线下销售平台；聚焦扶智扶志，推进“檬芽助学”工程。</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近年来，5个贫困村先后高质量脱贫退出，苍溪县、旺苍县和得荣县顺利摘帽。学院被评为脱贫攻坚“五个一”帮扶先进集体、全省高校定点扶贫先进单位，先后在省教育脱贫攻坚工作现场培训会、省教育厅脱贫攻坚推进会作经验交流发言，精准扶贫案例被教育部列为第二届省属高校精准扶贫精准脱贫典型项目。</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五、存在主要问题</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部分子项目前期论证不足，对建设的外在约束条件、时间要求等把握不准确，再加上政府采购周期较长，导致执行进度较慢。评价指标的研究比较仓促，个别指标值较难量化，可衡量性有所欠缺，对绩效评价的科学合理性有一定影响。</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六、相关措施建议</w:t>
      </w: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今后，学院将进一步完善项目管理，对项目建设具备的可行条件进行充分论证，加强项目中期检查，督促项目进度，保证项目顺利推进，确保项目建设取得实效。并考虑根据项目特点、类型来建立学院的绩效指标模板，统一类型项目的评价尺度，加强相关绩效指标的预先研究和完善，为科学合理的展开绩效评价工作奠定基础。</w:t>
      </w: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 xml:space="preserve">           </w:t>
      </w: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ind w:firstLine="640"/>
        <w:rPr>
          <w:rFonts w:hint="eastAsia" w:ascii="仿宋_GB2312" w:hAnsi="仿宋_GB2312" w:eastAsia="仿宋_GB2312" w:cs="仿宋_GB2312"/>
          <w:color w:val="auto"/>
          <w:sz w:val="32"/>
          <w:szCs w:val="32"/>
          <w:highlight w:val="none"/>
          <w:lang w:eastAsia="zh-CN"/>
        </w:rPr>
      </w:pPr>
    </w:p>
    <w:p>
      <w:pPr>
        <w:pStyle w:val="6"/>
        <w:rPr>
          <w:rFonts w:hint="eastAsia" w:ascii="黑体" w:hAnsi="黑体" w:eastAsia="黑体"/>
          <w:color w:val="auto"/>
          <w:sz w:val="44"/>
          <w:szCs w:val="44"/>
          <w:highlight w:val="none"/>
        </w:rPr>
      </w:pPr>
      <w:bookmarkStart w:id="59" w:name="_Toc15396618"/>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9"/>
      <w:bookmarkStart w:id="60"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60"/>
    </w:p>
    <w:p>
      <w:pPr>
        <w:pStyle w:val="4"/>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61"/>
    </w:p>
    <w:p>
      <w:pPr>
        <w:pStyle w:val="4"/>
        <w:rPr>
          <w:rFonts w:ascii="仿宋" w:hAnsi="仿宋" w:eastAsia="仿宋"/>
          <w:color w:val="auto"/>
          <w:highlight w:val="none"/>
        </w:rPr>
      </w:pPr>
      <w:bookmarkStart w:id="62"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62"/>
    </w:p>
    <w:p>
      <w:pPr>
        <w:pStyle w:val="4"/>
        <w:rPr>
          <w:rFonts w:ascii="仿宋" w:hAnsi="仿宋" w:eastAsia="仿宋"/>
          <w:b w:val="0"/>
          <w:color w:val="auto"/>
          <w:highlight w:val="none"/>
        </w:rPr>
      </w:pPr>
      <w:bookmarkStart w:id="63"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63"/>
    </w:p>
    <w:p>
      <w:pPr>
        <w:pStyle w:val="4"/>
        <w:rPr>
          <w:rStyle w:val="26"/>
          <w:rFonts w:ascii="仿宋" w:hAnsi="仿宋" w:eastAsia="仿宋"/>
          <w:b w:val="0"/>
          <w:bCs w:val="0"/>
          <w:color w:val="auto"/>
          <w:highlight w:val="none"/>
        </w:rPr>
      </w:pPr>
      <w:bookmarkStart w:id="64"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64"/>
      <w:bookmarkStart w:id="65"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65"/>
    </w:p>
    <w:p>
      <w:pPr>
        <w:pStyle w:val="4"/>
        <w:rPr>
          <w:rFonts w:ascii="仿宋" w:hAnsi="仿宋" w:eastAsia="仿宋"/>
          <w:color w:val="auto"/>
          <w:highlight w:val="none"/>
        </w:rPr>
      </w:pPr>
      <w:bookmarkStart w:id="66"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66"/>
    </w:p>
    <w:p>
      <w:pPr>
        <w:pStyle w:val="4"/>
        <w:rPr>
          <w:rFonts w:ascii="仿宋" w:hAnsi="仿宋" w:eastAsia="仿宋"/>
          <w:color w:val="auto"/>
          <w:highlight w:val="none"/>
        </w:rPr>
      </w:pPr>
      <w:bookmarkStart w:id="67"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67"/>
    </w:p>
    <w:p>
      <w:pPr>
        <w:pStyle w:val="4"/>
        <w:rPr>
          <w:rFonts w:ascii="仿宋" w:hAnsi="仿宋" w:eastAsia="仿宋"/>
          <w:color w:val="auto"/>
          <w:highlight w:val="none"/>
        </w:rPr>
      </w:pPr>
      <w:bookmarkStart w:id="68"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68"/>
    </w:p>
    <w:p>
      <w:pPr>
        <w:pStyle w:val="4"/>
        <w:rPr>
          <w:rFonts w:ascii="仿宋" w:hAnsi="仿宋" w:eastAsia="仿宋"/>
          <w:color w:val="auto"/>
          <w:highlight w:val="none"/>
        </w:rPr>
      </w:pPr>
      <w:bookmarkStart w:id="69"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69"/>
    </w:p>
    <w:p>
      <w:pPr>
        <w:pStyle w:val="4"/>
        <w:rPr>
          <w:rFonts w:ascii="仿宋" w:hAnsi="仿宋" w:eastAsia="仿宋"/>
          <w:color w:val="auto"/>
          <w:highlight w:val="none"/>
        </w:rPr>
      </w:pPr>
      <w:bookmarkStart w:id="70"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70"/>
    </w:p>
    <w:p>
      <w:pPr>
        <w:pStyle w:val="4"/>
        <w:rPr>
          <w:rFonts w:ascii="仿宋" w:hAnsi="仿宋" w:eastAsia="仿宋"/>
          <w:color w:val="auto"/>
          <w:highlight w:val="none"/>
        </w:rPr>
      </w:pPr>
      <w:bookmarkStart w:id="71"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71"/>
    </w:p>
    <w:p>
      <w:pPr>
        <w:pStyle w:val="4"/>
        <w:rPr>
          <w:rStyle w:val="26"/>
          <w:rFonts w:hint="eastAsia" w:ascii="仿宋" w:hAnsi="仿宋" w:eastAsia="仿宋"/>
          <w:b w:val="0"/>
          <w:bCs w:val="0"/>
          <w:color w:val="auto"/>
          <w:highlight w:val="none"/>
        </w:rPr>
      </w:pPr>
      <w:bookmarkStart w:id="72"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72"/>
    </w:p>
    <w:p>
      <w:pPr>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p>
      <w:pPr>
        <w:pStyle w:val="6"/>
        <w:ind w:firstLine="640"/>
        <w:rPr>
          <w:rFonts w:hint="eastAsia" w:ascii="仿宋_GB2312" w:hAnsi="仿宋_GB2312" w:eastAsia="仿宋_GB2312" w:cs="仿宋_GB2312"/>
          <w:color w:val="auto"/>
          <w:sz w:val="32"/>
          <w:szCs w:val="32"/>
          <w:highlight w:val="none"/>
          <w:lang w:eastAsia="zh-CN"/>
        </w:rPr>
      </w:pP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2"/>
          <w:jc w:val="center"/>
        </w:pPr>
        <w:r>
          <w:fldChar w:fldCharType="begin"/>
        </w:r>
        <w:r>
          <w:instrText xml:space="preserve">PAGE   \* MERGEFORMAT</w:instrText>
        </w:r>
        <w:r>
          <w:fldChar w:fldCharType="separate"/>
        </w:r>
        <w:r>
          <w:rPr>
            <w:lang w:val="zh-CN"/>
          </w:rPr>
          <w:t>8</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5D02FADE"/>
    <w:multiLevelType w:val="singleLevel"/>
    <w:tmpl w:val="5D02FADE"/>
    <w:lvl w:ilvl="0" w:tentative="0">
      <w:start w:val="5"/>
      <w:numFmt w:val="chineseCounting"/>
      <w:suff w:val="nothing"/>
      <w:lvlText w:val="%1、"/>
      <w:lvlJc w:val="left"/>
    </w:lvl>
  </w:abstractNum>
  <w:abstractNum w:abstractNumId="4">
    <w:nsid w:val="611DC9EE"/>
    <w:multiLevelType w:val="singleLevel"/>
    <w:tmpl w:val="611DC9EE"/>
    <w:lvl w:ilvl="0" w:tentative="0">
      <w:start w:val="2"/>
      <w:numFmt w:val="decimal"/>
      <w:suff w:val="nothing"/>
      <w:lvlText w:val="（%1）"/>
      <w:lvlJc w:val="left"/>
    </w:lvl>
  </w:abstractNum>
  <w:abstractNum w:abstractNumId="5">
    <w:nsid w:val="611DDB70"/>
    <w:multiLevelType w:val="singleLevel"/>
    <w:tmpl w:val="611DDB70"/>
    <w:lvl w:ilvl="0" w:tentative="0">
      <w:start w:val="2"/>
      <w:numFmt w:val="chineseCounting"/>
      <w:suff w:val="nothing"/>
      <w:lvlText w:val="（%1）"/>
      <w:lvlJc w:val="left"/>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F905B1"/>
    <w:rsid w:val="06672429"/>
    <w:rsid w:val="066E0107"/>
    <w:rsid w:val="09F756D6"/>
    <w:rsid w:val="0A2032A3"/>
    <w:rsid w:val="0C610342"/>
    <w:rsid w:val="0FEA060C"/>
    <w:rsid w:val="101860EC"/>
    <w:rsid w:val="10804B61"/>
    <w:rsid w:val="10C055FF"/>
    <w:rsid w:val="118107EC"/>
    <w:rsid w:val="12225865"/>
    <w:rsid w:val="12316581"/>
    <w:rsid w:val="16BB723D"/>
    <w:rsid w:val="175F3CAD"/>
    <w:rsid w:val="1769237F"/>
    <w:rsid w:val="18455FE9"/>
    <w:rsid w:val="1A0538D2"/>
    <w:rsid w:val="1A49153D"/>
    <w:rsid w:val="1BE8440E"/>
    <w:rsid w:val="1C645652"/>
    <w:rsid w:val="1CC8366C"/>
    <w:rsid w:val="1D155CEE"/>
    <w:rsid w:val="1DD43D84"/>
    <w:rsid w:val="1FD76C12"/>
    <w:rsid w:val="22610A00"/>
    <w:rsid w:val="23860B96"/>
    <w:rsid w:val="240371BF"/>
    <w:rsid w:val="253C175F"/>
    <w:rsid w:val="25E73417"/>
    <w:rsid w:val="26B371F8"/>
    <w:rsid w:val="276B53B2"/>
    <w:rsid w:val="29FD04D3"/>
    <w:rsid w:val="2A03504E"/>
    <w:rsid w:val="2B483528"/>
    <w:rsid w:val="2BC55464"/>
    <w:rsid w:val="2C5F4333"/>
    <w:rsid w:val="2C8A61B5"/>
    <w:rsid w:val="2D6FD3F3"/>
    <w:rsid w:val="2DA95795"/>
    <w:rsid w:val="2DF04E50"/>
    <w:rsid w:val="2E45228D"/>
    <w:rsid w:val="313705EC"/>
    <w:rsid w:val="318F65B0"/>
    <w:rsid w:val="319F7F4E"/>
    <w:rsid w:val="341F25D9"/>
    <w:rsid w:val="349043AD"/>
    <w:rsid w:val="34AE76DD"/>
    <w:rsid w:val="34BD3520"/>
    <w:rsid w:val="36414D67"/>
    <w:rsid w:val="36AA5135"/>
    <w:rsid w:val="38756852"/>
    <w:rsid w:val="38F61EBC"/>
    <w:rsid w:val="3D0E110D"/>
    <w:rsid w:val="3D98207C"/>
    <w:rsid w:val="433B5DB4"/>
    <w:rsid w:val="45301F71"/>
    <w:rsid w:val="4B4F25DA"/>
    <w:rsid w:val="4B7C6262"/>
    <w:rsid w:val="4BE068DB"/>
    <w:rsid w:val="4C10523D"/>
    <w:rsid w:val="4CBB08CF"/>
    <w:rsid w:val="4CF4625B"/>
    <w:rsid w:val="4D577224"/>
    <w:rsid w:val="4EAB630A"/>
    <w:rsid w:val="4EB1259C"/>
    <w:rsid w:val="4ECE2238"/>
    <w:rsid w:val="4F2F7DC4"/>
    <w:rsid w:val="50BC6496"/>
    <w:rsid w:val="533D7B5C"/>
    <w:rsid w:val="575F5D5B"/>
    <w:rsid w:val="5B3916BA"/>
    <w:rsid w:val="5CD71FC4"/>
    <w:rsid w:val="5FBB4985"/>
    <w:rsid w:val="60D417F0"/>
    <w:rsid w:val="63AE6D24"/>
    <w:rsid w:val="63E21D1E"/>
    <w:rsid w:val="64CC053E"/>
    <w:rsid w:val="67FC5B0F"/>
    <w:rsid w:val="68BC2E43"/>
    <w:rsid w:val="6AEA1497"/>
    <w:rsid w:val="6BC51B66"/>
    <w:rsid w:val="6BFA753A"/>
    <w:rsid w:val="6C4A05C8"/>
    <w:rsid w:val="6E7E3605"/>
    <w:rsid w:val="6F076048"/>
    <w:rsid w:val="6F936DA1"/>
    <w:rsid w:val="715C0E4B"/>
    <w:rsid w:val="72734D90"/>
    <w:rsid w:val="72EA035F"/>
    <w:rsid w:val="761E3F6C"/>
    <w:rsid w:val="77F07B5A"/>
    <w:rsid w:val="7A5A5D9E"/>
    <w:rsid w:val="7BBD1202"/>
    <w:rsid w:val="7CA978FB"/>
    <w:rsid w:val="7CC02764"/>
    <w:rsid w:val="7EBD7ABF"/>
    <w:rsid w:val="7F670A82"/>
    <w:rsid w:val="7FA30C79"/>
    <w:rsid w:val="BFF914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6">
    <w:name w:val="Body Text"/>
    <w:basedOn w:val="1"/>
    <w:link w:val="22"/>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8"/>
    <w:unhideWhenUsed/>
    <w:qFormat/>
    <w:uiPriority w:val="99"/>
    <w:rPr>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2"/>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6"/>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font21"/>
    <w:basedOn w:val="14"/>
    <w:qFormat/>
    <w:uiPriority w:val="0"/>
    <w:rPr>
      <w:rFonts w:hint="eastAsia" w:ascii="宋体" w:hAnsi="宋体" w:eastAsia="宋体" w:cs="宋体"/>
      <w:color w:val="000000"/>
      <w:sz w:val="24"/>
      <w:szCs w:val="24"/>
      <w:u w:val="none"/>
    </w:rPr>
  </w:style>
  <w:style w:type="character" w:customStyle="1" w:styleId="32">
    <w:name w:val="font41"/>
    <w:basedOn w:val="14"/>
    <w:qFormat/>
    <w:uiPriority w:val="0"/>
    <w:rPr>
      <w:rFonts w:hint="eastAsia" w:ascii="宋体" w:hAnsi="宋体" w:eastAsia="宋体" w:cs="宋体"/>
      <w:color w:val="000000"/>
      <w:sz w:val="20"/>
      <w:szCs w:val="20"/>
      <w:u w:val="none"/>
    </w:rPr>
  </w:style>
  <w:style w:type="character" w:customStyle="1" w:styleId="33">
    <w:name w:val="??????1"/>
    <w:qFormat/>
    <w:uiPriority w:val="0"/>
  </w:style>
  <w:style w:type="paragraph" w:customStyle="1" w:styleId="34">
    <w:name w:val="图表目录1"/>
    <w:basedOn w:val="1"/>
    <w:next w:val="1"/>
    <w:qFormat/>
    <w:uiPriority w:val="0"/>
    <w:pPr>
      <w:ind w:left="200" w:leftChars="200" w:hanging="200" w:hangingChars="200"/>
    </w:pPr>
    <w:rPr>
      <w:rFonts w:eastAsia="仿宋_GB2312"/>
      <w:sz w:val="32"/>
    </w:rPr>
  </w:style>
  <w:style w:type="character" w:customStyle="1" w:styleId="35">
    <w:name w:val="默认段落字体1"/>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emf"/><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1299</Words>
  <Characters>7410</Characters>
  <Lines>61</Lines>
  <Paragraphs>17</Paragraphs>
  <TotalTime>1</TotalTime>
  <ScaleCrop>false</ScaleCrop>
  <LinksUpToDate>false</LinksUpToDate>
  <CharactersWithSpaces>8692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lenovo</cp:lastModifiedBy>
  <cp:lastPrinted>2021-08-17T16:05:00Z</cp:lastPrinted>
  <dcterms:modified xsi:type="dcterms:W3CDTF">2021-08-29T10:35:54Z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B484FEE361E74FD48D575E33E0B8FCC2</vt:lpwstr>
  </property>
</Properties>
</file>