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0" w:firstLineChars="200"/>
        <w:jc w:val="both"/>
        <w:rPr>
          <w:rFonts w:ascii="Times New Roman" w:hAnsi="Times New Roman" w:eastAsia="仿宋_GB2312" w:cs="仿宋_GB2312"/>
          <w:kern w:val="0"/>
          <w:sz w:val="28"/>
          <w:szCs w:val="28"/>
        </w:rPr>
      </w:pPr>
    </w:p>
    <w:p>
      <w:pPr>
        <w:ind w:firstLine="560" w:firstLineChars="200"/>
        <w:jc w:val="center"/>
        <w:rPr>
          <w:rFonts w:ascii="Times New Roman" w:hAnsi="Times New Roman" w:eastAsia="仿宋_GB2312" w:cs="仿宋_GB2312"/>
          <w:kern w:val="0"/>
          <w:sz w:val="28"/>
          <w:szCs w:val="28"/>
        </w:rPr>
      </w:pPr>
    </w:p>
    <w:p>
      <w:pPr>
        <w:pStyle w:val="6"/>
        <w:widowControl/>
        <w:spacing w:before="0" w:beforeAutospacing="0" w:after="0" w:afterAutospacing="0"/>
        <w:jc w:val="both"/>
        <w:rPr>
          <w:rFonts w:ascii="Times New Roman" w:hAnsi="Times New Roman" w:eastAsia="方正小标宋简体" w:cs="方正小标宋简体"/>
          <w:sz w:val="72"/>
          <w:szCs w:val="72"/>
        </w:rPr>
      </w:pPr>
    </w:p>
    <w:p>
      <w:pPr>
        <w:pStyle w:val="6"/>
        <w:widowControl/>
        <w:spacing w:before="0" w:beforeAutospacing="0" w:after="0" w:afterAutospacing="0"/>
        <w:jc w:val="center"/>
        <w:rPr>
          <w:rFonts w:ascii="Times New Roman" w:hAnsi="Times New Roman" w:eastAsia="方正小标宋简体" w:cs="方正小标宋简体"/>
          <w:sz w:val="72"/>
          <w:szCs w:val="72"/>
        </w:rPr>
      </w:pPr>
    </w:p>
    <w:p>
      <w:pPr>
        <w:pStyle w:val="6"/>
        <w:widowControl/>
        <w:spacing w:before="0" w:beforeAutospacing="0" w:after="0" w:afterAutospacing="0"/>
        <w:jc w:val="center"/>
        <w:rPr>
          <w:rFonts w:ascii="Times New Roman" w:hAnsi="Times New Roman" w:eastAsia="方正小标宋简体" w:cs="方正小标宋简体"/>
          <w:sz w:val="72"/>
          <w:szCs w:val="72"/>
        </w:rPr>
      </w:pPr>
    </w:p>
    <w:p>
      <w:pPr>
        <w:pStyle w:val="6"/>
        <w:widowControl/>
        <w:spacing w:before="0" w:beforeAutospacing="0" w:after="0" w:afterAutospacing="0"/>
        <w:jc w:val="center"/>
        <w:rPr>
          <w:rFonts w:ascii="Times New Roman" w:hAnsi="Times New Roman" w:eastAsia="方正小标宋简体" w:cs="方正小标宋简体"/>
          <w:sz w:val="72"/>
          <w:szCs w:val="72"/>
        </w:rPr>
      </w:pPr>
    </w:p>
    <w:p>
      <w:pPr>
        <w:widowControl/>
        <w:suppressAutoHyphens/>
        <w:jc w:val="center"/>
        <w:outlineLvl w:val="0"/>
        <w:rPr>
          <w:rFonts w:hint="eastAsia" w:ascii="黑体" w:hAnsi="黑体" w:eastAsia="黑体" w:cs="黑体"/>
          <w:kern w:val="0"/>
          <w:sz w:val="72"/>
          <w:szCs w:val="72"/>
        </w:rPr>
      </w:pPr>
      <w:r>
        <w:rPr>
          <w:rFonts w:hint="eastAsia" w:ascii="黑体" w:hAnsi="黑体" w:eastAsia="黑体" w:cs="黑体"/>
          <w:kern w:val="0"/>
          <w:sz w:val="72"/>
          <w:szCs w:val="72"/>
        </w:rPr>
        <w:t>四川信息职业技术学院2022年单位预算</w:t>
      </w:r>
    </w:p>
    <w:p>
      <w:pPr>
        <w:widowControl/>
        <w:suppressAutoHyphens/>
        <w:jc w:val="center"/>
        <w:outlineLvl w:val="0"/>
        <w:rPr>
          <w:rFonts w:hint="eastAsia" w:ascii="黑体" w:hAnsi="黑体" w:eastAsia="黑体" w:cs="黑体"/>
          <w:kern w:val="0"/>
          <w:sz w:val="72"/>
          <w:szCs w:val="72"/>
        </w:rPr>
        <w:sectPr>
          <w:pgSz w:w="11906" w:h="16838"/>
          <w:pgMar w:top="1440" w:right="1800" w:bottom="1440" w:left="1800" w:header="720" w:footer="720" w:gutter="0"/>
          <w:pgNumType w:fmt="numberInDash"/>
          <w:cols w:space="720" w:num="1"/>
          <w:docGrid w:type="lines" w:linePitch="312" w:charSpace="0"/>
        </w:sectPr>
      </w:pPr>
    </w:p>
    <w:p>
      <w:pPr>
        <w:widowControl/>
        <w:suppressAutoHyphens/>
        <w:jc w:val="center"/>
        <w:outlineLvl w:val="0"/>
        <w:rPr>
          <w:rFonts w:hint="eastAsia" w:ascii="黑体" w:hAnsi="黑体" w:eastAsia="黑体" w:cs="黑体"/>
          <w:kern w:val="0"/>
          <w:sz w:val="36"/>
          <w:szCs w:val="36"/>
          <w:lang w:bidi="ar"/>
        </w:rPr>
      </w:pPr>
      <w:r>
        <w:rPr>
          <w:rFonts w:hint="eastAsia" w:ascii="黑体" w:hAnsi="黑体" w:eastAsia="黑体" w:cs="黑体"/>
          <w:kern w:val="0"/>
          <w:sz w:val="36"/>
          <w:szCs w:val="36"/>
          <w:lang w:bidi="ar"/>
        </w:rPr>
        <w:t>目录</w:t>
      </w:r>
    </w:p>
    <w:p>
      <w:pPr>
        <w:pStyle w:val="6"/>
        <w:widowControl/>
        <w:spacing w:before="0" w:beforeAutospacing="0" w:after="0" w:afterAutospacing="0" w:line="600" w:lineRule="exact"/>
        <w:ind w:firstLine="643" w:firstLineChars="200"/>
        <w:jc w:val="both"/>
        <w:rPr>
          <w:rStyle w:val="9"/>
          <w:rFonts w:ascii="Times New Roman" w:hAnsi="Times New Roman" w:eastAsia="黑体" w:cs="宋体"/>
          <w:sz w:val="32"/>
          <w:szCs w:val="21"/>
        </w:rPr>
      </w:pPr>
    </w:p>
    <w:p>
      <w:pPr>
        <w:pStyle w:val="6"/>
        <w:widowControl/>
        <w:spacing w:before="0" w:beforeAutospacing="0" w:after="0" w:afterAutospacing="0" w:line="600" w:lineRule="exact"/>
        <w:ind w:firstLine="640" w:firstLineChars="200"/>
        <w:jc w:val="both"/>
        <w:outlineLvl w:val="0"/>
        <w:rPr>
          <w:rFonts w:ascii="Times New Roman" w:hAnsi="Times New Roman" w:eastAsia="宋体" w:cs="宋体"/>
          <w:bCs/>
          <w:sz w:val="21"/>
          <w:szCs w:val="21"/>
        </w:rPr>
      </w:pPr>
      <w:r>
        <w:rPr>
          <w:rStyle w:val="9"/>
          <w:rFonts w:ascii="Times New Roman" w:hAnsi="Times New Roman" w:eastAsia="黑体" w:cs="宋体"/>
          <w:b w:val="0"/>
          <w:bCs/>
          <w:sz w:val="32"/>
          <w:szCs w:val="21"/>
        </w:rPr>
        <w:t>第一部分</w:t>
      </w:r>
      <w:r>
        <w:rPr>
          <w:rStyle w:val="9"/>
          <w:rFonts w:hint="eastAsia" w:ascii="Times New Roman" w:hAnsi="Times New Roman" w:eastAsia="黑体" w:cs="宋体"/>
          <w:b w:val="0"/>
          <w:bCs/>
          <w:sz w:val="32"/>
          <w:szCs w:val="21"/>
        </w:rPr>
        <w:t xml:space="preserve"> </w:t>
      </w:r>
      <w:r>
        <w:rPr>
          <w:rStyle w:val="9"/>
          <w:rFonts w:ascii="Times New Roman" w:hAnsi="Times New Roman" w:eastAsia="黑体" w:cs="宋体"/>
          <w:b w:val="0"/>
          <w:bCs/>
          <w:sz w:val="32"/>
          <w:szCs w:val="21"/>
        </w:rPr>
        <w:t xml:space="preserve"> </w:t>
      </w:r>
      <w:r>
        <w:rPr>
          <w:rStyle w:val="9"/>
          <w:rFonts w:hint="eastAsia" w:ascii="Times New Roman" w:hAnsi="Times New Roman" w:eastAsia="黑体" w:cs="宋体"/>
          <w:b w:val="0"/>
          <w:bCs/>
          <w:sz w:val="32"/>
          <w:szCs w:val="21"/>
        </w:rPr>
        <w:t>四川信息职业技术学院</w:t>
      </w:r>
      <w:r>
        <w:rPr>
          <w:rStyle w:val="9"/>
          <w:rFonts w:ascii="Times New Roman" w:hAnsi="Times New Roman" w:eastAsia="黑体" w:cs="宋体"/>
          <w:b w:val="0"/>
          <w:bCs/>
          <w:sz w:val="32"/>
          <w:szCs w:val="21"/>
        </w:rPr>
        <w:t>概况</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一、基本职能及主要工作</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二、机构设置</w:t>
      </w:r>
    </w:p>
    <w:p>
      <w:pPr>
        <w:pStyle w:val="6"/>
        <w:widowControl/>
        <w:spacing w:before="0" w:beforeAutospacing="0" w:after="0" w:afterAutospacing="0" w:line="600" w:lineRule="exact"/>
        <w:ind w:firstLine="640" w:firstLineChars="200"/>
        <w:jc w:val="both"/>
        <w:outlineLvl w:val="0"/>
        <w:rPr>
          <w:rFonts w:ascii="Times New Roman" w:hAnsi="Times New Roman" w:eastAsia="宋体" w:cs="宋体"/>
          <w:bCs/>
          <w:sz w:val="21"/>
          <w:szCs w:val="21"/>
        </w:rPr>
      </w:pPr>
      <w:bookmarkStart w:id="0" w:name="_GoBack"/>
      <w:bookmarkEnd w:id="0"/>
      <w:r>
        <w:rPr>
          <w:rStyle w:val="9"/>
          <w:rFonts w:ascii="Times New Roman" w:hAnsi="Times New Roman" w:eastAsia="黑体" w:cs="宋体"/>
          <w:b w:val="0"/>
          <w:bCs/>
          <w:sz w:val="32"/>
          <w:szCs w:val="21"/>
        </w:rPr>
        <w:t>第二部分</w:t>
      </w:r>
      <w:r>
        <w:rPr>
          <w:rStyle w:val="9"/>
          <w:rFonts w:hint="eastAsia" w:ascii="Times New Roman" w:hAnsi="Times New Roman" w:eastAsia="黑体" w:cs="宋体"/>
          <w:b w:val="0"/>
          <w:bCs/>
          <w:sz w:val="32"/>
          <w:szCs w:val="21"/>
        </w:rPr>
        <w:t xml:space="preserve"> </w:t>
      </w:r>
      <w:r>
        <w:rPr>
          <w:rStyle w:val="9"/>
          <w:rFonts w:ascii="Times New Roman" w:hAnsi="Times New Roman" w:eastAsia="黑体" w:cs="宋体"/>
          <w:b w:val="0"/>
          <w:bCs/>
          <w:sz w:val="32"/>
          <w:szCs w:val="21"/>
        </w:rPr>
        <w:t xml:space="preserve"> </w:t>
      </w:r>
      <w:r>
        <w:rPr>
          <w:rStyle w:val="9"/>
          <w:rFonts w:hint="eastAsia" w:ascii="Times New Roman" w:hAnsi="Times New Roman" w:eastAsia="黑体" w:cs="宋体"/>
          <w:b w:val="0"/>
          <w:bCs/>
          <w:sz w:val="32"/>
          <w:szCs w:val="21"/>
        </w:rPr>
        <w:t>四川信息职业技术学院</w:t>
      </w:r>
      <w:r>
        <w:rPr>
          <w:rStyle w:val="9"/>
          <w:rFonts w:ascii="Times New Roman" w:hAnsi="Times New Roman" w:eastAsia="黑体" w:cs="宋体"/>
          <w:b w:val="0"/>
          <w:bCs/>
          <w:sz w:val="32"/>
          <w:szCs w:val="21"/>
        </w:rPr>
        <w:t>年</w:t>
      </w:r>
      <w:r>
        <w:rPr>
          <w:rStyle w:val="9"/>
          <w:rFonts w:hint="eastAsia" w:ascii="Times New Roman" w:hAnsi="Times New Roman" w:eastAsia="黑体" w:cs="宋体"/>
          <w:b w:val="0"/>
          <w:bCs/>
          <w:sz w:val="32"/>
          <w:szCs w:val="21"/>
        </w:rPr>
        <w:t>单位</w:t>
      </w:r>
      <w:r>
        <w:rPr>
          <w:rStyle w:val="9"/>
          <w:rFonts w:ascii="Times New Roman" w:hAnsi="Times New Roman" w:eastAsia="黑体" w:cs="宋体"/>
          <w:b w:val="0"/>
          <w:bCs/>
          <w:sz w:val="32"/>
          <w:szCs w:val="21"/>
        </w:rPr>
        <w:t>预算表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一、单位收支总表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二、单位收入总表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三、单位支出总表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四、财政拨款收支预算总表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五、财政拨款支出预算表（部门经济分类科目）</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六、一般公共预算支出预算表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七、一般公共预算基本支出预算表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八、一般公共预算项目支出预算表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九、一般公共预算“三公”经费支出预算表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十、政府性基金预算支出表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十一、政府性基金预算“三公”经费支出预算表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十二、国有资本经营预算支出表</w:t>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十三、单位预算项目支出绩效目标表</w:t>
      </w:r>
    </w:p>
    <w:p>
      <w:pPr>
        <w:pStyle w:val="6"/>
        <w:widowControl/>
        <w:spacing w:before="0" w:beforeAutospacing="0" w:after="0" w:afterAutospacing="0" w:line="600" w:lineRule="exact"/>
        <w:ind w:firstLine="640" w:firstLineChars="200"/>
        <w:jc w:val="both"/>
        <w:outlineLvl w:val="0"/>
        <w:rPr>
          <w:rStyle w:val="9"/>
          <w:rFonts w:ascii="Times New Roman" w:hAnsi="Times New Roman" w:eastAsia="黑体" w:cs="宋体"/>
          <w:b w:val="0"/>
          <w:bCs/>
          <w:sz w:val="32"/>
          <w:szCs w:val="21"/>
        </w:rPr>
      </w:pPr>
      <w:r>
        <w:rPr>
          <w:rStyle w:val="9"/>
          <w:rFonts w:ascii="Times New Roman" w:hAnsi="Times New Roman" w:eastAsia="黑体" w:cs="宋体"/>
          <w:b w:val="0"/>
          <w:bCs/>
          <w:sz w:val="32"/>
          <w:szCs w:val="21"/>
        </w:rPr>
        <w:t>第三部分</w:t>
      </w:r>
      <w:r>
        <w:rPr>
          <w:rStyle w:val="9"/>
          <w:rFonts w:hint="eastAsia" w:ascii="Times New Roman" w:hAnsi="Times New Roman" w:eastAsia="黑体" w:cs="宋体"/>
          <w:b w:val="0"/>
          <w:bCs/>
          <w:sz w:val="32"/>
          <w:szCs w:val="21"/>
        </w:rPr>
        <w:t xml:space="preserve"> </w:t>
      </w:r>
      <w:r>
        <w:rPr>
          <w:rStyle w:val="9"/>
          <w:rFonts w:ascii="Times New Roman" w:hAnsi="Times New Roman" w:eastAsia="黑体" w:cs="宋体"/>
          <w:b w:val="0"/>
          <w:bCs/>
          <w:sz w:val="32"/>
          <w:szCs w:val="21"/>
        </w:rPr>
        <w:t xml:space="preserve"> </w:t>
      </w:r>
      <w:r>
        <w:rPr>
          <w:rStyle w:val="9"/>
          <w:rFonts w:hint="eastAsia" w:ascii="Times New Roman" w:hAnsi="Times New Roman" w:eastAsia="黑体" w:cs="宋体"/>
          <w:b w:val="0"/>
          <w:bCs/>
          <w:sz w:val="32"/>
          <w:szCs w:val="21"/>
        </w:rPr>
        <w:t>四川信息职业技术学院</w:t>
      </w:r>
      <w:r>
        <w:rPr>
          <w:rStyle w:val="9"/>
          <w:rFonts w:ascii="Times New Roman" w:hAnsi="Times New Roman" w:eastAsia="黑体" w:cs="宋体"/>
          <w:b w:val="0"/>
          <w:bCs/>
          <w:sz w:val="32"/>
          <w:szCs w:val="21"/>
        </w:rPr>
        <w:t>202</w:t>
      </w:r>
      <w:r>
        <w:rPr>
          <w:rStyle w:val="9"/>
          <w:rFonts w:hint="eastAsia" w:ascii="Times New Roman" w:hAnsi="Times New Roman" w:eastAsia="黑体" w:cs="宋体"/>
          <w:b w:val="0"/>
          <w:bCs/>
          <w:sz w:val="32"/>
          <w:szCs w:val="21"/>
        </w:rPr>
        <w:t>2</w:t>
      </w:r>
      <w:r>
        <w:rPr>
          <w:rStyle w:val="9"/>
          <w:rFonts w:ascii="Times New Roman" w:hAnsi="Times New Roman" w:eastAsia="黑体" w:cs="宋体"/>
          <w:b w:val="0"/>
          <w:bCs/>
          <w:sz w:val="32"/>
          <w:szCs w:val="21"/>
        </w:rPr>
        <w:t>年</w:t>
      </w:r>
      <w:r>
        <w:rPr>
          <w:rStyle w:val="9"/>
          <w:rFonts w:hint="eastAsia" w:ascii="Times New Roman" w:hAnsi="Times New Roman" w:eastAsia="黑体" w:cs="宋体"/>
          <w:b w:val="0"/>
          <w:bCs/>
          <w:sz w:val="32"/>
          <w:szCs w:val="21"/>
        </w:rPr>
        <w:t>单位</w:t>
      </w:r>
      <w:r>
        <w:rPr>
          <w:rStyle w:val="9"/>
          <w:rFonts w:ascii="Times New Roman" w:hAnsi="Times New Roman" w:eastAsia="黑体" w:cs="宋体"/>
          <w:b w:val="0"/>
          <w:bCs/>
          <w:sz w:val="32"/>
          <w:szCs w:val="21"/>
        </w:rPr>
        <w:t>预算情况说明</w:t>
      </w:r>
    </w:p>
    <w:p>
      <w:pPr>
        <w:pStyle w:val="6"/>
        <w:widowControl/>
        <w:spacing w:before="0" w:beforeAutospacing="0" w:after="0" w:afterAutospacing="0" w:line="600" w:lineRule="exact"/>
        <w:ind w:firstLine="640" w:firstLineChars="200"/>
        <w:jc w:val="both"/>
        <w:outlineLvl w:val="0"/>
        <w:rPr>
          <w:rStyle w:val="9"/>
          <w:rFonts w:ascii="Times New Roman" w:hAnsi="Times New Roman" w:eastAsia="黑体" w:cs="宋体"/>
          <w:b w:val="0"/>
          <w:bCs/>
          <w:sz w:val="32"/>
          <w:szCs w:val="21"/>
        </w:rPr>
      </w:pPr>
      <w:r>
        <w:rPr>
          <w:rStyle w:val="9"/>
          <w:rFonts w:ascii="Times New Roman" w:hAnsi="Times New Roman" w:eastAsia="黑体" w:cs="宋体"/>
          <w:b w:val="0"/>
          <w:bCs/>
          <w:sz w:val="32"/>
          <w:szCs w:val="21"/>
        </w:rPr>
        <w:t>第四部分</w:t>
      </w:r>
      <w:r>
        <w:rPr>
          <w:rStyle w:val="9"/>
          <w:rFonts w:hint="eastAsia" w:ascii="Times New Roman" w:hAnsi="Times New Roman" w:eastAsia="黑体" w:cs="宋体"/>
          <w:b w:val="0"/>
          <w:bCs/>
          <w:sz w:val="32"/>
          <w:szCs w:val="21"/>
        </w:rPr>
        <w:t xml:space="preserve">  </w:t>
      </w:r>
      <w:r>
        <w:rPr>
          <w:rStyle w:val="9"/>
          <w:rFonts w:ascii="Times New Roman" w:hAnsi="Times New Roman" w:eastAsia="黑体" w:cs="宋体"/>
          <w:b w:val="0"/>
          <w:bCs/>
          <w:sz w:val="32"/>
          <w:szCs w:val="21"/>
        </w:rPr>
        <w:t>名词解释</w:t>
      </w:r>
    </w:p>
    <w:p>
      <w:pPr>
        <w:pStyle w:val="6"/>
        <w:widowControl/>
        <w:spacing w:before="0" w:beforeAutospacing="0" w:after="0" w:afterAutospacing="0"/>
        <w:jc w:val="center"/>
        <w:rPr>
          <w:rFonts w:ascii="Times New Roman" w:hAnsi="Times New Roman" w:eastAsia="方正小标宋简体" w:cs="方正小标宋简体"/>
          <w:sz w:val="52"/>
          <w:szCs w:val="52"/>
        </w:rPr>
        <w:sectPr>
          <w:footerReference r:id="rId3" w:type="default"/>
          <w:pgSz w:w="11906" w:h="16838"/>
          <w:pgMar w:top="1440" w:right="1800" w:bottom="1440" w:left="1800" w:header="720" w:footer="720" w:gutter="0"/>
          <w:pgNumType w:fmt="numberInDash" w:start="1"/>
          <w:cols w:space="720" w:num="1"/>
          <w:docGrid w:type="lines" w:linePitch="312" w:charSpace="0"/>
        </w:sect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uppressAutoHyphens/>
        <w:spacing w:before="0" w:beforeAutospacing="0" w:after="0" w:afterAutospacing="0"/>
        <w:jc w:val="center"/>
        <w:outlineLvl w:val="0"/>
        <w:rPr>
          <w:rFonts w:hint="eastAsia" w:ascii="黑体" w:hAnsi="黑体" w:eastAsia="黑体" w:cs="黑体"/>
          <w:sz w:val="52"/>
          <w:szCs w:val="52"/>
          <w:lang w:bidi="ar"/>
        </w:rPr>
      </w:pPr>
      <w:r>
        <w:rPr>
          <w:rFonts w:hint="eastAsia" w:ascii="黑体" w:hAnsi="黑体" w:eastAsia="黑体" w:cs="黑体"/>
          <w:sz w:val="52"/>
          <w:szCs w:val="52"/>
          <w:lang w:bidi="ar"/>
        </w:rPr>
        <w:t>第一部分  四川信息职业技术学院概况</w:t>
      </w:r>
    </w:p>
    <w:p>
      <w:pPr>
        <w:pStyle w:val="6"/>
        <w:widowControl/>
        <w:adjustRightInd w:val="0"/>
        <w:spacing w:before="0" w:beforeAutospacing="0" w:after="0" w:afterAutospacing="0"/>
        <w:ind w:firstLine="640" w:firstLineChars="200"/>
        <w:jc w:val="both"/>
        <w:rPr>
          <w:rStyle w:val="9"/>
          <w:rFonts w:ascii="Times New Roman" w:hAnsi="Times New Roman" w:eastAsia="黑体" w:cs="宋体"/>
          <w:b w:val="0"/>
          <w:bCs/>
          <w:sz w:val="32"/>
          <w:szCs w:val="21"/>
        </w:rPr>
        <w:sectPr>
          <w:footerReference r:id="rId4" w:type="default"/>
          <w:pgSz w:w="11906" w:h="16838"/>
          <w:pgMar w:top="1440" w:right="1800" w:bottom="1440" w:left="1800" w:header="720" w:footer="720" w:gutter="0"/>
          <w:pgNumType w:fmt="numberInDash" w:start="1"/>
          <w:cols w:space="720" w:num="1"/>
          <w:docGrid w:type="lines" w:linePitch="312" w:charSpace="0"/>
        </w:sectPr>
      </w:pPr>
    </w:p>
    <w:p>
      <w:pPr>
        <w:pStyle w:val="6"/>
        <w:widowControl/>
        <w:numPr>
          <w:ilvl w:val="0"/>
          <w:numId w:val="1"/>
        </w:numPr>
        <w:adjustRightInd w:val="0"/>
        <w:spacing w:before="0" w:beforeAutospacing="0" w:after="0" w:afterAutospacing="0"/>
        <w:jc w:val="both"/>
        <w:outlineLvl w:val="1"/>
        <w:rPr>
          <w:rStyle w:val="9"/>
          <w:rFonts w:ascii="Times New Roman" w:hAnsi="Times New Roman" w:eastAsia="黑体" w:cs="宋体"/>
          <w:b w:val="0"/>
          <w:bCs/>
          <w:sz w:val="32"/>
          <w:szCs w:val="21"/>
        </w:rPr>
      </w:pPr>
      <w:r>
        <w:rPr>
          <w:rStyle w:val="9"/>
          <w:rFonts w:hint="eastAsia" w:ascii="Times New Roman" w:hAnsi="Times New Roman" w:eastAsia="黑体" w:cs="宋体"/>
          <w:b w:val="0"/>
          <w:bCs/>
          <w:sz w:val="32"/>
          <w:szCs w:val="21"/>
        </w:rPr>
        <w:t>基本职能及主要工作</w:t>
      </w:r>
    </w:p>
    <w:p>
      <w:pPr>
        <w:pStyle w:val="11"/>
        <w:numPr>
          <w:ilvl w:val="0"/>
          <w:numId w:val="2"/>
        </w:numPr>
        <w:spacing w:line="600" w:lineRule="exact"/>
        <w:ind w:firstLineChars="0"/>
        <w:rPr>
          <w:rFonts w:ascii="Times New Roman" w:hAnsi="Times New Roman" w:eastAsia="楷体_GB2312"/>
          <w:b/>
          <w:sz w:val="32"/>
          <w:szCs w:val="32"/>
        </w:rPr>
      </w:pPr>
      <w:r>
        <w:rPr>
          <w:rFonts w:hint="eastAsia" w:ascii="Times New Roman" w:hAnsi="Times New Roman" w:eastAsia="楷体_GB2312"/>
          <w:b/>
          <w:sz w:val="32"/>
          <w:szCs w:val="32"/>
        </w:rPr>
        <w:t>信息学院职能简介</w:t>
      </w:r>
    </w:p>
    <w:p>
      <w:pPr>
        <w:spacing w:line="600" w:lineRule="exact"/>
        <w:ind w:firstLine="640" w:firstLineChars="200"/>
        <w:rPr>
          <w:rFonts w:hint="eastAsia" w:ascii="Times New Roman" w:hAnsi="Times New Roman" w:eastAsia="仿宋_GB2312" w:cs="仿宋_GB2312"/>
          <w:kern w:val="0"/>
          <w:sz w:val="32"/>
          <w:szCs w:val="32"/>
          <w:lang w:val="en-US" w:eastAsia="zh-CN" w:bidi="ar-SA"/>
        </w:rPr>
      </w:pPr>
      <w:r>
        <w:rPr>
          <w:rFonts w:hint="eastAsia" w:ascii="Times New Roman" w:hAnsi="Times New Roman" w:eastAsia="仿宋_GB2312" w:cs="仿宋_GB2312"/>
          <w:kern w:val="0"/>
          <w:sz w:val="32"/>
          <w:szCs w:val="32"/>
          <w:lang w:val="en-US" w:eastAsia="zh-CN" w:bidi="ar-SA"/>
        </w:rPr>
        <w:t>四川信息职业技术学院隶属于省经济和信息化厅，是全省唯一公办信息类高职院校，是四川省示范性高职院校，四川省优质高职院校，教育部现代学徒制试点单位，全国首批职业院校数字校园建设实验校，四川省教育信息化试点单位，全国职业院校数字校园建设样板校。学院立足行业办学，坚持服务电子信息产业和地方经济社会，走出了一条“根植信息产业、培养信息人才、服务信息社会”的特色发展之路。</w:t>
      </w:r>
    </w:p>
    <w:p>
      <w:pPr>
        <w:widowControl/>
        <w:ind w:firstLine="640" w:firstLineChars="200"/>
        <w:jc w:val="left"/>
        <w:rPr>
          <w:rFonts w:hint="eastAsia" w:ascii="Times New Roman" w:hAnsi="Times New Roman" w:eastAsia="仿宋_GB2312" w:cs="仿宋_GB2312"/>
          <w:kern w:val="0"/>
          <w:sz w:val="32"/>
          <w:szCs w:val="32"/>
          <w:lang w:val="en-US" w:eastAsia="zh-CN" w:bidi="ar-SA"/>
        </w:rPr>
      </w:pPr>
      <w:r>
        <w:rPr>
          <w:rFonts w:hint="eastAsia" w:ascii="Times New Roman" w:hAnsi="Times New Roman" w:eastAsia="仿宋_GB2312" w:cs="仿宋_GB2312"/>
          <w:kern w:val="0"/>
          <w:sz w:val="32"/>
          <w:szCs w:val="32"/>
          <w:lang w:val="en-US" w:eastAsia="zh-CN" w:bidi="ar-SA"/>
        </w:rPr>
        <w:t>学校坚持以习近平新时代中国特色社会主义思想为指导，围绕立德树人根本任务，深入落实《国家职业教育改革实施方案》《职业教育提质培优行动计划(2020-2023年》和全国职业教育大会精神，坚持职业教育类型特色，坚持服务国家战略，坚持服务四川“一干多支、五区协同”“四向拓展、全域开放”战略部署和“5+1”现代工业体系、“4+6”现代服务业体系建设，以服务学生终生就业为导向，重点面向新一代信息技术，以高水平专业群建设为抓手，以深化产教融合、校企合作为路径，以制度创新、高水平结构化教师队伍建设为保障，以高质量技术技能创新平台为支撑，全力培养高素质复合型电子信息技术技能人才。</w:t>
      </w:r>
    </w:p>
    <w:p>
      <w:pPr>
        <w:spacing w:line="600" w:lineRule="exact"/>
        <w:ind w:firstLine="643" w:firstLineChars="200"/>
        <w:rPr>
          <w:rFonts w:ascii="Times New Roman" w:hAnsi="Times New Roman" w:eastAsia="楷体_GB2312"/>
          <w:b/>
          <w:sz w:val="32"/>
          <w:szCs w:val="32"/>
        </w:rPr>
      </w:pPr>
      <w:r>
        <w:rPr>
          <w:rFonts w:hint="eastAsia" w:ascii="Times New Roman" w:hAnsi="Times New Roman" w:eastAsia="楷体_GB2312"/>
          <w:b/>
          <w:sz w:val="32"/>
          <w:szCs w:val="32"/>
        </w:rPr>
        <w:t>（二）信息学院202</w:t>
      </w:r>
      <w:r>
        <w:rPr>
          <w:rFonts w:hint="eastAsia" w:ascii="Times New Roman" w:hAnsi="Times New Roman" w:eastAsia="楷体_GB2312"/>
          <w:b/>
          <w:sz w:val="32"/>
          <w:szCs w:val="32"/>
          <w:lang w:val="en-US" w:eastAsia="zh-CN"/>
        </w:rPr>
        <w:t>2</w:t>
      </w:r>
      <w:r>
        <w:rPr>
          <w:rFonts w:hint="eastAsia" w:ascii="Times New Roman" w:hAnsi="Times New Roman" w:eastAsia="楷体_GB2312"/>
          <w:b/>
          <w:sz w:val="32"/>
          <w:szCs w:val="32"/>
        </w:rPr>
        <w:t>年重点工作</w:t>
      </w:r>
    </w:p>
    <w:p>
      <w:pPr>
        <w:spacing w:line="600" w:lineRule="exact"/>
        <w:ind w:firstLine="640" w:firstLineChars="200"/>
        <w:rPr>
          <w:rFonts w:ascii="仿宋_GB2312" w:hAnsi="Calibri" w:eastAsia="仿宋_GB2312" w:cs="Times New Roman"/>
          <w:sz w:val="32"/>
          <w:szCs w:val="32"/>
        </w:rPr>
      </w:pPr>
      <w:r>
        <w:rPr>
          <w:rFonts w:hint="eastAsia" w:ascii="仿宋_GB2312" w:hAnsi="Calibri" w:eastAsia="仿宋_GB2312" w:cs="Times New Roman"/>
          <w:sz w:val="32"/>
          <w:szCs w:val="32"/>
        </w:rPr>
        <w:t>以习近平新时代中国特色社会主义思想为指导，</w:t>
      </w:r>
      <w:r>
        <w:rPr>
          <w:rFonts w:ascii="仿宋_GB2312" w:hAnsi="Calibri" w:eastAsia="仿宋_GB2312" w:cs="Times New Roman"/>
          <w:sz w:val="32"/>
          <w:szCs w:val="32"/>
        </w:rPr>
        <w:t>科学把握新发展阶段、深入贯彻新发展理念、积极融入新发展格局，</w:t>
      </w:r>
      <w:r>
        <w:rPr>
          <w:rFonts w:hint="eastAsia" w:ascii="仿宋_GB2312" w:hAnsi="Calibri" w:eastAsia="仿宋_GB2312" w:cs="Times New Roman"/>
          <w:sz w:val="32"/>
          <w:szCs w:val="32"/>
        </w:rPr>
        <w:t>深入贯彻</w:t>
      </w:r>
      <w:r>
        <w:rPr>
          <w:rFonts w:ascii="仿宋_GB2312" w:hAnsi="Calibri" w:eastAsia="仿宋_GB2312" w:cs="Times New Roman"/>
          <w:sz w:val="32"/>
          <w:szCs w:val="32"/>
        </w:rPr>
        <w:t>落实</w:t>
      </w:r>
      <w:r>
        <w:rPr>
          <w:rFonts w:hint="eastAsia" w:ascii="仿宋_GB2312" w:hAnsi="Calibri" w:eastAsia="仿宋_GB2312" w:cs="Times New Roman"/>
          <w:sz w:val="32"/>
          <w:szCs w:val="32"/>
        </w:rPr>
        <w:t>《关于推动现代职业教育高质量发展的意见》，</w:t>
      </w:r>
      <w:r>
        <w:rPr>
          <w:rFonts w:ascii="仿宋_GB2312" w:hAnsi="Calibri" w:eastAsia="仿宋_GB2312" w:cs="Times New Roman"/>
          <w:sz w:val="32"/>
          <w:szCs w:val="32"/>
        </w:rPr>
        <w:t>抢抓新西部大开发、</w:t>
      </w:r>
      <w:r>
        <w:rPr>
          <w:rFonts w:hint="eastAsia" w:ascii="仿宋_GB2312" w:hAnsi="Calibri" w:eastAsia="仿宋_GB2312" w:cs="Times New Roman"/>
          <w:sz w:val="32"/>
          <w:szCs w:val="32"/>
        </w:rPr>
        <w:t>“一带一路”</w:t>
      </w:r>
      <w:r>
        <w:rPr>
          <w:rFonts w:ascii="仿宋_GB2312" w:hAnsi="Calibri" w:eastAsia="仿宋_GB2312" w:cs="Times New Roman"/>
          <w:sz w:val="32"/>
          <w:szCs w:val="32"/>
        </w:rPr>
        <w:t>、长江经济带、成渝地区双城经济圈等国家战略深入推进的重大机遇，主动融入省委</w:t>
      </w:r>
      <w:r>
        <w:rPr>
          <w:rFonts w:hint="eastAsia" w:ascii="仿宋_GB2312" w:hAnsi="Calibri" w:eastAsia="仿宋_GB2312" w:cs="Times New Roman"/>
          <w:sz w:val="32"/>
          <w:szCs w:val="32"/>
        </w:rPr>
        <w:t>“</w:t>
      </w:r>
      <w:r>
        <w:rPr>
          <w:rFonts w:ascii="仿宋_GB2312" w:hAnsi="Calibri" w:eastAsia="仿宋_GB2312" w:cs="Times New Roman"/>
          <w:sz w:val="32"/>
          <w:szCs w:val="32"/>
        </w:rPr>
        <w:t>一千多支、五区协同</w:t>
      </w:r>
      <w:r>
        <w:rPr>
          <w:rFonts w:hint="eastAsia" w:ascii="仿宋_GB2312" w:hAnsi="Calibri" w:eastAsia="仿宋_GB2312" w:cs="Times New Roman"/>
          <w:sz w:val="32"/>
          <w:szCs w:val="32"/>
        </w:rPr>
        <w:t>”“</w:t>
      </w:r>
      <w:r>
        <w:rPr>
          <w:rFonts w:ascii="仿宋_GB2312" w:hAnsi="Calibri" w:eastAsia="仿宋_GB2312" w:cs="Times New Roman"/>
          <w:sz w:val="32"/>
          <w:szCs w:val="32"/>
        </w:rPr>
        <w:t>四向拓展、全域开放</w:t>
      </w:r>
      <w:r>
        <w:rPr>
          <w:rFonts w:hint="eastAsia" w:ascii="仿宋_GB2312" w:hAnsi="Calibri" w:eastAsia="仿宋_GB2312" w:cs="Times New Roman"/>
          <w:sz w:val="32"/>
          <w:szCs w:val="32"/>
        </w:rPr>
        <w:t>”</w:t>
      </w:r>
      <w:r>
        <w:rPr>
          <w:rFonts w:ascii="仿宋_GB2312" w:hAnsi="Calibri" w:eastAsia="仿宋_GB2312" w:cs="Times New Roman"/>
          <w:sz w:val="32"/>
          <w:szCs w:val="32"/>
        </w:rPr>
        <w:t>战略部署，</w:t>
      </w:r>
      <w:r>
        <w:rPr>
          <w:rFonts w:hint="eastAsia" w:ascii="仿宋_GB2312" w:hAnsi="Calibri" w:eastAsia="仿宋_GB2312" w:cs="Times New Roman"/>
          <w:sz w:val="32"/>
          <w:szCs w:val="32"/>
        </w:rPr>
        <w:t>进一步加强党的</w:t>
      </w:r>
      <w:r>
        <w:rPr>
          <w:rFonts w:ascii="仿宋_GB2312" w:hAnsi="Calibri" w:eastAsia="仿宋_GB2312" w:cs="Times New Roman"/>
          <w:sz w:val="32"/>
          <w:szCs w:val="32"/>
        </w:rPr>
        <w:t>建设</w:t>
      </w:r>
      <w:r>
        <w:rPr>
          <w:rFonts w:hint="eastAsia" w:ascii="仿宋_GB2312" w:hAnsi="Calibri" w:eastAsia="仿宋_GB2312" w:cs="Times New Roman"/>
          <w:sz w:val="32"/>
          <w:szCs w:val="32"/>
        </w:rPr>
        <w:t>，全面提升党建质量，以省级“双高”建设为契机，</w:t>
      </w:r>
      <w:r>
        <w:rPr>
          <w:rFonts w:ascii="仿宋_GB2312" w:hAnsi="Calibri" w:eastAsia="仿宋_GB2312" w:cs="Times New Roman"/>
          <w:sz w:val="32"/>
          <w:szCs w:val="32"/>
        </w:rPr>
        <w:t>对标竞进、争创一流</w:t>
      </w:r>
      <w:r>
        <w:rPr>
          <w:rFonts w:hint="eastAsia" w:ascii="仿宋_GB2312" w:hAnsi="Calibri" w:eastAsia="仿宋_GB2312" w:cs="Times New Roman"/>
          <w:sz w:val="32"/>
          <w:szCs w:val="32"/>
        </w:rPr>
        <w:t>，</w:t>
      </w:r>
      <w:r>
        <w:rPr>
          <w:rFonts w:ascii="仿宋_GB2312" w:hAnsi="Calibri" w:eastAsia="仿宋_GB2312" w:cs="Times New Roman"/>
          <w:sz w:val="32"/>
          <w:szCs w:val="32"/>
        </w:rPr>
        <w:t>补短板、强弱项</w:t>
      </w:r>
      <w:r>
        <w:rPr>
          <w:rFonts w:hint="eastAsia" w:ascii="仿宋_GB2312" w:hAnsi="Calibri" w:eastAsia="仿宋_GB2312" w:cs="Times New Roman"/>
          <w:sz w:val="32"/>
          <w:szCs w:val="32"/>
        </w:rPr>
        <w:t>、增活力</w:t>
      </w:r>
      <w:r>
        <w:rPr>
          <w:rFonts w:ascii="仿宋_GB2312" w:hAnsi="Calibri" w:eastAsia="仿宋_GB2312" w:cs="Times New Roman"/>
          <w:sz w:val="32"/>
          <w:szCs w:val="32"/>
        </w:rPr>
        <w:t>，</w:t>
      </w:r>
      <w:r>
        <w:rPr>
          <w:rFonts w:hint="eastAsia" w:ascii="仿宋_GB2312" w:hAnsi="Calibri" w:eastAsia="仿宋_GB2312" w:cs="Times New Roman"/>
          <w:sz w:val="32"/>
          <w:szCs w:val="32"/>
        </w:rPr>
        <w:t>继续加强内涵建设，深化产教融合，不断提升人才培养水平和质量，不断增强服务四川电子信息行业和广元区域经济社会发展能力，努力推动学院高质量发展。</w:t>
      </w:r>
    </w:p>
    <w:p>
      <w:pPr>
        <w:spacing w:line="600" w:lineRule="exact"/>
        <w:ind w:firstLine="640" w:firstLineChars="200"/>
        <w:rPr>
          <w:rFonts w:ascii="仿宋_GB2312" w:hAnsi="Calibri" w:eastAsia="仿宋_GB2312" w:cs="Times New Roman"/>
          <w:sz w:val="32"/>
          <w:szCs w:val="32"/>
        </w:rPr>
      </w:pPr>
      <w:r>
        <w:rPr>
          <w:rFonts w:hint="eastAsia" w:ascii="仿宋_GB2312" w:hAnsi="微软雅黑" w:eastAsia="仿宋_GB2312" w:cs="仿宋_GB2312"/>
          <w:kern w:val="0"/>
          <w:sz w:val="32"/>
          <w:szCs w:val="32"/>
        </w:rPr>
        <w:t>1.加强党的政治建设。</w:t>
      </w:r>
      <w:r>
        <w:rPr>
          <w:rFonts w:hint="eastAsia" w:ascii="仿宋_GB2312" w:hAnsi="Calibri" w:eastAsia="仿宋_GB2312" w:cs="Times New Roman"/>
          <w:sz w:val="32"/>
          <w:szCs w:val="32"/>
        </w:rPr>
        <w:t>加强党对学院各项工作的全面领导，认真落实党委领导下的校长负责制，继续</w:t>
      </w:r>
      <w:r>
        <w:rPr>
          <w:rFonts w:ascii="仿宋_GB2312" w:hAnsi="Calibri" w:eastAsia="仿宋_GB2312" w:cs="Times New Roman"/>
          <w:sz w:val="32"/>
          <w:szCs w:val="32"/>
        </w:rPr>
        <w:t>完善</w:t>
      </w:r>
      <w:r>
        <w:rPr>
          <w:rFonts w:hint="eastAsia" w:ascii="仿宋_GB2312" w:hAnsi="Calibri" w:eastAsia="仿宋_GB2312" w:cs="Times New Roman"/>
          <w:sz w:val="32"/>
          <w:szCs w:val="32"/>
        </w:rPr>
        <w:t>“党建+”五维育人体系，完善</w:t>
      </w:r>
      <w:r>
        <w:rPr>
          <w:rFonts w:ascii="仿宋_GB2312" w:hAnsi="Calibri" w:eastAsia="仿宋_GB2312" w:cs="Times New Roman"/>
          <w:sz w:val="32"/>
          <w:szCs w:val="32"/>
        </w:rPr>
        <w:t>“</w:t>
      </w:r>
      <w:r>
        <w:rPr>
          <w:rFonts w:hint="eastAsia" w:ascii="仿宋_GB2312" w:hAnsi="Calibri" w:eastAsia="仿宋_GB2312" w:cs="Times New Roman"/>
          <w:sz w:val="32"/>
          <w:szCs w:val="32"/>
        </w:rPr>
        <w:t>四同</w:t>
      </w:r>
      <w:r>
        <w:rPr>
          <w:rFonts w:ascii="仿宋_GB2312" w:hAnsi="Calibri" w:eastAsia="仿宋_GB2312" w:cs="Times New Roman"/>
          <w:sz w:val="32"/>
          <w:szCs w:val="32"/>
        </w:rPr>
        <w:t>”</w:t>
      </w:r>
      <w:r>
        <w:rPr>
          <w:rFonts w:hint="eastAsia" w:ascii="仿宋_GB2312" w:hAnsi="Calibri" w:eastAsia="仿宋_GB2312" w:cs="Times New Roman"/>
          <w:sz w:val="32"/>
          <w:szCs w:val="32"/>
        </w:rPr>
        <w:t>党建</w:t>
      </w:r>
      <w:r>
        <w:rPr>
          <w:rFonts w:ascii="仿宋_GB2312" w:hAnsi="Calibri" w:eastAsia="仿宋_GB2312" w:cs="Times New Roman"/>
          <w:sz w:val="32"/>
          <w:szCs w:val="32"/>
        </w:rPr>
        <w:t>工作机制，</w:t>
      </w:r>
      <w:r>
        <w:rPr>
          <w:rFonts w:hint="eastAsia" w:ascii="仿宋_GB2312" w:hAnsi="Calibri" w:eastAsia="仿宋_GB2312" w:cs="Times New Roman"/>
          <w:sz w:val="32"/>
          <w:szCs w:val="32"/>
        </w:rPr>
        <w:t>全面实施党建领航、固本强基、双育提能、品牌培育、对标争先、群团纽带“六大”行动计划，以高标准党的建设推动学院高质量发展。</w:t>
      </w:r>
    </w:p>
    <w:p>
      <w:pPr>
        <w:spacing w:line="600" w:lineRule="exact"/>
        <w:ind w:firstLine="640" w:firstLineChars="200"/>
        <w:rPr>
          <w:rFonts w:ascii="仿宋_GB2312" w:hAnsi="Calibri" w:eastAsia="仿宋_GB2312" w:cs="Times New Roman"/>
          <w:sz w:val="32"/>
          <w:szCs w:val="32"/>
        </w:rPr>
      </w:pPr>
      <w:r>
        <w:rPr>
          <w:rFonts w:hint="eastAsia" w:ascii="仿宋_GB2312" w:hAnsi="Calibri" w:eastAsia="仿宋_GB2312" w:cs="Times New Roman"/>
          <w:sz w:val="32"/>
          <w:szCs w:val="32"/>
        </w:rPr>
        <w:t>2.加强思想理论学习。坚持不懈强化理论武装，以中心组学习为引领，不断拓展学习载体，创新学习形式，持续深入学习贯彻习近平新时代中国特色社会主义思想和党的创新理论，</w:t>
      </w:r>
      <w:r>
        <w:rPr>
          <w:rFonts w:hint="eastAsia" w:ascii="Calibri" w:hAnsi="Calibri" w:eastAsia="仿宋_GB2312" w:cs="Times New Roman"/>
          <w:sz w:val="32"/>
          <w:szCs w:val="32"/>
        </w:rPr>
        <w:t>弘扬伟大建党精神，深化</w:t>
      </w:r>
      <w:r>
        <w:rPr>
          <w:rFonts w:ascii="Calibri" w:hAnsi="Calibri" w:eastAsia="仿宋_GB2312" w:cs="Times New Roman"/>
          <w:sz w:val="32"/>
          <w:szCs w:val="32"/>
        </w:rPr>
        <w:t>“</w:t>
      </w:r>
      <w:r>
        <w:rPr>
          <w:rFonts w:hint="eastAsia" w:ascii="Calibri" w:hAnsi="Calibri" w:eastAsia="仿宋_GB2312" w:cs="Times New Roman"/>
          <w:sz w:val="32"/>
          <w:szCs w:val="32"/>
        </w:rPr>
        <w:t>四史</w:t>
      </w:r>
      <w:r>
        <w:rPr>
          <w:rFonts w:ascii="Calibri" w:hAnsi="Calibri" w:eastAsia="仿宋_GB2312" w:cs="Times New Roman"/>
          <w:sz w:val="32"/>
          <w:szCs w:val="32"/>
        </w:rPr>
        <w:t>”</w:t>
      </w:r>
      <w:r>
        <w:rPr>
          <w:rFonts w:hint="eastAsia" w:ascii="Calibri" w:hAnsi="Calibri" w:eastAsia="仿宋_GB2312" w:cs="Times New Roman"/>
          <w:sz w:val="32"/>
          <w:szCs w:val="32"/>
        </w:rPr>
        <w:t>教育，巩固党史学习教育成果。</w:t>
      </w:r>
      <w:r>
        <w:rPr>
          <w:rFonts w:hint="eastAsia" w:ascii="仿宋_GB2312" w:hAnsi="Calibri" w:eastAsia="仿宋_GB2312" w:cs="Times New Roman"/>
          <w:sz w:val="32"/>
          <w:szCs w:val="32"/>
        </w:rPr>
        <w:t>组织开展好党的十九届六中全会和党的二十大精神专题学习活动，继续抓好</w:t>
      </w:r>
      <w:r>
        <w:rPr>
          <w:rFonts w:ascii="仿宋_GB2312" w:hAnsi="Calibri" w:eastAsia="仿宋_GB2312" w:cs="Times New Roman"/>
          <w:sz w:val="32"/>
          <w:szCs w:val="32"/>
        </w:rPr>
        <w:t xml:space="preserve"> “学习强国”</w:t>
      </w:r>
      <w:r>
        <w:rPr>
          <w:rFonts w:hint="eastAsia" w:ascii="仿宋_GB2312" w:hAnsi="Calibri" w:eastAsia="仿宋_GB2312" w:cs="Times New Roman"/>
          <w:sz w:val="32"/>
          <w:szCs w:val="32"/>
        </w:rPr>
        <w:t>学习</w:t>
      </w:r>
      <w:r>
        <w:rPr>
          <w:rFonts w:ascii="仿宋_GB2312" w:hAnsi="Calibri" w:eastAsia="仿宋_GB2312" w:cs="Times New Roman"/>
          <w:sz w:val="32"/>
          <w:szCs w:val="32"/>
        </w:rPr>
        <w:t>活动</w:t>
      </w:r>
      <w:r>
        <w:rPr>
          <w:rFonts w:hint="eastAsia" w:ascii="仿宋_GB2312" w:hAnsi="Calibri" w:eastAsia="仿宋_GB2312" w:cs="Times New Roman"/>
          <w:sz w:val="32"/>
          <w:szCs w:val="32"/>
        </w:rPr>
        <w:t>。</w:t>
      </w:r>
    </w:p>
    <w:p>
      <w:pPr>
        <w:spacing w:line="600" w:lineRule="exact"/>
        <w:ind w:firstLine="640" w:firstLineChars="200"/>
        <w:rPr>
          <w:rFonts w:ascii="仿宋_GB2312" w:hAnsi="Calibri" w:eastAsia="仿宋_GB2312" w:cs="Times New Roman"/>
          <w:sz w:val="32"/>
          <w:szCs w:val="32"/>
        </w:rPr>
      </w:pPr>
      <w:r>
        <w:rPr>
          <w:rFonts w:hint="eastAsia" w:ascii="仿宋_GB2312" w:hAnsi="Calibri" w:eastAsia="仿宋_GB2312" w:cs="Times New Roman"/>
          <w:sz w:val="32"/>
          <w:szCs w:val="32"/>
        </w:rPr>
        <w:t>3.加强基层组织建设。对标《中国共产党普通高学校基层组织工作条例》，推进党支部标准化规范化建设，修订《基层党组织党建考核办法》，抓实党支部达标建设，</w:t>
      </w:r>
      <w:r>
        <w:rPr>
          <w:rFonts w:ascii="仿宋_GB2312" w:hAnsi="Calibri" w:eastAsia="仿宋_GB2312" w:cs="Times New Roman"/>
          <w:sz w:val="32"/>
          <w:szCs w:val="32"/>
        </w:rPr>
        <w:t>从严落实好组织生活基本制度</w:t>
      </w:r>
      <w:r>
        <w:rPr>
          <w:rFonts w:hint="eastAsia" w:ascii="仿宋_GB2312" w:hAnsi="Calibri" w:eastAsia="仿宋_GB2312" w:cs="Times New Roman"/>
          <w:sz w:val="32"/>
          <w:szCs w:val="32"/>
        </w:rPr>
        <w:t>，组织开展民主生活会、组织生活会和民主评议党员工作</w:t>
      </w:r>
      <w:r>
        <w:rPr>
          <w:rFonts w:ascii="仿宋_GB2312" w:hAnsi="Calibri" w:eastAsia="仿宋_GB2312" w:cs="Times New Roman"/>
          <w:sz w:val="32"/>
          <w:szCs w:val="32"/>
        </w:rPr>
        <w:t xml:space="preserve">。 </w:t>
      </w:r>
    </w:p>
    <w:p>
      <w:pPr>
        <w:spacing w:line="600" w:lineRule="exact"/>
        <w:ind w:firstLine="640" w:firstLineChars="200"/>
        <w:rPr>
          <w:rFonts w:ascii="仿宋_GB2312" w:hAnsi="Calibri" w:eastAsia="仿宋_GB2312" w:cs="Times New Roman"/>
          <w:sz w:val="32"/>
          <w:szCs w:val="32"/>
        </w:rPr>
      </w:pPr>
      <w:r>
        <w:rPr>
          <w:rFonts w:hint="eastAsia" w:ascii="仿宋_GB2312" w:hAnsi="Calibri" w:eastAsia="仿宋_GB2312" w:cs="Times New Roman"/>
          <w:sz w:val="32"/>
          <w:szCs w:val="32"/>
        </w:rPr>
        <w:t>4.加强干部教育培养。举办“双育提能”培训班2期，着力锻造政治过硬的干部人才队伍。按照“三向”培养思路，有序开展</w:t>
      </w:r>
      <w:r>
        <w:rPr>
          <w:rFonts w:ascii="仿宋_GB2312" w:hAnsi="Calibri" w:eastAsia="仿宋_GB2312" w:cs="Times New Roman"/>
          <w:sz w:val="32"/>
          <w:szCs w:val="32"/>
        </w:rPr>
        <w:t>党内、党外后备干部培养，常态化推进中层干部轮岗交流。</w:t>
      </w:r>
    </w:p>
    <w:p>
      <w:pPr>
        <w:ind w:firstLine="640" w:firstLineChars="200"/>
        <w:rPr>
          <w:rFonts w:ascii="仿宋_GB2312" w:hAnsi="仿宋_GB2312" w:eastAsia="仿宋_GB2312" w:cs="仿宋_GB2312"/>
          <w:color w:val="000000"/>
          <w:sz w:val="32"/>
          <w:szCs w:val="32"/>
        </w:rPr>
      </w:pPr>
      <w:r>
        <w:rPr>
          <w:rFonts w:hint="eastAsia" w:ascii="仿宋_GB2312" w:hAnsi="Calibri" w:eastAsia="仿宋_GB2312" w:cs="Times New Roman"/>
          <w:sz w:val="32"/>
          <w:szCs w:val="32"/>
        </w:rPr>
        <w:t>5.</w:t>
      </w:r>
      <w:r>
        <w:rPr>
          <w:rFonts w:hint="eastAsia" w:ascii="仿宋_GB2312" w:hAnsi="仿宋_GB2312" w:eastAsia="仿宋_GB2312" w:cs="仿宋_GB2312"/>
          <w:color w:val="000000"/>
          <w:sz w:val="32"/>
          <w:szCs w:val="32"/>
        </w:rPr>
        <w:t>乡村振兴工作</w:t>
      </w:r>
      <w:r>
        <w:rPr>
          <w:rFonts w:ascii="仿宋_GB2312" w:hAnsi="仿宋_GB2312" w:eastAsia="仿宋_GB2312" w:cs="仿宋_GB2312"/>
          <w:color w:val="000000"/>
          <w:sz w:val="32"/>
          <w:szCs w:val="32"/>
        </w:rPr>
        <w:t>。</w:t>
      </w:r>
      <w:r>
        <w:rPr>
          <w:rFonts w:hint="eastAsia" w:ascii="仿宋_GB2312" w:hAnsi="仿宋_GB2312" w:eastAsia="仿宋_GB2312" w:cs="仿宋_GB2312"/>
          <w:color w:val="000000"/>
          <w:sz w:val="32"/>
          <w:szCs w:val="32"/>
        </w:rPr>
        <w:t>持续推进对苍溪县委党校、苍溪职中、苍溪思源实验学校的帮扶。推进清河村乡村振兴，奋力谱写服务乡村振兴“高职院校样板”。</w:t>
      </w:r>
    </w:p>
    <w:p>
      <w:pPr>
        <w:ind w:firstLine="640" w:firstLineChars="200"/>
        <w:rPr>
          <w:rFonts w:ascii="仿宋_GB2312" w:hAnsi="仿宋" w:eastAsia="仿宋_GB2312" w:cs="Times New Roman"/>
          <w:sz w:val="32"/>
          <w:szCs w:val="32"/>
        </w:rPr>
      </w:pPr>
      <w:r>
        <w:rPr>
          <w:rFonts w:hint="eastAsia" w:ascii="仿宋_GB2312" w:hAnsi="仿宋_GB2312" w:eastAsia="仿宋_GB2312" w:cs="仿宋_GB2312"/>
          <w:color w:val="000000"/>
          <w:sz w:val="32"/>
          <w:szCs w:val="32"/>
        </w:rPr>
        <w:t>6.</w:t>
      </w:r>
      <w:r>
        <w:rPr>
          <w:rFonts w:hint="eastAsia" w:ascii="仿宋_GB2312" w:hAnsi="仿宋_GB2312" w:eastAsia="仿宋_GB2312" w:cs="仿宋_GB2312"/>
          <w:kern w:val="0"/>
          <w:sz w:val="32"/>
          <w:szCs w:val="32"/>
        </w:rPr>
        <w:t>加强党风廉政建设。继续做好学校党风廉政建设和反腐败工作，</w:t>
      </w:r>
      <w:r>
        <w:rPr>
          <w:rFonts w:hint="eastAsia" w:ascii="仿宋_GB2312" w:hAnsi="仿宋" w:eastAsia="仿宋_GB2312" w:cs="Times New Roman"/>
          <w:sz w:val="32"/>
          <w:szCs w:val="32"/>
        </w:rPr>
        <w:t>持续深入抓好作风建设，</w:t>
      </w:r>
      <w:r>
        <w:rPr>
          <w:rFonts w:hint="eastAsia" w:ascii="仿宋_GB2312" w:hAnsi="仿宋_GB2312" w:eastAsia="仿宋_GB2312" w:cs="仿宋_GB2312"/>
          <w:kern w:val="0"/>
          <w:sz w:val="32"/>
          <w:szCs w:val="32"/>
        </w:rPr>
        <w:t>强化责任意识，进一步压实主体责任；</w:t>
      </w:r>
      <w:r>
        <w:rPr>
          <w:rFonts w:hint="eastAsia" w:ascii="仿宋_GB2312" w:hAnsi="仿宋_GB2312" w:eastAsia="仿宋_GB2312" w:cs="仿宋_GB2312"/>
          <w:color w:val="000000"/>
          <w:sz w:val="32"/>
          <w:szCs w:val="32"/>
        </w:rPr>
        <w:t>分层分类开展廉政教育</w:t>
      </w:r>
      <w:r>
        <w:rPr>
          <w:rFonts w:hint="eastAsia" w:ascii="仿宋_GB2312" w:hAnsi="仿宋" w:eastAsia="仿宋_GB2312" w:cs="Times New Roman"/>
          <w:sz w:val="32"/>
          <w:szCs w:val="32"/>
        </w:rPr>
        <w:t>，</w:t>
      </w:r>
      <w:r>
        <w:rPr>
          <w:rFonts w:ascii="仿宋_GB2312" w:hAnsi="仿宋" w:eastAsia="仿宋_GB2312" w:cs="Times New Roman"/>
          <w:sz w:val="32"/>
          <w:szCs w:val="32"/>
        </w:rPr>
        <w:t>开展纪检干部专题培训</w:t>
      </w:r>
      <w:r>
        <w:rPr>
          <w:rFonts w:hint="eastAsia" w:ascii="仿宋_GB2312" w:hAnsi="仿宋" w:eastAsia="仿宋_GB2312" w:cs="Times New Roman"/>
          <w:sz w:val="32"/>
          <w:szCs w:val="32"/>
        </w:rPr>
        <w:t>1期；继续</w:t>
      </w:r>
      <w:r>
        <w:rPr>
          <w:rFonts w:hint="eastAsia" w:ascii="仿宋_GB2312" w:hAnsi="仿宋_GB2312" w:eastAsia="仿宋_GB2312" w:cs="仿宋_GB2312"/>
          <w:kern w:val="0"/>
          <w:sz w:val="32"/>
          <w:szCs w:val="32"/>
        </w:rPr>
        <w:t>抓好重点人、重点事、关键处监督，</w:t>
      </w:r>
      <w:r>
        <w:rPr>
          <w:rFonts w:hint="eastAsia" w:ascii="仿宋_GB2312" w:hAnsi="仿宋" w:eastAsia="仿宋_GB2312" w:cs="Times New Roman"/>
          <w:sz w:val="32"/>
          <w:szCs w:val="32"/>
        </w:rPr>
        <w:t>不断完善纪检监察制度。</w:t>
      </w:r>
    </w:p>
    <w:p>
      <w:pPr>
        <w:ind w:firstLine="640" w:firstLineChars="200"/>
        <w:rPr>
          <w:rFonts w:ascii="仿宋_GB2312" w:hAnsi="仿宋_GB2312" w:eastAsia="仿宋_GB2312" w:cs="仿宋_GB2312"/>
          <w:kern w:val="0"/>
          <w:sz w:val="32"/>
          <w:szCs w:val="32"/>
        </w:rPr>
      </w:pPr>
      <w:r>
        <w:rPr>
          <w:rFonts w:ascii="仿宋_GB2312" w:hAnsi="仿宋" w:eastAsia="仿宋_GB2312" w:cs="Times New Roman"/>
          <w:sz w:val="32"/>
          <w:szCs w:val="32"/>
        </w:rPr>
        <w:t>7.</w:t>
      </w:r>
      <w:r>
        <w:rPr>
          <w:rFonts w:hint="eastAsia" w:ascii="仿宋_GB2312" w:hAnsi="仿宋_GB2312" w:eastAsia="仿宋_GB2312" w:cs="仿宋_GB2312"/>
          <w:kern w:val="0"/>
          <w:sz w:val="32"/>
          <w:szCs w:val="32"/>
        </w:rPr>
        <w:t>加强意识形态工作。建立</w:t>
      </w:r>
      <w:r>
        <w:rPr>
          <w:rFonts w:ascii="仿宋_GB2312" w:hAnsi="仿宋_GB2312" w:eastAsia="仿宋_GB2312" w:cs="仿宋_GB2312"/>
          <w:kern w:val="0"/>
          <w:sz w:val="32"/>
          <w:szCs w:val="32"/>
        </w:rPr>
        <w:t>意识形态考评指标体系，</w:t>
      </w:r>
      <w:r>
        <w:rPr>
          <w:rFonts w:hint="eastAsia" w:ascii="仿宋_GB2312" w:hAnsi="仿宋_GB2312" w:eastAsia="仿宋_GB2312" w:cs="仿宋_GB2312"/>
          <w:kern w:val="0"/>
          <w:sz w:val="32"/>
          <w:szCs w:val="32"/>
        </w:rPr>
        <w:t>严格落实意识形态责任，</w:t>
      </w:r>
      <w:r>
        <w:rPr>
          <w:rFonts w:hint="eastAsia" w:ascii="仿宋_GB2312" w:hAnsi="仿宋" w:eastAsia="仿宋_GB2312" w:cs="仿宋"/>
          <w:sz w:val="32"/>
          <w:szCs w:val="32"/>
        </w:rPr>
        <w:t>对二级学院党组织意识形态工作情况开展专项督查，</w:t>
      </w:r>
      <w:r>
        <w:rPr>
          <w:rFonts w:hint="eastAsia" w:ascii="仿宋_GB2312" w:hAnsi="仿宋_GB2312" w:eastAsia="仿宋_GB2312" w:cs="仿宋_GB2312"/>
          <w:kern w:val="0"/>
          <w:sz w:val="32"/>
          <w:szCs w:val="32"/>
        </w:rPr>
        <w:t>强化课堂教学监管，加强网络阵地管控，抵御和防范校园宗教渗透，利用新媒体新技术创新意识形态工作内容形式，把牢意识形态“三权”。</w:t>
      </w:r>
    </w:p>
    <w:p>
      <w:pPr>
        <w:spacing w:line="360" w:lineRule="auto"/>
        <w:ind w:firstLine="640" w:firstLineChars="200"/>
        <w:rPr>
          <w:rFonts w:ascii="仿宋_GB2312" w:hAnsi="仿宋_GB2312" w:eastAsia="仿宋_GB2312" w:cs="仿宋_GB2312"/>
          <w:kern w:val="0"/>
          <w:sz w:val="32"/>
          <w:szCs w:val="32"/>
        </w:rPr>
      </w:pPr>
      <w:r>
        <w:rPr>
          <w:rFonts w:hint="eastAsia" w:ascii="仿宋_GB2312" w:hAnsi="仿宋" w:eastAsia="仿宋_GB2312" w:cs="Times New Roman"/>
          <w:sz w:val="32"/>
          <w:szCs w:val="32"/>
        </w:rPr>
        <w:t>8.</w:t>
      </w:r>
      <w:r>
        <w:rPr>
          <w:rFonts w:hint="eastAsia" w:ascii="仿宋_GB2312" w:hAnsi="仿宋_GB2312" w:eastAsia="仿宋_GB2312" w:cs="仿宋_GB2312"/>
          <w:sz w:val="32"/>
          <w:szCs w:val="32"/>
        </w:rPr>
        <w:t>加强思想政治建设。</w:t>
      </w:r>
      <w:r>
        <w:rPr>
          <w:rFonts w:hint="eastAsia" w:ascii="仿宋_GB2312" w:hAnsi="仿宋_GB2312" w:eastAsia="仿宋_GB2312" w:cs="仿宋_GB2312"/>
          <w:kern w:val="0"/>
          <w:sz w:val="32"/>
          <w:szCs w:val="32"/>
        </w:rPr>
        <w:t>完善“十大育人”体系，构建全员全过程全方位大思政工作新格局。</w:t>
      </w:r>
    </w:p>
    <w:p>
      <w:pPr>
        <w:spacing w:line="600" w:lineRule="exact"/>
        <w:ind w:firstLine="562"/>
        <w:jc w:val="left"/>
        <w:rPr>
          <w:rFonts w:ascii="仿宋_GB2312" w:hAnsi="仿宋_GB2312" w:eastAsia="仿宋_GB2312" w:cs="仿宋_GB2312"/>
          <w:color w:val="0000FF"/>
          <w:sz w:val="32"/>
          <w:szCs w:val="32"/>
        </w:rPr>
      </w:pPr>
      <w:r>
        <w:rPr>
          <w:rFonts w:hint="eastAsia" w:ascii="仿宋_GB2312" w:hAnsi="仿宋_GB2312" w:eastAsia="仿宋_GB2312" w:cs="仿宋_GB2312"/>
          <w:sz w:val="32"/>
          <w:szCs w:val="32"/>
        </w:rPr>
        <w:t>9.持续做好学院统战和保密工作。进一步提升党外知识分子理论素养，坚定政治信念；持续巩固多党合作的思想政治基础。常态化的做好保密日常培训教育，做好</w:t>
      </w:r>
      <w:r>
        <w:rPr>
          <w:rFonts w:ascii="仿宋_GB2312" w:hAnsi="仿宋_GB2312" w:eastAsia="仿宋_GB2312" w:cs="仿宋_GB2312"/>
          <w:sz w:val="32"/>
          <w:szCs w:val="32"/>
        </w:rPr>
        <w:t>大型考试的保密工作</w:t>
      </w:r>
      <w:r>
        <w:rPr>
          <w:rFonts w:hint="eastAsia" w:ascii="仿宋_GB2312" w:hAnsi="仿宋_GB2312" w:eastAsia="仿宋_GB2312" w:cs="仿宋_GB2312"/>
          <w:sz w:val="32"/>
          <w:szCs w:val="32"/>
        </w:rPr>
        <w:t>，做好涉密文件管理工作。</w:t>
      </w:r>
    </w:p>
    <w:p>
      <w:pPr>
        <w:spacing w:line="600" w:lineRule="exact"/>
        <w:ind w:firstLine="561"/>
        <w:rPr>
          <w:rFonts w:ascii="仿宋_GB2312" w:hAnsi="仿宋_GB2312" w:eastAsia="仿宋_GB2312" w:cs="仿宋_GB2312"/>
          <w:sz w:val="32"/>
          <w:szCs w:val="32"/>
        </w:rPr>
      </w:pPr>
      <w:r>
        <w:rPr>
          <w:rFonts w:ascii="仿宋_GB2312" w:hAnsi="仿宋_GB2312" w:eastAsia="仿宋_GB2312" w:cs="仿宋_GB2312"/>
          <w:sz w:val="32"/>
          <w:szCs w:val="32"/>
        </w:rPr>
        <w:t>10.</w:t>
      </w:r>
      <w:r>
        <w:rPr>
          <w:rFonts w:hint="eastAsia" w:ascii="仿宋_GB2312" w:hAnsi="仿宋_GB2312" w:eastAsia="仿宋_GB2312" w:cs="仿宋_GB2312"/>
          <w:sz w:val="32"/>
          <w:szCs w:val="32"/>
        </w:rPr>
        <w:t>加强校园文化建设。</w:t>
      </w:r>
      <w:r>
        <w:rPr>
          <w:rFonts w:hint="eastAsia" w:ascii="仿宋" w:hAnsi="仿宋" w:eastAsia="仿宋" w:cs="Times New Roman"/>
          <w:sz w:val="32"/>
          <w:szCs w:val="28"/>
        </w:rPr>
        <w:t>完成数字校史馆项目建设方案，建成数字校史馆；</w:t>
      </w:r>
      <w:r>
        <w:rPr>
          <w:rFonts w:hint="eastAsia" w:ascii="仿宋_GB2312" w:hAnsi="仿宋_GB2312" w:eastAsia="仿宋_GB2312" w:cs="仿宋_GB2312"/>
          <w:sz w:val="32"/>
          <w:szCs w:val="32"/>
        </w:rPr>
        <w:t>持续推进文明校园创建各项工作常态化、机制化。</w:t>
      </w:r>
    </w:p>
    <w:p>
      <w:pPr>
        <w:pStyle w:val="10"/>
        <w:ind w:firstLine="640" w:firstLineChars="200"/>
        <w:rPr>
          <w:rFonts w:ascii="仿宋_GB2312" w:hAnsi="宋体" w:eastAsia="仿宋_GB2312"/>
          <w:color w:val="000000"/>
          <w:sz w:val="32"/>
          <w:szCs w:val="32"/>
        </w:rPr>
      </w:pPr>
      <w:r>
        <w:rPr>
          <w:rFonts w:hint="eastAsia" w:ascii="仿宋_GB2312" w:hAnsi="Verdana" w:eastAsia="仿宋_GB2312"/>
          <w:color w:val="000000"/>
          <w:sz w:val="32"/>
          <w:szCs w:val="32"/>
        </w:rPr>
        <w:t>11.</w:t>
      </w:r>
      <w:r>
        <w:rPr>
          <w:rFonts w:hint="eastAsia" w:ascii="仿宋_GB2312" w:eastAsia="仿宋_GB2312"/>
          <w:kern w:val="2"/>
          <w:sz w:val="32"/>
          <w:szCs w:val="32"/>
        </w:rPr>
        <w:t>制订推行“五化一体”管理机制实施方案，不断完善管理水平信息化、制度建</w:t>
      </w:r>
      <w:r>
        <w:rPr>
          <w:rFonts w:hint="eastAsia" w:ascii="仿宋_GB2312" w:hAnsi="宋体" w:eastAsia="仿宋_GB2312"/>
          <w:color w:val="000000"/>
          <w:sz w:val="32"/>
          <w:szCs w:val="32"/>
        </w:rPr>
        <w:t>设标准化、内部治理规范化、绩效考核常态化、政行企校联动化的</w:t>
      </w:r>
      <w:r>
        <w:rPr>
          <w:rFonts w:hint="eastAsia" w:ascii="仿宋_GB2312" w:eastAsia="仿宋_GB2312"/>
          <w:kern w:val="2"/>
          <w:sz w:val="32"/>
          <w:szCs w:val="32"/>
        </w:rPr>
        <w:t>“五化一体”</w:t>
      </w:r>
      <w:r>
        <w:rPr>
          <w:rFonts w:hint="eastAsia" w:ascii="仿宋_GB2312" w:hAnsi="宋体" w:eastAsia="仿宋_GB2312"/>
          <w:color w:val="000000"/>
          <w:sz w:val="32"/>
          <w:szCs w:val="32"/>
        </w:rPr>
        <w:t>管理机制，提升内部治理能力。</w:t>
      </w:r>
    </w:p>
    <w:p>
      <w:pPr>
        <w:spacing w:line="600" w:lineRule="exact"/>
        <w:ind w:firstLine="640" w:firstLineChars="200"/>
        <w:rPr>
          <w:rFonts w:ascii="仿宋_GB2312" w:hAnsi="Calibri" w:eastAsia="仿宋_GB2312" w:cs="Times New Roman"/>
          <w:sz w:val="32"/>
          <w:szCs w:val="32"/>
        </w:rPr>
      </w:pPr>
      <w:r>
        <w:rPr>
          <w:rFonts w:hint="eastAsia" w:ascii="仿宋_GB2312" w:hAnsi="宋体" w:eastAsia="仿宋_GB2312" w:cs="Times New Roman"/>
          <w:color w:val="000000"/>
          <w:sz w:val="32"/>
          <w:szCs w:val="32"/>
        </w:rPr>
        <w:t>12.</w:t>
      </w:r>
      <w:r>
        <w:rPr>
          <w:rFonts w:hint="eastAsia" w:ascii="仿宋_GB2312" w:hAnsi="仿宋_GB2312" w:eastAsia="仿宋_GB2312" w:cs="仿宋_GB2312"/>
          <w:sz w:val="32"/>
          <w:szCs w:val="32"/>
        </w:rPr>
        <w:t>坚决落实国家、省、</w:t>
      </w:r>
      <w:r>
        <w:rPr>
          <w:rFonts w:hint="eastAsia" w:ascii="仿宋_GB2312" w:hAnsi="Calibri" w:eastAsia="仿宋_GB2312" w:cs="Times New Roman"/>
          <w:sz w:val="32"/>
          <w:szCs w:val="32"/>
        </w:rPr>
        <w:t>市关于疫情防控工作的各项要求，做好新</w:t>
      </w:r>
      <w:r>
        <w:rPr>
          <w:rFonts w:ascii="仿宋_GB2312" w:hAnsi="Calibri" w:eastAsia="仿宋_GB2312" w:cs="Times New Roman"/>
          <w:sz w:val="32"/>
          <w:szCs w:val="32"/>
        </w:rPr>
        <w:t>冠</w:t>
      </w:r>
      <w:r>
        <w:rPr>
          <w:rFonts w:hint="eastAsia" w:ascii="仿宋_GB2312" w:hAnsi="Calibri" w:eastAsia="仿宋_GB2312" w:cs="Times New Roman"/>
          <w:sz w:val="32"/>
          <w:szCs w:val="32"/>
        </w:rPr>
        <w:t>疫情</w:t>
      </w:r>
      <w:r>
        <w:rPr>
          <w:rFonts w:ascii="仿宋_GB2312" w:hAnsi="Calibri" w:eastAsia="仿宋_GB2312" w:cs="Times New Roman"/>
          <w:sz w:val="32"/>
          <w:szCs w:val="32"/>
        </w:rPr>
        <w:t>常态化防控工作</w:t>
      </w:r>
      <w:r>
        <w:rPr>
          <w:rFonts w:hint="eastAsia" w:ascii="仿宋_GB2312" w:hAnsi="Calibri" w:eastAsia="仿宋_GB2312" w:cs="Times New Roman"/>
          <w:sz w:val="32"/>
          <w:szCs w:val="32"/>
        </w:rPr>
        <w:t>。</w:t>
      </w:r>
    </w:p>
    <w:p>
      <w:pPr>
        <w:spacing w:line="600" w:lineRule="exact"/>
        <w:ind w:firstLine="640" w:firstLineChars="200"/>
        <w:rPr>
          <w:rFonts w:ascii="仿宋_GB2312" w:hAnsi="Verdana" w:eastAsia="仿宋_GB2312" w:cs="Times New Roman"/>
          <w:color w:val="000000"/>
          <w:sz w:val="32"/>
          <w:szCs w:val="32"/>
        </w:rPr>
      </w:pPr>
      <w:r>
        <w:rPr>
          <w:rFonts w:hint="eastAsia" w:ascii="仿宋_GB2312" w:hAnsi="仿宋_GB2312" w:eastAsia="仿宋_GB2312" w:cs="仿宋_GB2312"/>
          <w:sz w:val="32"/>
          <w:szCs w:val="32"/>
        </w:rPr>
        <w:t>13.</w:t>
      </w:r>
      <w:r>
        <w:rPr>
          <w:rFonts w:hint="eastAsia" w:ascii="仿宋" w:hAnsi="仿宋" w:eastAsia="仿宋" w:cs="Times New Roman"/>
          <w:color w:val="000000"/>
          <w:sz w:val="32"/>
          <w:szCs w:val="30"/>
        </w:rPr>
        <w:t>加强</w:t>
      </w:r>
      <w:r>
        <w:rPr>
          <w:rFonts w:ascii="仿宋" w:hAnsi="仿宋" w:eastAsia="仿宋" w:cs="Times New Roman"/>
          <w:color w:val="000000"/>
          <w:sz w:val="32"/>
          <w:szCs w:val="30"/>
        </w:rPr>
        <w:t>内控管理。</w:t>
      </w:r>
      <w:r>
        <w:rPr>
          <w:rFonts w:hint="eastAsia" w:ascii="仿宋_GB2312" w:hAnsi="Verdana" w:eastAsia="仿宋_GB2312" w:cs="Times New Roman"/>
          <w:color w:val="000000"/>
          <w:sz w:val="32"/>
          <w:szCs w:val="32"/>
        </w:rPr>
        <w:t>做好资金保障工作，依法依规管理预算经费，做好财务内部控制和风险防控，严格监控部门预算执行进度，按时通报经费使用情况，强化预算绩效管理。进一步规范采购行为，提高全年政府采购预算执行率，做好202</w:t>
      </w:r>
      <w:r>
        <w:rPr>
          <w:rFonts w:ascii="仿宋_GB2312" w:hAnsi="Verdana" w:eastAsia="仿宋_GB2312" w:cs="Times New Roman"/>
          <w:color w:val="000000"/>
          <w:sz w:val="32"/>
          <w:szCs w:val="32"/>
        </w:rPr>
        <w:t>2</w:t>
      </w:r>
      <w:r>
        <w:rPr>
          <w:rFonts w:hint="eastAsia" w:ascii="仿宋_GB2312" w:hAnsi="Verdana" w:eastAsia="仿宋_GB2312" w:cs="Times New Roman"/>
          <w:color w:val="000000"/>
          <w:sz w:val="32"/>
          <w:szCs w:val="32"/>
        </w:rPr>
        <w:t>年政府采购工作。进一步加强内审制度建设，做好内部审计工作。</w:t>
      </w:r>
    </w:p>
    <w:p>
      <w:pPr>
        <w:shd w:val="clear" w:color="auto" w:fill="FFFFFF"/>
        <w:spacing w:line="600" w:lineRule="exact"/>
        <w:ind w:firstLine="640" w:firstLineChars="200"/>
        <w:rPr>
          <w:rFonts w:ascii="仿宋" w:hAnsi="仿宋" w:eastAsia="仿宋" w:cs="Times New Roman"/>
          <w:color w:val="000000"/>
          <w:sz w:val="32"/>
          <w:szCs w:val="30"/>
        </w:rPr>
      </w:pPr>
      <w:r>
        <w:rPr>
          <w:rFonts w:ascii="仿宋_GB2312" w:hAnsi="Verdana" w:eastAsia="仿宋_GB2312" w:cs="Times New Roman"/>
          <w:color w:val="000000"/>
          <w:sz w:val="32"/>
          <w:szCs w:val="32"/>
        </w:rPr>
        <w:t>14.</w:t>
      </w:r>
      <w:r>
        <w:rPr>
          <w:rFonts w:hint="eastAsia" w:ascii="仿宋" w:hAnsi="仿宋" w:eastAsia="仿宋" w:cs="Times New Roman"/>
          <w:color w:val="000000"/>
          <w:sz w:val="32"/>
          <w:szCs w:val="30"/>
        </w:rPr>
        <w:t>加快信息化建设。以 “双高”重大项目建设为契机，积极</w:t>
      </w:r>
      <w:r>
        <w:rPr>
          <w:rFonts w:ascii="仿宋" w:hAnsi="仿宋" w:eastAsia="仿宋" w:cs="Times New Roman"/>
          <w:color w:val="000000"/>
          <w:sz w:val="32"/>
          <w:szCs w:val="30"/>
        </w:rPr>
        <w:t>完成大数据中心、虚拟化平台、运维中心等项目建设，</w:t>
      </w:r>
      <w:r>
        <w:rPr>
          <w:rFonts w:hint="eastAsia" w:ascii="仿宋" w:hAnsi="仿宋" w:eastAsia="仿宋" w:cs="Times New Roman"/>
          <w:color w:val="000000"/>
          <w:sz w:val="32"/>
          <w:szCs w:val="30"/>
        </w:rPr>
        <w:t>持续推进“智慧川信”建设。</w:t>
      </w:r>
    </w:p>
    <w:p>
      <w:pPr>
        <w:spacing w:line="600" w:lineRule="exact"/>
        <w:ind w:firstLine="640" w:firstLineChars="200"/>
        <w:rPr>
          <w:rFonts w:ascii="仿宋" w:hAnsi="仿宋" w:eastAsia="仿宋" w:cs="Times New Roman"/>
          <w:color w:val="000000"/>
          <w:sz w:val="32"/>
          <w:szCs w:val="30"/>
        </w:rPr>
      </w:pPr>
      <w:r>
        <w:rPr>
          <w:rFonts w:hint="eastAsia" w:ascii="仿宋_GB2312" w:hAnsi="Verdana" w:eastAsia="仿宋_GB2312" w:cs="Times New Roman"/>
          <w:color w:val="000000"/>
          <w:sz w:val="32"/>
          <w:szCs w:val="32"/>
        </w:rPr>
        <w:t>1</w:t>
      </w:r>
      <w:r>
        <w:rPr>
          <w:rFonts w:ascii="仿宋_GB2312" w:hAnsi="Verdana" w:eastAsia="仿宋_GB2312" w:cs="Times New Roman"/>
          <w:color w:val="000000"/>
          <w:sz w:val="32"/>
          <w:szCs w:val="32"/>
        </w:rPr>
        <w:t>5</w:t>
      </w:r>
      <w:r>
        <w:rPr>
          <w:rFonts w:hint="eastAsia" w:ascii="仿宋_GB2312" w:hAnsi="Verdana" w:eastAsia="仿宋_GB2312" w:cs="Times New Roman"/>
          <w:color w:val="000000"/>
          <w:sz w:val="32"/>
          <w:szCs w:val="32"/>
        </w:rPr>
        <w:t>.</w:t>
      </w:r>
      <w:r>
        <w:rPr>
          <w:rFonts w:hint="eastAsia" w:ascii="仿宋" w:hAnsi="仿宋" w:eastAsia="仿宋" w:cs="Times New Roman"/>
          <w:color w:val="000000"/>
          <w:sz w:val="32"/>
          <w:szCs w:val="30"/>
        </w:rPr>
        <w:t>做好档案工作。分期分批进行室藏档案数字化处理，高效优质提供档案利用服务</w:t>
      </w:r>
      <w:r>
        <w:rPr>
          <w:rFonts w:ascii="仿宋" w:hAnsi="仿宋" w:eastAsia="仿宋" w:cs="Times New Roman"/>
          <w:color w:val="000000"/>
          <w:sz w:val="32"/>
          <w:szCs w:val="30"/>
        </w:rPr>
        <w:t>。</w:t>
      </w:r>
    </w:p>
    <w:p>
      <w:pPr>
        <w:spacing w:line="600" w:lineRule="exact"/>
        <w:ind w:firstLine="645"/>
        <w:rPr>
          <w:rFonts w:ascii="仿宋" w:hAnsi="仿宋" w:eastAsia="仿宋" w:cs="Times New Roman"/>
          <w:color w:val="000000"/>
          <w:sz w:val="32"/>
          <w:szCs w:val="30"/>
        </w:rPr>
      </w:pPr>
      <w:r>
        <w:rPr>
          <w:rFonts w:hint="eastAsia" w:ascii="仿宋_GB2312" w:hAnsi="Calibri" w:eastAsia="仿宋_GB2312" w:cs="Times New Roman"/>
          <w:sz w:val="32"/>
          <w:szCs w:val="32"/>
        </w:rPr>
        <w:t>16.</w:t>
      </w:r>
      <w:r>
        <w:rPr>
          <w:rFonts w:hint="eastAsia" w:ascii="仿宋" w:hAnsi="仿宋" w:eastAsia="仿宋" w:cs="Times New Roman"/>
          <w:color w:val="000000"/>
          <w:sz w:val="32"/>
          <w:szCs w:val="30"/>
        </w:rPr>
        <w:t>扎实</w:t>
      </w:r>
      <w:r>
        <w:rPr>
          <w:rFonts w:ascii="仿宋" w:hAnsi="仿宋" w:eastAsia="仿宋" w:cs="Times New Roman"/>
          <w:color w:val="000000"/>
          <w:sz w:val="32"/>
          <w:szCs w:val="30"/>
        </w:rPr>
        <w:t>推进</w:t>
      </w:r>
      <w:r>
        <w:rPr>
          <w:rFonts w:hint="eastAsia" w:ascii="仿宋" w:hAnsi="仿宋" w:eastAsia="仿宋" w:cs="Times New Roman"/>
          <w:color w:val="000000"/>
          <w:sz w:val="32"/>
          <w:szCs w:val="30"/>
        </w:rPr>
        <w:t>“对标竞进、争创一流”活动， 将“对标竞进、争创一流”与“双高”建设有机融合起来，做到同谋划、同部署、同推进、同落实。成立“双高”办，制定相关管理办法，加强绩效考核，按时完成省级“双高”年度建设任务和指标。</w:t>
      </w:r>
    </w:p>
    <w:p>
      <w:pPr>
        <w:spacing w:line="600" w:lineRule="exact"/>
        <w:ind w:firstLine="640" w:firstLineChars="200"/>
        <w:rPr>
          <w:rFonts w:ascii="仿宋" w:hAnsi="仿宋" w:eastAsia="仿宋" w:cs="Times New Roman"/>
          <w:color w:val="000000"/>
          <w:sz w:val="32"/>
          <w:szCs w:val="30"/>
        </w:rPr>
      </w:pPr>
      <w:r>
        <w:rPr>
          <w:rFonts w:ascii="仿宋_GB2312" w:hAnsi="Calibri" w:eastAsia="仿宋_GB2312" w:cs="Times New Roman"/>
          <w:sz w:val="32"/>
          <w:szCs w:val="32"/>
        </w:rPr>
        <w:t>17.</w:t>
      </w:r>
      <w:r>
        <w:rPr>
          <w:rFonts w:hint="eastAsia" w:ascii="仿宋" w:hAnsi="仿宋" w:eastAsia="仿宋" w:cs="Times New Roman"/>
          <w:color w:val="000000"/>
          <w:sz w:val="32"/>
          <w:szCs w:val="30"/>
        </w:rPr>
        <w:t>继续做好“提质培优”任务建设工作，积极推进并完成“提质培优”行动计划年度任务。</w:t>
      </w:r>
    </w:p>
    <w:p>
      <w:pPr>
        <w:spacing w:line="600" w:lineRule="exact"/>
        <w:ind w:firstLine="640" w:firstLineChars="200"/>
        <w:rPr>
          <w:rFonts w:hint="eastAsia" w:ascii="仿宋_GB2312" w:hAnsi="Calibri" w:eastAsia="仿宋_GB2312" w:cs="Times New Roman"/>
          <w:sz w:val="32"/>
          <w:szCs w:val="32"/>
        </w:rPr>
      </w:pPr>
      <w:r>
        <w:rPr>
          <w:rFonts w:hint="eastAsia" w:ascii="仿宋_GB2312" w:hAnsi="Calibri" w:eastAsia="仿宋_GB2312" w:cs="Times New Roman"/>
          <w:sz w:val="32"/>
          <w:szCs w:val="32"/>
        </w:rPr>
        <w:t>18.</w:t>
      </w:r>
      <w:r>
        <w:rPr>
          <w:rFonts w:hint="eastAsia" w:ascii="仿宋_GB2312" w:hAnsi="Verdana" w:eastAsia="仿宋_GB2312" w:cs="Times New Roman"/>
          <w:color w:val="000000"/>
          <w:sz w:val="32"/>
          <w:szCs w:val="32"/>
        </w:rPr>
        <w:t>继续提升</w:t>
      </w:r>
      <w:r>
        <w:rPr>
          <w:rFonts w:ascii="仿宋_GB2312" w:hAnsi="Verdana" w:eastAsia="仿宋_GB2312" w:cs="Times New Roman"/>
          <w:color w:val="000000"/>
          <w:sz w:val="32"/>
          <w:szCs w:val="32"/>
        </w:rPr>
        <w:t>专业群和课程建设水平</w:t>
      </w:r>
      <w:r>
        <w:rPr>
          <w:rFonts w:hint="eastAsia" w:ascii="仿宋_GB2312" w:hAnsi="Verdana" w:eastAsia="仿宋_GB2312" w:cs="Times New Roman"/>
          <w:color w:val="000000"/>
          <w:sz w:val="32"/>
          <w:szCs w:val="32"/>
        </w:rPr>
        <w:t>。</w:t>
      </w:r>
      <w:r>
        <w:rPr>
          <w:rFonts w:hint="eastAsia" w:ascii="仿宋_GB2312" w:hAnsi="Calibri" w:eastAsia="仿宋_GB2312" w:cs="Times New Roman"/>
          <w:sz w:val="32"/>
          <w:szCs w:val="32"/>
        </w:rPr>
        <w:t>大力</w:t>
      </w:r>
      <w:r>
        <w:rPr>
          <w:rFonts w:ascii="仿宋_GB2312" w:hAnsi="Calibri" w:eastAsia="仿宋_GB2312" w:cs="Times New Roman"/>
          <w:sz w:val="32"/>
          <w:szCs w:val="32"/>
        </w:rPr>
        <w:t>推进两个省级高水平专业群的建设，</w:t>
      </w:r>
      <w:r>
        <w:rPr>
          <w:rFonts w:hint="eastAsia" w:ascii="仿宋_GB2312" w:hAnsi="Calibri" w:eastAsia="仿宋_GB2312" w:cs="Times New Roman"/>
          <w:sz w:val="32"/>
          <w:szCs w:val="32"/>
        </w:rPr>
        <w:t>继续加强精品在线开放课程、创新创业示范课程等教学资源建设。</w:t>
      </w:r>
    </w:p>
    <w:p>
      <w:pPr>
        <w:pStyle w:val="4"/>
        <w:adjustRightInd w:val="0"/>
        <w:spacing w:before="130" w:line="580" w:lineRule="exact"/>
        <w:rPr>
          <w:rStyle w:val="9"/>
          <w:rFonts w:ascii="Times New Roman" w:hAnsi="Times New Roman" w:eastAsia="黑体" w:cs="宋体"/>
          <w:bCs/>
          <w:color w:val="333333"/>
          <w:sz w:val="32"/>
          <w:szCs w:val="21"/>
        </w:rPr>
      </w:pPr>
      <w:r>
        <w:rPr>
          <w:rStyle w:val="9"/>
          <w:rFonts w:hint="eastAsia" w:ascii="Times New Roman" w:hAnsi="Times New Roman" w:eastAsia="黑体" w:cs="宋体"/>
          <w:bCs/>
          <w:kern w:val="0"/>
          <w:sz w:val="32"/>
          <w:szCs w:val="21"/>
          <w:lang w:bidi="ar"/>
        </w:rPr>
        <w:t>二、机构设置</w:t>
      </w:r>
    </w:p>
    <w:p>
      <w:pPr>
        <w:pStyle w:val="2"/>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ascii="Times New Roman" w:hAnsi="Times New Roman" w:eastAsia="仿宋_GB2312" w:cs="仿宋_GB2312"/>
          <w:sz w:val="32"/>
        </w:rPr>
        <w:t>本单位是隶属于四川省经济和信息化厅的二级预算单位，本单位</w:t>
      </w:r>
      <w:r>
        <w:rPr>
          <w:rFonts w:hint="eastAsia" w:ascii="Times New Roman" w:hAnsi="Times New Roman" w:eastAsia="仿宋_GB2312"/>
          <w:sz w:val="32"/>
          <w:szCs w:val="32"/>
        </w:rPr>
        <w:t>无下属预算单位。</w:t>
      </w:r>
    </w:p>
    <w:p>
      <w:pPr>
        <w:pStyle w:val="6"/>
        <w:widowControl/>
        <w:spacing w:before="0" w:beforeAutospacing="0" w:after="0" w:afterAutospacing="0" w:line="600" w:lineRule="exact"/>
        <w:ind w:firstLine="640" w:firstLineChars="200"/>
        <w:jc w:val="both"/>
        <w:rPr>
          <w:rFonts w:ascii="Times New Roman" w:hAnsi="Times New Roman" w:eastAsia="仿宋_GB2312" w:cs="仿宋_GB2312"/>
          <w:sz w:val="32"/>
          <w:szCs w:val="32"/>
        </w:rPr>
      </w:pPr>
    </w:p>
    <w:p>
      <w:pPr>
        <w:pStyle w:val="6"/>
        <w:widowControl/>
        <w:spacing w:before="0" w:beforeAutospacing="0" w:after="150" w:afterAutospacing="0"/>
        <w:rPr>
          <w:rFonts w:ascii="Times New Roman" w:hAnsi="Times New Roman" w:eastAsia="宋体" w:cs="宋体"/>
          <w:sz w:val="27"/>
          <w:szCs w:val="27"/>
        </w:rPr>
      </w:pPr>
      <w:r>
        <w:rPr>
          <w:rStyle w:val="9"/>
          <w:rFonts w:hint="eastAsia" w:ascii="Times New Roman" w:hAnsi="Times New Roman" w:eastAsia="宋体" w:cs="宋体"/>
          <w:sz w:val="27"/>
          <w:szCs w:val="27"/>
        </w:rPr>
        <w:t>　　</w:t>
      </w:r>
    </w:p>
    <w:p>
      <w:pPr>
        <w:pStyle w:val="6"/>
        <w:widowControl/>
        <w:spacing w:before="0" w:beforeAutospacing="0" w:after="0" w:afterAutospacing="0"/>
        <w:jc w:val="center"/>
        <w:rPr>
          <w:rFonts w:ascii="Times New Roman" w:hAnsi="Times New Roman" w:eastAsia="方正小标宋简体" w:cs="方正小标宋简体"/>
          <w:sz w:val="52"/>
          <w:szCs w:val="52"/>
        </w:rPr>
        <w:sectPr>
          <w:footerReference r:id="rId5" w:type="default"/>
          <w:pgSz w:w="11906" w:h="16838"/>
          <w:pgMar w:top="1440" w:right="1800" w:bottom="1440" w:left="1800" w:header="720" w:footer="720" w:gutter="0"/>
          <w:pgNumType w:fmt="numberInDash" w:start="1"/>
          <w:cols w:space="720" w:num="1"/>
          <w:docGrid w:type="lines" w:linePitch="312" w:charSpace="0"/>
        </w:sect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uppressAutoHyphens/>
        <w:spacing w:before="0" w:beforeAutospacing="0" w:after="0" w:afterAutospacing="0"/>
        <w:jc w:val="center"/>
        <w:outlineLvl w:val="0"/>
        <w:rPr>
          <w:rFonts w:hint="eastAsia" w:ascii="黑体" w:hAnsi="黑体" w:eastAsia="黑体" w:cs="黑体"/>
          <w:sz w:val="52"/>
          <w:szCs w:val="52"/>
          <w:lang w:bidi="ar"/>
        </w:rPr>
      </w:pPr>
      <w:r>
        <w:rPr>
          <w:rFonts w:hint="eastAsia" w:ascii="黑体" w:hAnsi="黑体" w:eastAsia="黑体" w:cs="黑体"/>
          <w:sz w:val="52"/>
          <w:szCs w:val="52"/>
          <w:lang w:bidi="ar"/>
        </w:rPr>
        <w:t>第二部分  四川信息职业技术学院</w:t>
      </w:r>
    </w:p>
    <w:p>
      <w:pPr>
        <w:pStyle w:val="6"/>
        <w:widowControl/>
        <w:suppressAutoHyphens/>
        <w:spacing w:before="0" w:beforeAutospacing="0" w:after="0" w:afterAutospacing="0"/>
        <w:jc w:val="center"/>
        <w:outlineLvl w:val="0"/>
        <w:rPr>
          <w:rFonts w:hint="eastAsia" w:ascii="黑体" w:hAnsi="黑体" w:eastAsia="黑体" w:cs="黑体"/>
          <w:sz w:val="52"/>
          <w:szCs w:val="52"/>
          <w:lang w:bidi="ar"/>
        </w:rPr>
      </w:pPr>
      <w:r>
        <w:rPr>
          <w:rFonts w:hint="eastAsia" w:ascii="黑体" w:hAnsi="黑体" w:eastAsia="黑体" w:cs="黑体"/>
          <w:sz w:val="52"/>
          <w:szCs w:val="52"/>
          <w:lang w:bidi="ar"/>
        </w:rPr>
        <w:t>2022年单位预算表</w:t>
      </w:r>
    </w:p>
    <w:p>
      <w:pPr>
        <w:pStyle w:val="6"/>
        <w:widowControl/>
        <w:spacing w:before="450" w:beforeAutospacing="0" w:after="0" w:afterAutospacing="0" w:line="360" w:lineRule="atLeast"/>
        <w:ind w:left="420"/>
        <w:jc w:val="both"/>
        <w:rPr>
          <w:rFonts w:ascii="Times New Roman" w:hAnsi="Times New Roman" w:eastAsia="仿宋_GB2312" w:cs="仿宋_GB2312"/>
          <w:sz w:val="32"/>
          <w:szCs w:val="32"/>
        </w:rPr>
        <w:sectPr>
          <w:footerReference r:id="rId6" w:type="default"/>
          <w:pgSz w:w="11906" w:h="16838"/>
          <w:pgMar w:top="1440" w:right="1800" w:bottom="1440" w:left="1800" w:header="720" w:footer="720" w:gutter="0"/>
          <w:pgNumType w:fmt="numberInDash" w:start="1"/>
          <w:cols w:space="720" w:num="1"/>
          <w:docGrid w:type="lines" w:linePitch="312" w:charSpace="0"/>
        </w:sectPr>
      </w:pPr>
    </w:p>
    <w:p>
      <w:pPr>
        <w:pStyle w:val="6"/>
        <w:widowControl/>
        <w:numPr>
          <w:ilvl w:val="0"/>
          <w:numId w:val="3"/>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单位收支总表（公开表1）</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7960" cy="7450455"/>
            <wp:effectExtent l="0" t="0" r="8890" b="17145"/>
            <wp:docPr id="5" name="图片 5" descr="部门预算公开报表（单位公开）(2)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部门预算公开报表（单位公开）(2)_01"/>
                    <pic:cNvPicPr>
                      <a:picLocks noChangeAspect="1"/>
                    </pic:cNvPicPr>
                  </pic:nvPicPr>
                  <pic:blipFill>
                    <a:blip r:embed="rId12" cstate="print"/>
                    <a:stretch>
                      <a:fillRect/>
                    </a:stretch>
                  </pic:blipFill>
                  <pic:spPr>
                    <a:xfrm>
                      <a:off x="0" y="0"/>
                      <a:ext cx="5267960" cy="7450455"/>
                    </a:xfrm>
                    <a:prstGeom prst="rect">
                      <a:avLst/>
                    </a:prstGeom>
                  </pic:spPr>
                </pic:pic>
              </a:graphicData>
            </a:graphic>
          </wp:inline>
        </w:drawing>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numPr>
          <w:ilvl w:val="0"/>
          <w:numId w:val="3"/>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单位收入总表（公开表1-1）</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6" name="图片 6" descr="部门预算公开报表（单位公开）(2)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部门预算公开报表（单位公开）(2)_02"/>
                    <pic:cNvPicPr>
                      <a:picLocks noChangeAspect="1"/>
                    </pic:cNvPicPr>
                  </pic:nvPicPr>
                  <pic:blipFill>
                    <a:blip r:embed="rId13" cstate="print"/>
                    <a:stretch>
                      <a:fillRect/>
                    </a:stretch>
                  </pic:blipFill>
                  <pic:spPr>
                    <a:xfrm>
                      <a:off x="0" y="0"/>
                      <a:ext cx="5269865" cy="3726180"/>
                    </a:xfrm>
                    <a:prstGeom prst="rect">
                      <a:avLst/>
                    </a:prstGeom>
                  </pic:spPr>
                </pic:pic>
              </a:graphicData>
            </a:graphic>
          </wp:inline>
        </w:drawing>
      </w:r>
    </w:p>
    <w:p>
      <w:pPr>
        <w:pStyle w:val="6"/>
        <w:widowControl/>
        <w:numPr>
          <w:ilvl w:val="0"/>
          <w:numId w:val="3"/>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单位支出总表（公开表1-2）</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7" name="图片 7" descr="部门预算公开报表（单位公开）(2)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部门预算公开报表（单位公开）(2)_03"/>
                    <pic:cNvPicPr>
                      <a:picLocks noChangeAspect="1"/>
                    </pic:cNvPicPr>
                  </pic:nvPicPr>
                  <pic:blipFill>
                    <a:blip r:embed="rId14" cstate="print"/>
                    <a:stretch>
                      <a:fillRect/>
                    </a:stretch>
                  </pic:blipFill>
                  <pic:spPr>
                    <a:xfrm>
                      <a:off x="0" y="0"/>
                      <a:ext cx="5269865" cy="3726180"/>
                    </a:xfrm>
                    <a:prstGeom prst="rect">
                      <a:avLst/>
                    </a:prstGeom>
                  </pic:spPr>
                </pic:pic>
              </a:graphicData>
            </a:graphic>
          </wp:inline>
        </w:drawing>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numPr>
          <w:ilvl w:val="0"/>
          <w:numId w:val="3"/>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财政拨款收支预算总表（公开表2）</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8" name="图片 8" descr="部门预算公开报表（单位公开）(2)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部门预算公开报表（单位公开）(2)_04"/>
                    <pic:cNvPicPr>
                      <a:picLocks noChangeAspect="1"/>
                    </pic:cNvPicPr>
                  </pic:nvPicPr>
                  <pic:blipFill>
                    <a:blip r:embed="rId15" cstate="print"/>
                    <a:stretch>
                      <a:fillRect/>
                    </a:stretch>
                  </pic:blipFill>
                  <pic:spPr>
                    <a:xfrm>
                      <a:off x="0" y="0"/>
                      <a:ext cx="5269865" cy="3726180"/>
                    </a:xfrm>
                    <a:prstGeom prst="rect">
                      <a:avLst/>
                    </a:prstGeom>
                  </pic:spPr>
                </pic:pic>
              </a:graphicData>
            </a:graphic>
          </wp:inline>
        </w:drawing>
      </w: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五、财政拨款支出预算表（部门经济分类科目）（公开</w:t>
      </w:r>
    </w:p>
    <w:p>
      <w:pPr>
        <w:pStyle w:val="6"/>
        <w:widowControl/>
        <w:spacing w:before="0" w:beforeAutospacing="0" w:after="0" w:afterAutospacing="0" w:line="600" w:lineRule="exact"/>
        <w:ind w:firstLine="1280" w:firstLineChars="40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t>表2-1）</w:t>
      </w:r>
    </w:p>
    <w:p>
      <w:pPr>
        <w:pStyle w:val="6"/>
        <w:widowControl/>
        <w:spacing w:before="0" w:beforeAutospacing="0" w:after="0" w:afterAutospacing="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10" name="图片 10" descr="部门预算公开报表（单位公开）(2)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部门预算公开报表（单位公开）(2)_05"/>
                    <pic:cNvPicPr>
                      <a:picLocks noChangeAspect="1"/>
                    </pic:cNvPicPr>
                  </pic:nvPicPr>
                  <pic:blipFill>
                    <a:blip r:embed="rId16" cstate="print"/>
                    <a:stretch>
                      <a:fillRect/>
                    </a:stretch>
                  </pic:blipFill>
                  <pic:spPr>
                    <a:xfrm>
                      <a:off x="0" y="0"/>
                      <a:ext cx="5269865" cy="3726180"/>
                    </a:xfrm>
                    <a:prstGeom prst="rect">
                      <a:avLst/>
                    </a:prstGeom>
                  </pic:spPr>
                </pic:pic>
              </a:graphicData>
            </a:graphic>
          </wp:inline>
        </w:drawing>
      </w:r>
    </w:p>
    <w:p>
      <w:pPr>
        <w:pStyle w:val="6"/>
        <w:widowControl/>
        <w:spacing w:before="0" w:beforeAutospacing="0" w:after="0" w:afterAutospacing="0" w:line="600" w:lineRule="exact"/>
        <w:ind w:firstLine="640" w:firstLineChars="20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t>六、一般公共预算支出预算表（公开表3）</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11" name="图片 11" descr="部门预算公开报表（单位公开）(2)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部门预算公开报表（单位公开）(2)_06"/>
                    <pic:cNvPicPr>
                      <a:picLocks noChangeAspect="1"/>
                    </pic:cNvPicPr>
                  </pic:nvPicPr>
                  <pic:blipFill>
                    <a:blip r:embed="rId17" cstate="print"/>
                    <a:stretch>
                      <a:fillRect/>
                    </a:stretch>
                  </pic:blipFill>
                  <pic:spPr>
                    <a:xfrm>
                      <a:off x="0" y="0"/>
                      <a:ext cx="5269865" cy="3726180"/>
                    </a:xfrm>
                    <a:prstGeom prst="rect">
                      <a:avLst/>
                    </a:prstGeom>
                  </pic:spPr>
                </pic:pic>
              </a:graphicData>
            </a:graphic>
          </wp:inline>
        </w:drawing>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numPr>
          <w:ilvl w:val="0"/>
          <w:numId w:val="4"/>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一般公共预算基本支出预算表（公开表3-1）</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7960" cy="7450455"/>
            <wp:effectExtent l="0" t="0" r="8890" b="17145"/>
            <wp:docPr id="12" name="图片 12" descr="部门预算公开报表（单位公开）(2)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部门预算公开报表（单位公开）(2)_07"/>
                    <pic:cNvPicPr>
                      <a:picLocks noChangeAspect="1"/>
                    </pic:cNvPicPr>
                  </pic:nvPicPr>
                  <pic:blipFill>
                    <a:blip r:embed="rId18" cstate="print"/>
                    <a:stretch>
                      <a:fillRect/>
                    </a:stretch>
                  </pic:blipFill>
                  <pic:spPr>
                    <a:xfrm>
                      <a:off x="0" y="0"/>
                      <a:ext cx="5267960" cy="7450455"/>
                    </a:xfrm>
                    <a:prstGeom prst="rect">
                      <a:avLst/>
                    </a:prstGeom>
                  </pic:spPr>
                </pic:pic>
              </a:graphicData>
            </a:graphic>
          </wp:inline>
        </w:drawing>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numPr>
          <w:ilvl w:val="0"/>
          <w:numId w:val="4"/>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一般公共预算项目支出预算表（公开表3-2）</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7960" cy="7450455"/>
            <wp:effectExtent l="0" t="0" r="8890" b="17145"/>
            <wp:docPr id="13" name="图片 13" descr="部门预算公开报表（单位公开）(2)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部门预算公开报表（单位公开）(2)_08"/>
                    <pic:cNvPicPr>
                      <a:picLocks noChangeAspect="1"/>
                    </pic:cNvPicPr>
                  </pic:nvPicPr>
                  <pic:blipFill>
                    <a:blip r:embed="rId19" cstate="print"/>
                    <a:stretch>
                      <a:fillRect/>
                    </a:stretch>
                  </pic:blipFill>
                  <pic:spPr>
                    <a:xfrm>
                      <a:off x="0" y="0"/>
                      <a:ext cx="5267960" cy="7450455"/>
                    </a:xfrm>
                    <a:prstGeom prst="rect">
                      <a:avLst/>
                    </a:prstGeom>
                  </pic:spPr>
                </pic:pic>
              </a:graphicData>
            </a:graphic>
          </wp:inline>
        </w:drawing>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numPr>
          <w:ilvl w:val="0"/>
          <w:numId w:val="4"/>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一般公共预算“三公”经费支出预算表（公开表3-3）</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14" name="图片 14" descr="部门预算公开报表（单位公开）(2)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部门预算公开报表（单位公开）(2)_09"/>
                    <pic:cNvPicPr>
                      <a:picLocks noChangeAspect="1"/>
                    </pic:cNvPicPr>
                  </pic:nvPicPr>
                  <pic:blipFill>
                    <a:blip r:embed="rId20" cstate="print"/>
                    <a:stretch>
                      <a:fillRect/>
                    </a:stretch>
                  </pic:blipFill>
                  <pic:spPr>
                    <a:xfrm>
                      <a:off x="0" y="0"/>
                      <a:ext cx="5269865" cy="3726180"/>
                    </a:xfrm>
                    <a:prstGeom prst="rect">
                      <a:avLst/>
                    </a:prstGeom>
                  </pic:spPr>
                </pic:pic>
              </a:graphicData>
            </a:graphic>
          </wp:inline>
        </w:drawing>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p>
    <w:p>
      <w:pPr>
        <w:pStyle w:val="6"/>
        <w:widowControl/>
        <w:numPr>
          <w:ilvl w:val="0"/>
          <w:numId w:val="4"/>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政府性基金预算支出表（公开表4）</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17" name="图片 17" descr="部门预算公开报表（单位公开）(2)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部门预算公开报表（单位公开）(2)_10"/>
                    <pic:cNvPicPr>
                      <a:picLocks noChangeAspect="1"/>
                    </pic:cNvPicPr>
                  </pic:nvPicPr>
                  <pic:blipFill>
                    <a:blip r:embed="rId21" cstate="print"/>
                    <a:stretch>
                      <a:fillRect/>
                    </a:stretch>
                  </pic:blipFill>
                  <pic:spPr>
                    <a:xfrm>
                      <a:off x="0" y="0"/>
                      <a:ext cx="5269865" cy="3726180"/>
                    </a:xfrm>
                    <a:prstGeom prst="rect">
                      <a:avLst/>
                    </a:prstGeom>
                  </pic:spPr>
                </pic:pic>
              </a:graphicData>
            </a:graphic>
          </wp:inline>
        </w:drawing>
      </w: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jc w:val="both"/>
        <w:outlineLvl w:val="1"/>
        <w:rPr>
          <w:rFonts w:ascii="Times New Roman" w:hAnsi="Times New Roman" w:eastAsia="仿宋_GB2312" w:cs="仿宋_GB2312"/>
          <w:sz w:val="32"/>
          <w:szCs w:val="32"/>
        </w:rPr>
      </w:pPr>
    </w:p>
    <w:p>
      <w:pPr>
        <w:pStyle w:val="6"/>
        <w:widowControl/>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十一、政府性基金预算“三公”经费支出预算表（公开</w:t>
      </w:r>
    </w:p>
    <w:p>
      <w:pPr>
        <w:pStyle w:val="6"/>
        <w:widowControl/>
        <w:spacing w:before="0" w:beforeAutospacing="0" w:after="0" w:afterAutospacing="0" w:line="600" w:lineRule="exact"/>
        <w:ind w:firstLine="1600" w:firstLineChars="50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t>表4-1）</w:t>
      </w:r>
    </w:p>
    <w:p>
      <w:pPr>
        <w:pStyle w:val="6"/>
        <w:widowControl/>
        <w:spacing w:before="0" w:beforeAutospacing="0" w:after="0" w:afterAutospacing="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18" name="图片 18" descr="部门预算公开报表（单位公开）(2)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部门预算公开报表（单位公开）(2)_11"/>
                    <pic:cNvPicPr>
                      <a:picLocks noChangeAspect="1"/>
                    </pic:cNvPicPr>
                  </pic:nvPicPr>
                  <pic:blipFill>
                    <a:blip r:embed="rId22" cstate="print"/>
                    <a:stretch>
                      <a:fillRect/>
                    </a:stretch>
                  </pic:blipFill>
                  <pic:spPr>
                    <a:xfrm>
                      <a:off x="0" y="0"/>
                      <a:ext cx="5269865" cy="3726180"/>
                    </a:xfrm>
                    <a:prstGeom prst="rect">
                      <a:avLst/>
                    </a:prstGeom>
                  </pic:spPr>
                </pic:pic>
              </a:graphicData>
            </a:graphic>
          </wp:inline>
        </w:drawing>
      </w:r>
    </w:p>
    <w:p>
      <w:pPr>
        <w:pStyle w:val="6"/>
        <w:widowControl/>
        <w:numPr>
          <w:ilvl w:val="0"/>
          <w:numId w:val="5"/>
        </w:numPr>
        <w:spacing w:before="0" w:beforeAutospacing="0" w:after="0" w:afterAutospacing="0"/>
        <w:ind w:firstLine="640" w:firstLineChars="20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t>国有资本经营预算支出表（公开表5）</w:t>
      </w:r>
    </w:p>
    <w:p>
      <w:pPr>
        <w:pStyle w:val="6"/>
        <w:widowControl/>
        <w:spacing w:before="0" w:beforeAutospacing="0" w:after="0" w:afterAutospacing="0"/>
        <w:ind w:left="420" w:leftChars="200"/>
        <w:jc w:val="both"/>
        <w:rPr>
          <w:rFonts w:ascii="Times New Roman" w:hAnsi="Times New Roman" w:eastAsia="仿宋_GB2312" w:cs="仿宋_GB2312"/>
          <w:sz w:val="32"/>
          <w:szCs w:val="32"/>
        </w:rPr>
      </w:pPr>
      <w:r>
        <w:rPr>
          <w:rFonts w:hint="eastAsia" w:ascii="Times New Roman" w:hAnsi="Times New Roman" w:eastAsia="仿宋_GB2312" w:cs="仿宋_GB2312"/>
          <w:sz w:val="32"/>
          <w:szCs w:val="32"/>
        </w:rPr>
        <w:drawing>
          <wp:inline distT="0" distB="0" distL="114300" distR="114300">
            <wp:extent cx="5269865" cy="3726180"/>
            <wp:effectExtent l="0" t="0" r="6985" b="7620"/>
            <wp:docPr id="19" name="图片 19" descr="部门预算公开报表（单位公开）(2)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部门预算公开报表（单位公开）(2)_12"/>
                    <pic:cNvPicPr>
                      <a:picLocks noChangeAspect="1"/>
                    </pic:cNvPicPr>
                  </pic:nvPicPr>
                  <pic:blipFill>
                    <a:blip r:embed="rId23" cstate="print"/>
                    <a:stretch>
                      <a:fillRect/>
                    </a:stretch>
                  </pic:blipFill>
                  <pic:spPr>
                    <a:xfrm>
                      <a:off x="0" y="0"/>
                      <a:ext cx="5269865" cy="3726180"/>
                    </a:xfrm>
                    <a:prstGeom prst="rect">
                      <a:avLst/>
                    </a:prstGeom>
                  </pic:spPr>
                </pic:pic>
              </a:graphicData>
            </a:graphic>
          </wp:inline>
        </w:drawing>
      </w:r>
    </w:p>
    <w:p>
      <w:pPr>
        <w:pStyle w:val="6"/>
        <w:widowControl/>
        <w:numPr>
          <w:ilvl w:val="0"/>
          <w:numId w:val="5"/>
        </w:numPr>
        <w:spacing w:before="0" w:beforeAutospacing="0" w:after="0" w:afterAutospacing="0" w:line="600" w:lineRule="exact"/>
        <w:ind w:firstLine="640" w:firstLineChars="200"/>
        <w:jc w:val="both"/>
        <w:outlineLvl w:val="1"/>
        <w:rPr>
          <w:rFonts w:ascii="Times New Roman" w:hAnsi="Times New Roman" w:eastAsia="仿宋_GB2312" w:cs="仿宋_GB2312"/>
          <w:sz w:val="32"/>
          <w:szCs w:val="32"/>
        </w:rPr>
      </w:pPr>
      <w:r>
        <w:rPr>
          <w:rFonts w:hint="eastAsia" w:ascii="Times New Roman" w:hAnsi="Times New Roman" w:eastAsia="仿宋_GB2312" w:cs="仿宋_GB2312"/>
          <w:sz w:val="32"/>
          <w:szCs w:val="32"/>
        </w:rPr>
        <w:t>单位</w:t>
      </w:r>
      <w:r>
        <w:rPr>
          <w:rFonts w:ascii="Times New Roman" w:hAnsi="Times New Roman" w:eastAsia="仿宋_GB2312" w:cs="仿宋_GB2312"/>
          <w:sz w:val="32"/>
          <w:szCs w:val="32"/>
        </w:rPr>
        <w:t>预算项目支出绩效目标表（公开表6）</w:t>
      </w:r>
    </w:p>
    <w:p>
      <w:pPr>
        <w:pStyle w:val="6"/>
        <w:widowControl/>
        <w:spacing w:before="0" w:beforeAutospacing="0" w:after="0" w:afterAutospacing="0"/>
        <w:ind w:left="420" w:leftChars="200"/>
        <w:jc w:val="both"/>
        <w:outlineLvl w:val="1"/>
        <w:rPr>
          <w:rFonts w:ascii="Times New Roman" w:hAnsi="Times New Roman" w:eastAsia="仿宋_GB2312" w:cs="仿宋_GB2312"/>
          <w:sz w:val="32"/>
          <w:szCs w:val="32"/>
        </w:rPr>
      </w:pPr>
      <w:r>
        <w:rPr>
          <w:rFonts w:hint="default" w:ascii="Times New Roman" w:hAnsi="Times New Roman" w:eastAsia="仿宋_GB2312" w:cs="仿宋_GB2312"/>
          <w:i w:val="0"/>
          <w:caps w:val="0"/>
          <w:color w:val="auto"/>
          <w:spacing w:val="0"/>
          <w:sz w:val="32"/>
          <w:szCs w:val="32"/>
          <w:highlight w:val="none"/>
          <w:shd w:val="clear" w:color="auto" w:fill="auto"/>
          <w:lang w:val="en-US" w:eastAsia="zh-CN"/>
        </w:rPr>
        <w:drawing>
          <wp:inline distT="0" distB="0" distL="114300" distR="114300">
            <wp:extent cx="5267960" cy="7450455"/>
            <wp:effectExtent l="0" t="0" r="8890" b="17145"/>
            <wp:docPr id="3" name="图片 3" descr="绩效目标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绩效目标_00"/>
                    <pic:cNvPicPr>
                      <a:picLocks noChangeAspect="1"/>
                    </pic:cNvPicPr>
                  </pic:nvPicPr>
                  <pic:blipFill>
                    <a:blip r:embed="rId24"/>
                    <a:stretch>
                      <a:fillRect/>
                    </a:stretch>
                  </pic:blipFill>
                  <pic:spPr>
                    <a:xfrm>
                      <a:off x="0" y="0"/>
                      <a:ext cx="5267960" cy="7450455"/>
                    </a:xfrm>
                    <a:prstGeom prst="rect">
                      <a:avLst/>
                    </a:prstGeom>
                  </pic:spPr>
                </pic:pic>
              </a:graphicData>
            </a:graphic>
          </wp:inline>
        </w:drawing>
      </w:r>
    </w:p>
    <w:p>
      <w:pPr>
        <w:pStyle w:val="6"/>
        <w:widowControl/>
        <w:suppressAutoHyphens/>
        <w:spacing w:before="0" w:beforeAutospacing="0" w:after="0" w:afterAutospacing="0"/>
        <w:jc w:val="both"/>
        <w:rPr>
          <w:rFonts w:ascii="Times New Roman" w:hAnsi="Times New Roman" w:eastAsia="仿宋_GB2312" w:cs="仿宋_GB2312"/>
          <w:sz w:val="32"/>
          <w:szCs w:val="32"/>
        </w:rPr>
      </w:pPr>
    </w:p>
    <w:p>
      <w:pPr>
        <w:pStyle w:val="6"/>
        <w:widowControl/>
        <w:suppressAutoHyphens/>
        <w:spacing w:before="0" w:beforeAutospacing="0" w:after="0" w:afterAutospacing="0"/>
        <w:jc w:val="both"/>
        <w:rPr>
          <w:rFonts w:ascii="Times New Roman" w:hAnsi="Times New Roman" w:eastAsia="仿宋_GB2312" w:cs="仿宋_GB2312"/>
          <w:sz w:val="32"/>
          <w:szCs w:val="32"/>
        </w:rPr>
        <w:sectPr>
          <w:footerReference r:id="rId7" w:type="default"/>
          <w:pgSz w:w="11906" w:h="16838"/>
          <w:pgMar w:top="1440" w:right="1800" w:bottom="1440" w:left="1800" w:header="720" w:footer="720" w:gutter="0"/>
          <w:pgNumType w:fmt="numberInDash" w:start="2"/>
          <w:cols w:space="720" w:num="1"/>
          <w:docGrid w:type="lines" w:linePitch="312" w:charSpace="0"/>
        </w:sectPr>
      </w:pPr>
    </w:p>
    <w:p>
      <w:pPr>
        <w:pStyle w:val="6"/>
        <w:widowControl/>
        <w:spacing w:before="0" w:beforeAutospacing="0" w:after="0" w:afterAutospacing="0"/>
        <w:ind w:firstLine="640" w:firstLineChars="200"/>
        <w:jc w:val="both"/>
        <w:rPr>
          <w:rFonts w:ascii="Times New Roman" w:hAnsi="Times New Roman" w:eastAsia="仿宋_GB2312" w:cs="仿宋_GB2312"/>
          <w:sz w:val="32"/>
          <w:szCs w:val="3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pacing w:before="0" w:beforeAutospacing="0" w:after="0" w:afterAutospacing="0"/>
        <w:jc w:val="center"/>
        <w:rPr>
          <w:rFonts w:ascii="Times New Roman" w:hAnsi="Times New Roman" w:eastAsia="方正小标宋简体" w:cs="方正小标宋简体"/>
          <w:sz w:val="52"/>
          <w:szCs w:val="52"/>
        </w:rPr>
      </w:pPr>
    </w:p>
    <w:p>
      <w:pPr>
        <w:pStyle w:val="6"/>
        <w:widowControl/>
        <w:suppressAutoHyphens/>
        <w:spacing w:before="0" w:beforeAutospacing="0" w:after="0" w:afterAutospacing="0" w:line="600" w:lineRule="exact"/>
        <w:jc w:val="center"/>
        <w:outlineLvl w:val="0"/>
        <w:rPr>
          <w:rFonts w:hint="eastAsia" w:ascii="黑体" w:hAnsi="黑体" w:eastAsia="黑体" w:cs="黑体"/>
          <w:sz w:val="52"/>
          <w:szCs w:val="52"/>
          <w:lang w:bidi="ar"/>
        </w:rPr>
      </w:pPr>
      <w:r>
        <w:rPr>
          <w:rFonts w:hint="eastAsia" w:ascii="黑体" w:hAnsi="黑体" w:eastAsia="黑体" w:cs="黑体"/>
          <w:sz w:val="52"/>
          <w:szCs w:val="52"/>
          <w:lang w:bidi="ar"/>
        </w:rPr>
        <w:t>第三部分  四川信息职业技术学院</w:t>
      </w:r>
    </w:p>
    <w:p>
      <w:pPr>
        <w:pStyle w:val="6"/>
        <w:widowControl/>
        <w:suppressAutoHyphens/>
        <w:spacing w:before="0" w:beforeAutospacing="0" w:after="0" w:afterAutospacing="0" w:line="600" w:lineRule="exact"/>
        <w:jc w:val="center"/>
        <w:outlineLvl w:val="0"/>
        <w:rPr>
          <w:rFonts w:hint="eastAsia" w:ascii="黑体" w:hAnsi="黑体" w:eastAsia="黑体" w:cs="黑体"/>
          <w:sz w:val="52"/>
          <w:szCs w:val="52"/>
          <w:lang w:bidi="ar"/>
        </w:rPr>
      </w:pPr>
      <w:r>
        <w:rPr>
          <w:rFonts w:hint="eastAsia" w:ascii="黑体" w:hAnsi="黑体" w:eastAsia="黑体" w:cs="黑体"/>
          <w:sz w:val="52"/>
          <w:szCs w:val="52"/>
          <w:lang w:bidi="ar"/>
        </w:rPr>
        <w:t>2022年单位预算情况说明</w:t>
      </w:r>
    </w:p>
    <w:p>
      <w:pPr>
        <w:pStyle w:val="6"/>
        <w:widowControl/>
        <w:spacing w:before="0" w:beforeAutospacing="0" w:after="0" w:afterAutospacing="0" w:line="600" w:lineRule="exact"/>
        <w:ind w:firstLine="640" w:firstLineChars="200"/>
        <w:jc w:val="both"/>
        <w:rPr>
          <w:rFonts w:ascii="Times New Roman" w:hAnsi="Times New Roman" w:eastAsia="黑体"/>
          <w:sz w:val="32"/>
          <w:szCs w:val="32"/>
        </w:rPr>
        <w:sectPr>
          <w:footerReference r:id="rId8" w:type="default"/>
          <w:pgSz w:w="11906" w:h="16838"/>
          <w:pgMar w:top="1440" w:right="1800" w:bottom="1440" w:left="1800" w:header="720" w:footer="720" w:gutter="0"/>
          <w:pgNumType w:fmt="numberInDash"/>
          <w:cols w:space="720" w:num="1"/>
          <w:docGrid w:type="lines" w:linePitch="312" w:charSpace="0"/>
        </w:sectPr>
      </w:pPr>
    </w:p>
    <w:p>
      <w:pPr>
        <w:pStyle w:val="6"/>
        <w:widowControl/>
        <w:spacing w:before="0" w:beforeAutospacing="0" w:after="0" w:afterAutospacing="0" w:line="600" w:lineRule="exact"/>
        <w:ind w:firstLine="640" w:firstLineChars="200"/>
        <w:jc w:val="both"/>
        <w:outlineLvl w:val="1"/>
        <w:rPr>
          <w:rFonts w:ascii="Times New Roman" w:hAnsi="Times New Roman" w:eastAsia="黑体"/>
          <w:sz w:val="32"/>
          <w:szCs w:val="32"/>
        </w:rPr>
      </w:pPr>
      <w:r>
        <w:rPr>
          <w:rFonts w:hint="eastAsia" w:ascii="Times New Roman" w:hAnsi="Times New Roman" w:eastAsia="黑体"/>
          <w:sz w:val="32"/>
          <w:szCs w:val="32"/>
        </w:rPr>
        <w:t>一、收支预算情况说明</w:t>
      </w:r>
    </w:p>
    <w:p>
      <w:pPr>
        <w:suppressAutoHyphens/>
        <w:spacing w:line="580" w:lineRule="exact"/>
        <w:ind w:firstLine="640" w:firstLineChars="200"/>
        <w:rPr>
          <w:rFonts w:ascii="Times New Roman" w:hAnsi="Times New Roman" w:eastAsia="仿宋_GB2312" w:cs="Times New Roman"/>
          <w:color w:val="auto"/>
          <w:sz w:val="32"/>
          <w:szCs w:val="32"/>
        </w:rPr>
      </w:pPr>
      <w:r>
        <w:rPr>
          <w:rFonts w:hint="eastAsia" w:ascii="Times New Roman" w:hAnsi="Times New Roman" w:eastAsia="仿宋_GB2312" w:cs="Times New Roman"/>
          <w:sz w:val="32"/>
          <w:szCs w:val="32"/>
        </w:rPr>
        <w:t>按照综合预算的原则，信息学院所有收入和支出均纳入单位预算管理。收入包括：一般公共预算拨款收入、事业收入；支出包括：教育支出。信息学院2022年收支预算总数19934.21万元,比2021年收支预算总数减少576.88万元，</w:t>
      </w:r>
      <w:r>
        <w:rPr>
          <w:rFonts w:hint="eastAsia" w:ascii="Times New Roman" w:hAnsi="Times New Roman" w:eastAsia="仿宋_GB2312" w:cs="Times New Roman"/>
          <w:color w:val="auto"/>
          <w:sz w:val="32"/>
          <w:szCs w:val="32"/>
        </w:rPr>
        <w:t>主要原因是2022年上年结转的一般公共预算比2021年减少</w:t>
      </w:r>
      <w:r>
        <w:rPr>
          <w:rFonts w:hint="eastAsia" w:ascii="Times New Roman" w:hAnsi="Times New Roman" w:eastAsia="仿宋_GB2312" w:cs="Times New Roman"/>
          <w:color w:val="auto"/>
          <w:sz w:val="32"/>
          <w:szCs w:val="32"/>
          <w:lang w:val="en-US" w:eastAsia="zh-CN"/>
        </w:rPr>
        <w:t>912.98</w:t>
      </w:r>
      <w:r>
        <w:rPr>
          <w:rFonts w:hint="eastAsia" w:ascii="Times New Roman" w:hAnsi="Times New Roman" w:eastAsia="仿宋_GB2312" w:cs="Times New Roman"/>
          <w:color w:val="auto"/>
          <w:sz w:val="32"/>
          <w:szCs w:val="32"/>
        </w:rPr>
        <w:t>万元。</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（一）收入预算情况</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信息学院2022年收入预算19934.21万元，其中：上年结转470.93万元，占2.36%；一般公共预算拨款收入14163.28万元，占71.05%；事业收入5300万元，占26.59%。</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（二）支出预算情况</w:t>
      </w:r>
    </w:p>
    <w:p>
      <w:pPr>
        <w:suppressAutoHyphens/>
        <w:spacing w:line="580" w:lineRule="exact"/>
        <w:ind w:firstLine="640" w:firstLineChars="200"/>
        <w:rPr>
          <w:rFonts w:ascii="Times New Roman" w:hAnsi="Times New Roman" w:eastAsia="仿宋_GB2312" w:cs="Times New Roman"/>
          <w:sz w:val="32"/>
          <w:szCs w:val="32"/>
          <w:u w:val="single"/>
        </w:rPr>
      </w:pPr>
      <w:r>
        <w:rPr>
          <w:rFonts w:hint="eastAsia" w:ascii="Times New Roman" w:hAnsi="Times New Roman" w:eastAsia="仿宋_GB2312" w:cs="Times New Roman"/>
          <w:sz w:val="32"/>
          <w:szCs w:val="32"/>
        </w:rPr>
        <w:t>信息学院2022年支出预算19934.21万元，其中：基本支出11606.65万元，占58.22%；项目支出8327.56万元，占41.78%。</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二、财政拨款收支预算情况说明</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信息学院2022年财政拨款收支预算总数14634.21万元,比2021年财政拨款收支预算总数减少576.88万元，主要原</w:t>
      </w:r>
      <w:r>
        <w:rPr>
          <w:rFonts w:hint="eastAsia" w:ascii="Times New Roman" w:hAnsi="Times New Roman" w:eastAsia="仿宋_GB2312" w:cs="Times New Roman"/>
          <w:color w:val="auto"/>
          <w:sz w:val="32"/>
          <w:szCs w:val="32"/>
        </w:rPr>
        <w:t>因是2022年的上年结转资金比2021年减少</w:t>
      </w:r>
      <w:r>
        <w:rPr>
          <w:rFonts w:hint="eastAsia" w:ascii="Times New Roman" w:hAnsi="Times New Roman" w:eastAsia="仿宋_GB2312" w:cs="Times New Roman"/>
          <w:color w:val="auto"/>
          <w:sz w:val="32"/>
          <w:szCs w:val="32"/>
          <w:lang w:val="en-US" w:eastAsia="zh-CN"/>
        </w:rPr>
        <w:t>912.98</w:t>
      </w:r>
      <w:r>
        <w:rPr>
          <w:rFonts w:hint="eastAsia" w:ascii="Times New Roman" w:hAnsi="Times New Roman" w:eastAsia="仿宋_GB2312" w:cs="Times New Roman"/>
          <w:color w:val="auto"/>
          <w:sz w:val="32"/>
          <w:szCs w:val="32"/>
        </w:rPr>
        <w:t>万元。</w:t>
      </w:r>
    </w:p>
    <w:p>
      <w:pPr>
        <w:suppressAutoHyphens/>
        <w:spacing w:line="580" w:lineRule="exact"/>
        <w:ind w:firstLine="640" w:firstLineChars="200"/>
        <w:rPr>
          <w:rFonts w:ascii="Times New Roman" w:hAnsi="Times New Roman" w:eastAsia="仿宋_GB2312" w:cs="Times New Roman"/>
          <w:sz w:val="32"/>
          <w:szCs w:val="32"/>
        </w:rPr>
        <w:sectPr>
          <w:footerReference r:id="rId9" w:type="default"/>
          <w:pgSz w:w="11906" w:h="16838"/>
          <w:pgMar w:top="1440" w:right="1800" w:bottom="1440" w:left="1800" w:header="720" w:footer="720" w:gutter="0"/>
          <w:pgNumType w:fmt="numberInDash" w:start="3"/>
          <w:cols w:space="720" w:num="1"/>
          <w:docGrid w:type="lines" w:linePitch="312" w:charSpace="0"/>
        </w:sectPr>
      </w:pPr>
    </w:p>
    <w:p>
      <w:pPr>
        <w:suppressAutoHyphens/>
        <w:spacing w:line="580" w:lineRule="exact"/>
        <w:ind w:firstLine="640" w:firstLineChars="200"/>
        <w:rPr>
          <w:rFonts w:ascii="Times New Roman" w:hAnsi="Times New Roman" w:eastAsia="仿宋_GB2312" w:cs="Times New Roman"/>
          <w:sz w:val="32"/>
          <w:szCs w:val="32"/>
          <w:u w:val="single"/>
        </w:rPr>
      </w:pPr>
      <w:r>
        <w:rPr>
          <w:rFonts w:hint="eastAsia" w:ascii="Times New Roman" w:hAnsi="Times New Roman" w:eastAsia="仿宋_GB2312" w:cs="Times New Roman"/>
          <w:sz w:val="32"/>
          <w:szCs w:val="32"/>
        </w:rPr>
        <w:t>收入包括：本年一般公共预算拨款收入14163.28万元、上年结转一般公共预算拨款收入470.93万元；支出包括：教育支出14634.21万元。</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三、一般公共预算当年拨款情况说明</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（一）一般公共预算当年拨款规模变化情况</w:t>
      </w:r>
    </w:p>
    <w:p>
      <w:pPr>
        <w:suppressAutoHyphens/>
        <w:spacing w:line="580" w:lineRule="exact"/>
        <w:ind w:firstLine="640" w:firstLineChars="200"/>
        <w:rPr>
          <w:rFonts w:ascii="Times New Roman" w:hAnsi="Times New Roman" w:eastAsia="仿宋_GB2312" w:cs="Times New Roman"/>
          <w:color w:val="auto"/>
          <w:sz w:val="32"/>
          <w:szCs w:val="32"/>
        </w:rPr>
      </w:pPr>
      <w:r>
        <w:rPr>
          <w:rFonts w:hint="eastAsia" w:ascii="Times New Roman" w:hAnsi="Times New Roman" w:eastAsia="仿宋_GB2312" w:cs="Times New Roman"/>
          <w:sz w:val="32"/>
          <w:szCs w:val="32"/>
        </w:rPr>
        <w:t>信息学院2022年一般公共预算当年拨款14634.21万元，比2021年预算数减少576.88万元，主要原因是</w:t>
      </w:r>
      <w:r>
        <w:rPr>
          <w:rFonts w:hint="eastAsia" w:ascii="Times New Roman" w:hAnsi="Times New Roman" w:eastAsia="仿宋_GB2312" w:cs="Times New Roman"/>
          <w:color w:val="auto"/>
          <w:sz w:val="32"/>
          <w:szCs w:val="32"/>
        </w:rPr>
        <w:t>2022年上年结转</w:t>
      </w:r>
      <w:r>
        <w:rPr>
          <w:rFonts w:hint="eastAsia" w:ascii="Times New Roman" w:hAnsi="Times New Roman" w:eastAsia="仿宋_GB2312" w:cs="Times New Roman"/>
          <w:color w:val="auto"/>
          <w:sz w:val="32"/>
          <w:szCs w:val="32"/>
          <w:lang w:val="en-US" w:eastAsia="zh-CN"/>
        </w:rPr>
        <w:t>资金</w:t>
      </w:r>
      <w:r>
        <w:rPr>
          <w:rFonts w:hint="eastAsia" w:ascii="Times New Roman" w:hAnsi="Times New Roman" w:eastAsia="仿宋_GB2312" w:cs="Times New Roman"/>
          <w:color w:val="auto"/>
          <w:sz w:val="32"/>
          <w:szCs w:val="32"/>
        </w:rPr>
        <w:t>比2021年减少</w:t>
      </w:r>
      <w:r>
        <w:rPr>
          <w:rFonts w:hint="eastAsia" w:ascii="Times New Roman" w:hAnsi="Times New Roman" w:eastAsia="仿宋_GB2312" w:cs="Times New Roman"/>
          <w:color w:val="auto"/>
          <w:sz w:val="32"/>
          <w:szCs w:val="32"/>
          <w:lang w:val="en-US" w:eastAsia="zh-CN"/>
        </w:rPr>
        <w:t>912.98万元</w:t>
      </w:r>
      <w:r>
        <w:rPr>
          <w:rFonts w:hint="eastAsia" w:ascii="Times New Roman" w:hAnsi="Times New Roman" w:eastAsia="仿宋_GB2312" w:cs="Times New Roman"/>
          <w:color w:val="auto"/>
          <w:sz w:val="32"/>
          <w:szCs w:val="32"/>
        </w:rPr>
        <w:t>。</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（二）一般公共预算当年拨款结构情况</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教育支出14634.21万元，占100%。</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（三）一般公共预算当年拨款具体使用情况</w:t>
      </w:r>
    </w:p>
    <w:p>
      <w:pPr>
        <w:suppressAutoHyphens/>
        <w:spacing w:line="580" w:lineRule="exact"/>
        <w:ind w:firstLine="640" w:firstLineChars="200"/>
        <w:rPr>
          <w:rFonts w:ascii="Times New Roman" w:hAnsi="Times New Roman" w:eastAsia="仿宋_GB2312" w:cs="Times New Roman"/>
          <w:sz w:val="32"/>
          <w:szCs w:val="32"/>
          <w:u w:val="single"/>
        </w:rPr>
      </w:pPr>
      <w:r>
        <w:rPr>
          <w:rFonts w:hint="eastAsia" w:ascii="Times New Roman" w:hAnsi="Times New Roman" w:eastAsia="仿宋_GB2312" w:cs="Times New Roman"/>
          <w:sz w:val="32"/>
          <w:szCs w:val="32"/>
        </w:rPr>
        <w:t>教育支出（类）职业教育（款）高等职业教育（项）2022年预算数为14634.21万元，主要用于：</w:t>
      </w:r>
      <w:r>
        <w:rPr>
          <w:rFonts w:hint="eastAsia" w:ascii="Times New Roman" w:hAnsi="Times New Roman" w:eastAsia="仿宋_GB2312"/>
          <w:sz w:val="32"/>
          <w:szCs w:val="32"/>
        </w:rPr>
        <w:t>在职人员工资、日常运转及教学支出等</w:t>
      </w:r>
      <w:r>
        <w:rPr>
          <w:rFonts w:hint="eastAsia" w:ascii="Times New Roman" w:hAnsi="Times New Roman" w:eastAsia="仿宋_GB2312" w:cs="Times New Roman"/>
          <w:sz w:val="32"/>
          <w:szCs w:val="32"/>
        </w:rPr>
        <w:t>。</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四、一般公共预算基本支出情况说明</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信息学院2022年一般公共预算基本支出7101.76万元，其中：</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人员经费5768.66万元，主要包括：基本工资、绩效工资、社会保险缴费、住房公积金等；公用经费1333.1万元，主要包括：办公费、印刷费、咨询费、手续费、水电费、物业管理费、差旅费、培训费等。</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五、“三公”经费财政拨款预算安排情况说明</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信息学院2022年没有使用财政拨款安排“三公”经费预算。</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六、政府性基金预算支出情况说明</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信息学院2022年没有使用政府性基金预算拨款安排的支出。</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七、国有资本经营预算情况说明</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信息学院2022年没有使用国有资本经营预算拨款安排的支出。</w:t>
      </w:r>
    </w:p>
    <w:p>
      <w:pPr>
        <w:suppressAutoHyphens/>
        <w:spacing w:line="580" w:lineRule="exact"/>
        <w:ind w:firstLine="640" w:firstLineChars="200"/>
        <w:outlineLvl w:val="1"/>
        <w:rPr>
          <w:rFonts w:ascii="Times New Roman" w:hAnsi="Times New Roman" w:eastAsia="黑体" w:cs="Times New Roman"/>
          <w:sz w:val="32"/>
          <w:szCs w:val="32"/>
        </w:rPr>
      </w:pPr>
      <w:r>
        <w:rPr>
          <w:rFonts w:hint="eastAsia" w:ascii="Times New Roman" w:hAnsi="Times New Roman" w:eastAsia="黑体" w:cs="Times New Roman"/>
          <w:sz w:val="32"/>
          <w:szCs w:val="32"/>
        </w:rPr>
        <w:t>八、其他重要事项的情况说明</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（一）机关运行经费情况</w:t>
      </w:r>
    </w:p>
    <w:p>
      <w:pPr>
        <w:suppressAutoHyphens/>
        <w:spacing w:line="580" w:lineRule="exact"/>
        <w:ind w:firstLine="64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信息学院为事业单位，按规定未使用机关运行的相关科目。</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（二）政府采购情况</w:t>
      </w:r>
    </w:p>
    <w:p>
      <w:pPr>
        <w:suppressAutoHyphens/>
        <w:spacing w:line="580" w:lineRule="exact"/>
        <w:ind w:firstLine="640" w:firstLineChars="200"/>
        <w:rPr>
          <w:rFonts w:ascii="Times New Roman" w:hAnsi="Times New Roman" w:eastAsia="楷体_GB2312" w:cs="Times New Roman"/>
          <w:b/>
          <w:sz w:val="32"/>
          <w:szCs w:val="32"/>
        </w:rPr>
      </w:pPr>
      <w:r>
        <w:rPr>
          <w:rFonts w:hint="eastAsia" w:ascii="Times New Roman" w:hAnsi="Times New Roman" w:eastAsia="仿宋_GB2312" w:cs="Times New Roman"/>
          <w:sz w:val="32"/>
          <w:szCs w:val="32"/>
        </w:rPr>
        <w:t>2022年，信息学院安排政府采购预算2601.14万元，其中，政府采购货物预算1995.7万元；政府采购服务预算605.44万元。</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（三）国有资产占有使用情况</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截至2021年底，信息学院所属各预算单位共有车辆5辆，其中，</w:t>
      </w:r>
      <w:r>
        <w:rPr>
          <w:rFonts w:hint="eastAsia" w:ascii="Times New Roman" w:hAnsi="Times New Roman" w:eastAsia="仿宋_GB2312" w:cs="Times New Roman"/>
          <w:sz w:val="32"/>
          <w:szCs w:val="32"/>
          <w:highlight w:val="none"/>
        </w:rPr>
        <w:t>省部级领导干部用车</w:t>
      </w:r>
      <w:r>
        <w:rPr>
          <w:rFonts w:hint="eastAsia" w:ascii="Times New Roman" w:hAnsi="Times New Roman" w:eastAsia="仿宋_GB2312" w:cs="Times New Roman"/>
          <w:sz w:val="32"/>
          <w:szCs w:val="32"/>
          <w:highlight w:val="none"/>
          <w:lang w:val="en-US" w:eastAsia="zh-CN"/>
        </w:rPr>
        <w:t>0</w:t>
      </w:r>
      <w:r>
        <w:rPr>
          <w:rFonts w:hint="eastAsia" w:ascii="Times New Roman" w:hAnsi="Times New Roman" w:eastAsia="仿宋_GB2312" w:cs="Times New Roman"/>
          <w:sz w:val="32"/>
          <w:szCs w:val="32"/>
          <w:highlight w:val="none"/>
        </w:rPr>
        <w:t>辆、定向保障用车</w:t>
      </w:r>
      <w:r>
        <w:rPr>
          <w:rFonts w:hint="eastAsia" w:ascii="Times New Roman" w:hAnsi="Times New Roman" w:eastAsia="仿宋_GB2312" w:cs="Times New Roman"/>
          <w:sz w:val="32"/>
          <w:szCs w:val="32"/>
          <w:highlight w:val="none"/>
          <w:lang w:val="en-US" w:eastAsia="zh-CN"/>
        </w:rPr>
        <w:t>0</w:t>
      </w:r>
      <w:r>
        <w:rPr>
          <w:rFonts w:hint="eastAsia" w:ascii="Times New Roman" w:hAnsi="Times New Roman" w:eastAsia="仿宋_GB2312" w:cs="Times New Roman"/>
          <w:sz w:val="32"/>
          <w:szCs w:val="32"/>
          <w:highlight w:val="none"/>
        </w:rPr>
        <w:t>辆、执法执勤用车</w:t>
      </w:r>
      <w:r>
        <w:rPr>
          <w:rFonts w:hint="eastAsia" w:ascii="Times New Roman" w:hAnsi="Times New Roman" w:eastAsia="仿宋_GB2312" w:cs="Times New Roman"/>
          <w:sz w:val="32"/>
          <w:szCs w:val="32"/>
          <w:highlight w:val="none"/>
          <w:lang w:val="en-US" w:eastAsia="zh-CN"/>
        </w:rPr>
        <w:t>0</w:t>
      </w:r>
      <w:r>
        <w:rPr>
          <w:rFonts w:hint="eastAsia" w:ascii="Times New Roman" w:hAnsi="Times New Roman" w:eastAsia="仿宋_GB2312" w:cs="Times New Roman"/>
          <w:sz w:val="32"/>
          <w:szCs w:val="32"/>
          <w:highlight w:val="none"/>
        </w:rPr>
        <w:t>辆</w:t>
      </w:r>
      <w:r>
        <w:rPr>
          <w:rFonts w:hint="eastAsia" w:ascii="Times New Roman" w:hAnsi="Times New Roman" w:eastAsia="仿宋_GB2312" w:cs="Times New Roman"/>
          <w:sz w:val="32"/>
          <w:szCs w:val="32"/>
        </w:rPr>
        <w:t>。单位价值200万元以上大型设备3台（套）。</w:t>
      </w:r>
    </w:p>
    <w:p>
      <w:pPr>
        <w:suppressAutoHyphens/>
        <w:spacing w:line="58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2022年单位预算未安排购置车辆及单位价值200万元以上大型设备。</w:t>
      </w:r>
    </w:p>
    <w:p>
      <w:pPr>
        <w:suppressAutoHyphens/>
        <w:spacing w:line="580" w:lineRule="exact"/>
        <w:ind w:firstLine="643" w:firstLineChars="200"/>
        <w:outlineLvl w:val="2"/>
        <w:rPr>
          <w:rFonts w:ascii="Times New Roman" w:hAnsi="Times New Roman" w:eastAsia="楷体_GB2312" w:cs="Times New Roman"/>
          <w:b/>
          <w:sz w:val="32"/>
          <w:szCs w:val="32"/>
        </w:rPr>
      </w:pPr>
      <w:r>
        <w:rPr>
          <w:rFonts w:hint="eastAsia" w:ascii="Times New Roman" w:hAnsi="Times New Roman" w:eastAsia="楷体_GB2312" w:cs="Times New Roman"/>
          <w:b/>
          <w:sz w:val="32"/>
          <w:szCs w:val="32"/>
        </w:rPr>
        <w:t>（四）预算绩效情况</w:t>
      </w:r>
    </w:p>
    <w:p>
      <w:pPr>
        <w:spacing w:line="578" w:lineRule="exact"/>
        <w:ind w:firstLine="640" w:firstLineChars="200"/>
        <w:rPr>
          <w:rFonts w:ascii="仿宋_GB2312" w:hAnsi="仿宋_GB2312" w:eastAsia="仿宋_GB2312" w:cs="仿宋_GB2312"/>
          <w:sz w:val="32"/>
          <w:szCs w:val="32"/>
          <w:u w:val="single"/>
        </w:rPr>
      </w:pPr>
      <w:r>
        <w:rPr>
          <w:rFonts w:hint="eastAsia" w:ascii="仿宋_GB2312" w:hAnsi="仿宋_GB2312" w:eastAsia="仿宋_GB2312" w:cs="仿宋_GB2312"/>
          <w:sz w:val="32"/>
          <w:szCs w:val="32"/>
        </w:rPr>
        <w:t>2022年</w:t>
      </w:r>
      <w:r>
        <w:rPr>
          <w:rFonts w:hint="eastAsia" w:ascii="Times New Roman" w:hAnsi="Times New Roman" w:eastAsia="仿宋_GB2312" w:cs="Times New Roman"/>
          <w:sz w:val="32"/>
          <w:szCs w:val="32"/>
        </w:rPr>
        <w:t>信息学院</w:t>
      </w:r>
      <w:r>
        <w:rPr>
          <w:rFonts w:hint="eastAsia" w:ascii="仿宋_GB2312" w:hAnsi="仿宋_GB2312" w:eastAsia="仿宋_GB2312" w:cs="仿宋_GB2312"/>
          <w:sz w:val="32"/>
          <w:szCs w:val="32"/>
        </w:rPr>
        <w:t>开展绩效目标管理的项目9个，涉及预算10054.06万元。其中：运转类项目2个，涉及预算2197.43万元；特定目标类项目7个，涉及预算7856.63万元。</w:t>
      </w: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Pr>
        <w:spacing w:line="578" w:lineRule="exact"/>
        <w:ind w:firstLine="640" w:firstLineChars="200"/>
        <w:rPr>
          <w:rFonts w:ascii="仿宋_GB2312" w:hAnsi="仿宋_GB2312" w:eastAsia="仿宋_GB2312" w:cs="仿宋_GB2312"/>
          <w:sz w:val="32"/>
          <w:szCs w:val="32"/>
          <w:u w:val="single"/>
        </w:rPr>
      </w:pPr>
    </w:p>
    <w:p/>
    <w:p>
      <w:pPr>
        <w:pStyle w:val="6"/>
        <w:widowControl/>
        <w:spacing w:before="0" w:beforeAutospacing="0" w:after="0" w:afterAutospacing="0"/>
        <w:ind w:firstLine="640" w:firstLineChars="200"/>
        <w:jc w:val="both"/>
        <w:rPr>
          <w:rFonts w:ascii="Times New Roman" w:hAnsi="Times New Roman" w:eastAsia="仿宋_GB2312" w:cs="仿宋_GB2312"/>
          <w:sz w:val="32"/>
          <w:szCs w:val="32"/>
        </w:rPr>
      </w:pPr>
    </w:p>
    <w:p>
      <w:pPr>
        <w:pStyle w:val="6"/>
        <w:widowControl/>
        <w:suppressAutoHyphens/>
        <w:spacing w:before="0" w:beforeAutospacing="0" w:after="0" w:afterAutospacing="0" w:line="600" w:lineRule="exact"/>
        <w:jc w:val="center"/>
        <w:outlineLvl w:val="0"/>
        <w:rPr>
          <w:rFonts w:hint="eastAsia" w:ascii="黑体" w:hAnsi="黑体" w:eastAsia="黑体" w:cs="黑体"/>
          <w:sz w:val="52"/>
          <w:szCs w:val="52"/>
          <w:lang w:bidi="ar"/>
        </w:rPr>
      </w:pPr>
      <w:r>
        <w:rPr>
          <w:rFonts w:hint="eastAsia" w:ascii="黑体" w:hAnsi="黑体" w:eastAsia="黑体" w:cs="黑体"/>
          <w:sz w:val="52"/>
          <w:szCs w:val="52"/>
          <w:lang w:bidi="ar"/>
        </w:rPr>
        <w:t>第四部分  名词解释</w:t>
      </w:r>
    </w:p>
    <w:p>
      <w:pPr>
        <w:ind w:firstLine="640" w:firstLineChars="200"/>
        <w:rPr>
          <w:rFonts w:ascii="Times New Roman" w:hAnsi="Times New Roman" w:eastAsia="仿宋_GB2312" w:cs="Times New Roman"/>
          <w:sz w:val="32"/>
          <w:szCs w:val="32"/>
        </w:rPr>
        <w:sectPr>
          <w:footerReference r:id="rId10" w:type="default"/>
          <w:pgSz w:w="11906" w:h="16838"/>
          <w:pgMar w:top="1440" w:right="1800" w:bottom="1440" w:left="1800" w:header="720" w:footer="720" w:gutter="0"/>
          <w:pgNumType w:fmt="numberInDash"/>
          <w:cols w:space="720" w:num="1"/>
          <w:docGrid w:type="lines" w:linePitch="312" w:charSpace="0"/>
        </w:sectPr>
      </w:pPr>
    </w:p>
    <w:p>
      <w:pPr>
        <w:numPr>
          <w:ilvl w:val="0"/>
          <w:numId w:val="6"/>
        </w:num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rPr>
        <w:t>财政拨款收入。</w:t>
      </w:r>
      <w:r>
        <w:rPr>
          <w:rFonts w:hint="eastAsia" w:ascii="仿宋_GB2312" w:hAnsi="仿宋_GB2312" w:eastAsia="仿宋_GB2312" w:cs="仿宋_GB2312"/>
          <w:sz w:val="32"/>
          <w:szCs w:val="32"/>
        </w:rPr>
        <w:t>指省级财政当年拨付的资金。如:一般公共服务收入、教育收入、科学技术收入、社会保障和就业收入、医疗卫生收入、城乡社区收入、资源勘探信息收入等。</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二</w:t>
      </w:r>
      <w:r>
        <w:rPr>
          <w:rFonts w:hint="eastAsia" w:ascii="Times New Roman" w:hAnsi="Times New Roman" w:eastAsia="楷体_GB2312" w:cs="Times New Roman"/>
          <w:b/>
          <w:sz w:val="32"/>
          <w:szCs w:val="32"/>
          <w:lang w:eastAsia="zh-CN"/>
        </w:rPr>
        <w:t>）事业收入。</w:t>
      </w:r>
      <w:r>
        <w:rPr>
          <w:rFonts w:hint="eastAsia" w:ascii="仿宋_GB2312" w:hAnsi="仿宋_GB2312" w:eastAsia="仿宋_GB2312" w:cs="仿宋_GB2312"/>
          <w:sz w:val="32"/>
          <w:szCs w:val="32"/>
        </w:rPr>
        <w:t>指事业单位开展专业业务活动及辅助活动所取得的收入。如:教育性收入、设计费收入等。</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三</w:t>
      </w:r>
      <w:r>
        <w:rPr>
          <w:rFonts w:hint="eastAsia" w:ascii="Times New Roman" w:hAnsi="Times New Roman" w:eastAsia="楷体_GB2312" w:cs="Times New Roman"/>
          <w:b/>
          <w:sz w:val="32"/>
          <w:szCs w:val="32"/>
          <w:lang w:eastAsia="zh-CN"/>
        </w:rPr>
        <w:t>）经营收入。</w:t>
      </w:r>
      <w:r>
        <w:rPr>
          <w:rFonts w:hint="eastAsia" w:ascii="仿宋_GB2312" w:hAnsi="仿宋_GB2312" w:eastAsia="仿宋_GB2312" w:cs="仿宋_GB2312"/>
          <w:sz w:val="32"/>
          <w:szCs w:val="32"/>
        </w:rPr>
        <w:t>指事业单位在专业业务活动及其辅助活动之外开展非独立核算经营活动取得的收入。如:监测环境、基站检测等收入。</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四</w:t>
      </w:r>
      <w:r>
        <w:rPr>
          <w:rFonts w:hint="eastAsia" w:ascii="Times New Roman" w:hAnsi="Times New Roman" w:eastAsia="楷体_GB2312" w:cs="Times New Roman"/>
          <w:b/>
          <w:sz w:val="32"/>
          <w:szCs w:val="32"/>
          <w:lang w:eastAsia="zh-CN"/>
        </w:rPr>
        <w:t>）其他收入。</w:t>
      </w:r>
      <w:r>
        <w:rPr>
          <w:rFonts w:hint="eastAsia" w:ascii="仿宋_GB2312" w:hAnsi="仿宋_GB2312" w:eastAsia="仿宋_GB2312" w:cs="仿宋_GB2312"/>
          <w:sz w:val="32"/>
          <w:szCs w:val="32"/>
        </w:rPr>
        <w:t>指除上述“财政拨款收入”、“事业收入”、“经营收入”等以外的收入。如:房租收入、考试收入、咨询费收入等。</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五</w:t>
      </w:r>
      <w:r>
        <w:rPr>
          <w:rFonts w:hint="eastAsia" w:ascii="Times New Roman" w:hAnsi="Times New Roman" w:eastAsia="楷体_GB2312" w:cs="Times New Roman"/>
          <w:b/>
          <w:sz w:val="32"/>
          <w:szCs w:val="32"/>
          <w:lang w:eastAsia="zh-CN"/>
        </w:rPr>
        <w:t>）年初结转和结余。</w:t>
      </w:r>
      <w:r>
        <w:rPr>
          <w:rFonts w:hint="eastAsia" w:ascii="仿宋_GB2312" w:hAnsi="仿宋_GB2312" w:eastAsia="仿宋_GB2312" w:cs="仿宋_GB2312"/>
          <w:sz w:val="32"/>
          <w:szCs w:val="32"/>
        </w:rPr>
        <w:t>指以前年度尚未完成、结转到本年按有关规定继续使用的资金。如:一般行政管理事务结余;其他制造业支出结余;无线电监管结余;高等职业教育结余;中专教育结余等。</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六</w:t>
      </w:r>
      <w:r>
        <w:rPr>
          <w:rFonts w:hint="eastAsia" w:ascii="Times New Roman" w:hAnsi="Times New Roman" w:eastAsia="楷体_GB2312" w:cs="Times New Roman"/>
          <w:b/>
          <w:sz w:val="32"/>
          <w:szCs w:val="32"/>
          <w:lang w:eastAsia="zh-CN"/>
        </w:rPr>
        <w:t>）基本支出。</w:t>
      </w:r>
      <w:r>
        <w:rPr>
          <w:rFonts w:hint="eastAsia" w:ascii="仿宋_GB2312" w:hAnsi="仿宋_GB2312" w:eastAsia="仿宋_GB2312" w:cs="仿宋_GB2312"/>
          <w:sz w:val="32"/>
          <w:szCs w:val="32"/>
        </w:rPr>
        <w:t>指为保障机构正常运转、完成日常工作任务而发生的人员支出和公用支出。</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七</w:t>
      </w:r>
      <w:r>
        <w:rPr>
          <w:rFonts w:hint="eastAsia" w:ascii="Times New Roman" w:hAnsi="Times New Roman" w:eastAsia="楷体_GB2312" w:cs="Times New Roman"/>
          <w:b/>
          <w:sz w:val="32"/>
          <w:szCs w:val="32"/>
          <w:lang w:eastAsia="zh-CN"/>
        </w:rPr>
        <w:t>）项目支出。</w:t>
      </w:r>
      <w:r>
        <w:rPr>
          <w:rFonts w:hint="eastAsia" w:ascii="仿宋_GB2312" w:hAnsi="仿宋_GB2312" w:eastAsia="仿宋_GB2312" w:cs="仿宋_GB2312"/>
          <w:sz w:val="32"/>
          <w:szCs w:val="32"/>
        </w:rPr>
        <w:t>指在基本支出之外为完成特定行政任务和事业发展目标所发生的支出。如:技校教育专项支出、无线电频率占用费安排的专项支出等。</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八</w:t>
      </w:r>
      <w:r>
        <w:rPr>
          <w:rFonts w:hint="eastAsia" w:ascii="Times New Roman" w:hAnsi="Times New Roman" w:eastAsia="楷体_GB2312" w:cs="Times New Roman"/>
          <w:b/>
          <w:sz w:val="32"/>
          <w:szCs w:val="32"/>
          <w:lang w:eastAsia="zh-CN"/>
        </w:rPr>
        <w:t>）经营支出。</w:t>
      </w:r>
      <w:r>
        <w:rPr>
          <w:rFonts w:hint="eastAsia" w:ascii="仿宋_GB2312" w:hAnsi="仿宋_GB2312" w:eastAsia="仿宋_GB2312" w:cs="仿宋_GB2312"/>
          <w:sz w:val="32"/>
          <w:szCs w:val="32"/>
        </w:rPr>
        <w:t>指事业单位在专业业务活动及其辅助活动之外开展非独立核算经营活动发生的支出。</w:t>
      </w:r>
    </w:p>
    <w:p>
      <w:pPr>
        <w:spacing w:line="578" w:lineRule="exact"/>
        <w:ind w:firstLine="643" w:firstLineChars="200"/>
        <w:rPr>
          <w:rFonts w:ascii="仿宋_GB2312" w:hAnsi="仿宋_GB2312" w:eastAsia="仿宋_GB2312" w:cs="仿宋_GB2312"/>
          <w:sz w:val="32"/>
          <w:szCs w:val="32"/>
        </w:rPr>
      </w:pPr>
      <w:r>
        <w:rPr>
          <w:rFonts w:hint="eastAsia" w:ascii="Times New Roman" w:hAnsi="Times New Roman" w:eastAsia="楷体_GB2312" w:cs="Times New Roman"/>
          <w:b/>
          <w:sz w:val="32"/>
          <w:szCs w:val="32"/>
          <w:lang w:eastAsia="zh-CN"/>
        </w:rPr>
        <w:t>（</w:t>
      </w:r>
      <w:r>
        <w:rPr>
          <w:rFonts w:hint="eastAsia" w:ascii="Times New Roman" w:hAnsi="Times New Roman" w:eastAsia="楷体_GB2312" w:cs="Times New Roman"/>
          <w:b/>
          <w:sz w:val="32"/>
          <w:szCs w:val="32"/>
          <w:lang w:val="en-US" w:eastAsia="zh-CN"/>
        </w:rPr>
        <w:t>九</w:t>
      </w:r>
      <w:r>
        <w:rPr>
          <w:rFonts w:hint="eastAsia" w:ascii="Times New Roman" w:hAnsi="Times New Roman" w:eastAsia="楷体_GB2312" w:cs="Times New Roman"/>
          <w:b/>
          <w:sz w:val="32"/>
          <w:szCs w:val="32"/>
          <w:lang w:eastAsia="zh-CN"/>
        </w:rPr>
        <w:t>）“三公”经费。</w:t>
      </w:r>
      <w:r>
        <w:rPr>
          <w:rFonts w:hint="eastAsia" w:ascii="仿宋_GB2312" w:hAnsi="仿宋_GB2312" w:eastAsia="仿宋_GB2312" w:cs="仿宋_GB2312"/>
          <w:sz w:val="32"/>
          <w:szCs w:val="32"/>
        </w:rPr>
        <w:t>纳入省级财政预决算管理的“三公”经费,是指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车辆购置支出(含车辆购置税)及租用费、燃料费、维修费、过路过桥费、保险费、安全奖励费用等支出;公务接待费反映单位按规定开支的各类公务接待(含外宾接待)支出。</w:t>
      </w:r>
    </w:p>
    <w:p>
      <w:pPr>
        <w:ind w:firstLine="640" w:firstLineChars="200"/>
        <w:rPr>
          <w:rFonts w:ascii="Times New Roman" w:hAnsi="Times New Roman" w:eastAsia="仿宋_GB2312" w:cs="Times New Roman"/>
          <w:sz w:val="32"/>
          <w:szCs w:val="32"/>
        </w:rPr>
      </w:pPr>
    </w:p>
    <w:p/>
    <w:p>
      <w:pPr>
        <w:rPr>
          <w:rFonts w:ascii="Times New Roman" w:hAnsi="Times New Roman" w:eastAsia="仿宋_GB2312" w:cs="仿宋_GB2312"/>
          <w:kern w:val="0"/>
          <w:sz w:val="28"/>
          <w:szCs w:val="28"/>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方正小标宋简体">
    <w:altName w:val="方正舒体"/>
    <w:panose1 w:val="00000000000000000000"/>
    <w:charset w:val="86"/>
    <w:family w:val="auto"/>
    <w:pitch w:val="default"/>
    <w:sig w:usb0="00000000" w:usb1="00000000" w:usb2="00000000" w:usb3="00000000" w:csb0="00040000" w:csb1="00000000"/>
  </w:font>
  <w:font w:name="楷体_GB2312">
    <w:altName w:val="楷体"/>
    <w:panose1 w:val="00000000000000000000"/>
    <w:charset w:val="86"/>
    <w:family w:val="modern"/>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pStyle w:val="5"/>
                            <w:rPr>
                              <w:rFonts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- 4 -</w:t>
                          </w:r>
                          <w:r>
                            <w:rPr>
                              <w:rFonts w:hint="eastAsia" w:ascii="宋体" w:hAnsi="宋体" w:eastAsia="宋体" w:cs="宋体"/>
                              <w:sz w:val="28"/>
                              <w:szCs w:val="28"/>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OqXm5zwAAAAUBAAAPAAAAAAAAAAEAIAAAACIAAABkcnMvZG93bnJl&#10;di54bWxQSwECFAAUAAAACACHTuJABS3tjc0BAACnAwAADgAAAAAAAAABACAAAAAeAQAAZHJzL2Uy&#10;b0RvYy54bWxQSwUGAAAAAAYABgBZAQAAXQUAAAAA&#10;">
              <v:fill on="f" focussize="0,0"/>
              <v:stroke on="f"/>
              <v:imagedata o:title=""/>
              <o:lock v:ext="edit" aspectratio="f"/>
              <v:textbox inset="0mm,0mm,0mm,0mm" style="mso-fit-shape-to-text:t;">
                <w:txbxContent>
                  <w:p>
                    <w:pPr>
                      <w:pStyle w:val="5"/>
                      <w:rPr>
                        <w:rFonts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- 4 -</w:t>
                    </w:r>
                    <w:r>
                      <w:rPr>
                        <w:rFonts w:hint="eastAsia" w:ascii="宋体" w:hAnsi="宋体" w:eastAsia="宋体" w:cs="宋体"/>
                        <w:sz w:val="28"/>
                        <w:szCs w:val="28"/>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pStyle w:val="5"/>
                            <w:rPr>
                              <w:rFonts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- 11 -</w:t>
                          </w:r>
                          <w:r>
                            <w:rPr>
                              <w:rFonts w:hint="eastAsia" w:ascii="宋体" w:hAnsi="宋体" w:eastAsia="宋体" w:cs="宋体"/>
                              <w:sz w:val="28"/>
                              <w:szCs w:val="28"/>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6pebnPAAAABQEAAA8AAAAAAAAAAQAgAAAAIgAAAGRycy9kb3ducmV2&#10;LnhtbFBLAQIUABQAAAAIAIdO4kAml5N0zAEAAKcDAAAOAAAAAAAAAAEAIAAAAB4BAABkcnMvZTJv&#10;RG9jLnhtbFBLBQYAAAAABgAGAFkBAABcBQAAAAA=&#10;">
              <v:fill on="f" focussize="0,0"/>
              <v:stroke on="f"/>
              <v:imagedata o:title=""/>
              <o:lock v:ext="edit" aspectratio="f"/>
              <v:textbox inset="0mm,0mm,0mm,0mm" style="mso-fit-shape-to-text:t;">
                <w:txbxContent>
                  <w:p>
                    <w:pPr>
                      <w:pStyle w:val="5"/>
                      <w:rPr>
                        <w:rFonts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- 11 -</w:t>
                    </w:r>
                    <w:r>
                      <w:rPr>
                        <w:rFonts w:hint="eastAsia" w:ascii="宋体" w:hAnsi="宋体" w:eastAsia="宋体" w:cs="宋体"/>
                        <w:sz w:val="28"/>
                        <w:szCs w:val="28"/>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pStyle w:val="5"/>
                            <w:rPr>
                              <w:rFonts w:eastAsia="宋体"/>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- 3 -</w:t>
                          </w:r>
                          <w:r>
                            <w:rPr>
                              <w:rFonts w:hint="eastAsia" w:ascii="宋体" w:hAnsi="宋体" w:eastAsia="宋体" w:cs="宋体"/>
                              <w:sz w:val="28"/>
                              <w:szCs w:val="28"/>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6pebnPAAAABQEAAA8AAAAAAAAAAQAgAAAAIgAAAGRycy9kb3ducmV2&#10;LnhtbFBLAQIUABQAAAAIAIdO4kAXSZTlzAEAAKcDAAAOAAAAAAAAAAEAIAAAAB4BAABkcnMvZTJv&#10;RG9jLnhtbFBLBQYAAAAABgAGAFkBAABcBQAAAAA=&#10;">
              <v:fill on="f" focussize="0,0"/>
              <v:stroke on="f"/>
              <v:imagedata o:title=""/>
              <o:lock v:ext="edit" aspectratio="f"/>
              <v:textbox inset="0mm,0mm,0mm,0mm" style="mso-fit-shape-to-text:t;">
                <w:txbxContent>
                  <w:p>
                    <w:pPr>
                      <w:pStyle w:val="5"/>
                      <w:rPr>
                        <w:rFonts w:eastAsia="宋体"/>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- 3 -</w:t>
                    </w:r>
                    <w:r>
                      <w:rPr>
                        <w:rFonts w:hint="eastAsia" w:ascii="宋体" w:hAnsi="宋体" w:eastAsia="宋体" w:cs="宋体"/>
                        <w:sz w:val="28"/>
                        <w:szCs w:val="28"/>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DDE5A8"/>
    <w:multiLevelType w:val="singleLevel"/>
    <w:tmpl w:val="95DDE5A8"/>
    <w:lvl w:ilvl="0" w:tentative="0">
      <w:start w:val="1"/>
      <w:numFmt w:val="chineseCounting"/>
      <w:suff w:val="nothing"/>
      <w:lvlText w:val="（%1）"/>
      <w:lvlJc w:val="left"/>
      <w:rPr>
        <w:rFonts w:hint="eastAsia"/>
      </w:rPr>
    </w:lvl>
  </w:abstractNum>
  <w:abstractNum w:abstractNumId="1">
    <w:nsid w:val="ABF47CE9"/>
    <w:multiLevelType w:val="singleLevel"/>
    <w:tmpl w:val="ABF47CE9"/>
    <w:lvl w:ilvl="0" w:tentative="0">
      <w:start w:val="12"/>
      <w:numFmt w:val="chineseCounting"/>
      <w:suff w:val="nothing"/>
      <w:lvlText w:val="%1、"/>
      <w:lvlJc w:val="left"/>
      <w:rPr>
        <w:rFonts w:hint="eastAsia"/>
      </w:rPr>
    </w:lvl>
  </w:abstractNum>
  <w:abstractNum w:abstractNumId="2">
    <w:nsid w:val="CFDB8F38"/>
    <w:multiLevelType w:val="singleLevel"/>
    <w:tmpl w:val="CFDB8F38"/>
    <w:lvl w:ilvl="0" w:tentative="0">
      <w:start w:val="7"/>
      <w:numFmt w:val="chineseCounting"/>
      <w:suff w:val="nothing"/>
      <w:lvlText w:val="%1、"/>
      <w:lvlJc w:val="left"/>
      <w:rPr>
        <w:rFonts w:hint="eastAsia"/>
      </w:rPr>
    </w:lvl>
  </w:abstractNum>
  <w:abstractNum w:abstractNumId="3">
    <w:nsid w:val="E2005DC1"/>
    <w:multiLevelType w:val="singleLevel"/>
    <w:tmpl w:val="E2005DC1"/>
    <w:lvl w:ilvl="0" w:tentative="0">
      <w:start w:val="1"/>
      <w:numFmt w:val="chineseCounting"/>
      <w:suff w:val="nothing"/>
      <w:lvlText w:val="%1、"/>
      <w:lvlJc w:val="left"/>
      <w:rPr>
        <w:rFonts w:hint="eastAsia"/>
      </w:rPr>
    </w:lvl>
  </w:abstractNum>
  <w:abstractNum w:abstractNumId="4">
    <w:nsid w:val="4B886B13"/>
    <w:multiLevelType w:val="multilevel"/>
    <w:tmpl w:val="4B886B13"/>
    <w:lvl w:ilvl="0" w:tentative="0">
      <w:start w:val="1"/>
      <w:numFmt w:val="japaneseCounting"/>
      <w:lvlText w:val="（%1）"/>
      <w:lvlJc w:val="left"/>
      <w:pPr>
        <w:ind w:left="1723" w:hanging="1080"/>
      </w:pPr>
      <w:rPr>
        <w:rFonts w:hint="default"/>
      </w:rPr>
    </w:lvl>
    <w:lvl w:ilvl="1" w:tentative="0">
      <w:start w:val="1"/>
      <w:numFmt w:val="lowerLetter"/>
      <w:lvlText w:val="%2)"/>
      <w:lvlJc w:val="left"/>
      <w:pPr>
        <w:ind w:left="1483" w:hanging="420"/>
      </w:pPr>
    </w:lvl>
    <w:lvl w:ilvl="2" w:tentative="0">
      <w:start w:val="1"/>
      <w:numFmt w:val="lowerRoman"/>
      <w:lvlText w:val="%3."/>
      <w:lvlJc w:val="right"/>
      <w:pPr>
        <w:ind w:left="1903" w:hanging="420"/>
      </w:pPr>
    </w:lvl>
    <w:lvl w:ilvl="3" w:tentative="0">
      <w:start w:val="1"/>
      <w:numFmt w:val="decimal"/>
      <w:lvlText w:val="%4."/>
      <w:lvlJc w:val="left"/>
      <w:pPr>
        <w:ind w:left="2323" w:hanging="420"/>
      </w:pPr>
    </w:lvl>
    <w:lvl w:ilvl="4" w:tentative="0">
      <w:start w:val="1"/>
      <w:numFmt w:val="lowerLetter"/>
      <w:lvlText w:val="%5)"/>
      <w:lvlJc w:val="left"/>
      <w:pPr>
        <w:ind w:left="2743" w:hanging="420"/>
      </w:pPr>
    </w:lvl>
    <w:lvl w:ilvl="5" w:tentative="0">
      <w:start w:val="1"/>
      <w:numFmt w:val="lowerRoman"/>
      <w:lvlText w:val="%6."/>
      <w:lvlJc w:val="right"/>
      <w:pPr>
        <w:ind w:left="3163" w:hanging="420"/>
      </w:pPr>
    </w:lvl>
    <w:lvl w:ilvl="6" w:tentative="0">
      <w:start w:val="1"/>
      <w:numFmt w:val="decimal"/>
      <w:lvlText w:val="%7."/>
      <w:lvlJc w:val="left"/>
      <w:pPr>
        <w:ind w:left="3583" w:hanging="420"/>
      </w:pPr>
    </w:lvl>
    <w:lvl w:ilvl="7" w:tentative="0">
      <w:start w:val="1"/>
      <w:numFmt w:val="lowerLetter"/>
      <w:lvlText w:val="%8)"/>
      <w:lvlJc w:val="left"/>
      <w:pPr>
        <w:ind w:left="4003" w:hanging="420"/>
      </w:pPr>
    </w:lvl>
    <w:lvl w:ilvl="8" w:tentative="0">
      <w:start w:val="1"/>
      <w:numFmt w:val="lowerRoman"/>
      <w:lvlText w:val="%9."/>
      <w:lvlJc w:val="right"/>
      <w:pPr>
        <w:ind w:left="4423" w:hanging="420"/>
      </w:pPr>
    </w:lvl>
  </w:abstractNum>
  <w:abstractNum w:abstractNumId="5">
    <w:nsid w:val="6F7240FB"/>
    <w:multiLevelType w:val="multilevel"/>
    <w:tmpl w:val="6F7240FB"/>
    <w:lvl w:ilvl="0" w:tentative="0">
      <w:start w:val="1"/>
      <w:numFmt w:val="japaneseCounting"/>
      <w:lvlText w:val="%1、"/>
      <w:lvlJc w:val="left"/>
      <w:pPr>
        <w:ind w:left="1360" w:hanging="72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5"/>
  </w:num>
  <w:num w:numId="2">
    <w:abstractNumId w:val="4"/>
  </w:num>
  <w:num w:numId="3">
    <w:abstractNumId w:val="3"/>
  </w:num>
  <w:num w:numId="4">
    <w:abstractNumId w:val="2"/>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YzNDE5M2EwNjRmMTJkOWE0MTYzZDNlYjZlYjdiMzkifQ=="/>
  </w:docVars>
  <w:rsids>
    <w:rsidRoot w:val="714136A6"/>
    <w:rsid w:val="093C6F19"/>
    <w:rsid w:val="0E1F2C84"/>
    <w:rsid w:val="3EC07002"/>
    <w:rsid w:val="49C141F1"/>
    <w:rsid w:val="53B96970"/>
    <w:rsid w:val="65D00F29"/>
    <w:rsid w:val="714136A6"/>
    <w:rsid w:val="733572F2"/>
    <w:rsid w:val="7D9C12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unhideWhenUsed/>
    <w:qFormat/>
    <w:uiPriority w:val="0"/>
    <w:pPr>
      <w:keepNext/>
      <w:keepLines/>
      <w:spacing w:line="413" w:lineRule="auto"/>
      <w:outlineLvl w:val="1"/>
    </w:pPr>
    <w:rPr>
      <w:rFonts w:ascii="Arial" w:hAnsi="Arial" w:eastAsia="黑体"/>
      <w:b/>
      <w:sz w:val="32"/>
    </w:rPr>
  </w:style>
  <w:style w:type="character" w:default="1" w:styleId="8">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Plain Text"/>
    <w:basedOn w:val="1"/>
    <w:qFormat/>
    <w:uiPriority w:val="99"/>
    <w:rPr>
      <w:rFonts w:ascii="宋体" w:hAnsi="Courier New" w:cs="Courier New"/>
      <w:szCs w:val="21"/>
    </w:rPr>
  </w:style>
  <w:style w:type="paragraph" w:styleId="4">
    <w:name w:val="Body Text"/>
    <w:basedOn w:val="1"/>
    <w:qFormat/>
    <w:uiPriority w:val="0"/>
    <w:pPr>
      <w:spacing w:after="140" w:line="276" w:lineRule="auto"/>
    </w:pPr>
  </w:style>
  <w:style w:type="paragraph" w:styleId="5">
    <w:name w:val="footer"/>
    <w:basedOn w:val="1"/>
    <w:qFormat/>
    <w:uiPriority w:val="0"/>
    <w:pPr>
      <w:tabs>
        <w:tab w:val="center" w:pos="4153"/>
        <w:tab w:val="right" w:pos="8306"/>
      </w:tabs>
      <w:snapToGrid w:val="0"/>
      <w:jc w:val="left"/>
    </w:pPr>
    <w:rPr>
      <w:sz w:val="18"/>
    </w:rPr>
  </w:style>
  <w:style w:type="paragraph" w:styleId="6">
    <w:name w:val="Normal (Web)"/>
    <w:basedOn w:val="1"/>
    <w:qFormat/>
    <w:uiPriority w:val="0"/>
    <w:pPr>
      <w:spacing w:before="100" w:beforeAutospacing="1" w:after="100" w:afterAutospacing="1"/>
      <w:jc w:val="left"/>
    </w:pPr>
    <w:rPr>
      <w:rFonts w:cs="Times New Roman"/>
      <w:kern w:val="0"/>
      <w:sz w:val="24"/>
    </w:rPr>
  </w:style>
  <w:style w:type="character" w:styleId="9">
    <w:name w:val="Strong"/>
    <w:basedOn w:val="8"/>
    <w:qFormat/>
    <w:uiPriority w:val="0"/>
    <w:rPr>
      <w:b/>
    </w:rPr>
  </w:style>
  <w:style w:type="paragraph" w:customStyle="1" w:styleId="10">
    <w:name w:val="p0"/>
    <w:basedOn w:val="1"/>
    <w:qFormat/>
    <w:uiPriority w:val="0"/>
    <w:pPr>
      <w:widowControl/>
    </w:pPr>
    <w:rPr>
      <w:rFonts w:ascii="Times New Roman" w:hAnsi="Times New Roman" w:eastAsia="宋体" w:cs="Times New Roman"/>
      <w:kern w:val="0"/>
      <w:szCs w:val="21"/>
    </w:rPr>
  </w:style>
  <w:style w:type="paragraph" w:styleId="11">
    <w:name w:val="List Paragraph"/>
    <w:basedOn w:val="1"/>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3.jpeg"/><Relationship Id="rId23" Type="http://schemas.openxmlformats.org/officeDocument/2006/relationships/image" Target="media/image12.jpeg"/><Relationship Id="rId22" Type="http://schemas.openxmlformats.org/officeDocument/2006/relationships/image" Target="media/image11.jpeg"/><Relationship Id="rId21" Type="http://schemas.openxmlformats.org/officeDocument/2006/relationships/image" Target="media/image10.jpeg"/><Relationship Id="rId20" Type="http://schemas.openxmlformats.org/officeDocument/2006/relationships/image" Target="media/image9.jpeg"/><Relationship Id="rId2" Type="http://schemas.openxmlformats.org/officeDocument/2006/relationships/settings" Target="settings.xml"/><Relationship Id="rId19" Type="http://schemas.openxmlformats.org/officeDocument/2006/relationships/image" Target="media/image8.jpeg"/><Relationship Id="rId18" Type="http://schemas.openxmlformats.org/officeDocument/2006/relationships/image" Target="media/image7.jpeg"/><Relationship Id="rId17" Type="http://schemas.openxmlformats.org/officeDocument/2006/relationships/image" Target="media/image6.jpeg"/><Relationship Id="rId16" Type="http://schemas.openxmlformats.org/officeDocument/2006/relationships/image" Target="media/image5.jpeg"/><Relationship Id="rId15" Type="http://schemas.openxmlformats.org/officeDocument/2006/relationships/image" Target="media/image4.jpeg"/><Relationship Id="rId14" Type="http://schemas.openxmlformats.org/officeDocument/2006/relationships/image" Target="media/image3.jpeg"/><Relationship Id="rId13" Type="http://schemas.openxmlformats.org/officeDocument/2006/relationships/image" Target="media/image2.jpe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8.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26</Pages>
  <Words>4727</Words>
  <Characters>5080</Characters>
  <Lines>0</Lines>
  <Paragraphs>0</Paragraphs>
  <TotalTime>0</TotalTime>
  <ScaleCrop>false</ScaleCrop>
  <LinksUpToDate>false</LinksUpToDate>
  <CharactersWithSpaces>5102</CharactersWithSpaces>
  <Application>WPS Office_12.1.0.16910_F1E327BC-269C-435d-A152-05C5408002CA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2022-03-10T02:40:00Z</dcterms:created>
  <dc:creator>信息学院计划财务处</dc:creator>
  <cp:lastModifiedBy>王宗浩</cp:lastModifiedBy>
  <dcterms:modified xsi:type="dcterms:W3CDTF">2024-05-13T01:30:11Z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2052-12.1.0.16910</vt:lpwstr>
  </property>
  <property fmtid="{D5CDD505-2E9C-101B-9397-08002B2CF9AE}" pid="3" name="ICV">
    <vt:lpwstr>59B6355F5D2C4891A048B468FA645C86</vt:lpwstr>
  </property>
</Properties>
</file>