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576" w:lineRule="exact"/>
        <w:jc w:val="both"/>
        <w:outlineLvl w:val="9"/>
        <w:rPr>
          <w:rFonts w:ascii="方正小标宋简体" w:hAnsi="宋体" w:eastAsia="方正小标宋简体"/>
          <w:sz w:val="72"/>
          <w:szCs w:val="72"/>
        </w:rPr>
      </w:pPr>
      <w:bookmarkStart w:id="0" w:name="_Toc15306267"/>
    </w:p>
    <w:p>
      <w:pPr>
        <w:pageBreakBefore w:val="0"/>
        <w:kinsoku/>
        <w:wordWrap/>
        <w:overflowPunct/>
        <w:topLinePunct w:val="0"/>
        <w:bidi w:val="0"/>
        <w:spacing w:line="576" w:lineRule="exact"/>
        <w:jc w:val="center"/>
        <w:outlineLvl w:val="9"/>
        <w:rPr>
          <w:rFonts w:ascii="方正小标宋简体" w:hAnsi="宋体" w:eastAsia="方正小标宋简体"/>
          <w:sz w:val="72"/>
          <w:szCs w:val="72"/>
        </w:rPr>
      </w:pPr>
    </w:p>
    <w:p>
      <w:pPr>
        <w:pageBreakBefore w:val="0"/>
        <w:kinsoku/>
        <w:wordWrap/>
        <w:overflowPunct/>
        <w:topLinePunct w:val="0"/>
        <w:bidi w:val="0"/>
        <w:adjustRightInd w:val="0"/>
        <w:snapToGrid w:val="0"/>
        <w:spacing w:line="576" w:lineRule="exact"/>
        <w:jc w:val="center"/>
        <w:outlineLvl w:val="0"/>
        <w:rPr>
          <w:rFonts w:ascii="方正小标宋简体" w:hAnsi="方正小标宋简体" w:eastAsia="方正小标宋简体" w:cs="方正小标宋简体"/>
          <w:sz w:val="52"/>
          <w:szCs w:val="52"/>
        </w:rPr>
      </w:pPr>
      <w:bookmarkStart w:id="1" w:name="_Toc9838"/>
      <w:bookmarkStart w:id="2" w:name="_Toc15378441"/>
      <w:bookmarkStart w:id="3" w:name="_Toc15377193"/>
      <w:bookmarkStart w:id="4" w:name="_Toc15396475"/>
      <w:bookmarkStart w:id="5" w:name="_Toc15377425"/>
      <w:bookmarkStart w:id="6" w:name="_Toc15396597"/>
      <w:r>
        <w:rPr>
          <w:rFonts w:hint="eastAsia" w:ascii="方正小标宋简体" w:hAnsi="方正小标宋简体" w:eastAsia="方正小标宋简体" w:cs="方正小标宋简体"/>
          <w:sz w:val="52"/>
          <w:szCs w:val="52"/>
        </w:rPr>
        <w:t>2023年度</w:t>
      </w:r>
      <w:bookmarkEnd w:id="1"/>
      <w:bookmarkEnd w:id="2"/>
      <w:bookmarkEnd w:id="3"/>
      <w:bookmarkEnd w:id="4"/>
      <w:bookmarkEnd w:id="5"/>
      <w:bookmarkEnd w:id="6"/>
    </w:p>
    <w:p>
      <w:pPr>
        <w:pageBreakBefore w:val="0"/>
        <w:kinsoku/>
        <w:wordWrap/>
        <w:overflowPunct/>
        <w:topLinePunct w:val="0"/>
        <w:bidi w:val="0"/>
        <w:adjustRightInd w:val="0"/>
        <w:snapToGrid w:val="0"/>
        <w:spacing w:line="576" w:lineRule="exact"/>
        <w:jc w:val="center"/>
        <w:outlineLvl w:val="0"/>
        <w:rPr>
          <w:rFonts w:hint="eastAsia" w:ascii="方正小标宋简体" w:hAnsi="方正小标宋简体" w:eastAsia="方正小标宋简体" w:cs="方正小标宋简体"/>
          <w:sz w:val="52"/>
          <w:szCs w:val="52"/>
          <w:lang w:eastAsia="zh-CN"/>
        </w:rPr>
      </w:pPr>
      <w:bookmarkStart w:id="7" w:name="_Toc15396598"/>
      <w:bookmarkStart w:id="8" w:name="_Toc15377426"/>
      <w:bookmarkStart w:id="9" w:name="_Toc15377194"/>
      <w:bookmarkStart w:id="10" w:name="_Toc15396476"/>
      <w:bookmarkStart w:id="11" w:name="_Toc760"/>
      <w:bookmarkStart w:id="12" w:name="_Toc15378442"/>
      <w:r>
        <w:rPr>
          <w:rFonts w:hint="eastAsia" w:ascii="方正小标宋简体" w:hAnsi="方正小标宋简体" w:eastAsia="方正小标宋简体" w:cs="方正小标宋简体"/>
          <w:sz w:val="52"/>
          <w:szCs w:val="52"/>
        </w:rPr>
        <w:t>四川省</w:t>
      </w:r>
      <w:bookmarkEnd w:id="0"/>
      <w:bookmarkStart w:id="13" w:name="_Toc15306268"/>
      <w:r>
        <w:rPr>
          <w:rFonts w:hint="eastAsia" w:ascii="方正小标宋简体" w:hAnsi="方正小标宋简体" w:eastAsia="方正小标宋简体" w:cs="方正小标宋简体"/>
          <w:sz w:val="52"/>
          <w:szCs w:val="52"/>
          <w:lang w:eastAsia="zh-CN"/>
        </w:rPr>
        <w:t>经济和信息化厅信息中心</w:t>
      </w:r>
    </w:p>
    <w:p>
      <w:pPr>
        <w:pageBreakBefore w:val="0"/>
        <w:kinsoku/>
        <w:wordWrap/>
        <w:overflowPunct/>
        <w:topLinePunct w:val="0"/>
        <w:bidi w:val="0"/>
        <w:adjustRightInd w:val="0"/>
        <w:snapToGrid w:val="0"/>
        <w:spacing w:line="576" w:lineRule="exact"/>
        <w:jc w:val="center"/>
        <w:outlineLvl w:val="0"/>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lang w:eastAsia="zh-CN"/>
        </w:rPr>
        <w:t>单位</w:t>
      </w:r>
      <w:r>
        <w:rPr>
          <w:rFonts w:hint="eastAsia" w:ascii="方正小标宋简体" w:hAnsi="方正小标宋简体" w:eastAsia="方正小标宋简体" w:cs="方正小标宋简体"/>
          <w:sz w:val="52"/>
          <w:szCs w:val="52"/>
        </w:rPr>
        <w:t>决算</w:t>
      </w:r>
      <w:bookmarkEnd w:id="7"/>
      <w:bookmarkEnd w:id="8"/>
      <w:bookmarkEnd w:id="9"/>
      <w:bookmarkEnd w:id="10"/>
      <w:bookmarkEnd w:id="11"/>
      <w:bookmarkEnd w:id="12"/>
      <w:bookmarkEnd w:id="13"/>
    </w:p>
    <w:p>
      <w:pPr>
        <w:pageBreakBefore w:val="0"/>
        <w:widowControl/>
        <w:kinsoku/>
        <w:wordWrap/>
        <w:overflowPunct/>
        <w:topLinePunct w:val="0"/>
        <w:bidi w:val="0"/>
        <w:spacing w:line="576" w:lineRule="exact"/>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w:t>
      </w:r>
      <w:r>
        <w:rPr>
          <w:rFonts w:hint="eastAsia" w:ascii="黑体" w:hAnsi="黑体" w:eastAsia="黑体"/>
          <w:sz w:val="48"/>
          <w:szCs w:val="48"/>
          <w:lang w:val="en-US" w:eastAsia="zh-CN"/>
        </w:rPr>
        <w:t xml:space="preserve">  </w:t>
      </w:r>
      <w:r>
        <w:rPr>
          <w:rFonts w:hint="eastAsia" w:ascii="黑体" w:hAnsi="黑体" w:eastAsia="黑体"/>
          <w:sz w:val="48"/>
          <w:szCs w:val="48"/>
        </w:rPr>
        <w:t>录</w:t>
      </w:r>
    </w:p>
    <w:p>
      <w:pPr>
        <w:pageBreakBefore w:val="0"/>
        <w:widowControl/>
        <w:kinsoku/>
        <w:wordWrap/>
        <w:overflowPunct/>
        <w:topLinePunct w:val="0"/>
        <w:bidi w:val="0"/>
        <w:spacing w:line="576" w:lineRule="exact"/>
        <w:jc w:val="center"/>
        <w:rPr>
          <w:rFonts w:ascii="黑体" w:hAnsi="黑体" w:eastAsia="黑体" w:cstheme="minorBidi"/>
          <w:sz w:val="28"/>
          <w:szCs w:val="28"/>
        </w:rPr>
      </w:pPr>
    </w:p>
    <w:p>
      <w:pPr>
        <w:pStyle w:val="12"/>
        <w:pageBreakBefore w:val="0"/>
        <w:kinsoku/>
        <w:wordWrap/>
        <w:overflowPunct/>
        <w:topLinePunct w:val="0"/>
        <w:bidi w:val="0"/>
        <w:spacing w:line="576" w:lineRule="exact"/>
        <w:jc w:val="cente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公开时间：2024年9月10日</w:t>
      </w:r>
    </w:p>
    <w:p>
      <w:pPr>
        <w:pStyle w:val="13"/>
        <w:pageBreakBefore w:val="0"/>
        <w:kinsoku/>
        <w:wordWrap/>
        <w:overflowPunct/>
        <w:topLinePunct w:val="0"/>
        <w:bidi w:val="0"/>
        <w:adjustRightInd w:val="0"/>
        <w:snapToGrid w:val="0"/>
        <w:spacing w:line="576" w:lineRule="exact"/>
        <w:jc w:val="both"/>
        <w:rPr>
          <w:rFonts w:hint="eastAsia"/>
          <w:sz w:val="24"/>
        </w:rPr>
      </w:pPr>
    </w:p>
    <w:p>
      <w:pPr>
        <w:pStyle w:val="13"/>
        <w:pageBreakBefore w:val="0"/>
        <w:kinsoku/>
        <w:wordWrap/>
        <w:overflowPunct/>
        <w:topLinePunct w:val="0"/>
        <w:bidi w:val="0"/>
        <w:adjustRightInd w:val="0"/>
        <w:snapToGrid w:val="0"/>
        <w:spacing w:line="576" w:lineRule="exact"/>
        <w:jc w:val="both"/>
        <w:rPr>
          <w:rStyle w:val="18"/>
          <w:rFonts w:hint="default" w:ascii="Times New Roman" w:hAnsi="Times New Roman" w:eastAsia="黑体" w:cs="宋体"/>
          <w:b w:val="0"/>
          <w:bCs/>
          <w:i w:val="0"/>
          <w:caps w:val="0"/>
          <w:color w:val="auto"/>
          <w:spacing w:val="0"/>
          <w:kern w:val="0"/>
          <w:sz w:val="32"/>
          <w:szCs w:val="21"/>
          <w:highlight w:val="none"/>
          <w:shd w:val="clear" w:color="auto" w:fill="auto"/>
          <w:lang w:val="en-US" w:eastAsia="zh-CN" w:bidi="ar"/>
        </w:rPr>
      </w:pPr>
      <w:bookmarkStart w:id="14" w:name="_Toc29831"/>
      <w:r>
        <w:rPr>
          <w:rStyle w:val="18"/>
          <w:rFonts w:hint="eastAsia" w:ascii="Times New Roman" w:hAnsi="Times New Roman" w:eastAsia="黑体" w:cs="宋体"/>
          <w:b w:val="0"/>
          <w:bCs/>
          <w:i w:val="0"/>
          <w:caps w:val="0"/>
          <w:color w:val="auto"/>
          <w:spacing w:val="0"/>
          <w:kern w:val="0"/>
          <w:sz w:val="32"/>
          <w:szCs w:val="21"/>
          <w:highlight w:val="none"/>
          <w:shd w:val="clear" w:color="auto" w:fill="auto"/>
          <w:lang w:val="en-US" w:eastAsia="zh-CN" w:bidi="ar"/>
        </w:rPr>
        <w:t>第一部分 单位概况</w:t>
      </w:r>
      <w:bookmarkEnd w:id="14"/>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4</w:t>
      </w:r>
    </w:p>
    <w:p>
      <w:pPr>
        <w:pStyle w:val="13"/>
        <w:pageBreakBefore w:val="0"/>
        <w:kinsoku/>
        <w:wordWrap/>
        <w:overflowPunct/>
        <w:topLinePunct w:val="0"/>
        <w:bidi w:val="0"/>
        <w:adjustRightInd w:val="0"/>
        <w:snapToGrid w:val="0"/>
        <w:spacing w:line="576" w:lineRule="exact"/>
        <w:jc w:val="both"/>
        <w:rPr>
          <w:rFonts w:hint="default" w:ascii="Times New Roman" w:hAnsi="Times New Roman" w:eastAsia="仿宋_GB2312" w:cs="仿宋_GB2312"/>
          <w:i w:val="0"/>
          <w:caps w:val="0"/>
          <w:color w:val="auto"/>
          <w:spacing w:val="0"/>
          <w:kern w:val="0"/>
          <w:sz w:val="32"/>
          <w:szCs w:val="32"/>
          <w:highlight w:val="none"/>
          <w:shd w:val="clear" w:color="auto" w:fill="auto"/>
          <w:lang w:val="en-US" w:eastAsia="zh-CN" w:bidi="ar"/>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一、主要职责</w:t>
      </w:r>
      <w:r>
        <w:rPr>
          <w:rFonts w:hint="default" w:ascii="Times New Roman" w:hAnsi="Times New Roman" w:eastAsia="仿宋_GB2312" w:cs="仿宋_GB2312"/>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4</w:t>
      </w:r>
    </w:p>
    <w:p>
      <w:pPr>
        <w:pStyle w:val="13"/>
        <w:pageBreakBefore w:val="0"/>
        <w:kinsoku/>
        <w:wordWrap/>
        <w:overflowPunct/>
        <w:topLinePunct w:val="0"/>
        <w:bidi w:val="0"/>
        <w:adjustRightInd w:val="0"/>
        <w:snapToGrid w:val="0"/>
        <w:spacing w:line="576" w:lineRule="exact"/>
        <w:jc w:val="both"/>
        <w:rPr>
          <w:rFonts w:hint="default" w:ascii="Times New Roman" w:hAnsi="Times New Roman" w:eastAsia="仿宋_GB2312" w:cs="仿宋_GB2312"/>
          <w:i w:val="0"/>
          <w:caps w:val="0"/>
          <w:color w:val="auto"/>
          <w:spacing w:val="0"/>
          <w:kern w:val="0"/>
          <w:sz w:val="32"/>
          <w:szCs w:val="32"/>
          <w:highlight w:val="none"/>
          <w:shd w:val="clear" w:color="auto" w:fill="auto"/>
          <w:lang w:val="en-US" w:eastAsia="zh-CN" w:bidi="ar"/>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 xml:space="preserve">二、机构设置 </w:t>
      </w:r>
      <w:r>
        <w:rPr>
          <w:rFonts w:hint="default" w:ascii="Times New Roman" w:hAnsi="Times New Roman" w:eastAsia="仿宋_GB2312" w:cs="仿宋_GB2312"/>
          <w:i w:val="0"/>
          <w:caps w:val="0"/>
          <w:color w:val="auto"/>
          <w:spacing w:val="0"/>
          <w:kern w:val="0"/>
          <w:sz w:val="32"/>
          <w:szCs w:val="32"/>
          <w:highlight w:val="none"/>
          <w:shd w:val="clear" w:color="auto" w:fill="auto"/>
          <w:lang w:val="en-US" w:eastAsia="zh-CN" w:bidi="ar"/>
        </w:rPr>
        <w:t>……………………………………………</w:t>
      </w:r>
      <w:r>
        <w:rPr>
          <w:rFonts w:hint="eastAsia" w:eastAsia="仿宋_GB2312" w:cs="仿宋_GB2312"/>
          <w:i w:val="0"/>
          <w:caps w:val="0"/>
          <w:color w:val="auto"/>
          <w:spacing w:val="0"/>
          <w:kern w:val="0"/>
          <w:sz w:val="32"/>
          <w:szCs w:val="32"/>
          <w:highlight w:val="none"/>
          <w:shd w:val="clear" w:color="auto" w:fill="auto"/>
          <w:lang w:val="en-US" w:eastAsia="zh-CN" w:bidi="ar"/>
        </w:rPr>
        <w:t xml:space="preserve"> </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5</w:t>
      </w:r>
    </w:p>
    <w:p>
      <w:pPr>
        <w:pStyle w:val="13"/>
        <w:pageBreakBefore w:val="0"/>
        <w:kinsoku/>
        <w:wordWrap/>
        <w:overflowPunct/>
        <w:topLinePunct w:val="0"/>
        <w:bidi w:val="0"/>
        <w:adjustRightInd w:val="0"/>
        <w:snapToGrid w:val="0"/>
        <w:spacing w:line="576" w:lineRule="exact"/>
        <w:jc w:val="both"/>
        <w:rPr>
          <w:rStyle w:val="18"/>
          <w:rFonts w:hint="default" w:ascii="Times New Roman" w:hAnsi="Times New Roman" w:eastAsia="黑体" w:cs="宋体"/>
          <w:b w:val="0"/>
          <w:bCs/>
          <w:i w:val="0"/>
          <w:caps w:val="0"/>
          <w:color w:val="auto"/>
          <w:spacing w:val="0"/>
          <w:kern w:val="0"/>
          <w:sz w:val="32"/>
          <w:szCs w:val="21"/>
          <w:highlight w:val="none"/>
          <w:shd w:val="clear" w:color="auto" w:fill="auto"/>
          <w:lang w:val="en-US" w:eastAsia="zh-CN" w:bidi="ar"/>
        </w:rPr>
      </w:pPr>
      <w:bookmarkStart w:id="15" w:name="_Toc12234"/>
      <w:r>
        <w:rPr>
          <w:rStyle w:val="18"/>
          <w:rFonts w:hint="eastAsia" w:ascii="Times New Roman" w:hAnsi="Times New Roman" w:eastAsia="黑体" w:cs="宋体"/>
          <w:b w:val="0"/>
          <w:bCs/>
          <w:i w:val="0"/>
          <w:caps w:val="0"/>
          <w:color w:val="auto"/>
          <w:spacing w:val="0"/>
          <w:kern w:val="0"/>
          <w:sz w:val="32"/>
          <w:szCs w:val="21"/>
          <w:highlight w:val="none"/>
          <w:shd w:val="clear" w:color="auto" w:fill="auto"/>
          <w:lang w:val="en-US" w:eastAsia="zh-CN" w:bidi="ar"/>
        </w:rPr>
        <w:t>第二部分 2023年度单位决算情况说明</w:t>
      </w:r>
      <w:bookmarkEnd w:id="15"/>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6</w:t>
      </w:r>
    </w:p>
    <w:p>
      <w:pPr>
        <w:pStyle w:val="13"/>
        <w:pageBreakBefore w:val="0"/>
        <w:kinsoku/>
        <w:wordWrap/>
        <w:overflowPunct/>
        <w:topLinePunct w:val="0"/>
        <w:bidi w:val="0"/>
        <w:adjustRightInd w:val="0"/>
        <w:snapToGrid w:val="0"/>
        <w:spacing w:line="576" w:lineRule="exact"/>
        <w:jc w:val="both"/>
        <w:rPr>
          <w:rFonts w:hint="default"/>
          <w:sz w:val="24"/>
          <w:lang w:val="en-US" w:eastAsia="zh-CN"/>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 xml:space="preserve">一、收入支出决算总体情况说明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6</w:t>
      </w:r>
    </w:p>
    <w:p>
      <w:pPr>
        <w:pStyle w:val="13"/>
        <w:pageBreakBefore w:val="0"/>
        <w:kinsoku/>
        <w:wordWrap/>
        <w:overflowPunct/>
        <w:topLinePunct w:val="0"/>
        <w:bidi w:val="0"/>
        <w:adjustRightInd w:val="0"/>
        <w:snapToGrid w:val="0"/>
        <w:spacing w:line="576" w:lineRule="exact"/>
        <w:jc w:val="both"/>
        <w:rPr>
          <w:rFonts w:hint="default"/>
          <w:sz w:val="24"/>
          <w:lang w:val="en-US" w:eastAsia="zh-CN"/>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二</w:t>
      </w:r>
      <w:r>
        <w:rPr>
          <w:rFonts w:hint="eastAsia" w:eastAsia="仿宋_GB2312" w:cs="仿宋_GB2312"/>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收入决算情况说明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 xml:space="preserve"> 6</w:t>
      </w:r>
    </w:p>
    <w:p>
      <w:pPr>
        <w:pStyle w:val="13"/>
        <w:pageBreakBefore w:val="0"/>
        <w:kinsoku/>
        <w:wordWrap/>
        <w:overflowPunct/>
        <w:topLinePunct w:val="0"/>
        <w:bidi w:val="0"/>
        <w:adjustRightInd w:val="0"/>
        <w:snapToGrid w:val="0"/>
        <w:spacing w:line="576" w:lineRule="exact"/>
        <w:jc w:val="both"/>
        <w:rPr>
          <w:rFonts w:hint="default"/>
          <w:sz w:val="24"/>
          <w:lang w:val="en-US" w:eastAsia="zh-CN"/>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三、支出决算情况说明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7</w:t>
      </w:r>
    </w:p>
    <w:p>
      <w:pPr>
        <w:pStyle w:val="13"/>
        <w:pageBreakBefore w:val="0"/>
        <w:kinsoku/>
        <w:wordWrap/>
        <w:overflowPunct/>
        <w:topLinePunct w:val="0"/>
        <w:bidi w:val="0"/>
        <w:adjustRightInd w:val="0"/>
        <w:snapToGrid w:val="0"/>
        <w:spacing w:line="576" w:lineRule="exact"/>
        <w:jc w:val="both"/>
        <w:rPr>
          <w:rFonts w:hint="default"/>
          <w:sz w:val="24"/>
          <w:lang w:val="en-US" w:eastAsia="zh-CN"/>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四、财政拨款收入支出决算总体情况说明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8</w:t>
      </w:r>
    </w:p>
    <w:p>
      <w:pPr>
        <w:pStyle w:val="13"/>
        <w:pageBreakBefore w:val="0"/>
        <w:kinsoku/>
        <w:wordWrap/>
        <w:overflowPunct/>
        <w:topLinePunct w:val="0"/>
        <w:bidi w:val="0"/>
        <w:adjustRightInd w:val="0"/>
        <w:snapToGrid w:val="0"/>
        <w:spacing w:line="576" w:lineRule="exact"/>
        <w:jc w:val="both"/>
        <w:rPr>
          <w:rFonts w:hint="eastAsia" w:eastAsia="仿宋_GB2312" w:cs="仿宋_GB2312"/>
          <w:i w:val="0"/>
          <w:caps w:val="0"/>
          <w:color w:val="auto"/>
          <w:spacing w:val="0"/>
          <w:kern w:val="0"/>
          <w:sz w:val="32"/>
          <w:szCs w:val="32"/>
          <w:highlight w:val="none"/>
          <w:shd w:val="clear" w:color="auto" w:fill="auto"/>
          <w:lang w:val="en-US" w:eastAsia="zh-CN" w:bidi="ar"/>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五、一般公共预算财政拨款支出决算情况说明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eastAsia="仿宋_GB2312" w:cs="仿宋_GB2312"/>
          <w:i w:val="0"/>
          <w:caps w:val="0"/>
          <w:color w:val="auto"/>
          <w:spacing w:val="0"/>
          <w:kern w:val="0"/>
          <w:sz w:val="32"/>
          <w:szCs w:val="32"/>
          <w:highlight w:val="none"/>
          <w:shd w:val="clear" w:color="auto" w:fill="auto"/>
          <w:lang w:val="en-US" w:eastAsia="zh-CN" w:bidi="ar"/>
        </w:rPr>
        <w:t>8</w:t>
      </w:r>
    </w:p>
    <w:p>
      <w:pPr>
        <w:pStyle w:val="13"/>
        <w:pageBreakBefore w:val="0"/>
        <w:kinsoku/>
        <w:wordWrap/>
        <w:overflowPunct/>
        <w:topLinePunct w:val="0"/>
        <w:bidi w:val="0"/>
        <w:adjustRightInd w:val="0"/>
        <w:snapToGrid w:val="0"/>
        <w:spacing w:line="576" w:lineRule="exact"/>
        <w:jc w:val="both"/>
        <w:rPr>
          <w:rFonts w:hint="default"/>
          <w:sz w:val="24"/>
          <w:lang w:val="en-US" w:eastAsia="zh-CN"/>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六、一般公共预算财政拨款基本支出决算情况说明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11</w:t>
      </w:r>
    </w:p>
    <w:p>
      <w:pPr>
        <w:pStyle w:val="13"/>
        <w:pageBreakBefore w:val="0"/>
        <w:kinsoku/>
        <w:wordWrap/>
        <w:overflowPunct/>
        <w:topLinePunct w:val="0"/>
        <w:bidi w:val="0"/>
        <w:adjustRightInd w:val="0"/>
        <w:snapToGrid w:val="0"/>
        <w:spacing w:line="576" w:lineRule="exact"/>
        <w:jc w:val="both"/>
        <w:rPr>
          <w:rFonts w:hint="default"/>
          <w:sz w:val="24"/>
          <w:lang w:val="en-US" w:eastAsia="zh-CN"/>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七、财政拨款“三公”经费支出决算情况说明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 xml:space="preserve"> </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11</w:t>
      </w:r>
    </w:p>
    <w:p>
      <w:pPr>
        <w:pStyle w:val="13"/>
        <w:pageBreakBefore w:val="0"/>
        <w:kinsoku/>
        <w:wordWrap/>
        <w:overflowPunct/>
        <w:topLinePunct w:val="0"/>
        <w:bidi w:val="0"/>
        <w:adjustRightInd w:val="0"/>
        <w:snapToGrid w:val="0"/>
        <w:spacing w:line="576" w:lineRule="exact"/>
        <w:jc w:val="both"/>
        <w:rPr>
          <w:rFonts w:hint="default"/>
          <w:sz w:val="24"/>
          <w:lang w:val="en-US" w:eastAsia="zh-CN"/>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八、政府性基金预算支出决算情况说明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13</w:t>
      </w:r>
    </w:p>
    <w:p>
      <w:pPr>
        <w:pStyle w:val="13"/>
        <w:pageBreakBefore w:val="0"/>
        <w:kinsoku/>
        <w:wordWrap/>
        <w:overflowPunct/>
        <w:topLinePunct w:val="0"/>
        <w:bidi w:val="0"/>
        <w:adjustRightInd w:val="0"/>
        <w:snapToGrid w:val="0"/>
        <w:spacing w:line="576" w:lineRule="exact"/>
        <w:jc w:val="both"/>
        <w:rPr>
          <w:rFonts w:hint="default"/>
          <w:sz w:val="24"/>
          <w:lang w:val="en-US" w:eastAsia="zh-CN"/>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九、国有资本经营预算支出决算情况说明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1</w:t>
      </w:r>
      <w:r>
        <w:rPr>
          <w:rFonts w:hint="eastAsia" w:eastAsia="仿宋_GB2312" w:cs="仿宋_GB2312"/>
          <w:i w:val="0"/>
          <w:caps w:val="0"/>
          <w:color w:val="auto"/>
          <w:spacing w:val="0"/>
          <w:kern w:val="0"/>
          <w:sz w:val="32"/>
          <w:szCs w:val="32"/>
          <w:highlight w:val="none"/>
          <w:shd w:val="clear" w:color="auto" w:fill="auto"/>
          <w:lang w:val="en-US" w:eastAsia="zh-CN" w:bidi="ar"/>
        </w:rPr>
        <w:t>3</w:t>
      </w:r>
    </w:p>
    <w:p>
      <w:pPr>
        <w:pStyle w:val="13"/>
        <w:pageBreakBefore w:val="0"/>
        <w:kinsoku/>
        <w:wordWrap/>
        <w:overflowPunct/>
        <w:topLinePunct w:val="0"/>
        <w:bidi w:val="0"/>
        <w:adjustRightInd w:val="0"/>
        <w:snapToGrid w:val="0"/>
        <w:spacing w:line="576" w:lineRule="exact"/>
        <w:jc w:val="both"/>
        <w:rPr>
          <w:rFonts w:hint="eastAsia" w:eastAsia="仿宋_GB2312" w:cs="仿宋_GB2312"/>
          <w:i w:val="0"/>
          <w:caps w:val="0"/>
          <w:color w:val="auto"/>
          <w:spacing w:val="0"/>
          <w:kern w:val="0"/>
          <w:sz w:val="32"/>
          <w:szCs w:val="32"/>
          <w:highlight w:val="none"/>
          <w:shd w:val="clear" w:color="auto" w:fill="auto"/>
          <w:lang w:val="en-US" w:eastAsia="zh-CN" w:bidi="ar"/>
        </w:rPr>
      </w:pPr>
      <w:r>
        <w:rPr>
          <w:rFonts w:hint="eastAsia" w:ascii="Times New Roman" w:hAnsi="Times New Roman" w:eastAsia="仿宋_GB2312" w:cs="仿宋_GB2312"/>
          <w:i w:val="0"/>
          <w:caps w:val="0"/>
          <w:color w:val="auto"/>
          <w:spacing w:val="0"/>
          <w:kern w:val="0"/>
          <w:sz w:val="32"/>
          <w:szCs w:val="32"/>
          <w:highlight w:val="none"/>
          <w:shd w:val="clear" w:color="auto" w:fill="auto"/>
          <w:lang w:val="en-US" w:eastAsia="zh-CN" w:bidi="ar"/>
        </w:rPr>
        <w:t>十、其他重要事项的情况说明</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eastAsia="仿宋_GB2312" w:cs="仿宋_GB2312"/>
          <w:i w:val="0"/>
          <w:caps w:val="0"/>
          <w:color w:val="auto"/>
          <w:spacing w:val="0"/>
          <w:kern w:val="0"/>
          <w:sz w:val="32"/>
          <w:szCs w:val="32"/>
          <w:highlight w:val="none"/>
          <w:shd w:val="clear" w:color="auto" w:fill="auto"/>
          <w:lang w:val="en-US" w:eastAsia="zh-CN" w:bidi="ar"/>
        </w:rPr>
        <w:t>13</w:t>
      </w:r>
    </w:p>
    <w:p>
      <w:pPr>
        <w:pStyle w:val="13"/>
        <w:pageBreakBefore w:val="0"/>
        <w:kinsoku/>
        <w:wordWrap/>
        <w:overflowPunct/>
        <w:topLinePunct w:val="0"/>
        <w:bidi w:val="0"/>
        <w:adjustRightInd w:val="0"/>
        <w:snapToGrid w:val="0"/>
        <w:spacing w:line="576" w:lineRule="exact"/>
        <w:jc w:val="both"/>
        <w:rPr>
          <w:rFonts w:hint="eastAsia" w:eastAsia="仿宋_GB2312" w:cs="仿宋_GB2312"/>
          <w:i w:val="0"/>
          <w:caps w:val="0"/>
          <w:color w:val="auto"/>
          <w:spacing w:val="0"/>
          <w:kern w:val="0"/>
          <w:sz w:val="32"/>
          <w:szCs w:val="32"/>
          <w:highlight w:val="none"/>
          <w:shd w:val="clear" w:color="auto" w:fill="auto"/>
          <w:lang w:val="en-US" w:eastAsia="zh-CN" w:bidi="ar"/>
        </w:rPr>
      </w:pPr>
      <w:r>
        <w:rPr>
          <w:rStyle w:val="18"/>
          <w:rFonts w:hint="eastAsia" w:ascii="Times New Roman" w:hAnsi="Times New Roman" w:eastAsia="黑体" w:cs="宋体"/>
          <w:b w:val="0"/>
          <w:bCs/>
          <w:i w:val="0"/>
          <w:caps w:val="0"/>
          <w:color w:val="auto"/>
          <w:spacing w:val="0"/>
          <w:kern w:val="0"/>
          <w:sz w:val="32"/>
          <w:szCs w:val="21"/>
          <w:highlight w:val="none"/>
          <w:shd w:val="clear" w:color="auto" w:fill="auto"/>
          <w:lang w:val="en-US" w:eastAsia="zh-CN" w:bidi="ar"/>
        </w:rPr>
        <w:t>第三部分 名词解释</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eastAsia="仿宋_GB2312" w:cs="仿宋_GB2312"/>
          <w:i w:val="0"/>
          <w:caps w:val="0"/>
          <w:color w:val="auto"/>
          <w:spacing w:val="0"/>
          <w:kern w:val="0"/>
          <w:sz w:val="32"/>
          <w:szCs w:val="32"/>
          <w:highlight w:val="none"/>
          <w:shd w:val="clear" w:color="auto" w:fill="auto"/>
          <w:lang w:val="en-US" w:eastAsia="zh-CN" w:bidi="ar"/>
        </w:rPr>
        <w:t>15</w:t>
      </w:r>
    </w:p>
    <w:p>
      <w:pPr>
        <w:pStyle w:val="13"/>
        <w:pageBreakBefore w:val="0"/>
        <w:kinsoku/>
        <w:wordWrap/>
        <w:overflowPunct/>
        <w:topLinePunct w:val="0"/>
        <w:bidi w:val="0"/>
        <w:adjustRightInd w:val="0"/>
        <w:snapToGrid w:val="0"/>
        <w:spacing w:line="576" w:lineRule="exact"/>
        <w:jc w:val="both"/>
        <w:rPr>
          <w:rStyle w:val="18"/>
          <w:rFonts w:hint="default" w:ascii="Times New Roman" w:hAnsi="Times New Roman" w:eastAsia="黑体" w:cs="宋体"/>
          <w:b w:val="0"/>
          <w:bCs/>
          <w:i w:val="0"/>
          <w:caps w:val="0"/>
          <w:color w:val="auto"/>
          <w:spacing w:val="0"/>
          <w:kern w:val="0"/>
          <w:sz w:val="32"/>
          <w:szCs w:val="21"/>
          <w:highlight w:val="none"/>
          <w:shd w:val="clear" w:color="auto" w:fill="auto"/>
          <w:lang w:val="en-US" w:eastAsia="zh-CN" w:bidi="ar"/>
        </w:rPr>
      </w:pPr>
      <w:r>
        <w:rPr>
          <w:rStyle w:val="18"/>
          <w:rFonts w:hint="eastAsia" w:ascii="Times New Roman" w:hAnsi="Times New Roman" w:eastAsia="黑体" w:cs="宋体"/>
          <w:b w:val="0"/>
          <w:bCs/>
          <w:i w:val="0"/>
          <w:caps w:val="0"/>
          <w:color w:val="auto"/>
          <w:spacing w:val="0"/>
          <w:kern w:val="0"/>
          <w:sz w:val="32"/>
          <w:szCs w:val="21"/>
          <w:highlight w:val="none"/>
          <w:shd w:val="clear" w:color="auto" w:fill="auto"/>
          <w:lang w:val="en-US" w:eastAsia="zh-CN" w:bidi="ar"/>
        </w:rPr>
        <w:t>第四部分 附件</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eastAsia="仿宋_GB2312" w:cs="仿宋_GB2312"/>
          <w:i w:val="0"/>
          <w:caps w:val="0"/>
          <w:color w:val="auto"/>
          <w:spacing w:val="0"/>
          <w:kern w:val="0"/>
          <w:sz w:val="32"/>
          <w:szCs w:val="32"/>
          <w:highlight w:val="none"/>
          <w:shd w:val="clear" w:color="auto" w:fill="auto"/>
          <w:lang w:val="en-US" w:eastAsia="zh-CN" w:bidi="ar"/>
        </w:rPr>
        <w:t>17</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Style w:val="18"/>
          <w:rFonts w:hint="eastAsia" w:ascii="Times New Roman" w:hAnsi="Times New Roman" w:eastAsia="黑体" w:cs="宋体"/>
          <w:b w:val="0"/>
          <w:bCs/>
          <w:i w:val="0"/>
          <w:caps w:val="0"/>
          <w:color w:val="auto"/>
          <w:spacing w:val="0"/>
          <w:kern w:val="0"/>
          <w:sz w:val="32"/>
          <w:szCs w:val="21"/>
          <w:highlight w:val="none"/>
          <w:shd w:val="clear" w:color="auto" w:fill="auto"/>
          <w:lang w:val="en-US" w:eastAsia="zh-CN" w:bidi="ar"/>
        </w:rPr>
        <w:t>第五部分 附表</w:t>
      </w:r>
      <w:r>
        <w:rPr>
          <w:rFonts w:hint="default" w:ascii="Arial" w:hAnsi="Arial" w:eastAsia="仿宋_GB2312" w:cs="Arial"/>
          <w:i w:val="0"/>
          <w:caps w:val="0"/>
          <w:color w:val="auto"/>
          <w:spacing w:val="0"/>
          <w:kern w:val="0"/>
          <w:sz w:val="32"/>
          <w:szCs w:val="32"/>
          <w:highlight w:val="none"/>
          <w:shd w:val="clear" w:color="auto" w:fill="auto"/>
          <w:lang w:val="en-US" w:eastAsia="zh-CN" w:bidi="ar"/>
        </w:rPr>
        <w:t>……………………………………………</w:t>
      </w:r>
      <w:r>
        <w:rPr>
          <w:rFonts w:hint="eastAsia" w:ascii="Arial" w:hAnsi="Arial" w:eastAsia="仿宋_GB2312" w:cs="Arial"/>
          <w:i w:val="0"/>
          <w:caps w:val="0"/>
          <w:color w:val="auto"/>
          <w:spacing w:val="0"/>
          <w:kern w:val="0"/>
          <w:sz w:val="32"/>
          <w:szCs w:val="32"/>
          <w:highlight w:val="none"/>
          <w:shd w:val="clear" w:color="auto" w:fill="auto"/>
          <w:lang w:val="en-US" w:eastAsia="zh-CN" w:bidi="ar"/>
        </w:rPr>
        <w:t>20</w:t>
      </w:r>
      <w:r>
        <w:rPr>
          <w:rFonts w:hint="eastAsia" w:ascii="Times New Roman" w:hAnsi="Times New Roman" w:eastAsia="仿宋_GB2312" w:cs="仿宋_GB2312"/>
          <w:i w:val="0"/>
          <w:caps w:val="0"/>
          <w:color w:val="auto"/>
          <w:spacing w:val="0"/>
          <w:sz w:val="32"/>
          <w:szCs w:val="32"/>
          <w:highlight w:val="none"/>
          <w:shd w:val="clear" w:color="auto" w:fill="auto"/>
        </w:rPr>
        <w:t>一、收入支出决算总表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二、收入决算表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三、支出决算表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四、财政拨款收入支出决算总表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五、财政拨款支出决算明细表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六、一般公共预算财政拨款支出决算表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七、一般公共预算财政拨款支出决算明细表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八、一般公共预算财政拨款基本支出决算明细表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九、一般公共预算财政拨款项目支出决算表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十、政府性基金预算财政拨款收入支出决算表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十一、国有资本经营预算财政拨款收入支出决算表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十二、国有资本经营预算财政拨款支出决算表</w:t>
      </w:r>
    </w:p>
    <w:p>
      <w:pPr>
        <w:pStyle w:val="13"/>
        <w:pageBreakBefore w:val="0"/>
        <w:kinsoku/>
        <w:wordWrap/>
        <w:overflowPunct/>
        <w:topLinePunct w:val="0"/>
        <w:bidi w:val="0"/>
        <w:adjustRightInd w:val="0"/>
        <w:snapToGrid w:val="0"/>
        <w:spacing w:line="576" w:lineRule="exact"/>
        <w:jc w:val="both"/>
        <w:rPr>
          <w:rFonts w:hint="eastAsia" w:ascii="Times New Roman" w:hAnsi="Times New Roman" w:eastAsia="仿宋_GB2312" w:cs="仿宋_GB2312"/>
          <w:i w:val="0"/>
          <w:caps w:val="0"/>
          <w:color w:val="auto"/>
          <w:spacing w:val="0"/>
          <w:sz w:val="32"/>
          <w:szCs w:val="32"/>
          <w:highlight w:val="none"/>
          <w:shd w:val="clear" w:color="auto" w:fill="auto"/>
        </w:rPr>
      </w:pPr>
      <w:r>
        <w:rPr>
          <w:rFonts w:hint="eastAsia" w:ascii="Times New Roman" w:hAnsi="Times New Roman" w:eastAsia="仿宋_GB2312" w:cs="仿宋_GB2312"/>
          <w:i w:val="0"/>
          <w:caps w:val="0"/>
          <w:color w:val="auto"/>
          <w:spacing w:val="0"/>
          <w:sz w:val="32"/>
          <w:szCs w:val="32"/>
          <w:highlight w:val="none"/>
          <w:shd w:val="clear" w:color="auto" w:fill="auto"/>
        </w:rPr>
        <w:t>十三、财政拨款“三公”经费支出决算表</w:t>
      </w:r>
    </w:p>
    <w:p>
      <w:pPr>
        <w:pStyle w:val="13"/>
        <w:pageBreakBefore w:val="0"/>
        <w:kinsoku/>
        <w:wordWrap/>
        <w:overflowPunct/>
        <w:topLinePunct w:val="0"/>
        <w:bidi w:val="0"/>
        <w:adjustRightInd w:val="0"/>
        <w:snapToGrid w:val="0"/>
        <w:spacing w:line="576" w:lineRule="exact"/>
        <w:ind w:left="0" w:leftChars="0" w:firstLine="0" w:firstLineChars="0"/>
        <w:jc w:val="both"/>
        <w:rPr>
          <w:rFonts w:hint="eastAsia" w:eastAsia="宋体"/>
          <w:sz w:val="24"/>
          <w:lang w:eastAsia="zh-CN"/>
        </w:rPr>
      </w:pPr>
      <w:bookmarkStart w:id="16" w:name="_Toc15396599"/>
      <w:bookmarkStart w:id="17" w:name="_Toc15377196"/>
      <w:r>
        <w:rPr>
          <w:rFonts w:hint="eastAsia"/>
          <w:sz w:val="24"/>
        </w:rPr>
        <w:br w:type="page"/>
      </w:r>
    </w:p>
    <w:p>
      <w:pPr>
        <w:pStyle w:val="3"/>
        <w:pageBreakBefore w:val="0"/>
        <w:kinsoku/>
        <w:wordWrap/>
        <w:overflowPunct/>
        <w:topLinePunct w:val="0"/>
        <w:bidi w:val="0"/>
        <w:spacing w:line="576" w:lineRule="exact"/>
        <w:jc w:val="center"/>
        <w:rPr>
          <w:rStyle w:val="29"/>
          <w:rFonts w:ascii="黑体" w:hAnsi="黑体" w:eastAsia="黑体"/>
          <w:b/>
          <w:bCs w:val="0"/>
        </w:rPr>
      </w:pPr>
      <w:bookmarkStart w:id="18" w:name="_Toc7648"/>
      <w:r>
        <w:rPr>
          <w:rFonts w:hint="eastAsia" w:ascii="黑体" w:hAnsi="黑体" w:eastAsia="黑体"/>
          <w:b w:val="0"/>
        </w:rPr>
        <w:t>第一部分 单位</w:t>
      </w:r>
      <w:r>
        <w:rPr>
          <w:rStyle w:val="29"/>
          <w:rFonts w:hint="eastAsia" w:ascii="黑体" w:hAnsi="黑体" w:eastAsia="黑体"/>
          <w:b w:val="0"/>
          <w:bCs w:val="0"/>
        </w:rPr>
        <w:t>概况</w:t>
      </w:r>
      <w:bookmarkEnd w:id="16"/>
      <w:bookmarkEnd w:id="17"/>
      <w:bookmarkEnd w:id="18"/>
    </w:p>
    <w:p>
      <w:pPr>
        <w:pageBreakBefore w:val="0"/>
        <w:widowControl/>
        <w:kinsoku/>
        <w:wordWrap/>
        <w:overflowPunct/>
        <w:topLinePunct w:val="0"/>
        <w:bidi w:val="0"/>
        <w:spacing w:line="576" w:lineRule="exact"/>
        <w:jc w:val="both"/>
        <w:rPr>
          <w:rFonts w:ascii="黑体" w:eastAsia="黑体"/>
          <w:sz w:val="32"/>
          <w:szCs w:val="32"/>
        </w:rPr>
      </w:pPr>
    </w:p>
    <w:p>
      <w:pPr>
        <w:pStyle w:val="28"/>
        <w:pageBreakBefore w:val="0"/>
        <w:numPr>
          <w:ilvl w:val="0"/>
          <w:numId w:val="0"/>
        </w:numPr>
        <w:kinsoku/>
        <w:wordWrap/>
        <w:overflowPunct/>
        <w:topLinePunct w:val="0"/>
        <w:bidi w:val="0"/>
        <w:spacing w:line="576" w:lineRule="exact"/>
        <w:ind w:firstLine="640" w:firstLineChars="200"/>
        <w:jc w:val="both"/>
        <w:outlineLvl w:val="1"/>
        <w:rPr>
          <w:rFonts w:hint="eastAsia" w:ascii="黑体" w:hAnsi="黑体" w:eastAsia="黑体" w:cs="Times New Roman"/>
          <w:sz w:val="32"/>
          <w:szCs w:val="32"/>
          <w:lang w:eastAsia="zh-CN"/>
        </w:rPr>
      </w:pPr>
      <w:bookmarkStart w:id="19" w:name="_Toc15396600"/>
      <w:bookmarkStart w:id="20" w:name="_Toc15377197"/>
      <w:r>
        <w:rPr>
          <w:rFonts w:hint="eastAsia" w:ascii="黑体" w:hAnsi="黑体" w:eastAsia="黑体" w:cs="Times New Roman"/>
          <w:sz w:val="32"/>
          <w:szCs w:val="32"/>
          <w:lang w:eastAsia="zh-CN"/>
        </w:rPr>
        <w:t>一、主要职责</w:t>
      </w:r>
    </w:p>
    <w:p>
      <w:pPr>
        <w:pStyle w:val="28"/>
        <w:pageBreakBefore w:val="0"/>
        <w:numPr>
          <w:ilvl w:val="0"/>
          <w:numId w:val="0"/>
        </w:numPr>
        <w:kinsoku/>
        <w:wordWrap/>
        <w:overflowPunct/>
        <w:topLinePunct w:val="0"/>
        <w:bidi w:val="0"/>
        <w:spacing w:line="576" w:lineRule="exact"/>
        <w:ind w:firstLine="640" w:firstLineChars="200"/>
        <w:jc w:val="both"/>
        <w:outlineLvl w:val="1"/>
        <w:rPr>
          <w:rFonts w:hint="eastAsia" w:ascii="仿宋_GB2312" w:eastAsia="仿宋_GB2312"/>
          <w:sz w:val="32"/>
        </w:rPr>
      </w:pPr>
      <w:r>
        <w:rPr>
          <w:rFonts w:hint="eastAsia" w:ascii="仿宋_GB2312" w:hAnsi="Times New Roman" w:eastAsia="仿宋_GB2312" w:cs="Times New Roman"/>
          <w:sz w:val="32"/>
          <w:lang w:eastAsia="zh-CN"/>
        </w:rPr>
        <w:t>收集、处理、传递经贸信息，为领导宏观决策和企业、社会公众提供信息服务。为厅</w:t>
      </w:r>
      <w:r>
        <w:rPr>
          <w:rFonts w:hint="eastAsia" w:ascii="仿宋_GB2312" w:hAnsi="Times New Roman" w:eastAsia="仿宋_GB2312" w:cs="Times New Roman"/>
          <w:sz w:val="32"/>
        </w:rPr>
        <w:t>机</w:t>
      </w:r>
      <w:r>
        <w:rPr>
          <w:rFonts w:hint="eastAsia" w:ascii="仿宋_GB2312" w:eastAsia="仿宋_GB2312"/>
          <w:sz w:val="32"/>
        </w:rPr>
        <w:t>关做好技术支撑、数据支撑和智力支撑。</w:t>
      </w:r>
      <w:r>
        <w:rPr>
          <w:rFonts w:hint="eastAsia" w:ascii="仿宋_GB2312" w:eastAsia="仿宋_GB2312"/>
          <w:b/>
          <w:bCs/>
          <w:sz w:val="32"/>
        </w:rPr>
        <w:t>一是</w:t>
      </w:r>
      <w:r>
        <w:rPr>
          <w:rFonts w:hint="eastAsia" w:ascii="仿宋_GB2312" w:eastAsia="仿宋_GB2312"/>
          <w:sz w:val="32"/>
        </w:rPr>
        <w:t>承担厅机关网络安全和信息化系统（含应用支撑平台、协同办公平台等）的规划、建设、运行和安全保护管理，指导厅其他直属单位网络安全和信息化建设工作；承担厅网络安全和信息化建设领导小组办公室的有关具体工作。</w:t>
      </w:r>
      <w:r>
        <w:rPr>
          <w:rFonts w:hint="eastAsia" w:ascii="仿宋_GB2312" w:eastAsia="仿宋_GB2312"/>
          <w:b/>
          <w:bCs/>
          <w:sz w:val="32"/>
        </w:rPr>
        <w:t>二是</w:t>
      </w:r>
      <w:r>
        <w:rPr>
          <w:rFonts w:hint="eastAsia" w:ascii="仿宋_GB2312" w:eastAsia="仿宋_GB2312"/>
          <w:sz w:val="32"/>
        </w:rPr>
        <w:t>承担一网通办对接、政务信息系统整合共享、政务数据汇集等工作；承担政务信息公开、信息目标考核；承担网站的信息管理、维护和发布工作。</w:t>
      </w:r>
      <w:r>
        <w:rPr>
          <w:rFonts w:hint="eastAsia" w:ascii="仿宋_GB2312" w:eastAsia="仿宋_GB2312"/>
          <w:b/>
          <w:bCs/>
          <w:sz w:val="32"/>
        </w:rPr>
        <w:t>三是</w:t>
      </w:r>
      <w:r>
        <w:rPr>
          <w:rFonts w:hint="eastAsia" w:ascii="仿宋_GB2312" w:eastAsia="仿宋_GB2312"/>
          <w:sz w:val="32"/>
        </w:rPr>
        <w:t>承担全省工业和信息化系统经济运行监测及预测预警系统和决策支持基础数据库运行维护相关工作；承担全省工业和信息化系统相关数据采集、信息统计工作，参与经济运行监测和经济发展重大问题分析。</w:t>
      </w:r>
      <w:r>
        <w:rPr>
          <w:rFonts w:hint="eastAsia" w:ascii="仿宋_GB2312" w:eastAsia="仿宋_GB2312"/>
          <w:b/>
          <w:bCs/>
          <w:sz w:val="32"/>
        </w:rPr>
        <w:t>四是</w:t>
      </w:r>
      <w:r>
        <w:rPr>
          <w:rFonts w:hint="eastAsia" w:ascii="仿宋_GB2312" w:eastAsia="仿宋_GB2312"/>
          <w:sz w:val="32"/>
        </w:rPr>
        <w:t>承担厅机关网络基础设施、业务应用系统、计算机终端及辅助设备的日常运行维护和相关设备的采购工作。</w:t>
      </w:r>
      <w:r>
        <w:rPr>
          <w:rFonts w:hint="eastAsia" w:ascii="仿宋_GB2312" w:eastAsia="仿宋_GB2312"/>
          <w:b/>
          <w:bCs/>
          <w:sz w:val="32"/>
        </w:rPr>
        <w:t>五是</w:t>
      </w:r>
      <w:r>
        <w:rPr>
          <w:rFonts w:hint="eastAsia" w:ascii="仿宋_GB2312" w:eastAsia="仿宋_GB2312"/>
          <w:sz w:val="32"/>
        </w:rPr>
        <w:t>承担对全省重点企业信息工作提供业务指导、技术咨询服务，积极推动企业信息化，开展信息的社会化服务。</w:t>
      </w:r>
    </w:p>
    <w:p>
      <w:pPr>
        <w:pageBreakBefore w:val="0"/>
        <w:kinsoku/>
        <w:wordWrap/>
        <w:overflowPunct/>
        <w:topLinePunct w:val="0"/>
        <w:bidi w:val="0"/>
        <w:snapToGrid w:val="0"/>
        <w:spacing w:line="576" w:lineRule="exact"/>
        <w:ind w:firstLine="640" w:firstLineChars="200"/>
        <w:jc w:val="both"/>
        <w:rPr>
          <w:rFonts w:hint="eastAsia" w:ascii="仿宋_GB2312" w:eastAsia="仿宋_GB2312"/>
          <w:sz w:val="32"/>
        </w:rPr>
      </w:pPr>
      <w:r>
        <w:rPr>
          <w:rFonts w:hint="eastAsia" w:ascii="仿宋_GB2312" w:eastAsia="仿宋_GB2312"/>
          <w:sz w:val="32"/>
        </w:rPr>
        <w:t>收集、处理、传递经贸信息，为领导宏观决策和企业、社会公众提供信息服务。为厅机关做好技术支撑、数据支撑</w:t>
      </w:r>
      <w:bookmarkStart w:id="77" w:name="_GoBack"/>
      <w:bookmarkEnd w:id="77"/>
      <w:r>
        <w:rPr>
          <w:rFonts w:hint="eastAsia" w:ascii="仿宋_GB2312" w:eastAsia="仿宋_GB2312"/>
          <w:sz w:val="32"/>
        </w:rPr>
        <w:t>和智力支撑。</w:t>
      </w:r>
      <w:r>
        <w:rPr>
          <w:rFonts w:hint="eastAsia" w:ascii="仿宋_GB2312" w:eastAsia="仿宋_GB2312"/>
          <w:b/>
          <w:bCs/>
          <w:sz w:val="32"/>
          <w:lang w:eastAsia="zh-CN"/>
        </w:rPr>
        <w:t>一是</w:t>
      </w:r>
      <w:r>
        <w:rPr>
          <w:rFonts w:hint="eastAsia" w:ascii="仿宋_GB2312" w:eastAsia="仿宋_GB2312"/>
          <w:sz w:val="32"/>
        </w:rPr>
        <w:t>为省经济和信息化厅领导宏观决策提供信息服务和技术支撑。</w:t>
      </w:r>
      <w:r>
        <w:rPr>
          <w:rFonts w:hint="eastAsia" w:ascii="仿宋_GB2312" w:eastAsia="仿宋_GB2312"/>
          <w:b/>
          <w:bCs/>
          <w:sz w:val="32"/>
          <w:lang w:eastAsia="zh-CN"/>
        </w:rPr>
        <w:t>二是</w:t>
      </w:r>
      <w:r>
        <w:rPr>
          <w:rFonts w:hint="eastAsia" w:ascii="仿宋_GB2312" w:eastAsia="仿宋_GB2312"/>
          <w:sz w:val="32"/>
        </w:rPr>
        <w:t>承担厅机关网络安全和信息化系统（含应用支撑平台、协同办公平台等）的规划、建设、运行和安全保护管理，指导厅其他直属单位网络安全和信息化建设工作；承担厅网络安全和信息化建设领导小组办公室的有关具体工作。</w:t>
      </w:r>
      <w:r>
        <w:rPr>
          <w:rFonts w:hint="eastAsia" w:ascii="仿宋_GB2312" w:eastAsia="仿宋_GB2312"/>
          <w:b/>
          <w:bCs/>
          <w:sz w:val="32"/>
          <w:lang w:eastAsia="zh-CN"/>
        </w:rPr>
        <w:t>三是</w:t>
      </w:r>
      <w:r>
        <w:rPr>
          <w:rFonts w:hint="eastAsia" w:ascii="仿宋_GB2312" w:eastAsia="仿宋_GB2312"/>
          <w:sz w:val="32"/>
        </w:rPr>
        <w:t>承担一网通办对接、政务信息系统整合共享、政务数据汇集等工作；承担政务信息公开、信息目标考核；承担网站的信息管理、维护和发布工作。</w:t>
      </w:r>
      <w:r>
        <w:rPr>
          <w:rFonts w:hint="eastAsia" w:ascii="仿宋_GB2312" w:eastAsia="仿宋_GB2312"/>
          <w:b/>
          <w:bCs/>
          <w:sz w:val="32"/>
          <w:lang w:eastAsia="zh-CN"/>
        </w:rPr>
        <w:t>四是</w:t>
      </w:r>
      <w:r>
        <w:rPr>
          <w:rFonts w:hint="eastAsia" w:ascii="仿宋_GB2312" w:eastAsia="仿宋_GB2312"/>
          <w:sz w:val="32"/>
        </w:rPr>
        <w:t>承担全省工业和信息化系统经济运行监测及预测预警系统和决策支持基础数据库运行维护相关工作；承担全省工业和信息化系统相关数据采集、信息统计工作，参与经济运行监测和经济发展重大问题分析。</w:t>
      </w:r>
      <w:r>
        <w:rPr>
          <w:rFonts w:hint="eastAsia" w:ascii="仿宋_GB2312" w:eastAsia="仿宋_GB2312"/>
          <w:b/>
          <w:bCs/>
          <w:sz w:val="32"/>
          <w:lang w:eastAsia="zh-CN"/>
        </w:rPr>
        <w:t>五是</w:t>
      </w:r>
      <w:r>
        <w:rPr>
          <w:rFonts w:hint="eastAsia" w:ascii="仿宋_GB2312" w:eastAsia="仿宋_GB2312"/>
          <w:sz w:val="32"/>
        </w:rPr>
        <w:t>承担厅机关网络基础设施、业务应用系统、计算机终端及辅助设备的日常运行维护和相关设备的采购工作。</w:t>
      </w:r>
      <w:r>
        <w:rPr>
          <w:rFonts w:hint="eastAsia" w:ascii="仿宋_GB2312" w:eastAsia="仿宋_GB2312"/>
          <w:b/>
          <w:bCs/>
          <w:sz w:val="32"/>
          <w:lang w:eastAsia="zh-CN"/>
        </w:rPr>
        <w:t>六是</w:t>
      </w:r>
      <w:r>
        <w:rPr>
          <w:rFonts w:hint="eastAsia" w:ascii="仿宋_GB2312" w:eastAsia="仿宋_GB2312"/>
          <w:sz w:val="32"/>
        </w:rPr>
        <w:t>承担对全省重点企业信息工作提供业务指导、技术咨询服务，积极推动企业信息化，开展信息的社会化服务。</w:t>
      </w:r>
      <w:r>
        <w:rPr>
          <w:rFonts w:hint="eastAsia" w:ascii="仿宋_GB2312" w:eastAsia="仿宋_GB2312"/>
          <w:b/>
          <w:bCs/>
          <w:sz w:val="32"/>
          <w:lang w:eastAsia="zh-CN"/>
        </w:rPr>
        <w:t>七是</w:t>
      </w:r>
      <w:r>
        <w:rPr>
          <w:rFonts w:hint="eastAsia" w:ascii="仿宋_GB2312" w:eastAsia="仿宋_GB2312"/>
          <w:sz w:val="32"/>
        </w:rPr>
        <w:t>承办经济和信息化厅交办的其他事项。</w:t>
      </w:r>
    </w:p>
    <w:p>
      <w:pPr>
        <w:pStyle w:val="28"/>
        <w:pageBreakBefore w:val="0"/>
        <w:numPr>
          <w:ilvl w:val="0"/>
          <w:numId w:val="0"/>
        </w:numPr>
        <w:kinsoku/>
        <w:wordWrap/>
        <w:overflowPunct/>
        <w:topLinePunct w:val="0"/>
        <w:bidi w:val="0"/>
        <w:spacing w:line="576" w:lineRule="exact"/>
        <w:ind w:firstLine="640" w:firstLineChars="200"/>
        <w:jc w:val="both"/>
        <w:outlineLvl w:val="1"/>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二、机构设置</w:t>
      </w:r>
    </w:p>
    <w:p>
      <w:pPr>
        <w:pStyle w:val="28"/>
        <w:pageBreakBefore w:val="0"/>
        <w:numPr>
          <w:ilvl w:val="0"/>
          <w:numId w:val="0"/>
        </w:numPr>
        <w:kinsoku/>
        <w:wordWrap/>
        <w:overflowPunct/>
        <w:topLinePunct w:val="0"/>
        <w:bidi w:val="0"/>
        <w:spacing w:line="576" w:lineRule="exact"/>
        <w:ind w:firstLine="640" w:firstLineChars="200"/>
        <w:jc w:val="both"/>
        <w:outlineLvl w:val="1"/>
        <w:rPr>
          <w:rFonts w:hint="eastAsia" w:ascii="仿宋_GB2312" w:eastAsia="仿宋_GB2312" w:cs="Times New Roman"/>
          <w:sz w:val="32"/>
          <w:lang w:val="en-US" w:eastAsia="zh-CN"/>
        </w:rPr>
      </w:pPr>
      <w:r>
        <w:rPr>
          <w:rFonts w:hint="eastAsia" w:ascii="仿宋_GB2312" w:hAnsi="Times New Roman" w:eastAsia="仿宋_GB2312" w:cs="Times New Roman"/>
          <w:sz w:val="32"/>
          <w:lang w:val="en-US" w:eastAsia="zh-CN"/>
        </w:rPr>
        <w:t>四川省经济和信息化厅信息中心是1996年1月经省编委批准（川编发〔1996〕5号）设立</w:t>
      </w:r>
      <w:r>
        <w:rPr>
          <w:rFonts w:hint="eastAsia" w:ascii="仿宋_GB2312" w:eastAsia="仿宋_GB2312" w:cs="Times New Roman"/>
          <w:sz w:val="32"/>
          <w:lang w:val="en-US" w:eastAsia="zh-CN"/>
        </w:rPr>
        <w:t>，为省经济和信息化厅主管的公益一类事业单位。中心内设综合部、网络运行部、技术保障部、政务信息部和监测分析部5个部门。</w:t>
      </w:r>
    </w:p>
    <w:p>
      <w:pPr>
        <w:pageBreakBefore w:val="0"/>
        <w:kinsoku/>
        <w:wordWrap/>
        <w:overflowPunct/>
        <w:topLinePunct w:val="0"/>
        <w:bidi w:val="0"/>
        <w:spacing w:line="576" w:lineRule="exact"/>
        <w:ind w:firstLine="640" w:firstLineChars="200"/>
        <w:jc w:val="both"/>
        <w:rPr>
          <w:rFonts w:hint="eastAsia" w:ascii="仿宋_GB2312" w:eastAsia="仿宋_GB2312"/>
          <w:sz w:val="32"/>
        </w:rPr>
      </w:pPr>
    </w:p>
    <w:p>
      <w:pPr>
        <w:pageBreakBefore w:val="0"/>
        <w:numPr>
          <w:ilvl w:val="0"/>
          <w:numId w:val="0"/>
        </w:numPr>
        <w:kinsoku/>
        <w:wordWrap/>
        <w:overflowPunct/>
        <w:topLinePunct w:val="0"/>
        <w:bidi w:val="0"/>
        <w:spacing w:line="576" w:lineRule="exact"/>
        <w:ind w:leftChars="0"/>
        <w:jc w:val="both"/>
      </w:pPr>
    </w:p>
    <w:bookmarkEnd w:id="19"/>
    <w:bookmarkEnd w:id="20"/>
    <w:p>
      <w:pPr>
        <w:pageBreakBefore w:val="0"/>
        <w:widowControl/>
        <w:kinsoku/>
        <w:wordWrap/>
        <w:overflowPunct/>
        <w:topLinePunct w:val="0"/>
        <w:bidi w:val="0"/>
        <w:spacing w:line="576" w:lineRule="exact"/>
        <w:jc w:val="both"/>
        <w:rPr>
          <w:rFonts w:ascii="仿宋" w:hAnsi="仿宋" w:eastAsia="仿宋"/>
          <w:kern w:val="0"/>
          <w:sz w:val="32"/>
          <w:szCs w:val="32"/>
        </w:rPr>
      </w:pPr>
      <w:r>
        <w:rPr>
          <w:rFonts w:ascii="仿宋" w:hAnsi="仿宋" w:eastAsia="仿宋"/>
          <w:sz w:val="32"/>
          <w:szCs w:val="32"/>
        </w:rPr>
        <w:br w:type="page"/>
      </w:r>
    </w:p>
    <w:p>
      <w:pPr>
        <w:pStyle w:val="3"/>
        <w:pageBreakBefore w:val="0"/>
        <w:kinsoku/>
        <w:wordWrap/>
        <w:overflowPunct/>
        <w:topLinePunct w:val="0"/>
        <w:bidi w:val="0"/>
        <w:spacing w:line="576" w:lineRule="exact"/>
        <w:ind w:right="440"/>
        <w:jc w:val="center"/>
      </w:pPr>
      <w:bookmarkStart w:id="21" w:name="_Toc15377204"/>
      <w:bookmarkStart w:id="22" w:name="_Toc15396602"/>
      <w:bookmarkStart w:id="23" w:name="_Toc17647"/>
      <w:r>
        <w:rPr>
          <w:rFonts w:hint="eastAsia" w:ascii="黑体" w:hAnsi="黑体" w:eastAsia="黑体"/>
          <w:b w:val="0"/>
          <w:lang w:val="en-US" w:eastAsia="zh-CN"/>
        </w:rPr>
        <w:t xml:space="preserve"> </w:t>
      </w:r>
      <w:r>
        <w:rPr>
          <w:rFonts w:hint="eastAsia" w:ascii="黑体" w:hAnsi="黑体" w:eastAsia="黑体"/>
          <w:b w:val="0"/>
        </w:rPr>
        <w:t>第二部分 2023年度</w:t>
      </w:r>
      <w:r>
        <w:rPr>
          <w:rStyle w:val="29"/>
          <w:rFonts w:hint="eastAsia" w:ascii="黑体" w:hAnsi="黑体" w:eastAsia="黑体"/>
          <w:b w:val="0"/>
          <w:bCs/>
        </w:rPr>
        <w:t>单位决算情况说明</w:t>
      </w:r>
      <w:bookmarkEnd w:id="21"/>
      <w:bookmarkEnd w:id="22"/>
      <w:bookmarkEnd w:id="23"/>
    </w:p>
    <w:p>
      <w:pPr>
        <w:pStyle w:val="28"/>
        <w:pageBreakBefore w:val="0"/>
        <w:numPr>
          <w:ilvl w:val="0"/>
          <w:numId w:val="0"/>
        </w:numPr>
        <w:kinsoku/>
        <w:wordWrap/>
        <w:overflowPunct/>
        <w:topLinePunct w:val="0"/>
        <w:bidi w:val="0"/>
        <w:spacing w:line="576" w:lineRule="exact"/>
        <w:ind w:firstLine="640" w:firstLineChars="200"/>
        <w:jc w:val="both"/>
        <w:outlineLvl w:val="1"/>
        <w:rPr>
          <w:rStyle w:val="30"/>
          <w:rFonts w:ascii="黑体" w:hAnsi="黑体" w:eastAsia="黑体"/>
          <w:b w:val="0"/>
        </w:rPr>
      </w:pPr>
      <w:bookmarkStart w:id="24" w:name="_Toc15377205"/>
      <w:bookmarkStart w:id="25" w:name="_Toc15396603"/>
      <w:r>
        <w:rPr>
          <w:rFonts w:hint="eastAsia" w:ascii="黑体" w:hAnsi="黑体" w:eastAsia="黑体"/>
          <w:sz w:val="32"/>
          <w:szCs w:val="32"/>
          <w:lang w:eastAsia="zh-CN"/>
        </w:rPr>
        <w:t>一、</w:t>
      </w:r>
      <w:r>
        <w:rPr>
          <w:rFonts w:hint="eastAsia" w:ascii="黑体" w:hAnsi="黑体" w:eastAsia="黑体"/>
          <w:sz w:val="32"/>
          <w:szCs w:val="32"/>
        </w:rPr>
        <w:t>收</w:t>
      </w:r>
      <w:r>
        <w:rPr>
          <w:rStyle w:val="30"/>
          <w:rFonts w:hint="eastAsia" w:ascii="黑体" w:hAnsi="黑体" w:eastAsia="黑体"/>
          <w:b w:val="0"/>
        </w:rPr>
        <w:t>入支出决算总体情况说明</w:t>
      </w:r>
      <w:bookmarkEnd w:id="24"/>
      <w:bookmarkEnd w:id="25"/>
    </w:p>
    <w:p>
      <w:pPr>
        <w:pageBreakBefore w:val="0"/>
        <w:kinsoku/>
        <w:wordWrap/>
        <w:overflowPunct/>
        <w:topLinePunct w:val="0"/>
        <w:bidi w:val="0"/>
        <w:spacing w:line="576" w:lineRule="exact"/>
        <w:ind w:firstLine="640" w:firstLineChars="200"/>
        <w:jc w:val="both"/>
        <w:rPr>
          <w:rFonts w:hint="eastAsia" w:ascii="仿宋" w:hAnsi="仿宋" w:eastAsia="仿宋"/>
          <w:sz w:val="32"/>
          <w:szCs w:val="32"/>
          <w:lang w:val="en-US" w:eastAsia="zh-CN"/>
        </w:rPr>
      </w:pPr>
      <w:r>
        <w:rPr>
          <w:rFonts w:hint="eastAsia" w:ascii="仿宋" w:hAnsi="仿宋" w:eastAsia="仿宋"/>
          <w:sz w:val="32"/>
          <w:szCs w:val="32"/>
        </w:rPr>
        <w:t>2023年度收、支总计均为</w:t>
      </w:r>
      <w:r>
        <w:rPr>
          <w:rFonts w:hint="eastAsia" w:ascii="仿宋" w:hAnsi="仿宋" w:eastAsia="仿宋"/>
          <w:b/>
          <w:sz w:val="32"/>
          <w:szCs w:val="32"/>
        </w:rPr>
        <w:t>453.35</w:t>
      </w:r>
      <w:r>
        <w:rPr>
          <w:rFonts w:hint="eastAsia" w:ascii="仿宋" w:hAnsi="仿宋" w:eastAsia="仿宋"/>
          <w:sz w:val="32"/>
          <w:szCs w:val="32"/>
        </w:rPr>
        <w:t>万元。与2022年度相比，收</w:t>
      </w:r>
      <w:r>
        <w:rPr>
          <w:rFonts w:hint="eastAsia" w:ascii="仿宋" w:hAnsi="仿宋" w:eastAsia="仿宋"/>
          <w:sz w:val="32"/>
          <w:szCs w:val="32"/>
          <w:lang w:val="en-US" w:eastAsia="zh-CN"/>
        </w:rPr>
        <w:t>入、支出</w:t>
      </w:r>
      <w:r>
        <w:rPr>
          <w:rFonts w:hint="eastAsia" w:ascii="仿宋" w:hAnsi="仿宋" w:eastAsia="仿宋"/>
          <w:sz w:val="32"/>
          <w:szCs w:val="32"/>
        </w:rPr>
        <w:t>总计各</w:t>
      </w:r>
      <w:r>
        <w:rPr>
          <w:rFonts w:hint="eastAsia" w:ascii="仿宋" w:hAnsi="仿宋" w:eastAsia="仿宋"/>
          <w:sz w:val="32"/>
          <w:szCs w:val="32"/>
          <w:lang w:val="en-US" w:eastAsia="zh-CN"/>
        </w:rPr>
        <w:t>均</w:t>
      </w:r>
      <w:r>
        <w:rPr>
          <w:rFonts w:hint="eastAsia" w:ascii="仿宋" w:hAnsi="仿宋" w:eastAsia="仿宋"/>
          <w:sz w:val="32"/>
          <w:szCs w:val="32"/>
        </w:rPr>
        <w:t>增加</w:t>
      </w:r>
      <w:r>
        <w:rPr>
          <w:rFonts w:hint="eastAsia" w:ascii="仿宋" w:hAnsi="仿宋" w:eastAsia="仿宋" w:cs="Times New Roman"/>
          <w:b/>
          <w:sz w:val="32"/>
          <w:szCs w:val="32"/>
          <w:lang w:val="en-US" w:eastAsia="zh-CN"/>
        </w:rPr>
        <w:t>76.58</w:t>
      </w:r>
      <w:r>
        <w:rPr>
          <w:rFonts w:hint="eastAsia" w:ascii="仿宋" w:hAnsi="仿宋" w:eastAsia="仿宋"/>
          <w:sz w:val="32"/>
          <w:szCs w:val="32"/>
        </w:rPr>
        <w:t>万元，增长</w:t>
      </w:r>
      <w:r>
        <w:rPr>
          <w:rFonts w:hint="eastAsia" w:ascii="仿宋" w:hAnsi="仿宋" w:eastAsia="仿宋"/>
          <w:b/>
          <w:bCs/>
          <w:sz w:val="32"/>
          <w:szCs w:val="32"/>
          <w:lang w:val="en-US" w:eastAsia="zh-CN"/>
        </w:rPr>
        <w:t>20</w:t>
      </w:r>
      <w:r>
        <w:rPr>
          <w:rFonts w:ascii="仿宋" w:hAnsi="仿宋" w:eastAsia="仿宋"/>
          <w:b/>
          <w:bCs/>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人员经费增加。</w:t>
      </w:r>
    </w:p>
    <w:p>
      <w:pPr>
        <w:pStyle w:val="2"/>
      </w:pPr>
    </w:p>
    <w:p>
      <w:pPr>
        <w:pStyle w:val="2"/>
      </w:pPr>
      <w:r>
        <w:drawing>
          <wp:inline distT="0" distB="0" distL="114300" distR="114300">
            <wp:extent cx="4826000" cy="2743200"/>
            <wp:effectExtent l="4445" t="4445" r="825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26" w:name="_Toc15377206"/>
      <w:bookmarkStart w:id="27" w:name="_Toc15396604"/>
    </w:p>
    <w:p>
      <w:pPr>
        <w:pageBreakBefore w:val="0"/>
        <w:kinsoku/>
        <w:wordWrap/>
        <w:overflowPunct/>
        <w:topLinePunct w:val="0"/>
        <w:bidi w:val="0"/>
        <w:spacing w:line="576" w:lineRule="exact"/>
        <w:ind w:firstLine="963" w:firstLineChars="300"/>
        <w:jc w:val="both"/>
        <w:rPr>
          <w:rFonts w:ascii="仿宋_GB2312" w:eastAsia="仿宋_GB2312"/>
          <w:b/>
          <w:bCs/>
          <w:sz w:val="32"/>
          <w:szCs w:val="32"/>
        </w:rPr>
      </w:pPr>
      <w:r>
        <w:rPr>
          <w:rFonts w:hint="eastAsia" w:ascii="仿宋" w:hAnsi="仿宋" w:eastAsia="仿宋" w:cs="Times New Roman"/>
          <w:b/>
          <w:bCs/>
          <w:sz w:val="32"/>
          <w:szCs w:val="32"/>
        </w:rPr>
        <w:t>图</w:t>
      </w:r>
      <w:r>
        <w:rPr>
          <w:rFonts w:hint="eastAsia" w:ascii="仿宋" w:hAnsi="仿宋" w:eastAsia="仿宋" w:cs="Times New Roman"/>
          <w:b/>
          <w:bCs/>
          <w:sz w:val="32"/>
          <w:szCs w:val="32"/>
          <w:lang w:val="en-US" w:eastAsia="zh-CN"/>
        </w:rPr>
        <w:t>1：2022</w:t>
      </w:r>
      <w:r>
        <w:rPr>
          <w:rFonts w:hint="eastAsia" w:ascii="仿宋" w:hAnsi="仿宋" w:eastAsia="仿宋" w:cs="Times New Roman"/>
          <w:b/>
          <w:bCs/>
          <w:sz w:val="32"/>
          <w:szCs w:val="32"/>
        </w:rPr>
        <w:t>-202</w:t>
      </w:r>
      <w:r>
        <w:rPr>
          <w:rFonts w:hint="eastAsia" w:ascii="仿宋" w:hAnsi="仿宋" w:eastAsia="仿宋" w:cs="Times New Roman"/>
          <w:b/>
          <w:bCs/>
          <w:sz w:val="32"/>
          <w:szCs w:val="32"/>
          <w:lang w:val="en-US" w:eastAsia="zh-CN"/>
        </w:rPr>
        <w:t>3</w:t>
      </w:r>
      <w:r>
        <w:rPr>
          <w:rFonts w:hint="eastAsia" w:ascii="仿宋" w:hAnsi="仿宋" w:eastAsia="仿宋" w:cs="Times New Roman"/>
          <w:b/>
          <w:bCs/>
          <w:sz w:val="32"/>
          <w:szCs w:val="32"/>
        </w:rPr>
        <w:t>年收、支决算总计变动情况图</w:t>
      </w:r>
    </w:p>
    <w:p>
      <w:pPr>
        <w:rPr>
          <w:rFonts w:hint="eastAsia"/>
        </w:rPr>
      </w:pPr>
    </w:p>
    <w:p>
      <w:pPr>
        <w:pStyle w:val="28"/>
        <w:pageBreakBefore w:val="0"/>
        <w:numPr>
          <w:ilvl w:val="0"/>
          <w:numId w:val="0"/>
        </w:numPr>
        <w:kinsoku/>
        <w:wordWrap/>
        <w:overflowPunct/>
        <w:topLinePunct w:val="0"/>
        <w:bidi w:val="0"/>
        <w:spacing w:line="576" w:lineRule="exact"/>
        <w:ind w:firstLine="640" w:firstLineChars="200"/>
        <w:jc w:val="both"/>
        <w:outlineLvl w:val="1"/>
        <w:rPr>
          <w:rStyle w:val="30"/>
          <w:rFonts w:ascii="黑体" w:hAnsi="黑体" w:eastAsia="黑体"/>
          <w:b w:val="0"/>
        </w:rPr>
      </w:pPr>
      <w:r>
        <w:rPr>
          <w:rFonts w:hint="eastAsia" w:ascii="黑体" w:hAnsi="黑体" w:eastAsia="黑体"/>
          <w:sz w:val="32"/>
          <w:szCs w:val="32"/>
          <w:lang w:eastAsia="zh-CN"/>
        </w:rPr>
        <w:t>二、</w:t>
      </w:r>
      <w:r>
        <w:rPr>
          <w:rFonts w:hint="eastAsia" w:ascii="黑体" w:hAnsi="黑体" w:eastAsia="黑体"/>
          <w:sz w:val="32"/>
          <w:szCs w:val="32"/>
        </w:rPr>
        <w:t>收</w:t>
      </w:r>
      <w:r>
        <w:rPr>
          <w:rStyle w:val="30"/>
          <w:rFonts w:hint="eastAsia" w:ascii="黑体" w:hAnsi="黑体" w:eastAsia="黑体"/>
          <w:b w:val="0"/>
        </w:rPr>
        <w:t>入决算情况说明</w:t>
      </w:r>
      <w:bookmarkEnd w:id="26"/>
      <w:bookmarkEnd w:id="27"/>
    </w:p>
    <w:p>
      <w:pPr>
        <w:pageBreakBefore w:val="0"/>
        <w:kinsoku/>
        <w:wordWrap/>
        <w:overflowPunct/>
        <w:topLinePunct w:val="0"/>
        <w:bidi w:val="0"/>
        <w:spacing w:line="576" w:lineRule="exact"/>
        <w:ind w:firstLine="640" w:firstLineChars="200"/>
        <w:jc w:val="both"/>
        <w:outlineLvl w:val="1"/>
        <w:rPr>
          <w:rFonts w:ascii="仿宋" w:hAnsi="仿宋" w:eastAsia="仿宋"/>
          <w:sz w:val="32"/>
          <w:szCs w:val="32"/>
        </w:rPr>
      </w:pPr>
      <w:r>
        <w:rPr>
          <w:rFonts w:hint="eastAsia" w:ascii="仿宋" w:hAnsi="仿宋" w:eastAsia="仿宋"/>
          <w:sz w:val="32"/>
          <w:szCs w:val="32"/>
        </w:rPr>
        <w:t>2023年度本年收入合计</w:t>
      </w:r>
      <w:r>
        <w:rPr>
          <w:rFonts w:ascii="仿宋" w:hAnsi="仿宋" w:eastAsia="仿宋"/>
          <w:b/>
          <w:sz w:val="32"/>
          <w:szCs w:val="32"/>
        </w:rPr>
        <w:t>453.35</w:t>
      </w:r>
      <w:r>
        <w:rPr>
          <w:rFonts w:hint="eastAsia" w:ascii="仿宋" w:hAnsi="仿宋" w:eastAsia="仿宋"/>
          <w:sz w:val="32"/>
          <w:szCs w:val="32"/>
        </w:rPr>
        <w:t>万元，其中：一般公共预算财政拨款收入</w:t>
      </w:r>
      <w:r>
        <w:rPr>
          <w:rFonts w:ascii="仿宋" w:hAnsi="仿宋" w:eastAsia="仿宋"/>
          <w:b/>
          <w:sz w:val="32"/>
          <w:szCs w:val="32"/>
        </w:rPr>
        <w:t>449.54</w:t>
      </w:r>
      <w:r>
        <w:rPr>
          <w:rFonts w:hint="eastAsia" w:ascii="仿宋" w:hAnsi="仿宋" w:eastAsia="仿宋"/>
          <w:sz w:val="32"/>
          <w:szCs w:val="32"/>
        </w:rPr>
        <w:t>万元，占</w:t>
      </w:r>
      <w:r>
        <w:rPr>
          <w:rFonts w:ascii="仿宋" w:hAnsi="仿宋" w:eastAsia="仿宋"/>
          <w:b/>
          <w:sz w:val="32"/>
          <w:szCs w:val="32"/>
        </w:rPr>
        <w:t>99.15%</w:t>
      </w:r>
      <w:r>
        <w:rPr>
          <w:rFonts w:hint="eastAsia" w:ascii="仿宋" w:hAnsi="仿宋" w:eastAsia="仿宋"/>
          <w:sz w:val="32"/>
          <w:szCs w:val="32"/>
        </w:rPr>
        <w:t>；政府性基金预算财政拨款收入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3.81</w:t>
      </w:r>
      <w:r>
        <w:rPr>
          <w:rFonts w:hint="eastAsia" w:ascii="仿宋" w:hAnsi="仿宋" w:eastAsia="仿宋"/>
          <w:sz w:val="32"/>
          <w:szCs w:val="32"/>
        </w:rPr>
        <w:t>万元，占</w:t>
      </w:r>
      <w:r>
        <w:rPr>
          <w:rFonts w:ascii="仿宋" w:hAnsi="仿宋" w:eastAsia="仿宋"/>
          <w:b/>
          <w:sz w:val="32"/>
          <w:szCs w:val="32"/>
        </w:rPr>
        <w:t>0.84</w:t>
      </w:r>
      <w:r>
        <w:rPr>
          <w:rFonts w:ascii="仿宋" w:hAnsi="仿宋" w:eastAsia="仿宋"/>
          <w:sz w:val="32"/>
          <w:szCs w:val="32"/>
        </w:rPr>
        <w:t>%</w:t>
      </w:r>
    </w:p>
    <w:p>
      <w:pPr>
        <w:pStyle w:val="2"/>
        <w:ind w:left="0" w:leftChars="0" w:firstLine="0" w:firstLineChars="0"/>
        <w:rPr>
          <w:rFonts w:hint="eastAsia"/>
        </w:rPr>
      </w:pPr>
    </w:p>
    <w:p>
      <w:pPr>
        <w:pStyle w:val="2"/>
      </w:pPr>
      <w:r>
        <w:drawing>
          <wp:inline distT="0" distB="0" distL="114300" distR="114300">
            <wp:extent cx="5422900" cy="2736850"/>
            <wp:effectExtent l="4445" t="4445" r="20955" b="20955"/>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ageBreakBefore w:val="0"/>
        <w:kinsoku/>
        <w:wordWrap/>
        <w:overflowPunct/>
        <w:topLinePunct w:val="0"/>
        <w:bidi w:val="0"/>
        <w:spacing w:line="576" w:lineRule="exact"/>
        <w:ind w:firstLine="1285" w:firstLineChars="400"/>
        <w:jc w:val="center"/>
        <w:rPr>
          <w:rFonts w:hint="eastAsia" w:ascii="仿宋" w:hAnsi="仿宋" w:eastAsia="仿宋"/>
          <w:b/>
          <w:bCs/>
          <w:color w:val="auto"/>
          <w:sz w:val="32"/>
          <w:szCs w:val="32"/>
          <w:highlight w:val="none"/>
        </w:rPr>
      </w:pPr>
      <w:r>
        <w:rPr>
          <w:rFonts w:hint="eastAsia" w:ascii="仿宋" w:hAnsi="仿宋" w:eastAsia="仿宋"/>
          <w:b/>
          <w:bCs/>
          <w:color w:val="auto"/>
          <w:sz w:val="32"/>
          <w:szCs w:val="32"/>
          <w:highlight w:val="none"/>
        </w:rPr>
        <w:t>图2：收入决算结构图</w:t>
      </w:r>
    </w:p>
    <w:p>
      <w:pPr>
        <w:pStyle w:val="2"/>
      </w:pPr>
    </w:p>
    <w:p>
      <w:pPr>
        <w:pStyle w:val="28"/>
        <w:pageBreakBefore w:val="0"/>
        <w:numPr>
          <w:ilvl w:val="0"/>
          <w:numId w:val="0"/>
        </w:numPr>
        <w:kinsoku/>
        <w:wordWrap/>
        <w:overflowPunct/>
        <w:topLinePunct w:val="0"/>
        <w:bidi w:val="0"/>
        <w:spacing w:line="576" w:lineRule="exact"/>
        <w:ind w:firstLine="640" w:firstLineChars="200"/>
        <w:jc w:val="both"/>
        <w:outlineLvl w:val="1"/>
        <w:rPr>
          <w:rStyle w:val="30"/>
          <w:rFonts w:ascii="黑体" w:hAnsi="黑体" w:eastAsia="黑体"/>
          <w:b w:val="0"/>
        </w:rPr>
      </w:pPr>
      <w:bookmarkStart w:id="28" w:name="_Toc15396605"/>
      <w:bookmarkStart w:id="29" w:name="_Toc15377207"/>
      <w:r>
        <w:rPr>
          <w:rFonts w:hint="eastAsia" w:ascii="黑体" w:hAnsi="黑体" w:eastAsia="黑体"/>
          <w:sz w:val="32"/>
          <w:szCs w:val="32"/>
          <w:lang w:eastAsia="zh-CN"/>
        </w:rPr>
        <w:t>三、</w:t>
      </w:r>
      <w:r>
        <w:rPr>
          <w:rFonts w:hint="eastAsia" w:ascii="黑体" w:hAnsi="黑体" w:eastAsia="黑体"/>
          <w:sz w:val="32"/>
          <w:szCs w:val="32"/>
        </w:rPr>
        <w:t>支</w:t>
      </w:r>
      <w:r>
        <w:rPr>
          <w:rStyle w:val="30"/>
          <w:rFonts w:hint="eastAsia" w:ascii="黑体" w:hAnsi="黑体" w:eastAsia="黑体"/>
          <w:b w:val="0"/>
        </w:rPr>
        <w:t>出决算情况说明</w:t>
      </w:r>
      <w:bookmarkEnd w:id="28"/>
      <w:bookmarkEnd w:id="29"/>
    </w:p>
    <w:p>
      <w:pPr>
        <w:pageBreakBefore w:val="0"/>
        <w:kinsoku/>
        <w:wordWrap/>
        <w:overflowPunct/>
        <w:topLinePunct w:val="0"/>
        <w:bidi w:val="0"/>
        <w:spacing w:line="576" w:lineRule="exact"/>
        <w:ind w:firstLine="640" w:firstLineChars="200"/>
        <w:jc w:val="both"/>
        <w:outlineLvl w:val="1"/>
        <w:rPr>
          <w:rFonts w:hint="eastAsia" w:ascii="黑体" w:hAnsi="黑体" w:eastAsia="黑体"/>
          <w:sz w:val="32"/>
          <w:szCs w:val="32"/>
        </w:rPr>
      </w:pPr>
      <w:r>
        <w:rPr>
          <w:rFonts w:hint="eastAsia" w:ascii="仿宋" w:hAnsi="仿宋" w:eastAsia="仿宋"/>
          <w:sz w:val="32"/>
          <w:szCs w:val="32"/>
        </w:rPr>
        <w:t>2023年度本年支出合计</w:t>
      </w:r>
      <w:r>
        <w:rPr>
          <w:rFonts w:ascii="仿宋" w:hAnsi="仿宋" w:eastAsia="仿宋"/>
          <w:b/>
          <w:color w:val="auto"/>
          <w:sz w:val="32"/>
          <w:szCs w:val="32"/>
        </w:rPr>
        <w:t>453.34</w:t>
      </w:r>
      <w:r>
        <w:rPr>
          <w:rFonts w:hint="eastAsia" w:ascii="仿宋" w:hAnsi="仿宋" w:eastAsia="仿宋"/>
          <w:sz w:val="32"/>
          <w:szCs w:val="32"/>
        </w:rPr>
        <w:t>万元，其中：基本支出</w:t>
      </w:r>
      <w:r>
        <w:rPr>
          <w:rFonts w:ascii="仿宋" w:hAnsi="仿宋" w:eastAsia="仿宋"/>
          <w:b/>
          <w:sz w:val="32"/>
          <w:szCs w:val="32"/>
        </w:rPr>
        <w:t>284.77</w:t>
      </w:r>
      <w:r>
        <w:rPr>
          <w:rFonts w:hint="eastAsia" w:ascii="仿宋" w:hAnsi="仿宋" w:eastAsia="仿宋"/>
          <w:sz w:val="32"/>
          <w:szCs w:val="32"/>
        </w:rPr>
        <w:t>万元，占</w:t>
      </w:r>
      <w:r>
        <w:rPr>
          <w:rFonts w:ascii="仿宋" w:hAnsi="仿宋" w:eastAsia="仿宋"/>
          <w:b/>
          <w:sz w:val="32"/>
          <w:szCs w:val="32"/>
        </w:rPr>
        <w:t>62.8</w:t>
      </w:r>
      <w:r>
        <w:rPr>
          <w:rFonts w:hint="eastAsia" w:ascii="仿宋" w:hAnsi="仿宋" w:eastAsia="仿宋"/>
          <w:b/>
          <w:sz w:val="32"/>
          <w:szCs w:val="32"/>
          <w:lang w:val="en-US" w:eastAsia="zh-CN"/>
        </w:rPr>
        <w:t>2</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168.57</w:t>
      </w:r>
      <w:r>
        <w:rPr>
          <w:rFonts w:hint="eastAsia" w:ascii="仿宋" w:hAnsi="仿宋" w:eastAsia="仿宋"/>
          <w:sz w:val="32"/>
          <w:szCs w:val="32"/>
        </w:rPr>
        <w:t>万元，占</w:t>
      </w:r>
      <w:r>
        <w:rPr>
          <w:rFonts w:ascii="仿宋" w:hAnsi="仿宋" w:eastAsia="仿宋"/>
          <w:b/>
          <w:sz w:val="32"/>
          <w:szCs w:val="32"/>
        </w:rPr>
        <w:t>37.18</w:t>
      </w:r>
      <w:r>
        <w:rPr>
          <w:rFonts w:ascii="仿宋" w:hAnsi="仿宋" w:eastAsia="仿宋"/>
          <w:b/>
          <w:bCs/>
          <w:sz w:val="32"/>
          <w:szCs w:val="32"/>
        </w:rPr>
        <w:t>%</w:t>
      </w:r>
      <w:r>
        <w:rPr>
          <w:rFonts w:hint="eastAsia" w:ascii="仿宋" w:hAnsi="仿宋" w:eastAsia="仿宋"/>
          <w:sz w:val="32"/>
          <w:szCs w:val="32"/>
        </w:rPr>
        <w:t>。</w:t>
      </w:r>
      <w:bookmarkStart w:id="30" w:name="_Toc15377208"/>
      <w:bookmarkStart w:id="31" w:name="_Toc15396606"/>
    </w:p>
    <w:p>
      <w:pPr>
        <w:pStyle w:val="2"/>
        <w:ind w:left="0" w:leftChars="0" w:firstLine="0" w:firstLineChars="0"/>
        <w:rPr>
          <w:rFonts w:hint="eastAsia"/>
        </w:rPr>
      </w:pPr>
      <w:r>
        <w:drawing>
          <wp:anchor distT="0" distB="0" distL="114300" distR="114300" simplePos="0" relativeHeight="251660288" behindDoc="0" locked="0" layoutInCell="1" allowOverlap="1">
            <wp:simplePos x="0" y="0"/>
            <wp:positionH relativeFrom="column">
              <wp:posOffset>98425</wp:posOffset>
            </wp:positionH>
            <wp:positionV relativeFrom="paragraph">
              <wp:posOffset>518160</wp:posOffset>
            </wp:positionV>
            <wp:extent cx="5130165" cy="2768600"/>
            <wp:effectExtent l="4445" t="4445" r="8890" b="8255"/>
            <wp:wrapSquare wrapText="bothSides"/>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pageBreakBefore w:val="0"/>
        <w:kinsoku/>
        <w:wordWrap/>
        <w:overflowPunct/>
        <w:topLinePunct w:val="0"/>
        <w:bidi w:val="0"/>
        <w:spacing w:line="576" w:lineRule="exact"/>
        <w:jc w:val="center"/>
        <w:rPr>
          <w:rFonts w:hint="eastAsia" w:ascii="仿宋" w:hAnsi="仿宋" w:eastAsia="仿宋"/>
          <w:b/>
          <w:bCs/>
          <w:sz w:val="32"/>
          <w:szCs w:val="32"/>
        </w:rPr>
      </w:pPr>
      <w:r>
        <w:rPr>
          <w:rFonts w:hint="eastAsia" w:ascii="仿宋" w:hAnsi="仿宋" w:eastAsia="仿宋"/>
          <w:b/>
          <w:bCs/>
          <w:sz w:val="32"/>
          <w:szCs w:val="32"/>
        </w:rPr>
        <w:t>图3：支出决算结构图</w:t>
      </w:r>
    </w:p>
    <w:p>
      <w:pPr>
        <w:pStyle w:val="2"/>
        <w:rPr>
          <w:rFonts w:hint="eastAsia"/>
        </w:rPr>
      </w:pPr>
    </w:p>
    <w:p>
      <w:pPr>
        <w:pStyle w:val="2"/>
        <w:rPr>
          <w:rFonts w:hint="eastAsia"/>
        </w:rPr>
      </w:pPr>
    </w:p>
    <w:p>
      <w:pPr>
        <w:pageBreakBefore w:val="0"/>
        <w:kinsoku/>
        <w:wordWrap/>
        <w:overflowPunct/>
        <w:topLinePunct w:val="0"/>
        <w:bidi w:val="0"/>
        <w:spacing w:line="576" w:lineRule="exact"/>
        <w:ind w:firstLine="640" w:firstLineChars="200"/>
        <w:jc w:val="both"/>
        <w:outlineLvl w:val="1"/>
        <w:rPr>
          <w:rStyle w:val="30"/>
          <w:rFonts w:ascii="黑体" w:hAnsi="黑体" w:eastAsia="黑体"/>
          <w:b w:val="0"/>
        </w:rPr>
      </w:pPr>
      <w:r>
        <w:rPr>
          <w:rFonts w:hint="eastAsia" w:ascii="黑体" w:hAnsi="黑体" w:eastAsia="黑体"/>
          <w:sz w:val="32"/>
          <w:szCs w:val="32"/>
        </w:rPr>
        <w:t>四、财</w:t>
      </w:r>
      <w:r>
        <w:rPr>
          <w:rStyle w:val="30"/>
          <w:rFonts w:hint="eastAsia" w:ascii="黑体" w:hAnsi="黑体" w:eastAsia="黑体"/>
          <w:b w:val="0"/>
        </w:rPr>
        <w:t>政拨款收入支出决算总体情况说明</w:t>
      </w:r>
      <w:bookmarkEnd w:id="30"/>
      <w:bookmarkEnd w:id="31"/>
    </w:p>
    <w:p>
      <w:pPr>
        <w:pageBreakBefore w:val="0"/>
        <w:kinsoku/>
        <w:wordWrap/>
        <w:overflowPunct/>
        <w:topLinePunct w:val="0"/>
        <w:bidi w:val="0"/>
        <w:spacing w:line="576" w:lineRule="exact"/>
        <w:ind w:firstLine="640"/>
        <w:jc w:val="both"/>
        <w:rPr>
          <w:rFonts w:ascii="仿宋" w:hAnsi="仿宋" w:eastAsia="仿宋"/>
          <w:b/>
          <w:sz w:val="32"/>
          <w:szCs w:val="32"/>
        </w:rPr>
      </w:pPr>
      <w:r>
        <w:rPr>
          <w:rFonts w:hint="eastAsia" w:ascii="仿宋" w:hAnsi="仿宋" w:eastAsia="仿宋"/>
          <w:sz w:val="32"/>
          <w:szCs w:val="32"/>
        </w:rPr>
        <w:t>2023年度财政拨款收、支总计均为</w:t>
      </w:r>
      <w:r>
        <w:rPr>
          <w:rFonts w:ascii="仿宋" w:hAnsi="仿宋" w:eastAsia="仿宋"/>
          <w:b/>
          <w:sz w:val="32"/>
          <w:szCs w:val="32"/>
        </w:rPr>
        <w:t>449.54</w:t>
      </w:r>
      <w:r>
        <w:rPr>
          <w:rFonts w:hint="eastAsia" w:ascii="仿宋" w:hAnsi="仿宋" w:eastAsia="仿宋"/>
          <w:sz w:val="32"/>
          <w:szCs w:val="32"/>
        </w:rPr>
        <w:t>万元。与2022年度相比，财政拨款收、支总计</w:t>
      </w:r>
      <w:r>
        <w:rPr>
          <w:rFonts w:hint="eastAsia" w:ascii="仿宋" w:hAnsi="仿宋" w:eastAsia="仿宋"/>
          <w:sz w:val="32"/>
          <w:szCs w:val="32"/>
          <w:lang w:val="en-US" w:eastAsia="zh-CN"/>
        </w:rPr>
        <w:t>均</w:t>
      </w:r>
      <w:r>
        <w:rPr>
          <w:rFonts w:hint="eastAsia" w:ascii="仿宋" w:hAnsi="仿宋" w:eastAsia="仿宋"/>
          <w:sz w:val="32"/>
          <w:szCs w:val="32"/>
        </w:rPr>
        <w:t>增加</w:t>
      </w:r>
      <w:r>
        <w:rPr>
          <w:rFonts w:hint="eastAsia" w:ascii="仿宋" w:hAnsi="仿宋" w:eastAsia="仿宋" w:cs="Times New Roman"/>
          <w:b/>
          <w:sz w:val="32"/>
          <w:szCs w:val="32"/>
          <w:lang w:val="en-US" w:eastAsia="zh-CN"/>
        </w:rPr>
        <w:t>81.49</w:t>
      </w:r>
      <w:r>
        <w:rPr>
          <w:rFonts w:hint="eastAsia" w:ascii="仿宋" w:hAnsi="仿宋" w:eastAsia="仿宋"/>
          <w:sz w:val="32"/>
          <w:szCs w:val="32"/>
        </w:rPr>
        <w:t>万元，增长</w:t>
      </w:r>
      <w:r>
        <w:rPr>
          <w:rFonts w:hint="eastAsia" w:ascii="仿宋" w:hAnsi="仿宋" w:eastAsia="仿宋"/>
          <w:b/>
          <w:bCs/>
          <w:sz w:val="32"/>
          <w:szCs w:val="32"/>
          <w:lang w:val="en-US" w:eastAsia="zh-CN"/>
        </w:rPr>
        <w:t>22</w:t>
      </w:r>
      <w:r>
        <w:rPr>
          <w:rFonts w:ascii="仿宋" w:hAnsi="仿宋" w:eastAsia="仿宋"/>
          <w:b/>
          <w:bCs/>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人员经费增加。</w:t>
      </w:r>
    </w:p>
    <w:p>
      <w:pPr>
        <w:pageBreakBefore w:val="0"/>
        <w:kinsoku/>
        <w:wordWrap/>
        <w:overflowPunct/>
        <w:topLinePunct w:val="0"/>
        <w:bidi w:val="0"/>
        <w:spacing w:line="576" w:lineRule="exact"/>
        <w:jc w:val="both"/>
        <w:outlineLvl w:val="1"/>
        <w:rPr>
          <w:rFonts w:hint="eastAsia" w:ascii="黑体" w:hAnsi="黑体" w:eastAsia="黑体"/>
          <w:sz w:val="32"/>
          <w:szCs w:val="32"/>
        </w:rPr>
      </w:pPr>
      <w:bookmarkStart w:id="32" w:name="_Toc15377209"/>
      <w:bookmarkStart w:id="33" w:name="_Toc15396607"/>
    </w:p>
    <w:p>
      <w:pPr>
        <w:pageBreakBefore w:val="0"/>
        <w:kinsoku/>
        <w:wordWrap/>
        <w:overflowPunct/>
        <w:topLinePunct w:val="0"/>
        <w:bidi w:val="0"/>
        <w:spacing w:line="576" w:lineRule="exact"/>
        <w:jc w:val="both"/>
        <w:outlineLvl w:val="1"/>
        <w:rPr>
          <w:rFonts w:hint="eastAsia" w:ascii="黑体" w:hAnsi="黑体" w:eastAsia="黑体"/>
          <w:sz w:val="32"/>
          <w:szCs w:val="32"/>
        </w:rPr>
      </w:pPr>
    </w:p>
    <w:p>
      <w:pPr>
        <w:pageBreakBefore w:val="0"/>
        <w:kinsoku/>
        <w:wordWrap/>
        <w:overflowPunct/>
        <w:topLinePunct w:val="0"/>
        <w:bidi w:val="0"/>
        <w:spacing w:line="576" w:lineRule="exact"/>
        <w:jc w:val="both"/>
        <w:outlineLvl w:val="1"/>
        <w:rPr>
          <w:rFonts w:hint="eastAsia" w:ascii="黑体" w:hAnsi="黑体" w:eastAsia="黑体"/>
          <w:sz w:val="32"/>
          <w:szCs w:val="32"/>
        </w:rPr>
      </w:pPr>
    </w:p>
    <w:p>
      <w:pPr>
        <w:pageBreakBefore w:val="0"/>
        <w:kinsoku/>
        <w:wordWrap/>
        <w:overflowPunct/>
        <w:topLinePunct w:val="0"/>
        <w:bidi w:val="0"/>
        <w:spacing w:line="576" w:lineRule="exact"/>
        <w:jc w:val="both"/>
        <w:outlineLvl w:val="1"/>
        <w:rPr>
          <w:rFonts w:hint="eastAsia" w:ascii="黑体" w:hAnsi="黑体" w:eastAsia="黑体"/>
          <w:sz w:val="32"/>
          <w:szCs w:val="32"/>
        </w:rPr>
      </w:pPr>
    </w:p>
    <w:p>
      <w:pPr>
        <w:pageBreakBefore w:val="0"/>
        <w:kinsoku/>
        <w:wordWrap/>
        <w:overflowPunct/>
        <w:topLinePunct w:val="0"/>
        <w:bidi w:val="0"/>
        <w:spacing w:line="576" w:lineRule="exact"/>
        <w:jc w:val="both"/>
        <w:outlineLvl w:val="1"/>
        <w:rPr>
          <w:rFonts w:hint="eastAsia" w:ascii="黑体" w:hAnsi="黑体" w:eastAsia="黑体"/>
          <w:sz w:val="32"/>
          <w:szCs w:val="32"/>
        </w:rPr>
      </w:pPr>
    </w:p>
    <w:p>
      <w:pPr>
        <w:pageBreakBefore w:val="0"/>
        <w:kinsoku/>
        <w:wordWrap/>
        <w:overflowPunct/>
        <w:topLinePunct w:val="0"/>
        <w:bidi w:val="0"/>
        <w:spacing w:line="576" w:lineRule="exact"/>
        <w:jc w:val="both"/>
        <w:outlineLvl w:val="1"/>
        <w:rPr>
          <w:rFonts w:hint="eastAsia" w:ascii="黑体" w:hAnsi="黑体" w:eastAsia="黑体"/>
          <w:sz w:val="32"/>
          <w:szCs w:val="32"/>
        </w:rPr>
      </w:pPr>
    </w:p>
    <w:p>
      <w:pPr>
        <w:pageBreakBefore w:val="0"/>
        <w:kinsoku/>
        <w:wordWrap/>
        <w:overflowPunct/>
        <w:topLinePunct w:val="0"/>
        <w:bidi w:val="0"/>
        <w:spacing w:line="576" w:lineRule="exact"/>
        <w:jc w:val="both"/>
        <w:outlineLvl w:val="1"/>
        <w:rPr>
          <w:rFonts w:hint="eastAsia" w:ascii="黑体" w:hAnsi="黑体" w:eastAsia="黑体"/>
          <w:sz w:val="32"/>
          <w:szCs w:val="32"/>
        </w:rPr>
      </w:pPr>
    </w:p>
    <w:p>
      <w:pPr>
        <w:pageBreakBefore w:val="0"/>
        <w:kinsoku/>
        <w:wordWrap/>
        <w:overflowPunct/>
        <w:topLinePunct w:val="0"/>
        <w:bidi w:val="0"/>
        <w:spacing w:line="576" w:lineRule="exact"/>
        <w:jc w:val="both"/>
        <w:outlineLvl w:val="1"/>
        <w:rPr>
          <w:rFonts w:hint="eastAsia" w:ascii="黑体" w:hAnsi="黑体" w:eastAsia="黑体"/>
          <w:sz w:val="32"/>
          <w:szCs w:val="32"/>
        </w:rPr>
      </w:pPr>
      <w:r>
        <w:drawing>
          <wp:anchor distT="0" distB="0" distL="114300" distR="114300" simplePos="0" relativeHeight="251661312" behindDoc="0" locked="0" layoutInCell="1" allowOverlap="1">
            <wp:simplePos x="0" y="0"/>
            <wp:positionH relativeFrom="column">
              <wp:posOffset>4445</wp:posOffset>
            </wp:positionH>
            <wp:positionV relativeFrom="paragraph">
              <wp:posOffset>-2465070</wp:posOffset>
            </wp:positionV>
            <wp:extent cx="4826000" cy="2743200"/>
            <wp:effectExtent l="4445" t="4445" r="8255" b="14605"/>
            <wp:wrapSquare wrapText="bothSides"/>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pageBreakBefore w:val="0"/>
        <w:kinsoku/>
        <w:wordWrap/>
        <w:overflowPunct/>
        <w:topLinePunct w:val="0"/>
        <w:bidi w:val="0"/>
        <w:spacing w:line="576" w:lineRule="exact"/>
        <w:jc w:val="center"/>
        <w:rPr>
          <w:rFonts w:hint="eastAsia" w:ascii="仿宋" w:hAnsi="仿宋" w:eastAsia="仿宋"/>
          <w:b/>
          <w:bCs/>
          <w:sz w:val="32"/>
          <w:szCs w:val="32"/>
        </w:rPr>
      </w:pPr>
      <w:r>
        <w:rPr>
          <w:rFonts w:hint="eastAsia" w:ascii="仿宋" w:hAnsi="仿宋" w:eastAsia="仿宋"/>
          <w:b/>
          <w:bCs/>
          <w:sz w:val="32"/>
          <w:szCs w:val="32"/>
        </w:rPr>
        <w:t>图4：财政拨款收、支决算总计变动情况</w:t>
      </w:r>
    </w:p>
    <w:p>
      <w:pPr>
        <w:pStyle w:val="2"/>
        <w:rPr>
          <w:rFonts w:hint="eastAsia"/>
        </w:rPr>
      </w:pPr>
    </w:p>
    <w:p>
      <w:pPr>
        <w:pageBreakBefore w:val="0"/>
        <w:kinsoku/>
        <w:wordWrap/>
        <w:overflowPunct/>
        <w:topLinePunct w:val="0"/>
        <w:bidi w:val="0"/>
        <w:spacing w:line="576" w:lineRule="exact"/>
        <w:ind w:firstLine="640" w:firstLineChars="200"/>
        <w:jc w:val="both"/>
        <w:outlineLvl w:val="1"/>
        <w:rPr>
          <w:rStyle w:val="30"/>
          <w:rFonts w:ascii="黑体" w:hAnsi="黑体" w:eastAsia="黑体"/>
          <w:b w:val="0"/>
        </w:rPr>
      </w:pPr>
      <w:r>
        <w:rPr>
          <w:rFonts w:hint="eastAsia" w:ascii="黑体" w:hAnsi="黑体" w:eastAsia="黑体"/>
          <w:sz w:val="32"/>
          <w:szCs w:val="32"/>
        </w:rPr>
        <w:t>五、</w:t>
      </w:r>
      <w:r>
        <w:rPr>
          <w:rFonts w:hint="eastAsia" w:ascii="黑体" w:hAnsi="黑体" w:eastAsia="黑体"/>
          <w:b/>
          <w:sz w:val="32"/>
          <w:szCs w:val="32"/>
        </w:rPr>
        <w:t>一</w:t>
      </w:r>
      <w:r>
        <w:rPr>
          <w:rStyle w:val="30"/>
          <w:rFonts w:hint="eastAsia" w:ascii="黑体" w:hAnsi="黑体" w:eastAsia="黑体"/>
          <w:b w:val="0"/>
        </w:rPr>
        <w:t>般公共预算财政拨款支出决算情况说明</w:t>
      </w:r>
      <w:bookmarkEnd w:id="32"/>
      <w:bookmarkEnd w:id="33"/>
    </w:p>
    <w:p>
      <w:pPr>
        <w:pageBreakBefore w:val="0"/>
        <w:kinsoku/>
        <w:wordWrap/>
        <w:overflowPunct/>
        <w:topLinePunct w:val="0"/>
        <w:bidi w:val="0"/>
        <w:spacing w:line="576" w:lineRule="exact"/>
        <w:ind w:firstLine="642" w:firstLineChars="200"/>
        <w:jc w:val="both"/>
        <w:outlineLvl w:val="2"/>
        <w:rPr>
          <w:rFonts w:ascii="仿宋" w:hAnsi="仿宋" w:eastAsia="仿宋"/>
          <w:b/>
          <w:sz w:val="32"/>
          <w:szCs w:val="32"/>
        </w:rPr>
      </w:pPr>
      <w:bookmarkStart w:id="34" w:name="_Toc15377210"/>
      <w:r>
        <w:rPr>
          <w:rFonts w:hint="eastAsia" w:ascii="仿宋" w:hAnsi="仿宋" w:eastAsia="仿宋"/>
          <w:b/>
          <w:sz w:val="32"/>
          <w:szCs w:val="32"/>
        </w:rPr>
        <w:t>（一）一般公共预算财政拨款支出决算总体情况</w:t>
      </w:r>
      <w:bookmarkEnd w:id="34"/>
    </w:p>
    <w:p>
      <w:pPr>
        <w:pageBreakBefore w:val="0"/>
        <w:kinsoku/>
        <w:wordWrap/>
        <w:overflowPunct/>
        <w:topLinePunct w:val="0"/>
        <w:bidi w:val="0"/>
        <w:spacing w:line="576" w:lineRule="exact"/>
        <w:ind w:firstLine="640" w:firstLineChars="200"/>
        <w:jc w:val="both"/>
        <w:rPr>
          <w:rFonts w:hint="eastAsia" w:ascii="仿宋" w:hAnsi="仿宋" w:eastAsia="仿宋"/>
          <w:sz w:val="32"/>
          <w:szCs w:val="32"/>
          <w:lang w:val="en-US" w:eastAsia="zh-CN"/>
        </w:rPr>
      </w:pPr>
      <w:r>
        <w:rPr>
          <w:rFonts w:hint="eastAsia" w:ascii="仿宋" w:hAnsi="仿宋" w:eastAsia="仿宋"/>
          <w:sz w:val="32"/>
          <w:szCs w:val="32"/>
        </w:rPr>
        <w:t>2023年度一般公共预算财政拨款支出</w:t>
      </w:r>
      <w:r>
        <w:rPr>
          <w:rFonts w:ascii="仿宋" w:hAnsi="仿宋" w:eastAsia="仿宋"/>
          <w:b/>
          <w:sz w:val="32"/>
          <w:szCs w:val="32"/>
        </w:rPr>
        <w:t>449.54</w:t>
      </w:r>
      <w:r>
        <w:rPr>
          <w:rFonts w:hint="eastAsia" w:ascii="仿宋" w:hAnsi="仿宋" w:eastAsia="仿宋"/>
          <w:sz w:val="32"/>
          <w:szCs w:val="32"/>
        </w:rPr>
        <w:t>万元，占本年支出合计的</w:t>
      </w:r>
      <w:r>
        <w:rPr>
          <w:rFonts w:ascii="仿宋" w:hAnsi="仿宋" w:eastAsia="仿宋"/>
          <w:b/>
          <w:sz w:val="32"/>
          <w:szCs w:val="32"/>
        </w:rPr>
        <w:t>99.16</w:t>
      </w:r>
      <w:r>
        <w:rPr>
          <w:rFonts w:ascii="仿宋" w:hAnsi="仿宋" w:eastAsia="仿宋"/>
          <w:sz w:val="32"/>
          <w:szCs w:val="32"/>
        </w:rPr>
        <w:t>%</w:t>
      </w:r>
      <w:r>
        <w:rPr>
          <w:rFonts w:hint="eastAsia" w:ascii="仿宋" w:hAnsi="仿宋" w:eastAsia="仿宋"/>
          <w:sz w:val="32"/>
          <w:szCs w:val="32"/>
        </w:rPr>
        <w:t>。与2022年度相比，一般公共预算财政拨款支出增加</w:t>
      </w:r>
      <w:r>
        <w:rPr>
          <w:rFonts w:hint="eastAsia" w:ascii="仿宋" w:hAnsi="仿宋" w:eastAsia="仿宋" w:cs="Times New Roman"/>
          <w:b/>
          <w:sz w:val="32"/>
          <w:szCs w:val="32"/>
          <w:lang w:val="en-US" w:eastAsia="zh-CN"/>
        </w:rPr>
        <w:t>81.49</w:t>
      </w:r>
      <w:r>
        <w:rPr>
          <w:rFonts w:hint="eastAsia" w:ascii="仿宋" w:hAnsi="仿宋" w:eastAsia="仿宋"/>
          <w:sz w:val="32"/>
          <w:szCs w:val="32"/>
        </w:rPr>
        <w:t>万元，增</w:t>
      </w:r>
      <w:r>
        <w:rPr>
          <w:rFonts w:hint="eastAsia" w:ascii="仿宋" w:hAnsi="仿宋" w:eastAsia="仿宋" w:cs="Times New Roman"/>
          <w:sz w:val="32"/>
          <w:szCs w:val="32"/>
        </w:rPr>
        <w:t>长</w:t>
      </w:r>
      <w:r>
        <w:rPr>
          <w:rFonts w:hint="eastAsia" w:ascii="仿宋" w:hAnsi="仿宋" w:eastAsia="仿宋" w:cs="Times New Roman"/>
          <w:b/>
          <w:bCs/>
          <w:sz w:val="32"/>
          <w:szCs w:val="32"/>
          <w:lang w:val="en-US" w:eastAsia="zh-CN"/>
        </w:rPr>
        <w:t>22</w:t>
      </w:r>
      <w:r>
        <w:rPr>
          <w:rFonts w:hint="eastAsia" w:ascii="仿宋" w:hAnsi="仿宋" w:eastAsia="仿宋" w:cs="Times New Roman"/>
          <w:b/>
          <w:bCs/>
          <w:sz w:val="32"/>
          <w:szCs w:val="32"/>
        </w:rPr>
        <w:t>%</w:t>
      </w:r>
      <w:r>
        <w:rPr>
          <w:rFonts w:hint="eastAsia" w:ascii="仿宋" w:hAnsi="仿宋" w:eastAsia="仿宋" w:cs="Times New Roman"/>
          <w:sz w:val="32"/>
          <w:szCs w:val="32"/>
        </w:rPr>
        <w:t>。</w:t>
      </w:r>
      <w:r>
        <w:rPr>
          <w:rFonts w:hint="eastAsia" w:ascii="仿宋" w:hAnsi="仿宋" w:eastAsia="仿宋"/>
          <w:sz w:val="32"/>
          <w:szCs w:val="32"/>
        </w:rPr>
        <w:t>主要变动原因是</w:t>
      </w:r>
      <w:r>
        <w:rPr>
          <w:rFonts w:hint="eastAsia" w:ascii="仿宋" w:hAnsi="仿宋" w:eastAsia="仿宋"/>
          <w:sz w:val="32"/>
          <w:szCs w:val="32"/>
          <w:lang w:eastAsia="zh-CN"/>
        </w:rPr>
        <w:t>人</w:t>
      </w:r>
      <w:r>
        <w:rPr>
          <w:rFonts w:hint="eastAsia" w:ascii="仿宋" w:hAnsi="仿宋" w:eastAsia="仿宋"/>
          <w:sz w:val="32"/>
          <w:szCs w:val="32"/>
          <w:lang w:val="en-US" w:eastAsia="zh-CN"/>
        </w:rPr>
        <w:t>员经费增加。</w:t>
      </w:r>
    </w:p>
    <w:p>
      <w:pPr>
        <w:pStyle w:val="2"/>
        <w:rPr>
          <w:rFonts w:hint="default"/>
          <w:lang w:val="en-US"/>
        </w:rPr>
      </w:pPr>
    </w:p>
    <w:p>
      <w:pPr>
        <w:pStyle w:val="6"/>
        <w:pageBreakBefore w:val="0"/>
        <w:kinsoku/>
        <w:wordWrap/>
        <w:overflowPunct/>
        <w:topLinePunct w:val="0"/>
        <w:bidi w:val="0"/>
        <w:spacing w:line="576" w:lineRule="exact"/>
        <w:jc w:val="both"/>
        <w:rPr>
          <w:rFonts w:hint="eastAsia" w:ascii="仿宋" w:hAnsi="仿宋" w:eastAsia="仿宋"/>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bookmarkStart w:id="35" w:name="_Toc15377211"/>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r>
        <w:drawing>
          <wp:anchor distT="0" distB="0" distL="114300" distR="114300" simplePos="0" relativeHeight="251662336" behindDoc="0" locked="0" layoutInCell="1" allowOverlap="1">
            <wp:simplePos x="0" y="0"/>
            <wp:positionH relativeFrom="column">
              <wp:posOffset>570230</wp:posOffset>
            </wp:positionH>
            <wp:positionV relativeFrom="paragraph">
              <wp:posOffset>498475</wp:posOffset>
            </wp:positionV>
            <wp:extent cx="4388485" cy="2524125"/>
            <wp:effectExtent l="4445" t="5080" r="7620" b="4445"/>
            <wp:wrapSquare wrapText="bothSides"/>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both"/>
        <w:outlineLvl w:val="2"/>
        <w:rPr>
          <w:rFonts w:hint="eastAsia" w:ascii="仿宋" w:hAnsi="仿宋" w:eastAsia="仿宋"/>
          <w:b/>
          <w:sz w:val="32"/>
          <w:szCs w:val="32"/>
        </w:rPr>
      </w:pPr>
    </w:p>
    <w:p>
      <w:pPr>
        <w:pageBreakBefore w:val="0"/>
        <w:kinsoku/>
        <w:wordWrap/>
        <w:overflowPunct/>
        <w:topLinePunct w:val="0"/>
        <w:bidi w:val="0"/>
        <w:spacing w:line="576" w:lineRule="exact"/>
        <w:jc w:val="center"/>
        <w:rPr>
          <w:rFonts w:hint="eastAsia" w:ascii="仿宋" w:hAnsi="仿宋" w:eastAsia="仿宋"/>
          <w:b/>
          <w:bCs/>
          <w:sz w:val="32"/>
          <w:szCs w:val="32"/>
        </w:rPr>
      </w:pPr>
      <w:r>
        <w:rPr>
          <w:rFonts w:hint="eastAsia" w:ascii="仿宋" w:hAnsi="仿宋" w:eastAsia="仿宋"/>
          <w:b/>
          <w:bCs/>
          <w:sz w:val="32"/>
          <w:szCs w:val="32"/>
        </w:rPr>
        <w:t>图5：一般公共预算财政拨款支出决算变动情况</w:t>
      </w:r>
    </w:p>
    <w:p>
      <w:pPr>
        <w:pStyle w:val="2"/>
        <w:rPr>
          <w:rFonts w:hint="eastAsia"/>
        </w:rPr>
      </w:pPr>
    </w:p>
    <w:p>
      <w:pPr>
        <w:pageBreakBefore w:val="0"/>
        <w:kinsoku/>
        <w:wordWrap/>
        <w:overflowPunct/>
        <w:topLinePunct w:val="0"/>
        <w:bidi w:val="0"/>
        <w:spacing w:line="576" w:lineRule="exact"/>
        <w:jc w:val="both"/>
        <w:outlineLvl w:val="2"/>
        <w:rPr>
          <w:rFonts w:ascii="仿宋" w:hAnsi="仿宋" w:eastAsia="仿宋"/>
          <w:b/>
          <w:sz w:val="32"/>
          <w:szCs w:val="32"/>
        </w:rPr>
      </w:pPr>
      <w:r>
        <w:rPr>
          <w:rFonts w:hint="eastAsia" w:ascii="仿宋" w:hAnsi="仿宋" w:eastAsia="仿宋"/>
          <w:b/>
          <w:sz w:val="32"/>
          <w:szCs w:val="32"/>
        </w:rPr>
        <w:t>（二）一般公共预算财政拨款支出决算结构情况</w:t>
      </w:r>
      <w:bookmarkEnd w:id="35"/>
    </w:p>
    <w:p>
      <w:pPr>
        <w:pageBreakBefore w:val="0"/>
        <w:kinsoku/>
        <w:wordWrap/>
        <w:overflowPunct/>
        <w:topLinePunct w:val="0"/>
        <w:bidi w:val="0"/>
        <w:spacing w:line="576" w:lineRule="exact"/>
        <w:ind w:firstLine="640"/>
        <w:jc w:val="both"/>
        <w:rPr>
          <w:rFonts w:ascii="仿宋" w:hAnsi="仿宋" w:eastAsia="仿宋"/>
          <w:b/>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449.54</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cs="Times New Roman"/>
          <w:b/>
          <w:sz w:val="32"/>
          <w:szCs w:val="32"/>
        </w:rPr>
        <w:t>资源勘探工业信息等支出</w:t>
      </w:r>
      <w:r>
        <w:rPr>
          <w:rFonts w:hint="eastAsia" w:ascii="仿宋" w:hAnsi="仿宋" w:eastAsia="仿宋" w:cs="Times New Roman"/>
          <w:b/>
          <w:bCs/>
          <w:sz w:val="32"/>
          <w:szCs w:val="32"/>
          <w:lang w:val="en-US" w:eastAsia="zh-CN"/>
        </w:rPr>
        <w:t>378.96</w:t>
      </w:r>
      <w:r>
        <w:rPr>
          <w:rFonts w:hint="eastAsia" w:ascii="仿宋" w:hAnsi="仿宋" w:eastAsia="仿宋" w:cs="Times New Roman"/>
          <w:sz w:val="32"/>
          <w:szCs w:val="32"/>
          <w:lang w:val="en-US" w:eastAsia="zh-CN"/>
        </w:rPr>
        <w:t>万元</w:t>
      </w:r>
      <w:r>
        <w:rPr>
          <w:rFonts w:hint="eastAsia" w:ascii="仿宋" w:hAnsi="仿宋" w:eastAsia="仿宋" w:cs="Times New Roman"/>
          <w:b/>
          <w:sz w:val="32"/>
          <w:szCs w:val="32"/>
          <w:lang w:val="en-US" w:eastAsia="zh-CN"/>
        </w:rPr>
        <w:t>，</w:t>
      </w:r>
      <w:r>
        <w:rPr>
          <w:rFonts w:hint="eastAsia" w:ascii="仿宋" w:hAnsi="仿宋" w:eastAsia="仿宋" w:cs="Times New Roman"/>
          <w:sz w:val="32"/>
          <w:szCs w:val="32"/>
          <w:lang w:val="en-US" w:eastAsia="zh-CN"/>
        </w:rPr>
        <w:t>占84%；</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b/>
          <w:bCs/>
          <w:sz w:val="32"/>
          <w:szCs w:val="32"/>
          <w:lang w:val="en-US" w:eastAsia="zh-CN"/>
        </w:rPr>
        <w:t>36.38</w:t>
      </w:r>
      <w:r>
        <w:rPr>
          <w:rFonts w:hint="eastAsia" w:ascii="仿宋" w:hAnsi="仿宋" w:eastAsia="仿宋"/>
          <w:sz w:val="32"/>
          <w:szCs w:val="32"/>
        </w:rPr>
        <w:t>万元，占</w:t>
      </w:r>
      <w:r>
        <w:rPr>
          <w:rFonts w:hint="eastAsia" w:ascii="仿宋" w:hAnsi="仿宋" w:eastAsia="仿宋" w:cs="Times New Roman"/>
          <w:b/>
          <w:bCs/>
          <w:sz w:val="32"/>
          <w:szCs w:val="32"/>
          <w:lang w:val="en-US" w:eastAsia="zh-CN"/>
        </w:rPr>
        <w:t>8%</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b/>
          <w:bCs/>
          <w:sz w:val="32"/>
          <w:szCs w:val="32"/>
          <w:lang w:val="en-US" w:eastAsia="zh-CN"/>
        </w:rPr>
        <w:t>14.49</w:t>
      </w:r>
      <w:r>
        <w:rPr>
          <w:rFonts w:hint="eastAsia" w:ascii="仿宋" w:hAnsi="仿宋" w:eastAsia="仿宋"/>
          <w:sz w:val="32"/>
          <w:szCs w:val="32"/>
        </w:rPr>
        <w:t>万元，占</w:t>
      </w:r>
      <w:r>
        <w:rPr>
          <w:rFonts w:hint="eastAsia" w:ascii="仿宋" w:hAnsi="仿宋" w:eastAsia="仿宋" w:cs="Times New Roman"/>
          <w:b/>
          <w:bCs/>
          <w:sz w:val="32"/>
          <w:szCs w:val="32"/>
          <w:lang w:val="en-US" w:eastAsia="zh-CN"/>
        </w:rPr>
        <w:t>3%</w:t>
      </w:r>
      <w:r>
        <w:rPr>
          <w:rFonts w:hint="eastAsia" w:ascii="仿宋" w:hAnsi="仿宋" w:eastAsia="仿宋" w:cs="Times New Roman"/>
          <w:b w:val="0"/>
          <w:bCs w:val="0"/>
          <w:sz w:val="32"/>
          <w:szCs w:val="32"/>
          <w:lang w:val="en-US" w:eastAsia="zh-CN"/>
        </w:rPr>
        <w:t>；</w:t>
      </w:r>
      <w:r>
        <w:rPr>
          <w:rFonts w:hint="eastAsia" w:ascii="仿宋" w:hAnsi="仿宋" w:eastAsia="仿宋"/>
          <w:b/>
          <w:bCs/>
          <w:sz w:val="32"/>
          <w:szCs w:val="32"/>
        </w:rPr>
        <w:t>住房保障支出</w:t>
      </w:r>
      <w:r>
        <w:rPr>
          <w:rFonts w:hint="eastAsia" w:ascii="仿宋" w:hAnsi="仿宋" w:eastAsia="仿宋"/>
          <w:b/>
          <w:bCs/>
          <w:sz w:val="32"/>
          <w:szCs w:val="32"/>
          <w:lang w:val="en-US" w:eastAsia="zh-CN"/>
        </w:rPr>
        <w:t>19.71</w:t>
      </w:r>
      <w:r>
        <w:rPr>
          <w:rFonts w:hint="eastAsia" w:ascii="仿宋" w:hAnsi="仿宋" w:eastAsia="仿宋"/>
          <w:sz w:val="32"/>
          <w:szCs w:val="32"/>
        </w:rPr>
        <w:t>万元，占</w:t>
      </w:r>
      <w:r>
        <w:rPr>
          <w:rFonts w:hint="eastAsia" w:ascii="仿宋" w:hAnsi="仿宋" w:eastAsia="仿宋" w:cs="Times New Roman"/>
          <w:b/>
          <w:bCs/>
          <w:sz w:val="32"/>
          <w:szCs w:val="32"/>
          <w:lang w:val="en-US" w:eastAsia="zh-CN"/>
        </w:rPr>
        <w:t>5%</w:t>
      </w:r>
      <w:r>
        <w:rPr>
          <w:rFonts w:hint="eastAsia" w:ascii="仿宋" w:hAnsi="仿宋" w:eastAsia="仿宋"/>
          <w:sz w:val="32"/>
          <w:szCs w:val="32"/>
        </w:rPr>
        <w:t>。</w:t>
      </w:r>
    </w:p>
    <w:p>
      <w:pPr>
        <w:pageBreakBefore w:val="0"/>
        <w:kinsoku/>
        <w:wordWrap/>
        <w:overflowPunct/>
        <w:topLinePunct w:val="0"/>
        <w:bidi w:val="0"/>
        <w:spacing w:line="576" w:lineRule="exact"/>
        <w:ind w:firstLine="0" w:firstLineChars="0"/>
        <w:jc w:val="both"/>
        <w:outlineLvl w:val="9"/>
        <w:rPr>
          <w:rFonts w:hint="eastAsia" w:ascii="仿宋" w:hAnsi="仿宋" w:eastAsia="仿宋"/>
          <w:b/>
          <w:sz w:val="32"/>
          <w:szCs w:val="32"/>
        </w:rPr>
      </w:pPr>
      <w:bookmarkStart w:id="36" w:name="_Toc15377212"/>
    </w:p>
    <w:p>
      <w:pPr>
        <w:pageBreakBefore w:val="0"/>
        <w:kinsoku/>
        <w:wordWrap/>
        <w:overflowPunct/>
        <w:topLinePunct w:val="0"/>
        <w:bidi w:val="0"/>
        <w:spacing w:line="576" w:lineRule="exact"/>
        <w:ind w:firstLine="420" w:firstLineChars="200"/>
        <w:jc w:val="both"/>
        <w:outlineLvl w:val="9"/>
      </w:pPr>
    </w:p>
    <w:p>
      <w:pPr>
        <w:pageBreakBefore w:val="0"/>
        <w:kinsoku/>
        <w:wordWrap/>
        <w:overflowPunct/>
        <w:topLinePunct w:val="0"/>
        <w:bidi w:val="0"/>
        <w:spacing w:line="576" w:lineRule="exact"/>
        <w:ind w:firstLine="420" w:firstLineChars="200"/>
        <w:jc w:val="both"/>
        <w:outlineLvl w:val="9"/>
      </w:pPr>
    </w:p>
    <w:p>
      <w:pPr>
        <w:pageBreakBefore w:val="0"/>
        <w:kinsoku/>
        <w:wordWrap/>
        <w:overflowPunct/>
        <w:topLinePunct w:val="0"/>
        <w:bidi w:val="0"/>
        <w:spacing w:line="576" w:lineRule="exact"/>
        <w:ind w:firstLine="420" w:firstLineChars="200"/>
        <w:jc w:val="both"/>
        <w:outlineLvl w:val="9"/>
      </w:pPr>
    </w:p>
    <w:p>
      <w:pPr>
        <w:pageBreakBefore w:val="0"/>
        <w:kinsoku/>
        <w:wordWrap/>
        <w:overflowPunct/>
        <w:topLinePunct w:val="0"/>
        <w:bidi w:val="0"/>
        <w:spacing w:line="576" w:lineRule="exact"/>
        <w:ind w:firstLine="420" w:firstLineChars="200"/>
        <w:jc w:val="both"/>
        <w:outlineLvl w:val="9"/>
      </w:pPr>
    </w:p>
    <w:p>
      <w:pPr>
        <w:pageBreakBefore w:val="0"/>
        <w:kinsoku/>
        <w:wordWrap/>
        <w:overflowPunct/>
        <w:topLinePunct w:val="0"/>
        <w:bidi w:val="0"/>
        <w:spacing w:line="576" w:lineRule="exact"/>
        <w:ind w:firstLine="421" w:firstLineChars="200"/>
        <w:jc w:val="center"/>
        <w:outlineLvl w:val="9"/>
        <w:rPr>
          <w:rFonts w:ascii="仿宋" w:hAnsi="仿宋" w:eastAsia="仿宋"/>
          <w:b/>
          <w:bCs/>
          <w:sz w:val="32"/>
          <w:szCs w:val="32"/>
        </w:rPr>
      </w:pPr>
      <w:r>
        <w:rPr>
          <w:b/>
          <w:bCs/>
        </w:rPr>
        <w:drawing>
          <wp:anchor distT="0" distB="0" distL="114300" distR="114300" simplePos="0" relativeHeight="251659264" behindDoc="0" locked="0" layoutInCell="1" allowOverlap="1">
            <wp:simplePos x="0" y="0"/>
            <wp:positionH relativeFrom="column">
              <wp:posOffset>265430</wp:posOffset>
            </wp:positionH>
            <wp:positionV relativeFrom="paragraph">
              <wp:posOffset>274320</wp:posOffset>
            </wp:positionV>
            <wp:extent cx="4826000" cy="2743200"/>
            <wp:effectExtent l="4445" t="4445" r="8255" b="8255"/>
            <wp:wrapSquare wrapText="bothSides"/>
            <wp:docPr id="1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hint="eastAsia" w:ascii="仿宋" w:hAnsi="仿宋" w:eastAsia="仿宋"/>
          <w:b/>
          <w:bCs/>
          <w:sz w:val="32"/>
          <w:szCs w:val="32"/>
        </w:rPr>
        <w:t>图6：一般公共预算财政拨款支出决算结构</w:t>
      </w:r>
    </w:p>
    <w:p>
      <w:pPr>
        <w:pStyle w:val="2"/>
        <w:ind w:left="0" w:leftChars="0" w:firstLine="0" w:firstLineChars="0"/>
        <w:rPr>
          <w:rFonts w:hint="eastAsia"/>
        </w:rPr>
      </w:pPr>
    </w:p>
    <w:p>
      <w:pPr>
        <w:pageBreakBefore w:val="0"/>
        <w:kinsoku/>
        <w:wordWrap/>
        <w:overflowPunct/>
        <w:topLinePunct w:val="0"/>
        <w:bidi w:val="0"/>
        <w:spacing w:line="576" w:lineRule="exact"/>
        <w:jc w:val="both"/>
        <w:outlineLvl w:val="2"/>
        <w:rPr>
          <w:rFonts w:ascii="仿宋" w:hAnsi="仿宋" w:eastAsia="仿宋"/>
          <w:b/>
          <w:sz w:val="32"/>
          <w:szCs w:val="32"/>
        </w:rPr>
      </w:pPr>
      <w:r>
        <w:rPr>
          <w:rFonts w:hint="eastAsia" w:ascii="仿宋" w:hAnsi="仿宋" w:eastAsia="仿宋"/>
          <w:b/>
          <w:sz w:val="32"/>
          <w:szCs w:val="32"/>
        </w:rPr>
        <w:t>（三）一般公共预算财政拨款支出决算具体情况</w:t>
      </w:r>
      <w:bookmarkEnd w:id="36"/>
    </w:p>
    <w:p>
      <w:pPr>
        <w:pageBreakBefore w:val="0"/>
        <w:kinsoku/>
        <w:wordWrap/>
        <w:overflowPunct/>
        <w:topLinePunct w:val="0"/>
        <w:bidi w:val="0"/>
        <w:spacing w:line="576" w:lineRule="exact"/>
        <w:ind w:firstLine="645"/>
        <w:jc w:val="both"/>
        <w:rPr>
          <w:rFonts w:hint="eastAsia" w:ascii="仿宋" w:hAnsi="仿宋" w:eastAsia="仿宋" w:cs="Times New Roman"/>
          <w:sz w:val="32"/>
          <w:szCs w:val="32"/>
        </w:rPr>
      </w:pPr>
      <w:bookmarkStart w:id="37" w:name="_Toc15377213"/>
      <w:bookmarkStart w:id="38" w:name="_Toc15377444"/>
      <w:bookmarkStart w:id="39" w:name="_Toc15378460"/>
      <w:r>
        <w:rPr>
          <w:rFonts w:hint="eastAsia" w:ascii="仿宋" w:hAnsi="仿宋" w:eastAsia="仿宋" w:cs="Times New Roman"/>
          <w:sz w:val="32"/>
          <w:szCs w:val="32"/>
        </w:rPr>
        <w:t>2023年度一般公共预算支出决算数为</w:t>
      </w:r>
      <w:r>
        <w:rPr>
          <w:rFonts w:hint="eastAsia" w:ascii="仿宋" w:hAnsi="仿宋" w:eastAsia="仿宋" w:cs="Times New Roman"/>
          <w:b/>
          <w:bCs/>
          <w:sz w:val="32"/>
          <w:szCs w:val="32"/>
        </w:rPr>
        <w:t>449.54</w:t>
      </w:r>
      <w:r>
        <w:rPr>
          <w:rFonts w:hint="eastAsia" w:ascii="仿宋" w:hAnsi="仿宋" w:eastAsia="仿宋" w:cs="Times New Roman"/>
          <w:b w:val="0"/>
          <w:bCs w:val="0"/>
          <w:sz w:val="32"/>
          <w:szCs w:val="32"/>
          <w:lang w:eastAsia="zh-CN"/>
        </w:rPr>
        <w:t>万元</w:t>
      </w:r>
      <w:r>
        <w:rPr>
          <w:rFonts w:hint="eastAsia" w:ascii="仿宋" w:hAnsi="仿宋" w:eastAsia="仿宋" w:cs="Times New Roman"/>
          <w:sz w:val="32"/>
          <w:szCs w:val="32"/>
        </w:rPr>
        <w:t>，完成预算</w:t>
      </w:r>
      <w:r>
        <w:rPr>
          <w:rFonts w:hint="eastAsia" w:ascii="仿宋" w:hAnsi="仿宋" w:eastAsia="仿宋" w:cs="Times New Roman"/>
          <w:b/>
          <w:bCs/>
          <w:sz w:val="32"/>
          <w:szCs w:val="32"/>
          <w:lang w:val="en-US" w:eastAsia="zh-CN"/>
        </w:rPr>
        <w:t>100</w:t>
      </w:r>
      <w:r>
        <w:rPr>
          <w:rFonts w:hint="eastAsia" w:ascii="仿宋" w:hAnsi="仿宋" w:eastAsia="仿宋" w:cs="Times New Roman"/>
          <w:b/>
          <w:bCs/>
          <w:sz w:val="32"/>
          <w:szCs w:val="32"/>
        </w:rPr>
        <w:t>%</w:t>
      </w:r>
      <w:r>
        <w:rPr>
          <w:rFonts w:hint="eastAsia" w:ascii="仿宋" w:hAnsi="仿宋" w:eastAsia="仿宋" w:cs="Times New Roman"/>
          <w:sz w:val="32"/>
          <w:szCs w:val="32"/>
        </w:rPr>
        <w:t>。其中：</w:t>
      </w:r>
      <w:bookmarkEnd w:id="37"/>
      <w:bookmarkEnd w:id="38"/>
      <w:bookmarkEnd w:id="39"/>
    </w:p>
    <w:p>
      <w:pPr>
        <w:pageBreakBefore w:val="0"/>
        <w:kinsoku/>
        <w:wordWrap/>
        <w:overflowPunct/>
        <w:topLinePunct w:val="0"/>
        <w:bidi w:val="0"/>
        <w:spacing w:line="576" w:lineRule="exact"/>
        <w:ind w:firstLine="645"/>
        <w:jc w:val="both"/>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1.</w:t>
      </w:r>
      <w:r>
        <w:rPr>
          <w:rFonts w:hint="eastAsia" w:ascii="仿宋" w:hAnsi="仿宋" w:eastAsia="仿宋" w:cs="Times New Roman"/>
          <w:sz w:val="32"/>
          <w:szCs w:val="32"/>
        </w:rPr>
        <w:t>社会保障和就业（类）</w:t>
      </w:r>
      <w:r>
        <w:rPr>
          <w:rFonts w:hint="eastAsia" w:ascii="仿宋" w:hAnsi="仿宋" w:eastAsia="仿宋" w:cs="Times New Roman"/>
          <w:sz w:val="32"/>
          <w:szCs w:val="32"/>
          <w:lang w:eastAsia="zh-CN"/>
        </w:rPr>
        <w:t>行政事业单位养老支出</w:t>
      </w:r>
      <w:r>
        <w:rPr>
          <w:rFonts w:hint="eastAsia" w:ascii="仿宋" w:hAnsi="仿宋" w:eastAsia="仿宋" w:cs="Times New Roman"/>
          <w:sz w:val="32"/>
          <w:szCs w:val="32"/>
        </w:rPr>
        <w:t>（款）</w:t>
      </w:r>
      <w:r>
        <w:rPr>
          <w:rFonts w:hint="eastAsia" w:ascii="仿宋" w:hAnsi="仿宋" w:eastAsia="仿宋" w:cs="Times New Roman"/>
          <w:sz w:val="32"/>
          <w:szCs w:val="32"/>
          <w:lang w:eastAsia="zh-CN"/>
        </w:rPr>
        <w:t>机关事业单位</w:t>
      </w:r>
      <w:r>
        <w:rPr>
          <w:rFonts w:hint="eastAsia" w:ascii="仿宋" w:hAnsi="仿宋" w:eastAsia="仿宋" w:cs="Times New Roman"/>
          <w:b/>
          <w:bCs/>
          <w:sz w:val="32"/>
          <w:szCs w:val="32"/>
          <w:lang w:eastAsia="zh-CN"/>
        </w:rPr>
        <w:t>养老保险</w:t>
      </w:r>
      <w:r>
        <w:rPr>
          <w:rFonts w:hint="eastAsia" w:ascii="仿宋" w:hAnsi="仿宋" w:eastAsia="仿宋" w:cs="Times New Roman"/>
          <w:sz w:val="32"/>
          <w:szCs w:val="32"/>
          <w:lang w:eastAsia="zh-CN"/>
        </w:rPr>
        <w:t>缴费支出</w:t>
      </w:r>
      <w:r>
        <w:rPr>
          <w:rFonts w:hint="eastAsia" w:ascii="仿宋" w:hAnsi="仿宋" w:eastAsia="仿宋" w:cs="Times New Roman"/>
          <w:sz w:val="32"/>
          <w:szCs w:val="32"/>
        </w:rPr>
        <w:t>（项）:支出决算为</w:t>
      </w:r>
      <w:r>
        <w:rPr>
          <w:rFonts w:hint="eastAsia" w:ascii="仿宋" w:hAnsi="仿宋" w:eastAsia="仿宋" w:cs="Times New Roman"/>
          <w:b/>
          <w:bCs/>
          <w:sz w:val="32"/>
          <w:szCs w:val="32"/>
          <w:lang w:val="en-US" w:eastAsia="zh-CN"/>
        </w:rPr>
        <w:t>24.05</w:t>
      </w:r>
      <w:r>
        <w:rPr>
          <w:rFonts w:hint="eastAsia" w:ascii="仿宋" w:hAnsi="仿宋" w:eastAsia="仿宋" w:cs="Times New Roman"/>
          <w:sz w:val="32"/>
          <w:szCs w:val="32"/>
        </w:rPr>
        <w:t>万元，完成预算</w:t>
      </w:r>
      <w:r>
        <w:rPr>
          <w:rFonts w:hint="eastAsia" w:ascii="仿宋" w:hAnsi="仿宋" w:eastAsia="仿宋" w:cs="Times New Roman"/>
          <w:b/>
          <w:bCs/>
          <w:sz w:val="32"/>
          <w:szCs w:val="32"/>
          <w:lang w:val="en-US" w:eastAsia="zh-CN"/>
        </w:rPr>
        <w:t>100</w:t>
      </w:r>
      <w:r>
        <w:rPr>
          <w:rFonts w:hint="eastAsia" w:ascii="仿宋" w:hAnsi="仿宋" w:eastAsia="仿宋" w:cs="Times New Roman"/>
          <w:b/>
          <w:bCs/>
          <w:sz w:val="32"/>
          <w:szCs w:val="32"/>
        </w:rPr>
        <w:t>%</w:t>
      </w:r>
      <w:r>
        <w:rPr>
          <w:rFonts w:hint="eastAsia" w:ascii="仿宋" w:hAnsi="仿宋" w:eastAsia="仿宋" w:cs="Times New Roman"/>
          <w:sz w:val="32"/>
          <w:szCs w:val="32"/>
          <w:lang w:eastAsia="zh-CN"/>
        </w:rPr>
        <w:t>。</w:t>
      </w:r>
    </w:p>
    <w:p>
      <w:pPr>
        <w:pageBreakBefore w:val="0"/>
        <w:kinsoku/>
        <w:wordWrap/>
        <w:overflowPunct/>
        <w:topLinePunct w:val="0"/>
        <w:bidi w:val="0"/>
        <w:spacing w:line="576" w:lineRule="exact"/>
        <w:ind w:firstLine="645"/>
        <w:jc w:val="both"/>
        <w:rPr>
          <w:rFonts w:hint="eastAsia" w:ascii="仿宋" w:hAnsi="仿宋" w:eastAsia="仿宋" w:cs="Times New Roman"/>
          <w:sz w:val="32"/>
          <w:szCs w:val="32"/>
        </w:rPr>
      </w:pPr>
      <w:r>
        <w:rPr>
          <w:rFonts w:hint="eastAsia" w:ascii="仿宋" w:hAnsi="仿宋" w:eastAsia="仿宋" w:cs="Times New Roman"/>
          <w:sz w:val="32"/>
          <w:szCs w:val="32"/>
          <w:lang w:val="en-US" w:eastAsia="zh-CN"/>
        </w:rPr>
        <w:t>2.</w:t>
      </w:r>
      <w:r>
        <w:rPr>
          <w:rFonts w:hint="eastAsia" w:ascii="仿宋" w:hAnsi="仿宋" w:eastAsia="仿宋" w:cs="Times New Roman"/>
          <w:sz w:val="32"/>
          <w:szCs w:val="32"/>
        </w:rPr>
        <w:t>社会保障和就业（类）</w:t>
      </w:r>
      <w:r>
        <w:rPr>
          <w:rFonts w:hint="eastAsia" w:ascii="仿宋" w:hAnsi="仿宋" w:eastAsia="仿宋" w:cs="Times New Roman"/>
          <w:sz w:val="32"/>
          <w:szCs w:val="32"/>
          <w:lang w:eastAsia="zh-CN"/>
        </w:rPr>
        <w:t>行政事业单位养老支出</w:t>
      </w:r>
      <w:r>
        <w:rPr>
          <w:rFonts w:hint="eastAsia" w:ascii="仿宋" w:hAnsi="仿宋" w:eastAsia="仿宋" w:cs="Times New Roman"/>
          <w:sz w:val="32"/>
          <w:szCs w:val="32"/>
        </w:rPr>
        <w:t>（款）</w:t>
      </w:r>
      <w:r>
        <w:rPr>
          <w:rFonts w:hint="eastAsia" w:ascii="仿宋" w:hAnsi="仿宋" w:eastAsia="仿宋" w:cs="Times New Roman"/>
          <w:sz w:val="32"/>
          <w:szCs w:val="32"/>
          <w:lang w:eastAsia="zh-CN"/>
        </w:rPr>
        <w:t>机关事业单位</w:t>
      </w:r>
      <w:r>
        <w:rPr>
          <w:rFonts w:hint="eastAsia" w:ascii="仿宋" w:hAnsi="仿宋" w:eastAsia="仿宋" w:cs="Times New Roman"/>
          <w:b/>
          <w:bCs/>
          <w:sz w:val="32"/>
          <w:szCs w:val="32"/>
          <w:lang w:eastAsia="zh-CN"/>
        </w:rPr>
        <w:t>职业年金</w:t>
      </w:r>
      <w:r>
        <w:rPr>
          <w:rFonts w:hint="eastAsia" w:ascii="仿宋" w:hAnsi="仿宋" w:eastAsia="仿宋" w:cs="Times New Roman"/>
          <w:sz w:val="32"/>
          <w:szCs w:val="32"/>
          <w:lang w:eastAsia="zh-CN"/>
        </w:rPr>
        <w:t>缴费支出</w:t>
      </w:r>
      <w:r>
        <w:rPr>
          <w:rFonts w:hint="eastAsia" w:ascii="仿宋" w:hAnsi="仿宋" w:eastAsia="仿宋" w:cs="Times New Roman"/>
          <w:sz w:val="32"/>
          <w:szCs w:val="32"/>
        </w:rPr>
        <w:t>（项）:支出决算为</w:t>
      </w:r>
      <w:r>
        <w:rPr>
          <w:rFonts w:hint="eastAsia" w:ascii="仿宋" w:hAnsi="仿宋" w:eastAsia="仿宋" w:cs="Times New Roman"/>
          <w:b/>
          <w:bCs/>
          <w:sz w:val="32"/>
          <w:szCs w:val="32"/>
          <w:lang w:val="en-US" w:eastAsia="zh-CN"/>
        </w:rPr>
        <w:t>12.33</w:t>
      </w:r>
      <w:r>
        <w:rPr>
          <w:rFonts w:hint="eastAsia" w:ascii="仿宋" w:hAnsi="仿宋" w:eastAsia="仿宋" w:cs="Times New Roman"/>
          <w:sz w:val="32"/>
          <w:szCs w:val="32"/>
        </w:rPr>
        <w:t>万元，完成预算</w:t>
      </w:r>
      <w:r>
        <w:rPr>
          <w:rFonts w:hint="eastAsia" w:ascii="仿宋" w:hAnsi="仿宋" w:eastAsia="仿宋" w:cs="Times New Roman"/>
          <w:b/>
          <w:bCs/>
          <w:sz w:val="32"/>
          <w:szCs w:val="32"/>
          <w:lang w:val="en-US" w:eastAsia="zh-CN"/>
        </w:rPr>
        <w:t>100</w:t>
      </w:r>
      <w:r>
        <w:rPr>
          <w:rFonts w:hint="eastAsia" w:ascii="仿宋" w:hAnsi="仿宋" w:eastAsia="仿宋" w:cs="Times New Roman"/>
          <w:b/>
          <w:bCs/>
          <w:sz w:val="32"/>
          <w:szCs w:val="32"/>
        </w:rPr>
        <w:t>%</w:t>
      </w:r>
      <w:r>
        <w:rPr>
          <w:rFonts w:hint="eastAsia" w:ascii="仿宋" w:hAnsi="仿宋" w:eastAsia="仿宋" w:cs="Times New Roman"/>
          <w:sz w:val="32"/>
          <w:szCs w:val="32"/>
          <w:lang w:eastAsia="zh-CN"/>
        </w:rPr>
        <w:t>。</w:t>
      </w:r>
    </w:p>
    <w:p>
      <w:pPr>
        <w:pageBreakBefore w:val="0"/>
        <w:kinsoku/>
        <w:wordWrap/>
        <w:overflowPunct/>
        <w:topLinePunct w:val="0"/>
        <w:bidi w:val="0"/>
        <w:spacing w:line="576" w:lineRule="exact"/>
        <w:ind w:firstLine="645"/>
        <w:jc w:val="both"/>
        <w:rPr>
          <w:rFonts w:hint="eastAsia" w:ascii="仿宋" w:hAnsi="仿宋" w:eastAsia="仿宋" w:cs="Times New Roman"/>
          <w:sz w:val="32"/>
          <w:szCs w:val="32"/>
        </w:rPr>
      </w:pP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卫生健康（类）</w:t>
      </w:r>
      <w:r>
        <w:rPr>
          <w:rFonts w:hint="eastAsia" w:ascii="仿宋" w:hAnsi="仿宋" w:eastAsia="仿宋" w:cs="Times New Roman"/>
          <w:sz w:val="32"/>
          <w:szCs w:val="32"/>
          <w:lang w:eastAsia="zh-CN"/>
        </w:rPr>
        <w:t>行政事业单位医疗</w:t>
      </w:r>
      <w:r>
        <w:rPr>
          <w:rFonts w:hint="eastAsia" w:ascii="仿宋" w:hAnsi="仿宋" w:eastAsia="仿宋" w:cs="Times New Roman"/>
          <w:sz w:val="32"/>
          <w:szCs w:val="32"/>
        </w:rPr>
        <w:t>（款）</w:t>
      </w:r>
      <w:r>
        <w:rPr>
          <w:rFonts w:hint="eastAsia" w:ascii="仿宋" w:hAnsi="仿宋" w:eastAsia="仿宋" w:cs="Times New Roman"/>
          <w:sz w:val="32"/>
          <w:szCs w:val="32"/>
          <w:lang w:eastAsia="zh-CN"/>
        </w:rPr>
        <w:t>事业单位</w:t>
      </w:r>
      <w:r>
        <w:rPr>
          <w:rFonts w:hint="eastAsia" w:ascii="仿宋" w:hAnsi="仿宋" w:eastAsia="仿宋" w:cs="Times New Roman"/>
          <w:b/>
          <w:bCs/>
          <w:sz w:val="32"/>
          <w:szCs w:val="32"/>
          <w:lang w:eastAsia="zh-CN"/>
        </w:rPr>
        <w:t>医疗</w:t>
      </w:r>
      <w:r>
        <w:rPr>
          <w:rFonts w:hint="eastAsia" w:ascii="仿宋" w:hAnsi="仿宋" w:eastAsia="仿宋" w:cs="Times New Roman"/>
          <w:b/>
          <w:bCs/>
          <w:sz w:val="32"/>
          <w:szCs w:val="32"/>
        </w:rPr>
        <w:t>（项）</w:t>
      </w:r>
      <w:r>
        <w:rPr>
          <w:rFonts w:hint="eastAsia" w:ascii="仿宋" w:hAnsi="仿宋" w:eastAsia="仿宋" w:cs="Times New Roman"/>
          <w:sz w:val="32"/>
          <w:szCs w:val="32"/>
        </w:rPr>
        <w:t>:支出决算为</w:t>
      </w:r>
      <w:r>
        <w:rPr>
          <w:rFonts w:hint="eastAsia" w:ascii="仿宋" w:hAnsi="仿宋" w:eastAsia="仿宋" w:cs="Times New Roman"/>
          <w:b/>
          <w:bCs/>
          <w:sz w:val="32"/>
          <w:szCs w:val="32"/>
          <w:lang w:val="en-US" w:eastAsia="zh-CN"/>
        </w:rPr>
        <w:t>14.49</w:t>
      </w:r>
      <w:r>
        <w:rPr>
          <w:rFonts w:hint="eastAsia" w:ascii="仿宋" w:hAnsi="仿宋" w:eastAsia="仿宋" w:cs="Times New Roman"/>
          <w:sz w:val="32"/>
          <w:szCs w:val="32"/>
        </w:rPr>
        <w:t>万元，完成预算</w:t>
      </w:r>
      <w:r>
        <w:rPr>
          <w:rFonts w:hint="eastAsia" w:ascii="仿宋" w:hAnsi="仿宋" w:eastAsia="仿宋" w:cs="Times New Roman"/>
          <w:b/>
          <w:bCs/>
          <w:sz w:val="32"/>
          <w:szCs w:val="32"/>
          <w:lang w:val="en-US" w:eastAsia="zh-CN"/>
        </w:rPr>
        <w:t>100</w:t>
      </w:r>
      <w:r>
        <w:rPr>
          <w:rFonts w:hint="eastAsia" w:ascii="仿宋" w:hAnsi="仿宋" w:eastAsia="仿宋" w:cs="Times New Roman"/>
          <w:b/>
          <w:bCs/>
          <w:sz w:val="32"/>
          <w:szCs w:val="32"/>
        </w:rPr>
        <w:t>%</w:t>
      </w:r>
      <w:r>
        <w:rPr>
          <w:rFonts w:hint="eastAsia" w:ascii="仿宋" w:hAnsi="仿宋" w:eastAsia="仿宋" w:cs="Times New Roman"/>
          <w:sz w:val="32"/>
          <w:szCs w:val="32"/>
        </w:rPr>
        <w:t>。</w:t>
      </w:r>
    </w:p>
    <w:p>
      <w:pPr>
        <w:pageBreakBefore w:val="0"/>
        <w:kinsoku/>
        <w:wordWrap/>
        <w:overflowPunct/>
        <w:topLinePunct w:val="0"/>
        <w:bidi w:val="0"/>
        <w:spacing w:line="576" w:lineRule="exact"/>
        <w:ind w:firstLine="645"/>
        <w:jc w:val="both"/>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资源勘探工业信息等支出（类）制造业（款）</w:t>
      </w:r>
      <w:r>
        <w:rPr>
          <w:rFonts w:hint="eastAsia" w:ascii="仿宋" w:hAnsi="仿宋" w:eastAsia="仿宋" w:cs="Times New Roman"/>
          <w:b/>
          <w:bCs/>
          <w:sz w:val="32"/>
          <w:szCs w:val="32"/>
        </w:rPr>
        <w:t>机关服务项</w:t>
      </w:r>
      <w:r>
        <w:rPr>
          <w:rFonts w:hint="eastAsia" w:ascii="仿宋" w:hAnsi="仿宋" w:eastAsia="仿宋" w:cs="Times New Roman"/>
          <w:sz w:val="32"/>
          <w:szCs w:val="32"/>
        </w:rPr>
        <w:t>:支出决算为</w:t>
      </w:r>
      <w:r>
        <w:rPr>
          <w:rFonts w:hint="eastAsia" w:ascii="仿宋" w:hAnsi="仿宋" w:eastAsia="仿宋" w:cs="Times New Roman"/>
          <w:b/>
          <w:bCs/>
          <w:sz w:val="32"/>
          <w:szCs w:val="32"/>
          <w:lang w:val="en-US" w:eastAsia="zh-CN"/>
        </w:rPr>
        <w:t>210.39</w:t>
      </w:r>
      <w:r>
        <w:rPr>
          <w:rFonts w:hint="eastAsia" w:ascii="仿宋" w:hAnsi="仿宋" w:eastAsia="仿宋" w:cs="Times New Roman"/>
          <w:sz w:val="32"/>
          <w:szCs w:val="32"/>
        </w:rPr>
        <w:t>万元，完成预算</w:t>
      </w:r>
      <w:r>
        <w:rPr>
          <w:rFonts w:hint="eastAsia" w:ascii="仿宋" w:hAnsi="仿宋" w:eastAsia="仿宋" w:cs="Times New Roman"/>
          <w:b/>
          <w:bCs/>
          <w:sz w:val="32"/>
          <w:szCs w:val="32"/>
          <w:lang w:val="en-US" w:eastAsia="zh-CN"/>
        </w:rPr>
        <w:t>100</w:t>
      </w:r>
      <w:r>
        <w:rPr>
          <w:rFonts w:hint="eastAsia" w:ascii="仿宋" w:hAnsi="仿宋" w:eastAsia="仿宋" w:cs="Times New Roman"/>
          <w:b/>
          <w:bCs/>
          <w:sz w:val="32"/>
          <w:szCs w:val="32"/>
        </w:rPr>
        <w:t>%</w:t>
      </w:r>
      <w:r>
        <w:rPr>
          <w:rFonts w:hint="eastAsia" w:ascii="仿宋" w:hAnsi="仿宋" w:eastAsia="仿宋" w:cs="Times New Roman"/>
          <w:sz w:val="32"/>
          <w:szCs w:val="32"/>
          <w:lang w:eastAsia="zh-CN"/>
        </w:rPr>
        <w:t>。</w:t>
      </w:r>
    </w:p>
    <w:p>
      <w:pPr>
        <w:pageBreakBefore w:val="0"/>
        <w:kinsoku/>
        <w:wordWrap/>
        <w:overflowPunct/>
        <w:topLinePunct w:val="0"/>
        <w:bidi w:val="0"/>
        <w:spacing w:line="576" w:lineRule="exact"/>
        <w:ind w:firstLine="645"/>
        <w:jc w:val="both"/>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5.</w:t>
      </w:r>
      <w:r>
        <w:rPr>
          <w:rFonts w:hint="eastAsia" w:ascii="仿宋" w:hAnsi="仿宋" w:eastAsia="仿宋" w:cs="Times New Roman"/>
          <w:sz w:val="32"/>
          <w:szCs w:val="32"/>
        </w:rPr>
        <w:t>资源勘探工业信息等支出（类）制造业（款）</w:t>
      </w:r>
      <w:r>
        <w:rPr>
          <w:rFonts w:hint="eastAsia" w:ascii="仿宋" w:hAnsi="仿宋" w:eastAsia="仿宋" w:cs="Times New Roman"/>
          <w:b/>
          <w:bCs/>
          <w:sz w:val="32"/>
          <w:szCs w:val="32"/>
          <w:lang w:eastAsia="zh-CN"/>
        </w:rPr>
        <w:t>一般行政管理事务（</w:t>
      </w:r>
      <w:r>
        <w:rPr>
          <w:rFonts w:hint="eastAsia" w:ascii="仿宋" w:hAnsi="仿宋" w:eastAsia="仿宋" w:cs="Times New Roman"/>
          <w:b/>
          <w:bCs/>
          <w:sz w:val="32"/>
          <w:szCs w:val="32"/>
        </w:rPr>
        <w:t>项）</w:t>
      </w:r>
      <w:r>
        <w:rPr>
          <w:rFonts w:hint="eastAsia" w:ascii="仿宋" w:hAnsi="仿宋" w:eastAsia="仿宋" w:cs="Times New Roman"/>
          <w:sz w:val="32"/>
          <w:szCs w:val="32"/>
        </w:rPr>
        <w:t>:支出决算为</w:t>
      </w:r>
      <w:r>
        <w:rPr>
          <w:rFonts w:hint="eastAsia" w:ascii="仿宋" w:hAnsi="仿宋" w:eastAsia="仿宋" w:cs="Times New Roman"/>
          <w:b/>
          <w:bCs/>
          <w:sz w:val="32"/>
          <w:szCs w:val="32"/>
          <w:lang w:val="en-US" w:eastAsia="zh-CN"/>
        </w:rPr>
        <w:t>168.57</w:t>
      </w:r>
      <w:r>
        <w:rPr>
          <w:rFonts w:hint="eastAsia" w:ascii="仿宋" w:hAnsi="仿宋" w:eastAsia="仿宋" w:cs="Times New Roman"/>
          <w:sz w:val="32"/>
          <w:szCs w:val="32"/>
        </w:rPr>
        <w:t>万元，完成预算</w:t>
      </w:r>
      <w:r>
        <w:rPr>
          <w:rFonts w:hint="eastAsia" w:ascii="仿宋" w:hAnsi="仿宋" w:eastAsia="仿宋" w:cs="Times New Roman"/>
          <w:b/>
          <w:bCs/>
          <w:sz w:val="32"/>
          <w:szCs w:val="32"/>
          <w:lang w:val="en-US" w:eastAsia="zh-CN"/>
        </w:rPr>
        <w:t>100</w:t>
      </w:r>
      <w:r>
        <w:rPr>
          <w:rFonts w:hint="eastAsia" w:ascii="仿宋" w:hAnsi="仿宋" w:eastAsia="仿宋" w:cs="Times New Roman"/>
          <w:b/>
          <w:bCs/>
          <w:sz w:val="32"/>
          <w:szCs w:val="32"/>
        </w:rPr>
        <w:t>%</w:t>
      </w:r>
      <w:r>
        <w:rPr>
          <w:rFonts w:hint="eastAsia" w:ascii="仿宋" w:hAnsi="仿宋" w:eastAsia="仿宋" w:cs="Times New Roman"/>
          <w:sz w:val="32"/>
          <w:szCs w:val="32"/>
          <w:lang w:eastAsia="zh-CN"/>
        </w:rPr>
        <w:t>。</w:t>
      </w:r>
    </w:p>
    <w:p>
      <w:pPr>
        <w:pageBreakBefore w:val="0"/>
        <w:kinsoku/>
        <w:wordWrap/>
        <w:overflowPunct/>
        <w:topLinePunct w:val="0"/>
        <w:bidi w:val="0"/>
        <w:spacing w:line="576" w:lineRule="exact"/>
        <w:ind w:firstLine="645"/>
        <w:jc w:val="both"/>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6.住房保障</w:t>
      </w:r>
      <w:r>
        <w:rPr>
          <w:rFonts w:hint="eastAsia" w:ascii="仿宋" w:hAnsi="仿宋" w:eastAsia="仿宋" w:cs="Times New Roman"/>
          <w:sz w:val="32"/>
          <w:szCs w:val="32"/>
        </w:rPr>
        <w:t>支出（类）</w:t>
      </w:r>
      <w:r>
        <w:rPr>
          <w:rFonts w:hint="eastAsia" w:ascii="仿宋" w:hAnsi="仿宋" w:eastAsia="仿宋" w:cs="Times New Roman"/>
          <w:sz w:val="32"/>
          <w:szCs w:val="32"/>
          <w:lang w:eastAsia="zh-CN"/>
        </w:rPr>
        <w:t>住房改革支出</w:t>
      </w:r>
      <w:r>
        <w:rPr>
          <w:rFonts w:hint="eastAsia" w:ascii="仿宋" w:hAnsi="仿宋" w:eastAsia="仿宋" w:cs="Times New Roman"/>
          <w:sz w:val="32"/>
          <w:szCs w:val="32"/>
        </w:rPr>
        <w:t>（款）</w:t>
      </w:r>
      <w:r>
        <w:rPr>
          <w:rFonts w:hint="eastAsia" w:ascii="仿宋" w:hAnsi="仿宋" w:eastAsia="仿宋" w:cs="Times New Roman"/>
          <w:b/>
          <w:bCs/>
          <w:sz w:val="32"/>
          <w:szCs w:val="32"/>
          <w:lang w:eastAsia="zh-CN"/>
        </w:rPr>
        <w:t>住房公积金（</w:t>
      </w:r>
      <w:r>
        <w:rPr>
          <w:rFonts w:hint="eastAsia" w:ascii="仿宋" w:hAnsi="仿宋" w:eastAsia="仿宋" w:cs="Times New Roman"/>
          <w:b/>
          <w:bCs/>
          <w:sz w:val="32"/>
          <w:szCs w:val="32"/>
        </w:rPr>
        <w:t>项）</w:t>
      </w:r>
      <w:r>
        <w:rPr>
          <w:rFonts w:hint="eastAsia" w:ascii="仿宋" w:hAnsi="仿宋" w:eastAsia="仿宋" w:cs="Times New Roman"/>
          <w:sz w:val="32"/>
          <w:szCs w:val="32"/>
        </w:rPr>
        <w:t>:支出决算为</w:t>
      </w:r>
      <w:r>
        <w:rPr>
          <w:rFonts w:hint="eastAsia" w:ascii="仿宋" w:hAnsi="仿宋" w:eastAsia="仿宋" w:cs="Times New Roman"/>
          <w:b/>
          <w:bCs/>
          <w:sz w:val="32"/>
          <w:szCs w:val="32"/>
          <w:lang w:val="en-US" w:eastAsia="zh-CN"/>
        </w:rPr>
        <w:t>18.51</w:t>
      </w:r>
      <w:r>
        <w:rPr>
          <w:rFonts w:hint="eastAsia" w:ascii="仿宋" w:hAnsi="仿宋" w:eastAsia="仿宋" w:cs="Times New Roman"/>
          <w:sz w:val="32"/>
          <w:szCs w:val="32"/>
        </w:rPr>
        <w:t>万元，完成预算</w:t>
      </w:r>
      <w:r>
        <w:rPr>
          <w:rFonts w:hint="eastAsia" w:ascii="仿宋" w:hAnsi="仿宋" w:eastAsia="仿宋" w:cs="Times New Roman"/>
          <w:b/>
          <w:bCs/>
          <w:sz w:val="32"/>
          <w:szCs w:val="32"/>
          <w:lang w:val="en-US" w:eastAsia="zh-CN"/>
        </w:rPr>
        <w:t>100</w:t>
      </w:r>
      <w:r>
        <w:rPr>
          <w:rFonts w:hint="eastAsia" w:ascii="仿宋" w:hAnsi="仿宋" w:eastAsia="仿宋" w:cs="Times New Roman"/>
          <w:b/>
          <w:bCs/>
          <w:sz w:val="32"/>
          <w:szCs w:val="32"/>
        </w:rPr>
        <w:t>%</w:t>
      </w:r>
      <w:r>
        <w:rPr>
          <w:rFonts w:hint="eastAsia" w:ascii="仿宋" w:hAnsi="仿宋" w:eastAsia="仿宋" w:cs="Times New Roman"/>
          <w:sz w:val="32"/>
          <w:szCs w:val="32"/>
          <w:lang w:eastAsia="zh-CN"/>
        </w:rPr>
        <w:t>。</w:t>
      </w:r>
    </w:p>
    <w:p>
      <w:pPr>
        <w:pageBreakBefore w:val="0"/>
        <w:kinsoku/>
        <w:wordWrap/>
        <w:overflowPunct/>
        <w:topLinePunct w:val="0"/>
        <w:bidi w:val="0"/>
        <w:spacing w:line="576" w:lineRule="exact"/>
        <w:ind w:firstLine="645"/>
        <w:jc w:val="both"/>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7.住房保障</w:t>
      </w:r>
      <w:r>
        <w:rPr>
          <w:rFonts w:hint="eastAsia" w:ascii="仿宋" w:hAnsi="仿宋" w:eastAsia="仿宋" w:cs="Times New Roman"/>
          <w:sz w:val="32"/>
          <w:szCs w:val="32"/>
        </w:rPr>
        <w:t>支出（类）</w:t>
      </w:r>
      <w:r>
        <w:rPr>
          <w:rFonts w:hint="eastAsia" w:ascii="仿宋" w:hAnsi="仿宋" w:eastAsia="仿宋" w:cs="Times New Roman"/>
          <w:sz w:val="32"/>
          <w:szCs w:val="32"/>
          <w:lang w:eastAsia="zh-CN"/>
        </w:rPr>
        <w:t>住房改革支出</w:t>
      </w:r>
      <w:r>
        <w:rPr>
          <w:rFonts w:hint="eastAsia" w:ascii="仿宋" w:hAnsi="仿宋" w:eastAsia="仿宋" w:cs="Times New Roman"/>
          <w:sz w:val="32"/>
          <w:szCs w:val="32"/>
        </w:rPr>
        <w:t>（款）</w:t>
      </w:r>
      <w:r>
        <w:rPr>
          <w:rFonts w:hint="eastAsia" w:ascii="仿宋" w:hAnsi="仿宋" w:eastAsia="仿宋" w:cs="Times New Roman"/>
          <w:b/>
          <w:bCs/>
          <w:sz w:val="32"/>
          <w:szCs w:val="32"/>
          <w:lang w:val="en-US" w:eastAsia="zh-CN"/>
        </w:rPr>
        <w:t>购房补贴</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rPr>
        <w:t>项）</w:t>
      </w:r>
      <w:r>
        <w:rPr>
          <w:rFonts w:hint="eastAsia" w:ascii="仿宋" w:hAnsi="仿宋" w:eastAsia="仿宋" w:cs="Times New Roman"/>
          <w:sz w:val="32"/>
          <w:szCs w:val="32"/>
        </w:rPr>
        <w:t>:支出决算为</w:t>
      </w:r>
      <w:r>
        <w:rPr>
          <w:rFonts w:hint="eastAsia" w:ascii="仿宋" w:hAnsi="仿宋" w:eastAsia="仿宋" w:cs="Times New Roman"/>
          <w:b/>
          <w:bCs/>
          <w:sz w:val="32"/>
          <w:szCs w:val="32"/>
          <w:lang w:val="en-US" w:eastAsia="zh-CN"/>
        </w:rPr>
        <w:t>1.2</w:t>
      </w:r>
      <w:r>
        <w:rPr>
          <w:rFonts w:hint="eastAsia" w:ascii="仿宋" w:hAnsi="仿宋" w:eastAsia="仿宋" w:cs="Times New Roman"/>
          <w:sz w:val="32"/>
          <w:szCs w:val="32"/>
        </w:rPr>
        <w:t>万元，完成预算</w:t>
      </w:r>
      <w:r>
        <w:rPr>
          <w:rFonts w:hint="eastAsia" w:ascii="仿宋" w:hAnsi="仿宋" w:eastAsia="仿宋" w:cs="Times New Roman"/>
          <w:b/>
          <w:bCs/>
          <w:sz w:val="32"/>
          <w:szCs w:val="32"/>
          <w:lang w:val="en-US" w:eastAsia="zh-CN"/>
        </w:rPr>
        <w:t>100</w:t>
      </w:r>
      <w:r>
        <w:rPr>
          <w:rFonts w:hint="eastAsia" w:ascii="仿宋" w:hAnsi="仿宋" w:eastAsia="仿宋" w:cs="Times New Roman"/>
          <w:b/>
          <w:bCs/>
          <w:sz w:val="32"/>
          <w:szCs w:val="32"/>
        </w:rPr>
        <w:t>%</w:t>
      </w:r>
      <w:r>
        <w:rPr>
          <w:rFonts w:hint="eastAsia" w:ascii="仿宋" w:hAnsi="仿宋" w:eastAsia="仿宋" w:cs="Times New Roman"/>
          <w:sz w:val="32"/>
          <w:szCs w:val="32"/>
          <w:lang w:eastAsia="zh-CN"/>
        </w:rPr>
        <w:t>。</w:t>
      </w:r>
    </w:p>
    <w:p>
      <w:pPr>
        <w:pageBreakBefore w:val="0"/>
        <w:kinsoku/>
        <w:wordWrap/>
        <w:overflowPunct/>
        <w:topLinePunct w:val="0"/>
        <w:bidi w:val="0"/>
        <w:spacing w:line="576" w:lineRule="exact"/>
        <w:ind w:firstLine="640"/>
        <w:jc w:val="both"/>
        <w:rPr>
          <w:rFonts w:ascii="仿宋" w:hAnsi="仿宋" w:eastAsia="仿宋"/>
          <w:b/>
          <w:sz w:val="32"/>
          <w:szCs w:val="32"/>
        </w:rPr>
      </w:pPr>
    </w:p>
    <w:p>
      <w:pPr>
        <w:pageBreakBefore w:val="0"/>
        <w:tabs>
          <w:tab w:val="right" w:pos="8306"/>
        </w:tabs>
        <w:kinsoku/>
        <w:wordWrap/>
        <w:overflowPunct/>
        <w:topLinePunct w:val="0"/>
        <w:bidi w:val="0"/>
        <w:spacing w:line="576" w:lineRule="exact"/>
        <w:ind w:firstLine="640"/>
        <w:jc w:val="both"/>
        <w:outlineLvl w:val="1"/>
        <w:rPr>
          <w:rStyle w:val="30"/>
        </w:rPr>
      </w:pPr>
      <w:bookmarkStart w:id="40" w:name="_Toc15396608"/>
      <w:bookmarkStart w:id="41"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0"/>
          <w:rFonts w:hint="eastAsia" w:ascii="黑体" w:hAnsi="黑体" w:eastAsia="黑体"/>
          <w:b w:val="0"/>
        </w:rPr>
        <w:t>般公共预算财政拨款基本支出决算情况说明</w:t>
      </w:r>
      <w:bookmarkEnd w:id="40"/>
      <w:bookmarkEnd w:id="41"/>
      <w:r>
        <w:rPr>
          <w:rStyle w:val="30"/>
          <w:rFonts w:ascii="黑体" w:hAnsi="黑体" w:eastAsia="黑体"/>
          <w:b w:val="0"/>
        </w:rPr>
        <w:tab/>
      </w:r>
    </w:p>
    <w:p>
      <w:pPr>
        <w:pageBreakBefore w:val="0"/>
        <w:kinsoku/>
        <w:wordWrap/>
        <w:overflowPunct/>
        <w:topLinePunct w:val="0"/>
        <w:bidi w:val="0"/>
        <w:spacing w:line="576" w:lineRule="exact"/>
        <w:ind w:firstLine="645"/>
        <w:jc w:val="both"/>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280.97</w:t>
      </w:r>
      <w:r>
        <w:rPr>
          <w:rFonts w:hint="eastAsia" w:ascii="仿宋" w:hAnsi="仿宋" w:eastAsia="仿宋"/>
          <w:sz w:val="32"/>
          <w:szCs w:val="32"/>
        </w:rPr>
        <w:t>万元，其中：</w:t>
      </w:r>
    </w:p>
    <w:p>
      <w:pPr>
        <w:pageBreakBefore w:val="0"/>
        <w:kinsoku/>
        <w:wordWrap/>
        <w:overflowPunct/>
        <w:topLinePunct w:val="0"/>
        <w:bidi w:val="0"/>
        <w:spacing w:line="576" w:lineRule="exact"/>
        <w:ind w:firstLine="645"/>
        <w:jc w:val="both"/>
        <w:rPr>
          <w:rFonts w:hint="eastAsia" w:ascii="仿宋" w:hAnsi="仿宋" w:eastAsia="仿宋"/>
          <w:sz w:val="32"/>
          <w:szCs w:val="32"/>
          <w:lang w:eastAsia="zh-CN"/>
        </w:rPr>
      </w:pPr>
      <w:r>
        <w:rPr>
          <w:rFonts w:hint="eastAsia" w:ascii="仿宋" w:hAnsi="仿宋" w:eastAsia="仿宋"/>
          <w:sz w:val="32"/>
          <w:szCs w:val="32"/>
        </w:rPr>
        <w:t>人员经费</w:t>
      </w:r>
      <w:r>
        <w:rPr>
          <w:rFonts w:ascii="仿宋" w:hAnsi="仿宋" w:eastAsia="仿宋"/>
          <w:b/>
          <w:sz w:val="32"/>
          <w:szCs w:val="32"/>
        </w:rPr>
        <w:t>252.21</w:t>
      </w:r>
      <w:r>
        <w:rPr>
          <w:rFonts w:hint="eastAsia" w:ascii="仿宋" w:hAnsi="仿宋" w:eastAsia="仿宋"/>
          <w:sz w:val="32"/>
          <w:szCs w:val="32"/>
        </w:rPr>
        <w:t>万元，主要包括：基本工资、津贴补贴、绩效工资、机关事业单位基本养老保险缴费、职业年金缴费、其他社会保障缴费、住房公积金、其他对个人和家庭的补助支出等。</w:t>
      </w:r>
    </w:p>
    <w:p>
      <w:pPr>
        <w:pageBreakBefore w:val="0"/>
        <w:kinsoku/>
        <w:wordWrap/>
        <w:overflowPunct/>
        <w:topLinePunct w:val="0"/>
        <w:bidi w:val="0"/>
        <w:spacing w:line="576" w:lineRule="exact"/>
        <w:ind w:firstLine="645"/>
        <w:jc w:val="both"/>
        <w:rPr>
          <w:rFonts w:hint="eastAsia" w:ascii="仿宋" w:hAnsi="仿宋" w:eastAsia="仿宋"/>
          <w:sz w:val="32"/>
          <w:szCs w:val="32"/>
          <w:lang w:eastAsia="zh-CN"/>
        </w:rPr>
      </w:pPr>
      <w:r>
        <w:rPr>
          <w:rFonts w:hint="eastAsia" w:ascii="仿宋" w:hAnsi="仿宋" w:eastAsia="仿宋"/>
          <w:sz w:val="32"/>
          <w:szCs w:val="32"/>
        </w:rPr>
        <w:t>公用经费</w:t>
      </w:r>
      <w:r>
        <w:rPr>
          <w:rFonts w:ascii="仿宋" w:hAnsi="仿宋" w:eastAsia="仿宋"/>
          <w:b/>
          <w:sz w:val="32"/>
          <w:szCs w:val="32"/>
        </w:rPr>
        <w:t>28.76</w:t>
      </w:r>
      <w:r>
        <w:rPr>
          <w:rFonts w:hint="eastAsia" w:ascii="仿宋" w:hAnsi="仿宋" w:eastAsia="仿宋"/>
          <w:sz w:val="32"/>
          <w:szCs w:val="32"/>
        </w:rPr>
        <w:t>万元，主要包括：办公费、印刷费、咨询费、差旅费、会议费、劳务费、委托业务费、工会经费、福利费、公务用车运行维护费</w:t>
      </w:r>
      <w:r>
        <w:rPr>
          <w:rFonts w:hint="eastAsia" w:ascii="仿宋" w:hAnsi="仿宋" w:eastAsia="仿宋"/>
          <w:sz w:val="32"/>
          <w:szCs w:val="32"/>
          <w:lang w:eastAsia="zh-CN"/>
        </w:rPr>
        <w:t>、</w:t>
      </w:r>
      <w:r>
        <w:rPr>
          <w:rFonts w:hint="eastAsia" w:ascii="仿宋" w:hAnsi="仿宋" w:eastAsia="仿宋"/>
          <w:sz w:val="32"/>
          <w:szCs w:val="32"/>
        </w:rPr>
        <w:t>其他商品和服务支出</w:t>
      </w:r>
      <w:r>
        <w:rPr>
          <w:rFonts w:hint="eastAsia" w:ascii="仿宋" w:hAnsi="仿宋" w:eastAsia="仿宋"/>
          <w:sz w:val="32"/>
          <w:szCs w:val="32"/>
          <w:lang w:eastAsia="zh-CN"/>
        </w:rPr>
        <w:t>。</w:t>
      </w:r>
    </w:p>
    <w:p>
      <w:pPr>
        <w:pStyle w:val="2"/>
      </w:pPr>
    </w:p>
    <w:p>
      <w:pPr>
        <w:pageBreakBefore w:val="0"/>
        <w:kinsoku/>
        <w:wordWrap/>
        <w:overflowPunct/>
        <w:topLinePunct w:val="0"/>
        <w:bidi w:val="0"/>
        <w:spacing w:line="576" w:lineRule="exact"/>
        <w:ind w:firstLine="640"/>
        <w:jc w:val="both"/>
        <w:outlineLvl w:val="1"/>
        <w:rPr>
          <w:rStyle w:val="30"/>
          <w:rFonts w:ascii="黑体" w:hAnsi="黑体" w:eastAsia="黑体"/>
          <w:b w:val="0"/>
        </w:rPr>
      </w:pPr>
      <w:bookmarkStart w:id="42" w:name="_Toc15396609"/>
      <w:bookmarkStart w:id="43" w:name="_Toc15377215"/>
      <w:r>
        <w:rPr>
          <w:rFonts w:hint="eastAsia" w:ascii="黑体" w:eastAsia="黑体"/>
          <w:sz w:val="32"/>
          <w:szCs w:val="32"/>
        </w:rPr>
        <w:t>七、</w:t>
      </w:r>
      <w:r>
        <w:rPr>
          <w:rStyle w:val="30"/>
          <w:rFonts w:hint="eastAsia" w:ascii="黑体" w:hAnsi="黑体" w:eastAsia="黑体"/>
          <w:b w:val="0"/>
        </w:rPr>
        <w:t>财政拨款</w:t>
      </w:r>
      <w:r>
        <w:rPr>
          <w:rStyle w:val="30"/>
          <w:rFonts w:hint="eastAsia" w:ascii="黑体" w:hAnsi="黑体" w:eastAsia="黑体"/>
        </w:rPr>
        <w:t>“</w:t>
      </w:r>
      <w:r>
        <w:rPr>
          <w:rStyle w:val="30"/>
          <w:rFonts w:hint="eastAsia" w:ascii="黑体" w:hAnsi="黑体" w:eastAsia="黑体"/>
          <w:b w:val="0"/>
        </w:rPr>
        <w:t>三公”经费支出决算情况说明</w:t>
      </w:r>
      <w:bookmarkEnd w:id="42"/>
      <w:bookmarkEnd w:id="43"/>
    </w:p>
    <w:p>
      <w:pPr>
        <w:pageBreakBefore w:val="0"/>
        <w:kinsoku/>
        <w:wordWrap/>
        <w:overflowPunct/>
        <w:topLinePunct w:val="0"/>
        <w:bidi w:val="0"/>
        <w:spacing w:line="576" w:lineRule="exact"/>
        <w:ind w:firstLine="640"/>
        <w:jc w:val="both"/>
        <w:outlineLvl w:val="2"/>
        <w:rPr>
          <w:rFonts w:ascii="仿宋" w:hAnsi="仿宋" w:eastAsia="仿宋"/>
          <w:b/>
          <w:sz w:val="32"/>
          <w:szCs w:val="32"/>
        </w:rPr>
      </w:pPr>
      <w:bookmarkStart w:id="44" w:name="_Toc15377216"/>
      <w:r>
        <w:rPr>
          <w:rFonts w:hint="eastAsia" w:ascii="仿宋" w:hAnsi="仿宋" w:eastAsia="仿宋"/>
          <w:b/>
          <w:sz w:val="32"/>
          <w:szCs w:val="32"/>
        </w:rPr>
        <w:t>（一）“三公”经费财政拨款支出决算总体情况说明</w:t>
      </w:r>
      <w:bookmarkEnd w:id="44"/>
    </w:p>
    <w:p>
      <w:pPr>
        <w:pageBreakBefore w:val="0"/>
        <w:kinsoku/>
        <w:wordWrap/>
        <w:overflowPunct/>
        <w:topLinePunct w:val="0"/>
        <w:bidi w:val="0"/>
        <w:spacing w:line="576" w:lineRule="exact"/>
        <w:ind w:firstLine="640"/>
        <w:jc w:val="both"/>
        <w:rPr>
          <w:rFonts w:ascii="仿宋" w:hAnsi="仿宋" w:eastAsia="仿宋"/>
          <w:sz w:val="32"/>
          <w:szCs w:val="32"/>
        </w:rPr>
      </w:pPr>
      <w:r>
        <w:rPr>
          <w:rFonts w:hint="eastAsia" w:ascii="仿宋" w:hAnsi="仿宋" w:eastAsia="仿宋"/>
          <w:sz w:val="32"/>
          <w:szCs w:val="32"/>
        </w:rPr>
        <w:t>2023年度“三公”经费财政拨款支出决算为</w:t>
      </w:r>
      <w:r>
        <w:rPr>
          <w:rFonts w:ascii="仿宋" w:hAnsi="仿宋" w:eastAsia="仿宋"/>
          <w:b/>
          <w:sz w:val="32"/>
          <w:szCs w:val="32"/>
        </w:rPr>
        <w:t>1.43</w:t>
      </w:r>
      <w:r>
        <w:rPr>
          <w:rFonts w:hint="eastAsia" w:ascii="仿宋" w:hAnsi="仿宋" w:eastAsia="仿宋"/>
          <w:sz w:val="32"/>
          <w:szCs w:val="32"/>
        </w:rPr>
        <w:t>万元，完成预算</w:t>
      </w:r>
      <w:r>
        <w:rPr>
          <w:rFonts w:ascii="仿宋" w:hAnsi="仿宋" w:eastAsia="仿宋"/>
          <w:b/>
          <w:sz w:val="32"/>
          <w:szCs w:val="32"/>
        </w:rPr>
        <w:t>71.28</w:t>
      </w:r>
      <w:r>
        <w:rPr>
          <w:rFonts w:ascii="仿宋" w:hAnsi="仿宋" w:eastAsia="仿宋"/>
          <w:sz w:val="32"/>
          <w:szCs w:val="32"/>
        </w:rPr>
        <w:t>%</w:t>
      </w:r>
      <w:r>
        <w:rPr>
          <w:rFonts w:hint="eastAsia" w:ascii="仿宋" w:hAnsi="仿宋" w:eastAsia="仿宋"/>
          <w:sz w:val="32"/>
          <w:szCs w:val="32"/>
        </w:rPr>
        <w:t>，较上年度增加</w:t>
      </w:r>
      <w:r>
        <w:rPr>
          <w:rFonts w:hint="eastAsia" w:ascii="仿宋" w:hAnsi="仿宋" w:eastAsia="仿宋"/>
          <w:b/>
          <w:bCs/>
          <w:sz w:val="32"/>
          <w:szCs w:val="32"/>
          <w:lang w:val="en-US" w:eastAsia="zh-CN"/>
        </w:rPr>
        <w:t>1.03</w:t>
      </w:r>
      <w:r>
        <w:rPr>
          <w:rFonts w:hint="eastAsia" w:ascii="仿宋" w:hAnsi="仿宋" w:eastAsia="仿宋"/>
          <w:sz w:val="32"/>
          <w:szCs w:val="32"/>
        </w:rPr>
        <w:t>万元，增长</w:t>
      </w:r>
      <w:r>
        <w:rPr>
          <w:rFonts w:hint="eastAsia" w:ascii="仿宋" w:hAnsi="仿宋" w:eastAsia="仿宋"/>
          <w:b/>
          <w:bCs/>
          <w:sz w:val="32"/>
          <w:szCs w:val="32"/>
          <w:lang w:val="en-US" w:eastAsia="zh-CN"/>
        </w:rPr>
        <w:t>256</w:t>
      </w:r>
      <w:r>
        <w:rPr>
          <w:rFonts w:hint="eastAsia" w:ascii="仿宋" w:hAnsi="仿宋" w:eastAsia="仿宋"/>
          <w:b/>
          <w:bCs/>
          <w:sz w:val="32"/>
          <w:szCs w:val="32"/>
        </w:rPr>
        <w:t>%</w:t>
      </w:r>
      <w:r>
        <w:rPr>
          <w:rFonts w:hint="eastAsia" w:ascii="仿宋" w:hAnsi="仿宋" w:eastAsia="仿宋"/>
          <w:sz w:val="32"/>
          <w:szCs w:val="32"/>
        </w:rPr>
        <w:t>。决算数小于预算数的主要原因是</w:t>
      </w:r>
      <w:r>
        <w:rPr>
          <w:rFonts w:hint="eastAsia" w:ascii="仿宋" w:hAnsi="仿宋" w:eastAsia="仿宋"/>
          <w:sz w:val="32"/>
          <w:szCs w:val="32"/>
          <w:lang w:val="en-US" w:eastAsia="zh-CN"/>
        </w:rPr>
        <w:t>2023年调研主要采用公共交通出行</w:t>
      </w:r>
      <w:r>
        <w:rPr>
          <w:rFonts w:hint="eastAsia" w:ascii="仿宋" w:hAnsi="仿宋" w:eastAsia="仿宋"/>
          <w:sz w:val="32"/>
          <w:szCs w:val="32"/>
        </w:rPr>
        <w:t>。</w:t>
      </w:r>
    </w:p>
    <w:p>
      <w:pPr>
        <w:pageBreakBefore w:val="0"/>
        <w:kinsoku/>
        <w:wordWrap/>
        <w:overflowPunct/>
        <w:topLinePunct w:val="0"/>
        <w:bidi w:val="0"/>
        <w:spacing w:line="576" w:lineRule="exact"/>
        <w:ind w:firstLine="640"/>
        <w:jc w:val="both"/>
        <w:outlineLvl w:val="2"/>
        <w:rPr>
          <w:rFonts w:ascii="仿宋" w:hAnsi="仿宋" w:eastAsia="仿宋"/>
          <w:b/>
          <w:sz w:val="32"/>
          <w:szCs w:val="32"/>
        </w:rPr>
      </w:pPr>
      <w:bookmarkStart w:id="45" w:name="_Toc15377217"/>
      <w:r>
        <w:rPr>
          <w:rFonts w:hint="eastAsia" w:ascii="仿宋" w:hAnsi="仿宋" w:eastAsia="仿宋"/>
          <w:b/>
          <w:sz w:val="32"/>
          <w:szCs w:val="32"/>
        </w:rPr>
        <w:t>（二）“三公”经费财政拨款支出决算具体情况说明</w:t>
      </w:r>
      <w:bookmarkEnd w:id="45"/>
    </w:p>
    <w:p>
      <w:pPr>
        <w:pageBreakBefore w:val="0"/>
        <w:kinsoku/>
        <w:wordWrap/>
        <w:overflowPunct/>
        <w:topLinePunct w:val="0"/>
        <w:bidi w:val="0"/>
        <w:spacing w:line="576" w:lineRule="exact"/>
        <w:ind w:firstLine="640"/>
        <w:jc w:val="both"/>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1.43</w:t>
      </w:r>
      <w:r>
        <w:rPr>
          <w:rFonts w:hint="eastAsia" w:ascii="仿宋" w:hAnsi="仿宋" w:eastAsia="仿宋"/>
          <w:sz w:val="32"/>
          <w:szCs w:val="32"/>
        </w:rPr>
        <w:t>万元，占</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。具体情况如下：</w:t>
      </w:r>
    </w:p>
    <w:p>
      <w:pPr>
        <w:pStyle w:val="6"/>
        <w:pageBreakBefore w:val="0"/>
        <w:kinsoku/>
        <w:wordWrap/>
        <w:overflowPunct/>
        <w:topLinePunct w:val="0"/>
        <w:bidi w:val="0"/>
        <w:spacing w:line="576" w:lineRule="exact"/>
        <w:jc w:val="center"/>
        <w:rPr>
          <w:rFonts w:hint="eastAsia" w:ascii="仿宋" w:hAnsi="仿宋" w:eastAsia="仿宋"/>
          <w:b/>
          <w:bCs/>
          <w:sz w:val="32"/>
          <w:szCs w:val="32"/>
        </w:rPr>
      </w:pPr>
      <w:r>
        <w:drawing>
          <wp:anchor distT="0" distB="0" distL="114300" distR="114300" simplePos="0" relativeHeight="251663360" behindDoc="0" locked="0" layoutInCell="1" allowOverlap="1">
            <wp:simplePos x="0" y="0"/>
            <wp:positionH relativeFrom="column">
              <wp:posOffset>121285</wp:posOffset>
            </wp:positionH>
            <wp:positionV relativeFrom="paragraph">
              <wp:posOffset>135255</wp:posOffset>
            </wp:positionV>
            <wp:extent cx="4826000" cy="2743200"/>
            <wp:effectExtent l="4445" t="4445" r="8255" b="14605"/>
            <wp:wrapSquare wrapText="bothSides"/>
            <wp:docPr id="1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hint="eastAsia" w:ascii="仿宋" w:hAnsi="仿宋" w:eastAsia="仿宋"/>
          <w:b/>
          <w:bCs/>
          <w:sz w:val="32"/>
          <w:szCs w:val="32"/>
        </w:rPr>
        <w:t>图7：“三公”经费财政拨款支出结构</w:t>
      </w:r>
    </w:p>
    <w:p>
      <w:pPr>
        <w:pStyle w:val="6"/>
        <w:pageBreakBefore w:val="0"/>
        <w:kinsoku/>
        <w:wordWrap/>
        <w:overflowPunct/>
        <w:topLinePunct w:val="0"/>
        <w:bidi w:val="0"/>
        <w:spacing w:line="576" w:lineRule="exact"/>
        <w:jc w:val="both"/>
        <w:rPr>
          <w:rFonts w:hint="eastAsia" w:ascii="仿宋" w:hAnsi="仿宋" w:eastAsia="仿宋"/>
          <w:sz w:val="32"/>
          <w:szCs w:val="32"/>
        </w:rPr>
      </w:pPr>
    </w:p>
    <w:p>
      <w:pPr>
        <w:pageBreakBefore w:val="0"/>
        <w:kinsoku/>
        <w:wordWrap/>
        <w:overflowPunct/>
        <w:topLinePunct w:val="0"/>
        <w:bidi w:val="0"/>
        <w:spacing w:line="576" w:lineRule="exact"/>
        <w:ind w:firstLine="642" w:firstLineChars="200"/>
        <w:jc w:val="both"/>
        <w:rPr>
          <w:rFonts w:ascii="仿宋_GB2312" w:eastAsia="仿宋_GB2312"/>
          <w:b/>
          <w:sz w:val="32"/>
          <w:szCs w:val="32"/>
        </w:rPr>
      </w:pPr>
      <w:bookmarkStart w:id="46" w:name="_Toc15377218"/>
      <w:bookmarkStart w:id="47" w:name="_Toc15396610"/>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Style w:val="18"/>
          <w:rFonts w:ascii="仿宋" w:hAnsi="仿宋" w:eastAsia="仿宋"/>
          <w:bCs/>
          <w:sz w:val="32"/>
          <w:szCs w:val="32"/>
        </w:rPr>
        <w:t>0</w:t>
      </w:r>
      <w:r>
        <w:rPr>
          <w:rStyle w:val="18"/>
          <w:rFonts w:ascii="仿宋" w:hAnsi="仿宋" w:eastAsia="仿宋"/>
          <w:b w:val="0"/>
          <w:bCs/>
          <w:sz w:val="32"/>
          <w:szCs w:val="32"/>
        </w:rPr>
        <w:t>%</w:t>
      </w:r>
      <w:r>
        <w:rPr>
          <w:rStyle w:val="18"/>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人。因公出国（境）支出决算</w:t>
      </w:r>
      <w:r>
        <w:rPr>
          <w:rFonts w:hint="eastAsia" w:ascii="仿宋_GB2312" w:eastAsia="仿宋_GB2312"/>
          <w:sz w:val="32"/>
          <w:szCs w:val="32"/>
          <w:lang w:val="en-US" w:eastAsia="zh-CN"/>
        </w:rPr>
        <w:t>与</w:t>
      </w:r>
      <w:r>
        <w:rPr>
          <w:rFonts w:hint="eastAsia" w:ascii="仿宋_GB2312" w:eastAsia="仿宋_GB2312"/>
          <w:sz w:val="32"/>
          <w:szCs w:val="32"/>
        </w:rPr>
        <w:t>2022年</w:t>
      </w:r>
      <w:r>
        <w:rPr>
          <w:rFonts w:hint="eastAsia" w:ascii="仿宋_GB2312" w:eastAsia="仿宋_GB2312"/>
          <w:sz w:val="32"/>
          <w:szCs w:val="32"/>
          <w:lang w:val="en-US" w:eastAsia="zh-CN"/>
        </w:rPr>
        <w:t>无增减变化</w:t>
      </w:r>
      <w:r>
        <w:rPr>
          <w:rFonts w:hint="eastAsia" w:ascii="仿宋_GB2312" w:eastAsia="仿宋_GB2312"/>
          <w:sz w:val="32"/>
          <w:szCs w:val="32"/>
        </w:rPr>
        <w:t>。</w:t>
      </w:r>
    </w:p>
    <w:p>
      <w:pPr>
        <w:pageBreakBefore w:val="0"/>
        <w:kinsoku/>
        <w:wordWrap/>
        <w:overflowPunct/>
        <w:topLinePunct w:val="0"/>
        <w:bidi w:val="0"/>
        <w:spacing w:line="576" w:lineRule="exact"/>
        <w:ind w:firstLine="640"/>
        <w:jc w:val="both"/>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1.43</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Style w:val="18"/>
          <w:rFonts w:ascii="仿宋" w:hAnsi="仿宋" w:eastAsia="仿宋"/>
          <w:bCs/>
          <w:sz w:val="32"/>
          <w:szCs w:val="32"/>
        </w:rPr>
        <w:t>71.28</w:t>
      </w:r>
      <w:r>
        <w:rPr>
          <w:rStyle w:val="18"/>
          <w:rFonts w:ascii="仿宋" w:hAnsi="仿宋" w:eastAsia="仿宋"/>
          <w:b w:val="0"/>
          <w:bCs/>
          <w:sz w:val="32"/>
          <w:szCs w:val="32"/>
        </w:rPr>
        <w:t>%</w:t>
      </w:r>
      <w:r>
        <w:rPr>
          <w:rStyle w:val="18"/>
          <w:rFonts w:hint="eastAsia" w:ascii="仿宋" w:hAnsi="仿宋" w:eastAsia="仿宋"/>
          <w:b w:val="0"/>
          <w:bCs/>
          <w:sz w:val="32"/>
          <w:szCs w:val="32"/>
        </w:rPr>
        <w:t>。</w:t>
      </w:r>
      <w:r>
        <w:rPr>
          <w:rFonts w:hint="eastAsia" w:ascii="仿宋_GB2312" w:eastAsia="仿宋_GB2312"/>
          <w:sz w:val="32"/>
          <w:szCs w:val="32"/>
        </w:rPr>
        <w:t>公务用车运行维护费支出决算比2022年度增加</w:t>
      </w:r>
      <w:r>
        <w:rPr>
          <w:rFonts w:hint="eastAsia" w:ascii="仿宋_GB2312" w:eastAsia="仿宋_GB2312"/>
          <w:b/>
          <w:bCs/>
          <w:sz w:val="32"/>
          <w:szCs w:val="32"/>
          <w:lang w:val="en-US" w:eastAsia="zh-CN"/>
        </w:rPr>
        <w:t>1.03</w:t>
      </w:r>
      <w:r>
        <w:rPr>
          <w:rFonts w:hint="eastAsia" w:ascii="仿宋_GB2312" w:eastAsia="仿宋_GB2312"/>
          <w:sz w:val="32"/>
          <w:szCs w:val="32"/>
        </w:rPr>
        <w:t>万元，增长</w:t>
      </w:r>
      <w:r>
        <w:rPr>
          <w:rFonts w:hint="eastAsia" w:ascii="仿宋_GB2312" w:eastAsia="仿宋_GB2312"/>
          <w:b/>
          <w:bCs/>
          <w:sz w:val="32"/>
          <w:szCs w:val="32"/>
          <w:lang w:val="en-US" w:eastAsia="zh-CN"/>
        </w:rPr>
        <w:t>256</w:t>
      </w:r>
      <w:r>
        <w:rPr>
          <w:rFonts w:ascii="仿宋_GB2312" w:eastAsia="仿宋_GB2312"/>
          <w:b/>
          <w:bCs/>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对车辆进行了修理维护，且2023年公务用车次数较2022年增加</w:t>
      </w:r>
      <w:r>
        <w:rPr>
          <w:rFonts w:hint="eastAsia" w:ascii="仿宋_GB2312" w:eastAsia="仿宋_GB2312"/>
          <w:sz w:val="32"/>
          <w:szCs w:val="32"/>
        </w:rPr>
        <w:t>。</w:t>
      </w:r>
    </w:p>
    <w:p>
      <w:pPr>
        <w:pageBreakBefore w:val="0"/>
        <w:kinsoku/>
        <w:wordWrap/>
        <w:overflowPunct/>
        <w:topLinePunct w:val="0"/>
        <w:bidi w:val="0"/>
        <w:spacing w:line="576" w:lineRule="exact"/>
        <w:ind w:firstLine="640" w:firstLineChars="200"/>
        <w:jc w:val="both"/>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hint="eastAsia" w:ascii="仿宋" w:hAnsi="仿宋" w:eastAsia="仿宋" w:cs="Times New Roman"/>
          <w:b/>
          <w:sz w:val="32"/>
          <w:szCs w:val="32"/>
          <w:lang w:val="en-US" w:eastAsia="zh-CN"/>
        </w:rPr>
        <w:t>0</w:t>
      </w:r>
      <w:r>
        <w:rPr>
          <w:rFonts w:hint="eastAsia" w:ascii="仿宋_GB2312" w:eastAsia="仿宋_GB2312"/>
          <w:sz w:val="32"/>
          <w:szCs w:val="32"/>
        </w:rPr>
        <w:t>辆，其中：轿车</w:t>
      </w:r>
      <w:r>
        <w:rPr>
          <w:rFonts w:hint="eastAsia" w:ascii="仿宋" w:hAnsi="仿宋" w:eastAsia="仿宋" w:cs="Times New Roman"/>
          <w:b/>
          <w:sz w:val="32"/>
          <w:szCs w:val="32"/>
          <w:lang w:val="en-US" w:eastAsia="zh-CN"/>
        </w:rPr>
        <w:t>0</w:t>
      </w:r>
      <w:r>
        <w:rPr>
          <w:rFonts w:hint="eastAsia" w:ascii="仿宋_GB2312" w:eastAsia="仿宋_GB2312"/>
          <w:sz w:val="32"/>
          <w:szCs w:val="32"/>
        </w:rPr>
        <w:t>辆、金额</w:t>
      </w:r>
      <w:r>
        <w:rPr>
          <w:rFonts w:hint="eastAsia" w:ascii="仿宋" w:hAnsi="仿宋" w:eastAsia="仿宋" w:cs="Times New Roman"/>
          <w:b/>
          <w:sz w:val="32"/>
          <w:szCs w:val="32"/>
          <w:lang w:val="en-US" w:eastAsia="zh-CN"/>
        </w:rPr>
        <w:t>0</w:t>
      </w:r>
      <w:r>
        <w:rPr>
          <w:rFonts w:hint="eastAsia" w:ascii="仿宋_GB2312" w:eastAsia="仿宋_GB2312"/>
          <w:sz w:val="32"/>
          <w:szCs w:val="32"/>
        </w:rPr>
        <w:t>万元，越野车</w:t>
      </w:r>
      <w:r>
        <w:rPr>
          <w:rFonts w:hint="eastAsia" w:ascii="仿宋" w:hAnsi="仿宋" w:eastAsia="仿宋" w:cs="Times New Roman"/>
          <w:b/>
          <w:sz w:val="32"/>
          <w:szCs w:val="32"/>
          <w:lang w:val="en-US" w:eastAsia="zh-CN"/>
        </w:rPr>
        <w:t>0</w:t>
      </w:r>
      <w:r>
        <w:rPr>
          <w:rFonts w:hint="eastAsia" w:ascii="仿宋_GB2312" w:eastAsia="仿宋_GB2312"/>
          <w:sz w:val="32"/>
          <w:szCs w:val="32"/>
        </w:rPr>
        <w:t>辆、金额</w:t>
      </w:r>
      <w:r>
        <w:rPr>
          <w:rFonts w:hint="eastAsia" w:ascii="仿宋" w:hAnsi="仿宋" w:eastAsia="仿宋" w:cs="Times New Roman"/>
          <w:b/>
          <w:sz w:val="32"/>
          <w:szCs w:val="32"/>
          <w:lang w:val="en-US" w:eastAsia="zh-CN"/>
        </w:rPr>
        <w:t>0</w:t>
      </w:r>
      <w:r>
        <w:rPr>
          <w:rFonts w:hint="eastAsia" w:ascii="仿宋_GB2312" w:eastAsia="仿宋_GB2312"/>
          <w:sz w:val="32"/>
          <w:szCs w:val="32"/>
        </w:rPr>
        <w:t>万元，载客汽车</w:t>
      </w:r>
      <w:r>
        <w:rPr>
          <w:rFonts w:hint="eastAsia" w:ascii="仿宋" w:hAnsi="仿宋" w:eastAsia="仿宋" w:cs="Times New Roman"/>
          <w:b/>
          <w:sz w:val="32"/>
          <w:szCs w:val="32"/>
          <w:lang w:val="en-US" w:eastAsia="zh-CN"/>
        </w:rPr>
        <w:t>0</w:t>
      </w:r>
      <w:r>
        <w:rPr>
          <w:rFonts w:hint="eastAsia" w:ascii="仿宋_GB2312" w:eastAsia="仿宋_GB2312"/>
          <w:sz w:val="32"/>
          <w:szCs w:val="32"/>
        </w:rPr>
        <w:t>辆、金额</w:t>
      </w:r>
      <w:r>
        <w:rPr>
          <w:rFonts w:hint="eastAsia" w:ascii="仿宋_GB2312" w:eastAsia="仿宋_GB2312"/>
          <w:b/>
          <w:bCs/>
          <w:sz w:val="32"/>
          <w:szCs w:val="32"/>
          <w:lang w:val="en-US" w:eastAsia="zh-CN"/>
        </w:rPr>
        <w:t>0</w:t>
      </w:r>
      <w:r>
        <w:rPr>
          <w:rFonts w:hint="eastAsia" w:ascii="仿宋_GB2312" w:eastAsia="仿宋_GB2312"/>
          <w:sz w:val="32"/>
          <w:szCs w:val="32"/>
        </w:rPr>
        <w:t>万元。截至2023年</w:t>
      </w:r>
      <w:r>
        <w:rPr>
          <w:rFonts w:ascii="仿宋_GB2312" w:eastAsia="仿宋_GB2312"/>
          <w:sz w:val="32"/>
          <w:szCs w:val="32"/>
        </w:rPr>
        <w:t>12</w:t>
      </w:r>
      <w:r>
        <w:rPr>
          <w:rFonts w:hint="eastAsia" w:ascii="仿宋_GB2312" w:eastAsia="仿宋_GB2312"/>
          <w:sz w:val="32"/>
          <w:szCs w:val="32"/>
        </w:rPr>
        <w:t>月31日，单位共有公务用车</w:t>
      </w:r>
      <w:r>
        <w:rPr>
          <w:rFonts w:hint="eastAsia" w:ascii="仿宋_GB2312" w:eastAsia="仿宋_GB2312"/>
          <w:b/>
          <w:bCs/>
          <w:sz w:val="32"/>
          <w:szCs w:val="32"/>
          <w:lang w:val="en-US" w:eastAsia="zh-CN"/>
        </w:rPr>
        <w:t>1</w:t>
      </w:r>
      <w:r>
        <w:rPr>
          <w:rFonts w:hint="eastAsia" w:ascii="仿宋_GB2312" w:eastAsia="仿宋_GB2312"/>
          <w:sz w:val="32"/>
          <w:szCs w:val="32"/>
        </w:rPr>
        <w:t>辆，其中：轿车</w:t>
      </w:r>
      <w:r>
        <w:rPr>
          <w:rFonts w:hint="eastAsia" w:ascii="仿宋_GB2312" w:eastAsia="仿宋_GB2312"/>
          <w:b/>
          <w:bCs/>
          <w:sz w:val="32"/>
          <w:szCs w:val="32"/>
          <w:lang w:val="en-US" w:eastAsia="zh-CN"/>
        </w:rPr>
        <w:t>1</w:t>
      </w:r>
      <w:r>
        <w:rPr>
          <w:rFonts w:hint="eastAsia" w:ascii="仿宋_GB2312" w:eastAsia="仿宋_GB2312"/>
          <w:sz w:val="32"/>
          <w:szCs w:val="32"/>
        </w:rPr>
        <w:t>辆、越野车</w:t>
      </w:r>
      <w:r>
        <w:rPr>
          <w:rFonts w:hint="eastAsia" w:ascii="仿宋_GB2312" w:eastAsia="仿宋_GB2312"/>
          <w:b/>
          <w:bCs/>
          <w:sz w:val="32"/>
          <w:szCs w:val="32"/>
          <w:lang w:val="en-US" w:eastAsia="zh-CN"/>
        </w:rPr>
        <w:t>0</w:t>
      </w:r>
      <w:r>
        <w:rPr>
          <w:rFonts w:hint="eastAsia" w:ascii="仿宋_GB2312" w:eastAsia="仿宋_GB2312"/>
          <w:sz w:val="32"/>
          <w:szCs w:val="32"/>
        </w:rPr>
        <w:t>辆、载客汽车</w:t>
      </w:r>
      <w:r>
        <w:rPr>
          <w:rFonts w:hint="eastAsia" w:ascii="仿宋_GB2312" w:eastAsia="仿宋_GB2312"/>
          <w:b/>
          <w:bCs/>
          <w:sz w:val="32"/>
          <w:szCs w:val="32"/>
          <w:lang w:val="en-US" w:eastAsia="zh-CN"/>
        </w:rPr>
        <w:t>0</w:t>
      </w:r>
      <w:r>
        <w:rPr>
          <w:rFonts w:hint="eastAsia" w:ascii="仿宋_GB2312" w:eastAsia="仿宋_GB2312"/>
          <w:sz w:val="32"/>
          <w:szCs w:val="32"/>
        </w:rPr>
        <w:t>辆。</w:t>
      </w:r>
    </w:p>
    <w:p>
      <w:pPr>
        <w:pageBreakBefore w:val="0"/>
        <w:kinsoku/>
        <w:wordWrap/>
        <w:overflowPunct/>
        <w:topLinePunct w:val="0"/>
        <w:bidi w:val="0"/>
        <w:spacing w:line="576" w:lineRule="exact"/>
        <w:ind w:firstLine="640"/>
        <w:jc w:val="both"/>
        <w:rPr>
          <w:rFonts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1.43</w:t>
      </w:r>
      <w:r>
        <w:rPr>
          <w:rFonts w:hint="eastAsia" w:ascii="仿宋_GB2312" w:eastAsia="仿宋_GB2312"/>
          <w:sz w:val="32"/>
          <w:szCs w:val="32"/>
        </w:rPr>
        <w:t>万元。主要用于</w:t>
      </w:r>
      <w:r>
        <w:rPr>
          <w:rFonts w:hint="eastAsia" w:ascii="仿宋_GB2312" w:eastAsia="仿宋_GB2312"/>
          <w:sz w:val="32"/>
          <w:szCs w:val="32"/>
          <w:lang w:val="en-US" w:eastAsia="zh-CN"/>
        </w:rPr>
        <w:t>单位日常用车</w:t>
      </w:r>
      <w:r>
        <w:rPr>
          <w:rFonts w:hint="eastAsia" w:ascii="仿宋_GB2312" w:eastAsia="仿宋_GB2312"/>
          <w:sz w:val="32"/>
          <w:szCs w:val="32"/>
        </w:rPr>
        <w:t>所需的公务用车燃料费、维修费、过路过桥费、保险费等支出。</w:t>
      </w:r>
    </w:p>
    <w:p>
      <w:pPr>
        <w:pageBreakBefore w:val="0"/>
        <w:kinsoku/>
        <w:wordWrap/>
        <w:overflowPunct/>
        <w:topLinePunct w:val="0"/>
        <w:bidi w:val="0"/>
        <w:spacing w:line="576" w:lineRule="exact"/>
        <w:ind w:firstLine="640"/>
        <w:jc w:val="both"/>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Fonts w:ascii="仿宋" w:hAnsi="仿宋" w:eastAsia="仿宋" w:cs="Times New Roman"/>
          <w:b/>
          <w:sz w:val="32"/>
          <w:szCs w:val="32"/>
        </w:rPr>
        <w:t>0%</w:t>
      </w:r>
      <w:r>
        <w:rPr>
          <w:rFonts w:hint="eastAsia" w:ascii="仿宋" w:hAnsi="仿宋" w:eastAsia="仿宋" w:cs="Times New Roman"/>
          <w:b/>
          <w:sz w:val="32"/>
          <w:szCs w:val="32"/>
        </w:rPr>
        <w:t>。</w:t>
      </w:r>
      <w:r>
        <w:rPr>
          <w:rFonts w:hint="eastAsia" w:ascii="仿宋_GB2312" w:eastAsia="仿宋_GB2312"/>
          <w:sz w:val="32"/>
          <w:szCs w:val="32"/>
        </w:rPr>
        <w:t>公务接待费支出决算</w:t>
      </w:r>
      <w:r>
        <w:rPr>
          <w:rFonts w:hint="eastAsia" w:ascii="仿宋_GB2312" w:eastAsia="仿宋_GB2312"/>
          <w:sz w:val="32"/>
          <w:szCs w:val="32"/>
          <w:lang w:val="en-US" w:eastAsia="zh-CN"/>
        </w:rPr>
        <w:t>与</w:t>
      </w:r>
      <w:r>
        <w:rPr>
          <w:rFonts w:hint="eastAsia" w:ascii="仿宋_GB2312" w:eastAsia="仿宋_GB2312"/>
          <w:sz w:val="32"/>
          <w:szCs w:val="32"/>
        </w:rPr>
        <w:t>2022年度</w:t>
      </w:r>
      <w:r>
        <w:rPr>
          <w:rFonts w:hint="eastAsia" w:ascii="仿宋_GB2312" w:eastAsia="仿宋_GB2312"/>
          <w:sz w:val="32"/>
          <w:szCs w:val="32"/>
          <w:lang w:val="en-US" w:eastAsia="zh-CN"/>
        </w:rPr>
        <w:t>持平。</w:t>
      </w:r>
      <w:r>
        <w:rPr>
          <w:rFonts w:hint="eastAsia" w:ascii="仿宋" w:hAnsi="仿宋" w:eastAsia="仿宋"/>
          <w:b/>
          <w:sz w:val="32"/>
          <w:szCs w:val="32"/>
        </w:rPr>
        <w:t>国内公务接待支出</w:t>
      </w:r>
      <w:r>
        <w:rPr>
          <w:rFonts w:ascii="仿宋" w:hAnsi="仿宋" w:eastAsia="仿宋"/>
          <w:b/>
          <w:sz w:val="32"/>
          <w:szCs w:val="32"/>
        </w:rPr>
        <w:t>0</w:t>
      </w:r>
      <w:r>
        <w:rPr>
          <w:rFonts w:hint="eastAsia" w:ascii="仿宋_GB2312" w:eastAsia="仿宋_GB2312"/>
          <w:sz w:val="32"/>
          <w:szCs w:val="32"/>
        </w:rPr>
        <w:t>万元。国内公务接待</w:t>
      </w:r>
      <w:r>
        <w:rPr>
          <w:rFonts w:hint="eastAsia" w:ascii="仿宋" w:hAnsi="仿宋" w:eastAsia="仿宋" w:cs="Times New Roman"/>
          <w:b/>
          <w:sz w:val="32"/>
          <w:szCs w:val="32"/>
          <w:lang w:val="en-US" w:eastAsia="zh-CN"/>
        </w:rPr>
        <w:t>0</w:t>
      </w:r>
      <w:r>
        <w:rPr>
          <w:rFonts w:hint="eastAsia" w:ascii="仿宋_GB2312" w:eastAsia="仿宋_GB2312"/>
          <w:sz w:val="32"/>
          <w:szCs w:val="32"/>
        </w:rPr>
        <w:t>批次，</w:t>
      </w:r>
      <w:r>
        <w:rPr>
          <w:rFonts w:hint="eastAsia" w:ascii="仿宋" w:hAnsi="仿宋" w:eastAsia="仿宋" w:cs="Times New Roman"/>
          <w:b/>
          <w:sz w:val="32"/>
          <w:szCs w:val="32"/>
          <w:lang w:val="en-US" w:eastAsia="zh-CN"/>
        </w:rPr>
        <w:t>0</w:t>
      </w:r>
      <w:r>
        <w:rPr>
          <w:rFonts w:hint="eastAsia" w:ascii="仿宋_GB2312" w:eastAsia="仿宋_GB2312"/>
          <w:sz w:val="32"/>
          <w:szCs w:val="32"/>
        </w:rPr>
        <w:t>人次（不包括陪同人员），共计支出</w:t>
      </w:r>
      <w:r>
        <w:rPr>
          <w:rFonts w:hint="eastAsia" w:ascii="仿宋" w:hAnsi="仿宋" w:eastAsia="仿宋" w:cs="Times New Roman"/>
          <w:b/>
          <w:sz w:val="32"/>
          <w:szCs w:val="32"/>
          <w:lang w:val="en-US" w:eastAsia="zh-CN"/>
        </w:rPr>
        <w:t>0</w:t>
      </w:r>
      <w:r>
        <w:rPr>
          <w:rFonts w:hint="eastAsia" w:ascii="仿宋_GB2312" w:eastAsia="仿宋_GB2312"/>
          <w:sz w:val="32"/>
          <w:szCs w:val="32"/>
        </w:rPr>
        <w:t>万元。</w:t>
      </w: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万元。外事接待</w:t>
      </w:r>
      <w:r>
        <w:rPr>
          <w:rFonts w:hint="eastAsia" w:ascii="仿宋_GB2312" w:eastAsia="仿宋_GB2312"/>
          <w:b/>
          <w:bCs/>
          <w:sz w:val="32"/>
          <w:szCs w:val="32"/>
          <w:lang w:val="en-US" w:eastAsia="zh-CN"/>
        </w:rPr>
        <w:t>0</w:t>
      </w:r>
      <w:r>
        <w:rPr>
          <w:rFonts w:hint="eastAsia" w:ascii="仿宋_GB2312" w:eastAsia="仿宋_GB2312"/>
          <w:sz w:val="32"/>
          <w:szCs w:val="32"/>
        </w:rPr>
        <w:t>批次，</w:t>
      </w:r>
      <w:r>
        <w:rPr>
          <w:rFonts w:hint="eastAsia" w:ascii="仿宋_GB2312" w:eastAsia="仿宋_GB2312"/>
          <w:b/>
          <w:bCs/>
          <w:sz w:val="32"/>
          <w:szCs w:val="32"/>
          <w:lang w:val="en-US" w:eastAsia="zh-CN"/>
        </w:rPr>
        <w:t>0</w:t>
      </w:r>
      <w:r>
        <w:rPr>
          <w:rFonts w:hint="eastAsia" w:ascii="仿宋_GB2312" w:eastAsia="仿宋_GB2312"/>
          <w:sz w:val="32"/>
          <w:szCs w:val="32"/>
        </w:rPr>
        <w:t>人次（不包括陪同人员），共计支出</w:t>
      </w:r>
      <w:r>
        <w:rPr>
          <w:rFonts w:hint="eastAsia" w:ascii="仿宋_GB2312" w:eastAsia="仿宋_GB2312"/>
          <w:b/>
          <w:bCs/>
          <w:sz w:val="32"/>
          <w:szCs w:val="32"/>
          <w:lang w:val="en-US" w:eastAsia="zh-CN"/>
        </w:rPr>
        <w:t>0</w:t>
      </w:r>
      <w:r>
        <w:rPr>
          <w:rFonts w:hint="eastAsia" w:ascii="仿宋_GB2312" w:eastAsia="仿宋_GB2312"/>
          <w:sz w:val="32"/>
          <w:szCs w:val="32"/>
        </w:rPr>
        <w:t>万元。</w:t>
      </w:r>
    </w:p>
    <w:p>
      <w:pPr>
        <w:pageBreakBefore w:val="0"/>
        <w:kinsoku/>
        <w:wordWrap/>
        <w:overflowPunct/>
        <w:topLinePunct w:val="0"/>
        <w:bidi w:val="0"/>
        <w:spacing w:line="576" w:lineRule="exact"/>
        <w:ind w:firstLine="640"/>
        <w:jc w:val="both"/>
        <w:outlineLvl w:val="9"/>
        <w:rPr>
          <w:rFonts w:ascii="黑体" w:eastAsia="黑体"/>
          <w:sz w:val="32"/>
          <w:szCs w:val="32"/>
        </w:rPr>
      </w:pPr>
    </w:p>
    <w:p>
      <w:pPr>
        <w:pageBreakBefore w:val="0"/>
        <w:kinsoku/>
        <w:wordWrap/>
        <w:overflowPunct/>
        <w:topLinePunct w:val="0"/>
        <w:bidi w:val="0"/>
        <w:spacing w:line="576" w:lineRule="exact"/>
        <w:ind w:firstLine="640"/>
        <w:jc w:val="both"/>
        <w:outlineLvl w:val="1"/>
        <w:rPr>
          <w:rStyle w:val="30"/>
          <w:rFonts w:ascii="黑体" w:hAnsi="黑体" w:eastAsia="黑体"/>
        </w:rPr>
      </w:pPr>
      <w:r>
        <w:rPr>
          <w:rFonts w:hint="eastAsia" w:ascii="黑体" w:eastAsia="黑体"/>
          <w:sz w:val="32"/>
          <w:szCs w:val="32"/>
        </w:rPr>
        <w:t>八、</w:t>
      </w:r>
      <w:r>
        <w:rPr>
          <w:rStyle w:val="30"/>
          <w:rFonts w:hint="eastAsia" w:ascii="黑体" w:hAnsi="黑体" w:eastAsia="黑体"/>
          <w:b w:val="0"/>
        </w:rPr>
        <w:t>政府性基金预算支出决算情况说明</w:t>
      </w:r>
      <w:bookmarkEnd w:id="46"/>
      <w:bookmarkEnd w:id="47"/>
    </w:p>
    <w:p>
      <w:pPr>
        <w:pageBreakBefore w:val="0"/>
        <w:kinsoku/>
        <w:wordWrap/>
        <w:overflowPunct/>
        <w:topLinePunct w:val="0"/>
        <w:bidi w:val="0"/>
        <w:spacing w:line="576" w:lineRule="exact"/>
        <w:ind w:firstLine="640"/>
        <w:jc w:val="both"/>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pPr>
        <w:pageBreakBefore w:val="0"/>
        <w:kinsoku/>
        <w:wordWrap/>
        <w:overflowPunct/>
        <w:topLinePunct w:val="0"/>
        <w:bidi w:val="0"/>
        <w:spacing w:line="576" w:lineRule="exact"/>
        <w:ind w:firstLine="640"/>
        <w:jc w:val="both"/>
        <w:rPr>
          <w:rFonts w:ascii="仿宋_GB2312" w:eastAsia="仿宋_GB2312"/>
          <w:sz w:val="32"/>
          <w:szCs w:val="32"/>
        </w:rPr>
      </w:pPr>
    </w:p>
    <w:p>
      <w:pPr>
        <w:pageBreakBefore w:val="0"/>
        <w:numPr>
          <w:ilvl w:val="0"/>
          <w:numId w:val="1"/>
        </w:numPr>
        <w:kinsoku/>
        <w:wordWrap/>
        <w:overflowPunct/>
        <w:topLinePunct w:val="0"/>
        <w:bidi w:val="0"/>
        <w:spacing w:line="576" w:lineRule="exact"/>
        <w:ind w:firstLine="640"/>
        <w:jc w:val="both"/>
        <w:outlineLvl w:val="1"/>
        <w:rPr>
          <w:rStyle w:val="30"/>
          <w:rFonts w:ascii="黑体" w:hAnsi="黑体" w:eastAsia="黑体"/>
          <w:b w:val="0"/>
        </w:rPr>
      </w:pPr>
      <w:bookmarkStart w:id="48" w:name="_Toc15377219"/>
      <w:bookmarkStart w:id="49" w:name="_Toc15396611"/>
      <w:r>
        <w:rPr>
          <w:rStyle w:val="30"/>
          <w:rFonts w:hint="eastAsia" w:ascii="黑体" w:hAnsi="黑体" w:eastAsia="黑体"/>
          <w:b w:val="0"/>
        </w:rPr>
        <w:t>国有资本经营预算支出决算情况说明</w:t>
      </w:r>
      <w:bookmarkEnd w:id="48"/>
      <w:bookmarkEnd w:id="49"/>
    </w:p>
    <w:p>
      <w:pPr>
        <w:pageBreakBefore w:val="0"/>
        <w:kinsoku/>
        <w:wordWrap/>
        <w:overflowPunct/>
        <w:topLinePunct w:val="0"/>
        <w:bidi w:val="0"/>
        <w:spacing w:line="576" w:lineRule="exact"/>
        <w:ind w:firstLine="640"/>
        <w:jc w:val="both"/>
        <w:rPr>
          <w:rFonts w:ascii="仿宋_GB2312" w:eastAsia="仿宋_GB2312"/>
          <w:sz w:val="32"/>
          <w:szCs w:val="32"/>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pPr>
        <w:pageBreakBefore w:val="0"/>
        <w:kinsoku/>
        <w:wordWrap/>
        <w:overflowPunct/>
        <w:topLinePunct w:val="0"/>
        <w:bidi w:val="0"/>
        <w:spacing w:line="576" w:lineRule="exact"/>
        <w:jc w:val="both"/>
        <w:rPr>
          <w:rFonts w:ascii="方正小标宋简体" w:hAnsi="方正小标宋简体" w:eastAsia="方正小标宋简体" w:cs="方正小标宋简体"/>
          <w:sz w:val="44"/>
          <w:szCs w:val="44"/>
        </w:rPr>
      </w:pPr>
    </w:p>
    <w:p>
      <w:pPr>
        <w:pageBreakBefore w:val="0"/>
        <w:numPr>
          <w:ilvl w:val="0"/>
          <w:numId w:val="1"/>
        </w:numPr>
        <w:kinsoku/>
        <w:wordWrap/>
        <w:overflowPunct/>
        <w:topLinePunct w:val="0"/>
        <w:bidi w:val="0"/>
        <w:spacing w:line="576" w:lineRule="exact"/>
        <w:ind w:firstLine="640"/>
        <w:jc w:val="both"/>
        <w:outlineLvl w:val="1"/>
        <w:rPr>
          <w:rStyle w:val="30"/>
          <w:rFonts w:ascii="黑体" w:hAnsi="黑体" w:eastAsia="黑体"/>
          <w:b w:val="0"/>
        </w:rPr>
      </w:pPr>
      <w:bookmarkStart w:id="50" w:name="_Toc15377221"/>
      <w:bookmarkStart w:id="51" w:name="_Toc15396612"/>
      <w:r>
        <w:rPr>
          <w:rStyle w:val="30"/>
          <w:rFonts w:hint="eastAsia" w:ascii="黑体" w:hAnsi="黑体" w:eastAsia="黑体"/>
          <w:b w:val="0"/>
        </w:rPr>
        <w:t>其他重要事项的情况说明</w:t>
      </w:r>
      <w:bookmarkEnd w:id="50"/>
      <w:bookmarkEnd w:id="51"/>
    </w:p>
    <w:p>
      <w:pPr>
        <w:pageBreakBefore w:val="0"/>
        <w:kinsoku/>
        <w:wordWrap/>
        <w:overflowPunct/>
        <w:topLinePunct w:val="0"/>
        <w:bidi w:val="0"/>
        <w:spacing w:line="576" w:lineRule="exact"/>
        <w:ind w:firstLine="642" w:firstLineChars="200"/>
        <w:jc w:val="both"/>
        <w:outlineLvl w:val="2"/>
        <w:rPr>
          <w:rFonts w:ascii="仿宋" w:hAnsi="仿宋" w:eastAsia="仿宋"/>
          <w:sz w:val="32"/>
          <w:szCs w:val="32"/>
        </w:rPr>
      </w:pPr>
      <w:bookmarkStart w:id="52" w:name="_Toc15377222"/>
      <w:r>
        <w:rPr>
          <w:rFonts w:hint="eastAsia" w:ascii="仿宋" w:hAnsi="仿宋" w:eastAsia="仿宋"/>
          <w:b/>
          <w:sz w:val="32"/>
          <w:szCs w:val="32"/>
        </w:rPr>
        <w:t>（一）机关运行经费支出情况</w:t>
      </w:r>
      <w:bookmarkEnd w:id="52"/>
    </w:p>
    <w:p>
      <w:pPr>
        <w:pageBreakBefore w:val="0"/>
        <w:kinsoku/>
        <w:wordWrap/>
        <w:overflowPunct/>
        <w:topLinePunct w:val="0"/>
        <w:bidi w:val="0"/>
        <w:spacing w:line="576" w:lineRule="exact"/>
        <w:ind w:firstLine="640" w:firstLineChars="200"/>
        <w:jc w:val="both"/>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四川省经济和信息化厅信息中心</w:t>
      </w:r>
      <w:r>
        <w:rPr>
          <w:rFonts w:hint="eastAsia" w:ascii="仿宋_GB2312" w:eastAsia="仿宋_GB2312"/>
          <w:sz w:val="32"/>
          <w:szCs w:val="32"/>
        </w:rPr>
        <w:t>机关运行经费支出</w:t>
      </w:r>
      <w:r>
        <w:rPr>
          <w:rFonts w:ascii="仿宋" w:hAnsi="仿宋" w:eastAsia="仿宋"/>
          <w:b/>
          <w:sz w:val="32"/>
          <w:szCs w:val="32"/>
        </w:rPr>
        <w:t>0</w:t>
      </w:r>
      <w:r>
        <w:rPr>
          <w:rFonts w:hint="eastAsia" w:ascii="仿宋_GB2312" w:eastAsia="仿宋_GB2312"/>
          <w:sz w:val="32"/>
          <w:szCs w:val="32"/>
        </w:rPr>
        <w:t>万元，与2022年度决算数持平。</w:t>
      </w:r>
    </w:p>
    <w:p>
      <w:pPr>
        <w:pageBreakBefore w:val="0"/>
        <w:kinsoku/>
        <w:wordWrap/>
        <w:overflowPunct/>
        <w:topLinePunct w:val="0"/>
        <w:autoSpaceDE w:val="0"/>
        <w:autoSpaceDN w:val="0"/>
        <w:bidi w:val="0"/>
        <w:adjustRightInd w:val="0"/>
        <w:spacing w:line="576" w:lineRule="exact"/>
        <w:ind w:firstLine="642" w:firstLineChars="200"/>
        <w:jc w:val="both"/>
        <w:outlineLvl w:val="2"/>
        <w:rPr>
          <w:rFonts w:ascii="仿宋" w:hAnsi="仿宋" w:eastAsia="仿宋"/>
          <w:b/>
          <w:sz w:val="32"/>
          <w:szCs w:val="32"/>
        </w:rPr>
      </w:pPr>
      <w:bookmarkStart w:id="53" w:name="_Toc15377223"/>
      <w:r>
        <w:rPr>
          <w:rFonts w:hint="eastAsia" w:ascii="仿宋" w:hAnsi="仿宋" w:eastAsia="仿宋"/>
          <w:b/>
          <w:sz w:val="32"/>
          <w:szCs w:val="32"/>
        </w:rPr>
        <w:t>（二）政府采购支出情况</w:t>
      </w:r>
      <w:bookmarkEnd w:id="53"/>
    </w:p>
    <w:p>
      <w:pPr>
        <w:pageBreakBefore w:val="0"/>
        <w:kinsoku/>
        <w:wordWrap/>
        <w:overflowPunct/>
        <w:topLinePunct w:val="0"/>
        <w:bidi w:val="0"/>
        <w:spacing w:line="576" w:lineRule="exact"/>
        <w:ind w:firstLine="640" w:firstLineChars="200"/>
        <w:jc w:val="both"/>
        <w:rPr>
          <w:rFonts w:ascii="仿宋_GB2312" w:eastAsia="仿宋_GB2312"/>
          <w:color w:val="FF0000"/>
          <w:sz w:val="32"/>
          <w:szCs w:val="32"/>
        </w:rPr>
      </w:pPr>
      <w:r>
        <w:rPr>
          <w:rFonts w:hint="eastAsia" w:ascii="仿宋_GB2312" w:eastAsia="仿宋_GB2312"/>
          <w:sz w:val="32"/>
          <w:szCs w:val="32"/>
        </w:rPr>
        <w:t>2023年度，</w:t>
      </w:r>
      <w:r>
        <w:rPr>
          <w:rFonts w:ascii="仿宋_GB2312" w:eastAsia="仿宋_GB2312"/>
          <w:b/>
          <w:sz w:val="32"/>
          <w:szCs w:val="32"/>
        </w:rPr>
        <w:t>四川省经济和信息化厅信息中心</w:t>
      </w:r>
      <w:r>
        <w:rPr>
          <w:rFonts w:hint="eastAsia" w:ascii="仿宋_GB2312" w:eastAsia="仿宋_GB2312"/>
          <w:sz w:val="32"/>
          <w:szCs w:val="32"/>
        </w:rPr>
        <w:t>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万元。主要用于</w:t>
      </w:r>
      <w:r>
        <w:rPr>
          <w:rFonts w:ascii="仿宋_GB2312" w:eastAsia="仿宋_GB2312"/>
          <w:sz w:val="32"/>
          <w:szCs w:val="32"/>
        </w:rPr>
        <w:t>…</w:t>
      </w:r>
      <w:r>
        <w:rPr>
          <w:rFonts w:hint="eastAsia" w:ascii="仿宋_GB2312" w:eastAsia="仿宋_GB2312"/>
          <w:sz w:val="32"/>
          <w:szCs w:val="32"/>
        </w:rPr>
        <w:t>（具体工作）。授予中小企业合同金额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bCs/>
          <w:sz w:val="32"/>
          <w:szCs w:val="32"/>
        </w:rPr>
        <w:t>0%</w:t>
      </w:r>
      <w:r>
        <w:rPr>
          <w:rFonts w:hint="eastAsia" w:ascii="仿宋_GB2312" w:eastAsia="仿宋_GB2312"/>
          <w:sz w:val="32"/>
          <w:szCs w:val="32"/>
        </w:rPr>
        <w:t>，其中：</w:t>
      </w:r>
      <w:r>
        <w:rPr>
          <w:rFonts w:hint="eastAsia" w:ascii="仿宋_GB2312" w:eastAsia="仿宋_GB2312"/>
          <w:color w:val="auto"/>
          <w:sz w:val="32"/>
          <w:szCs w:val="32"/>
        </w:rPr>
        <w:t>授予小微企业合同金额</w:t>
      </w:r>
      <w:r>
        <w:rPr>
          <w:rFonts w:ascii="仿宋" w:hAnsi="仿宋" w:eastAsia="仿宋"/>
          <w:b/>
          <w:color w:val="auto"/>
          <w:sz w:val="32"/>
          <w:szCs w:val="32"/>
        </w:rPr>
        <w:t>0</w:t>
      </w:r>
      <w:r>
        <w:rPr>
          <w:rFonts w:hint="eastAsia" w:ascii="仿宋_GB2312" w:eastAsia="仿宋_GB2312"/>
          <w:color w:val="auto"/>
          <w:sz w:val="32"/>
          <w:szCs w:val="32"/>
        </w:rPr>
        <w:t>万元，占政府采购支出总额的</w:t>
      </w:r>
      <w:r>
        <w:rPr>
          <w:rFonts w:ascii="仿宋_GB2312" w:eastAsia="仿宋_GB2312"/>
          <w:b/>
          <w:color w:val="auto"/>
          <w:sz w:val="32"/>
          <w:szCs w:val="32"/>
        </w:rPr>
        <w:t>0</w:t>
      </w:r>
      <w:r>
        <w:rPr>
          <w:rFonts w:ascii="仿宋_GB2312" w:eastAsia="仿宋_GB2312"/>
          <w:color w:val="auto"/>
          <w:sz w:val="32"/>
          <w:szCs w:val="32"/>
        </w:rPr>
        <w:t>%</w:t>
      </w:r>
      <w:r>
        <w:rPr>
          <w:rFonts w:hint="eastAsia" w:ascii="仿宋_GB2312" w:eastAsia="仿宋_GB2312"/>
          <w:color w:val="auto"/>
          <w:sz w:val="32"/>
          <w:szCs w:val="32"/>
        </w:rPr>
        <w:t>。</w:t>
      </w:r>
    </w:p>
    <w:p>
      <w:pPr>
        <w:pageBreakBefore w:val="0"/>
        <w:kinsoku/>
        <w:wordWrap/>
        <w:overflowPunct/>
        <w:topLinePunct w:val="0"/>
        <w:autoSpaceDE w:val="0"/>
        <w:autoSpaceDN w:val="0"/>
        <w:bidi w:val="0"/>
        <w:adjustRightInd w:val="0"/>
        <w:spacing w:line="576" w:lineRule="exact"/>
        <w:ind w:firstLine="642" w:firstLineChars="200"/>
        <w:jc w:val="both"/>
        <w:outlineLvl w:val="2"/>
        <w:rPr>
          <w:rFonts w:ascii="仿宋" w:hAnsi="仿宋" w:eastAsia="仿宋"/>
          <w:b/>
          <w:sz w:val="32"/>
          <w:szCs w:val="32"/>
        </w:rPr>
      </w:pPr>
      <w:bookmarkStart w:id="54" w:name="_Toc15377224"/>
      <w:r>
        <w:rPr>
          <w:rFonts w:hint="eastAsia" w:ascii="仿宋" w:hAnsi="仿宋" w:eastAsia="仿宋"/>
          <w:b/>
          <w:sz w:val="32"/>
          <w:szCs w:val="32"/>
        </w:rPr>
        <w:t>（三）国有资产占有使用情况</w:t>
      </w:r>
      <w:bookmarkEnd w:id="54"/>
    </w:p>
    <w:p>
      <w:pPr>
        <w:pageBreakBefore w:val="0"/>
        <w:kinsoku/>
        <w:wordWrap/>
        <w:overflowPunct/>
        <w:topLinePunct w:val="0"/>
        <w:autoSpaceDE w:val="0"/>
        <w:autoSpaceDN w:val="0"/>
        <w:bidi w:val="0"/>
        <w:adjustRightInd w:val="0"/>
        <w:spacing w:line="576" w:lineRule="exact"/>
        <w:ind w:firstLine="640" w:firstLineChars="200"/>
        <w:jc w:val="both"/>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四川省经济和信息化厅信息中心</w:t>
      </w:r>
      <w:r>
        <w:rPr>
          <w:rFonts w:hint="eastAsia" w:ascii="仿宋_GB2312" w:eastAsia="仿宋_GB2312"/>
          <w:sz w:val="32"/>
          <w:szCs w:val="32"/>
        </w:rPr>
        <w:t>共有车辆</w:t>
      </w:r>
      <w:r>
        <w:rPr>
          <w:rFonts w:hint="eastAsia" w:ascii="仿宋_GB2312" w:eastAsia="仿宋_GB2312"/>
          <w:b/>
          <w:sz w:val="32"/>
          <w:szCs w:val="32"/>
        </w:rPr>
        <w:t>1</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 xml:space="preserve"> </w:t>
      </w:r>
      <w:r>
        <w:rPr>
          <w:rFonts w:hint="eastAsia" w:ascii="仿宋" w:hAnsi="仿宋" w:eastAsia="仿宋" w:cs="Times New Roman"/>
          <w:b/>
          <w:sz w:val="32"/>
          <w:szCs w:val="32"/>
          <w:lang w:val="en-US" w:eastAsia="zh-CN"/>
        </w:rPr>
        <w:t xml:space="preserve">0 </w:t>
      </w:r>
      <w:r>
        <w:rPr>
          <w:rFonts w:hint="eastAsia" w:ascii="仿宋" w:hAnsi="仿宋" w:eastAsia="仿宋" w:cs="Times New Roman"/>
          <w:b/>
          <w:sz w:val="32"/>
          <w:szCs w:val="32"/>
        </w:rPr>
        <w:t>辆</w:t>
      </w:r>
      <w:r>
        <w:rPr>
          <w:rFonts w:hint="eastAsia" w:ascii="仿宋_GB2312" w:eastAsia="仿宋_GB2312"/>
          <w:sz w:val="32"/>
          <w:szCs w:val="32"/>
        </w:rPr>
        <w:t>、机要通信用车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 xml:space="preserve"> </w:t>
      </w:r>
      <w:r>
        <w:rPr>
          <w:rFonts w:hint="eastAsia" w:ascii="仿宋" w:hAnsi="仿宋" w:eastAsia="仿宋" w:cs="Times New Roman"/>
          <w:b/>
          <w:sz w:val="32"/>
          <w:szCs w:val="32"/>
          <w:lang w:val="en-US" w:eastAsia="zh-CN"/>
        </w:rPr>
        <w:t xml:space="preserve">0 </w:t>
      </w:r>
      <w:r>
        <w:rPr>
          <w:rFonts w:hint="eastAsia" w:ascii="仿宋_GB2312" w:eastAsia="仿宋_GB2312"/>
          <w:sz w:val="32"/>
          <w:szCs w:val="32"/>
        </w:rPr>
        <w:t>辆、其他用车</w:t>
      </w:r>
      <w:r>
        <w:rPr>
          <w:rFonts w:hint="eastAsia" w:ascii="仿宋_GB2312" w:eastAsia="仿宋_GB2312"/>
          <w:sz w:val="32"/>
          <w:szCs w:val="32"/>
          <w:lang w:val="en-US" w:eastAsia="zh-CN"/>
        </w:rPr>
        <w:t xml:space="preserve"> </w:t>
      </w:r>
      <w:r>
        <w:rPr>
          <w:rFonts w:hint="eastAsia" w:ascii="仿宋_GB2312" w:eastAsia="仿宋_GB2312"/>
          <w:b/>
          <w:bCs/>
          <w:sz w:val="32"/>
          <w:szCs w:val="32"/>
          <w:lang w:val="en-US" w:eastAsia="zh-CN"/>
        </w:rPr>
        <w:t xml:space="preserve">1 </w:t>
      </w:r>
      <w:r>
        <w:rPr>
          <w:rFonts w:hint="eastAsia" w:ascii="仿宋_GB2312" w:eastAsia="仿宋_GB2312"/>
          <w:sz w:val="32"/>
          <w:szCs w:val="32"/>
        </w:rPr>
        <w:t>辆，其他用车主要是用于</w:t>
      </w:r>
      <w:r>
        <w:rPr>
          <w:rFonts w:hint="eastAsia" w:ascii="仿宋_GB2312" w:eastAsia="仿宋_GB2312"/>
          <w:sz w:val="32"/>
          <w:szCs w:val="32"/>
          <w:lang w:val="en-US" w:eastAsia="zh-CN"/>
        </w:rPr>
        <w:t>中心工作人员外出公干、调研等工作需要</w:t>
      </w:r>
      <w:r>
        <w:rPr>
          <w:rFonts w:hint="eastAsia" w:ascii="仿宋_GB2312" w:eastAsia="仿宋_GB2312"/>
          <w:sz w:val="32"/>
          <w:szCs w:val="32"/>
        </w:rPr>
        <w:t>。单价</w:t>
      </w:r>
      <w:r>
        <w:rPr>
          <w:rFonts w:ascii="仿宋_GB2312" w:eastAsia="仿宋_GB2312"/>
          <w:b/>
          <w:bCs/>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b/>
          <w:sz w:val="32"/>
          <w:szCs w:val="32"/>
          <w:lang w:val="en-US" w:eastAsia="zh-CN"/>
        </w:rPr>
        <w:t xml:space="preserve"> </w:t>
      </w:r>
      <w:r>
        <w:rPr>
          <w:rFonts w:hint="eastAsia" w:ascii="仿宋_GB2312" w:eastAsia="仿宋_GB2312"/>
          <w:sz w:val="32"/>
          <w:szCs w:val="32"/>
        </w:rPr>
        <w:t>台（套）。</w:t>
      </w:r>
    </w:p>
    <w:p>
      <w:pPr>
        <w:pageBreakBefore w:val="0"/>
        <w:kinsoku/>
        <w:wordWrap/>
        <w:overflowPunct/>
        <w:topLinePunct w:val="0"/>
        <w:autoSpaceDE w:val="0"/>
        <w:autoSpaceDN w:val="0"/>
        <w:bidi w:val="0"/>
        <w:adjustRightInd w:val="0"/>
        <w:spacing w:line="576" w:lineRule="exact"/>
        <w:ind w:firstLine="642" w:firstLineChars="200"/>
        <w:jc w:val="both"/>
        <w:outlineLvl w:val="2"/>
        <w:rPr>
          <w:rFonts w:ascii="仿宋" w:hAnsi="仿宋" w:eastAsia="仿宋"/>
          <w:b/>
          <w:sz w:val="32"/>
          <w:szCs w:val="32"/>
        </w:rPr>
      </w:pPr>
      <w:r>
        <w:rPr>
          <w:rFonts w:hint="eastAsia" w:ascii="仿宋" w:hAnsi="仿宋" w:eastAsia="仿宋"/>
          <w:b/>
          <w:sz w:val="32"/>
          <w:szCs w:val="32"/>
        </w:rPr>
        <w:t>（四）预算绩效管理情况</w:t>
      </w:r>
    </w:p>
    <w:p>
      <w:pPr>
        <w:pageBreakBefore w:val="0"/>
        <w:kinsoku/>
        <w:wordWrap/>
        <w:overflowPunct/>
        <w:topLinePunct w:val="0"/>
        <w:bidi w:val="0"/>
        <w:spacing w:line="576" w:lineRule="exact"/>
        <w:ind w:firstLine="640" w:firstLineChars="200"/>
        <w:jc w:val="both"/>
        <w:rPr>
          <w:rFonts w:hint="eastAsia"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eastAsia="仿宋_GB2312"/>
          <w:sz w:val="32"/>
          <w:szCs w:val="32"/>
          <w:lang w:eastAsia="zh-CN"/>
        </w:rPr>
        <w:t>《</w:t>
      </w:r>
      <w:r>
        <w:rPr>
          <w:rFonts w:hint="eastAsia" w:ascii="仿宋_GB2312" w:eastAsia="仿宋_GB2312"/>
          <w:sz w:val="32"/>
          <w:szCs w:val="32"/>
        </w:rPr>
        <w:t>2023年能耗在线监测平台运维项目</w:t>
      </w:r>
      <w:r>
        <w:rPr>
          <w:rFonts w:hint="eastAsia" w:ascii="仿宋_GB2312" w:eastAsia="仿宋_GB2312"/>
          <w:sz w:val="32"/>
          <w:szCs w:val="32"/>
          <w:lang w:eastAsia="zh-CN"/>
        </w:rPr>
        <w:t>》、《基于人工智能的分布式光伏发电集群智能调控关键技术研究》</w:t>
      </w:r>
      <w:r>
        <w:rPr>
          <w:rFonts w:hint="eastAsia" w:ascii="仿宋_GB2312" w:eastAsia="仿宋_GB2312"/>
          <w:sz w:val="32"/>
          <w:szCs w:val="32"/>
          <w:lang w:val="en-US" w:eastAsia="zh-CN"/>
        </w:rPr>
        <w:t>2</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2</w:t>
      </w:r>
      <w:r>
        <w:rPr>
          <w:rFonts w:hint="eastAsia" w:ascii="仿宋_GB2312" w:eastAsia="仿宋_GB2312"/>
          <w:sz w:val="32"/>
          <w:szCs w:val="32"/>
        </w:rPr>
        <w:t>个项目编制了绩效目标，预算执行过程中，</w:t>
      </w:r>
      <w:r>
        <w:rPr>
          <w:rFonts w:hint="eastAsia" w:ascii="仿宋_GB2312" w:eastAsia="仿宋_GB2312"/>
          <w:sz w:val="32"/>
          <w:szCs w:val="32"/>
          <w:lang w:val="en-US" w:eastAsia="zh-CN"/>
        </w:rPr>
        <w:t>对2</w:t>
      </w:r>
      <w:r>
        <w:rPr>
          <w:rFonts w:hint="eastAsia" w:ascii="仿宋_GB2312" w:eastAsia="仿宋_GB2312"/>
          <w:sz w:val="32"/>
          <w:szCs w:val="32"/>
        </w:rPr>
        <w:t>项目开展绩效监控，组织对</w:t>
      </w:r>
      <w:r>
        <w:rPr>
          <w:rFonts w:hint="eastAsia" w:ascii="仿宋_GB2312" w:eastAsia="仿宋_GB2312"/>
          <w:sz w:val="32"/>
          <w:szCs w:val="32"/>
          <w:lang w:val="en-US" w:eastAsia="zh-CN"/>
        </w:rPr>
        <w:t>2</w:t>
      </w:r>
      <w:r>
        <w:rPr>
          <w:rFonts w:hint="eastAsia" w:ascii="仿宋_GB2312" w:eastAsia="仿宋_GB2312"/>
          <w:sz w:val="32"/>
          <w:szCs w:val="32"/>
        </w:rPr>
        <w:t>个项目开展绩效自评，绩效自评表详见第四部分附件。</w:t>
      </w:r>
    </w:p>
    <w:p>
      <w:pPr>
        <w:pageBreakBefore w:val="0"/>
        <w:kinsoku/>
        <w:wordWrap/>
        <w:overflowPunct/>
        <w:topLinePunct w:val="0"/>
        <w:bidi w:val="0"/>
        <w:spacing w:line="576" w:lineRule="exact"/>
        <w:ind w:firstLine="640" w:firstLineChars="200"/>
        <w:jc w:val="both"/>
        <w:rPr>
          <w:rFonts w:ascii="仿宋_GB2312" w:eastAsia="仿宋_GB2312"/>
          <w:sz w:val="32"/>
          <w:szCs w:val="32"/>
        </w:rPr>
      </w:pPr>
      <w:r>
        <w:rPr>
          <w:rFonts w:hint="eastAsia" w:ascii="仿宋_GB2312" w:eastAsia="仿宋_GB2312"/>
          <w:sz w:val="32"/>
          <w:szCs w:val="32"/>
        </w:rPr>
        <w:br w:type="page"/>
      </w:r>
    </w:p>
    <w:p>
      <w:pPr>
        <w:pageBreakBefore w:val="0"/>
        <w:numPr>
          <w:ilvl w:val="0"/>
          <w:numId w:val="2"/>
        </w:numPr>
        <w:kinsoku/>
        <w:wordWrap/>
        <w:overflowPunct/>
        <w:topLinePunct w:val="0"/>
        <w:bidi w:val="0"/>
        <w:spacing w:line="576" w:lineRule="exact"/>
        <w:ind w:firstLine="660" w:firstLineChars="150"/>
        <w:jc w:val="center"/>
        <w:outlineLvl w:val="0"/>
        <w:rPr>
          <w:rStyle w:val="29"/>
          <w:rFonts w:ascii="黑体" w:hAnsi="黑体" w:eastAsia="黑体"/>
          <w:b w:val="0"/>
        </w:rPr>
      </w:pPr>
      <w:bookmarkStart w:id="55" w:name="_Toc18685"/>
      <w:bookmarkStart w:id="56" w:name="_Toc15396613"/>
      <w:bookmarkStart w:id="57" w:name="_Toc15377225"/>
      <w:r>
        <w:rPr>
          <w:rFonts w:hint="eastAsia" w:ascii="黑体" w:hAnsi="黑体" w:eastAsia="黑体"/>
          <w:sz w:val="44"/>
          <w:szCs w:val="44"/>
        </w:rPr>
        <w:t>名</w:t>
      </w:r>
      <w:r>
        <w:rPr>
          <w:rStyle w:val="29"/>
          <w:rFonts w:hint="eastAsia" w:ascii="黑体" w:hAnsi="黑体" w:eastAsia="黑体"/>
          <w:b w:val="0"/>
        </w:rPr>
        <w:t>词解释</w:t>
      </w:r>
      <w:bookmarkEnd w:id="55"/>
      <w:bookmarkEnd w:id="56"/>
      <w:bookmarkEnd w:id="57"/>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1.财政拨款收入：指单位从同级财政部门取得的财政预算资金。</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2.事业收入：指事业单位开展专业业务活动及辅助活动取得的收入。</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3.经营收入：指事业单位在专业业务活动及其辅助活动之外开展非独立核算经营活动取得的收入。</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 xml:space="preserve">4.其他收入：指单位取得的除上述收入以外的各项收入。 </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 xml:space="preserve">5.使用非财政拨款结余：指事业单位使用以前年度积累的非财政拨款结余弥补当年收支差额的金额。 </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 xml:space="preserve">6.年初结转和结余：指以前年度尚未完成、结转到本年按有关规定继续使用的资金。 </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7.结余分配：指事业单位按照会计制度规定缴纳的所得税、提取的专用结余以及转入非财政拨款结余的金额等。</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8.年末结转和结余：指单位按有关规定结转到下年或以后年度继续使用的资金。</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9. 资源勘探工业信息等支出（类）制造业（款）行政</w:t>
      </w:r>
    </w:p>
    <w:p>
      <w:pPr>
        <w:pStyle w:val="27"/>
        <w:pageBreakBefore w:val="0"/>
        <w:kinsoku/>
        <w:wordWrap/>
        <w:overflowPunct/>
        <w:topLinePunct w:val="0"/>
        <w:bidi w:val="0"/>
        <w:spacing w:line="576" w:lineRule="exact"/>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运行（项）：指单位项目支出。</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10. 资源勘探工业信息等支出（类）制造业（款）机关</w:t>
      </w:r>
    </w:p>
    <w:p>
      <w:pPr>
        <w:pStyle w:val="27"/>
        <w:pageBreakBefore w:val="0"/>
        <w:kinsoku/>
        <w:wordWrap/>
        <w:overflowPunct/>
        <w:topLinePunct w:val="0"/>
        <w:bidi w:val="0"/>
        <w:spacing w:line="576" w:lineRule="exact"/>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服务（项）：指单位人员支出。</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11. 资源勘探工业信息等支出（类）制造业（款）其他</w:t>
      </w:r>
    </w:p>
    <w:p>
      <w:pPr>
        <w:pStyle w:val="27"/>
        <w:pageBreakBefore w:val="0"/>
        <w:kinsoku/>
        <w:wordWrap/>
        <w:overflowPunct/>
        <w:topLinePunct w:val="0"/>
        <w:bidi w:val="0"/>
        <w:spacing w:line="576" w:lineRule="exact"/>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制造也支出（项）：指单位项目支出。</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12.基本支出：指为保障机构正常运转、完成日常工作任务而发生的人员支出和公用支出。</w:t>
      </w:r>
    </w:p>
    <w:p>
      <w:pPr>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 xml:space="preserve">13.项目支出：指在基本支出之外为完成特定行政任务和事业发展目标所发生的支出。 </w:t>
      </w:r>
    </w:p>
    <w:p>
      <w:pPr>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14.经营支出：指事业单位在专业业务活动及其辅助活动之外开展非独立核算经营活动发生的支出。</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15.“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16.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p>
    <w:p>
      <w:pPr>
        <w:pStyle w:val="27"/>
        <w:pageBreakBefore w:val="0"/>
        <w:kinsoku/>
        <w:wordWrap/>
        <w:overflowPunct/>
        <w:topLinePunct w:val="0"/>
        <w:bidi w:val="0"/>
        <w:spacing w:line="576" w:lineRule="exact"/>
        <w:ind w:firstLine="640" w:firstLineChars="200"/>
        <w:jc w:val="both"/>
        <w:rPr>
          <w:rFonts w:hint="eastAsia" w:ascii="仿宋_GB2312" w:hAnsi="Times New Roman" w:eastAsia="仿宋_GB2312" w:cs="Times New Roman"/>
          <w:color w:val="auto"/>
          <w:kern w:val="2"/>
          <w:sz w:val="32"/>
          <w:szCs w:val="32"/>
          <w:lang w:val="en-US" w:eastAsia="zh-CN" w:bidi="ar-SA"/>
        </w:rPr>
      </w:pPr>
    </w:p>
    <w:p>
      <w:pPr>
        <w:pageBreakBefore w:val="0"/>
        <w:kinsoku/>
        <w:wordWrap/>
        <w:overflowPunct/>
        <w:topLinePunct w:val="0"/>
        <w:bidi w:val="0"/>
        <w:spacing w:line="576" w:lineRule="exact"/>
        <w:jc w:val="both"/>
        <w:outlineLvl w:val="9"/>
        <w:rPr>
          <w:rFonts w:hint="eastAsia" w:ascii="仿宋_GB2312" w:hAnsi="Times New Roman" w:eastAsia="仿宋_GB2312" w:cs="Times New Roman"/>
          <w:color w:val="auto"/>
          <w:kern w:val="2"/>
          <w:sz w:val="32"/>
          <w:szCs w:val="32"/>
          <w:lang w:val="en-US" w:eastAsia="zh-CN" w:bidi="ar-SA"/>
        </w:rPr>
      </w:pPr>
    </w:p>
    <w:p>
      <w:pPr>
        <w:pageBreakBefore w:val="0"/>
        <w:kinsoku/>
        <w:wordWrap/>
        <w:overflowPunct/>
        <w:topLinePunct w:val="0"/>
        <w:bidi w:val="0"/>
        <w:spacing w:line="576" w:lineRule="exact"/>
        <w:jc w:val="both"/>
        <w:outlineLvl w:val="9"/>
        <w:rPr>
          <w:rFonts w:hint="eastAsia" w:ascii="仿宋_GB2312" w:hAnsi="Times New Roman" w:eastAsia="仿宋_GB2312" w:cs="Times New Roman"/>
          <w:color w:val="auto"/>
          <w:kern w:val="2"/>
          <w:sz w:val="32"/>
          <w:szCs w:val="32"/>
          <w:lang w:val="en-US" w:eastAsia="zh-CN" w:bidi="ar-SA"/>
        </w:rPr>
        <w:sectPr>
          <w:footerReference r:id="rId4" w:type="first"/>
          <w:footerReference r:id="rId3" w:type="default"/>
          <w:pgSz w:w="11906" w:h="16838"/>
          <w:pgMar w:top="1440" w:right="1800" w:bottom="1440" w:left="1800" w:header="851" w:footer="992" w:gutter="0"/>
          <w:pgNumType w:fmt="decimal"/>
          <w:cols w:space="425" w:num="1"/>
          <w:titlePg/>
          <w:docGrid w:type="lines" w:linePitch="312" w:charSpace="0"/>
        </w:sectPr>
      </w:pPr>
    </w:p>
    <w:p>
      <w:pPr>
        <w:pageBreakBefore w:val="0"/>
        <w:kinsoku/>
        <w:wordWrap/>
        <w:overflowPunct/>
        <w:topLinePunct w:val="0"/>
        <w:bidi w:val="0"/>
        <w:spacing w:line="576" w:lineRule="exact"/>
        <w:jc w:val="center"/>
        <w:outlineLvl w:val="0"/>
        <w:rPr>
          <w:rFonts w:hint="eastAsia" w:ascii="仿宋_GB2312" w:hAnsi="Times New Roman" w:eastAsia="仿宋_GB2312" w:cs="Times New Roman"/>
          <w:color w:val="auto"/>
          <w:kern w:val="2"/>
          <w:sz w:val="32"/>
          <w:szCs w:val="32"/>
          <w:lang w:val="en-US" w:eastAsia="zh-CN" w:bidi="ar-SA"/>
        </w:rPr>
      </w:pPr>
      <w:bookmarkStart w:id="58" w:name="_Toc10640"/>
      <w:bookmarkStart w:id="59" w:name="_Toc15396614"/>
      <w:bookmarkStart w:id="60" w:name="_Toc15377226"/>
      <w:r>
        <w:rPr>
          <w:rFonts w:hint="eastAsia" w:ascii="黑体" w:hAnsi="黑体" w:eastAsia="黑体" w:cs="Times New Roman"/>
          <w:b w:val="0"/>
          <w:bCs/>
          <w:kern w:val="44"/>
          <w:sz w:val="44"/>
          <w:szCs w:val="44"/>
          <w:lang w:val="en-US" w:eastAsia="zh-CN" w:bidi="ar-SA"/>
        </w:rPr>
        <w:t>第四部分 附件</w:t>
      </w:r>
      <w:bookmarkEnd w:id="58"/>
      <w:bookmarkEnd w:id="59"/>
      <w:bookmarkStart w:id="61" w:name="_Toc30798"/>
      <w:bookmarkStart w:id="62" w:name="_Toc15396618"/>
    </w:p>
    <w:p>
      <w:pPr>
        <w:pageBreakBefore w:val="0"/>
        <w:kinsoku/>
        <w:wordWrap/>
        <w:overflowPunct/>
        <w:topLinePunct w:val="0"/>
        <w:bidi w:val="0"/>
        <w:spacing w:line="576" w:lineRule="exact"/>
        <w:ind w:firstLine="960" w:firstLineChars="300"/>
        <w:jc w:val="both"/>
        <w:outlineLvl w:val="0"/>
        <w:rPr>
          <w:rFonts w:hint="eastAsia" w:ascii="仿宋_GB2312" w:hAnsi="Times New Roman" w:eastAsia="仿宋_GB2312" w:cs="Times New Roman"/>
          <w:color w:val="auto"/>
          <w:kern w:val="2"/>
          <w:sz w:val="32"/>
          <w:szCs w:val="32"/>
          <w:lang w:val="en-US" w:eastAsia="zh-CN" w:bidi="ar-SA"/>
        </w:rPr>
      </w:pPr>
    </w:p>
    <w:p>
      <w:pPr>
        <w:pageBreakBefore w:val="0"/>
        <w:kinsoku/>
        <w:wordWrap/>
        <w:overflowPunct/>
        <w:topLinePunct w:val="0"/>
        <w:bidi w:val="0"/>
        <w:spacing w:line="576" w:lineRule="exact"/>
        <w:ind w:firstLine="960" w:firstLineChars="300"/>
        <w:jc w:val="both"/>
        <w:outlineLvl w:val="0"/>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部门预算项目支出绩效自评表（2023年度）</w:t>
      </w:r>
      <w:bookmarkEnd w:id="61"/>
    </w:p>
    <w:p>
      <w:pPr>
        <w:pStyle w:val="2"/>
        <w:rPr>
          <w:rFonts w:hint="eastAsia"/>
          <w:lang w:val="en-US" w:eastAsia="zh-CN"/>
        </w:rPr>
      </w:pP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987"/>
        <w:gridCol w:w="833"/>
        <w:gridCol w:w="1109"/>
        <w:gridCol w:w="396"/>
        <w:gridCol w:w="775"/>
        <w:gridCol w:w="396"/>
        <w:gridCol w:w="846"/>
        <w:gridCol w:w="666"/>
        <w:gridCol w:w="666"/>
        <w:gridCol w:w="1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3986"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51000023T000007635428-2023年能耗在线监测平台运维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 w:hRule="atLeast"/>
        </w:trPr>
        <w:tc>
          <w:tcPr>
            <w:tcW w:w="10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229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四川省经济和信息化厅部门</w:t>
            </w:r>
          </w:p>
        </w:tc>
        <w:tc>
          <w:tcPr>
            <w:tcW w:w="375" w:type="pct"/>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132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四川省经济和信息化厅信息中心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6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229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169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229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按要求完成能耗在线监测系统平台运维。</w:t>
            </w:r>
          </w:p>
        </w:tc>
        <w:tc>
          <w:tcPr>
            <w:tcW w:w="169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2023年，能耗系统验证平台接入企业639家，正式平台接入企业357家，并担负起正式平台所有企业的日常数据盯控，业务咨询，设备注册，数据接入等一系列工作，完成能耗系统VPN设备的招投标及安装，完成能耗系统centOS国产化改造预算及方案，圆满完成2023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3986"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1.企业申请接入的办理流程工作。包含：企业接入通知，流程文档下发、核验，办理流程内容解释，办理流程流程查询。</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2.CA数字证书及VPN接入工作。业务办理工作，流程查询，协调VPN及CA设备联调.</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3.企业数据接入的工作。包含：及时通知数据异常企业，提供企业接入情况周报，能耗在线监测项目的建设工作（对接大数据中心完成资源扩容、申请等系列工作）。</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4.企业端设备注册。核对注册报文的内容工作（提供相关规范模板），配合企业技术支撑单位联调和指导。</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5.企业基础信息上传工作。核对企业基础信息报文的内容工作，指导企业基础支撑单位采用正确报文上传数。</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 xml:space="preserve">6.企业数据上传工作。核对企业上传数据报文的内容工作（提供相关规范模板），核对上传数据异常查询反馈（目前通过底层数据库查询）。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trPr>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92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92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8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92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92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trPr>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硬件采购（维护）数量</w:t>
            </w:r>
          </w:p>
        </w:tc>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系统故障率</w:t>
            </w:r>
          </w:p>
        </w:tc>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系统故障修复处理时间</w:t>
            </w:r>
          </w:p>
        </w:tc>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小时</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6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数据收集量</w:t>
            </w:r>
          </w:p>
        </w:tc>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万条</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14.99</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14.99</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主页点击量</w:t>
            </w:r>
          </w:p>
        </w:tc>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万人</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系统正常使用年限</w:t>
            </w:r>
          </w:p>
        </w:tc>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使用人员满意度</w:t>
            </w:r>
          </w:p>
        </w:tc>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3679"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3"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4677"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能耗系统验证平台接入企业639家，正式平台接入企业357家，并担负起正式平台所有企业的日常数据盯控，业务咨询，设备注册，数据接入等一系列工作，完成能耗系统VPN设备的招投标及安装，完成能耗系统centOS国产化改造预算及方案，圆满完成2023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4677"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4677"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255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项目负责人：李国</w:t>
            </w:r>
          </w:p>
        </w:tc>
        <w:tc>
          <w:tcPr>
            <w:tcW w:w="24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财务负责人：韩莉</w:t>
            </w:r>
          </w:p>
        </w:tc>
      </w:tr>
    </w:tbl>
    <w:p>
      <w:pPr>
        <w:pStyle w:val="6"/>
        <w:keepNext w:val="0"/>
        <w:keepLines w:val="0"/>
        <w:pageBreakBefore w:val="0"/>
        <w:widowControl w:val="0"/>
        <w:kinsoku/>
        <w:wordWrap/>
        <w:overflowPunct/>
        <w:topLinePunct w:val="0"/>
        <w:autoSpaceDE/>
        <w:autoSpaceDN/>
        <w:bidi w:val="0"/>
        <w:adjustRightInd/>
        <w:snapToGrid/>
        <w:spacing w:before="93" w:line="300" w:lineRule="exact"/>
        <w:jc w:val="both"/>
        <w:textAlignment w:val="auto"/>
        <w:rPr>
          <w:rFonts w:hAnsi="Calibri" w:cs="仿宋"/>
          <w:sz w:val="32"/>
          <w:szCs w:val="32"/>
        </w:rPr>
      </w:pP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1060"/>
        <w:gridCol w:w="896"/>
        <w:gridCol w:w="1183"/>
        <w:gridCol w:w="396"/>
        <w:gridCol w:w="837"/>
        <w:gridCol w:w="396"/>
        <w:gridCol w:w="756"/>
        <w:gridCol w:w="486"/>
        <w:gridCol w:w="576"/>
        <w:gridCol w:w="1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3966"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51000023T000008793841-基于人工智能的分布式光伏发电集群智能调控关键技术研究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 w:hRule="atLeast"/>
        </w:trPr>
        <w:tc>
          <w:tcPr>
            <w:tcW w:w="10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233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四川省经济和信息化厅部门</w:t>
            </w:r>
          </w:p>
        </w:tc>
        <w:tc>
          <w:tcPr>
            <w:tcW w:w="377" w:type="pct"/>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125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四川省经济和信息化厅信息中心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233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163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i w:val="0"/>
                <w:iCs w:val="0"/>
                <w:color w:val="000000"/>
                <w:sz w:val="18"/>
                <w:szCs w:val="18"/>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i w:val="0"/>
                <w:iCs w:val="0"/>
                <w:color w:val="000000"/>
                <w:sz w:val="18"/>
                <w:szCs w:val="18"/>
                <w:u w:val="none"/>
              </w:rPr>
            </w:pPr>
          </w:p>
        </w:tc>
        <w:tc>
          <w:tcPr>
            <w:tcW w:w="233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基于人工智能技术的负荷预测和分布式光伏发电预测方法，以便于进行配电网负荷预测和分布式光伏发电预测，最终构建基于全省的分布式光伏发电集群数据平台。</w:t>
            </w:r>
          </w:p>
        </w:tc>
        <w:tc>
          <w:tcPr>
            <w:tcW w:w="163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该项目为两年期项目，主要研究内容已完成，并已录用论文3篇（未见刊），取得计算机软件著作权2项，向国家知识产权局申请1项实用新型专利。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i w:val="0"/>
                <w:iCs w:val="0"/>
                <w:color w:val="000000"/>
                <w:sz w:val="18"/>
                <w:szCs w:val="18"/>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3966"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9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9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18.58</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92.88%</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w:t>
            </w:r>
          </w:p>
        </w:tc>
        <w:tc>
          <w:tcPr>
            <w:tcW w:w="8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该项目为两年期项目，主要研究内容已完成，并已录用论文3篇（未见刊），取得计算机软件著作权2项，向国家知识产权局申请1项实用新型专利。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w:t>
            </w:r>
          </w:p>
        </w:tc>
        <w:tc>
          <w:tcPr>
            <w:tcW w:w="9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18.58</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92.88%</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9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trPr>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中文核心期刊公开发表论文</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篇</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0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实用新型专利</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1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0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计算机软件著作权登记证书</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1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0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0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6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77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中文核心期刊论文应用</w:t>
            </w:r>
          </w:p>
        </w:tc>
        <w:tc>
          <w:tcPr>
            <w:tcW w:w="18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57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18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37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c>
          <w:tcPr>
            <w:tcW w:w="17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00" w:type="pct"/>
            <w:tcBorders>
              <w:top w:val="single" w:color="000000" w:sz="4" w:space="0"/>
              <w:left w:val="single" w:color="000000" w:sz="4" w:space="0"/>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w:t>
            </w:r>
          </w:p>
        </w:tc>
        <w:tc>
          <w:tcPr>
            <w:tcW w:w="8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374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69.3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4673"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该项目为两年期项目，主要研究内容已完成，并已录用论文3篇（未见刊），取得计算机软件著作权2项，向国家知识产权局申请1项实用新型专利。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326" w:type="pct"/>
            <w:tcBorders>
              <w:top w:val="nil"/>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4673"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2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4673"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26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项目负责人：丛凯</w:t>
            </w:r>
          </w:p>
        </w:tc>
        <w:tc>
          <w:tcPr>
            <w:tcW w:w="2394" w:type="pct"/>
            <w:gridSpan w:val="6"/>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财务负责人：韩莉</w:t>
            </w:r>
          </w:p>
        </w:tc>
      </w:tr>
    </w:tbl>
    <w:p>
      <w:pPr>
        <w:pStyle w:val="6"/>
        <w:pageBreakBefore w:val="0"/>
        <w:kinsoku/>
        <w:wordWrap/>
        <w:overflowPunct/>
        <w:topLinePunct w:val="0"/>
        <w:bidi w:val="0"/>
        <w:spacing w:before="93" w:line="576" w:lineRule="exact"/>
        <w:jc w:val="both"/>
        <w:rPr>
          <w:rFonts w:hAnsi="Calibri" w:cs="仿宋"/>
          <w:sz w:val="32"/>
          <w:szCs w:val="32"/>
        </w:rPr>
      </w:pPr>
    </w:p>
    <w:p>
      <w:pPr>
        <w:pStyle w:val="6"/>
        <w:pageBreakBefore w:val="0"/>
        <w:kinsoku/>
        <w:wordWrap/>
        <w:overflowPunct/>
        <w:topLinePunct w:val="0"/>
        <w:bidi w:val="0"/>
        <w:spacing w:before="93" w:line="576" w:lineRule="exact"/>
        <w:jc w:val="both"/>
        <w:rPr>
          <w:rFonts w:hAnsi="Calibri" w:cs="仿宋"/>
          <w:sz w:val="32"/>
          <w:szCs w:val="32"/>
        </w:rPr>
      </w:pPr>
    </w:p>
    <w:p>
      <w:pPr>
        <w:pStyle w:val="6"/>
        <w:pageBreakBefore w:val="0"/>
        <w:kinsoku/>
        <w:wordWrap/>
        <w:overflowPunct/>
        <w:topLinePunct w:val="0"/>
        <w:bidi w:val="0"/>
        <w:spacing w:before="93" w:line="576" w:lineRule="exact"/>
        <w:jc w:val="both"/>
        <w:rPr>
          <w:rFonts w:hAnsi="Calibri" w:cs="仿宋"/>
          <w:sz w:val="32"/>
          <w:szCs w:val="32"/>
        </w:rPr>
      </w:pPr>
    </w:p>
    <w:p>
      <w:pPr>
        <w:pStyle w:val="2"/>
        <w:ind w:left="0" w:leftChars="0" w:firstLine="0" w:firstLineChars="0"/>
        <w:rPr>
          <w:rFonts w:hint="eastAsia"/>
        </w:rPr>
      </w:pPr>
      <w:bookmarkStart w:id="63" w:name="_Toc22178"/>
    </w:p>
    <w:p>
      <w:pPr>
        <w:pageBreakBefore w:val="0"/>
        <w:kinsoku/>
        <w:wordWrap/>
        <w:overflowPunct/>
        <w:topLinePunct w:val="0"/>
        <w:bidi w:val="0"/>
        <w:spacing w:line="576" w:lineRule="exact"/>
        <w:jc w:val="center"/>
        <w:outlineLvl w:val="0"/>
        <w:rPr>
          <w:rFonts w:ascii="仿宋" w:hAnsi="仿宋" w:eastAsia="仿宋"/>
        </w:rPr>
      </w:pPr>
      <w:r>
        <w:rPr>
          <w:rFonts w:hint="eastAsia" w:ascii="黑体" w:hAnsi="黑体" w:eastAsia="黑体"/>
          <w:sz w:val="44"/>
          <w:szCs w:val="44"/>
        </w:rPr>
        <w:t>第</w:t>
      </w:r>
      <w:r>
        <w:rPr>
          <w:rStyle w:val="29"/>
          <w:rFonts w:hint="eastAsia" w:ascii="黑体" w:hAnsi="黑体" w:eastAsia="黑体"/>
          <w:b w:val="0"/>
        </w:rPr>
        <w:t>五部分 附表</w:t>
      </w:r>
      <w:bookmarkEnd w:id="60"/>
      <w:bookmarkEnd w:id="62"/>
      <w:bookmarkEnd w:id="63"/>
      <w:bookmarkStart w:id="64" w:name="_Toc15396619"/>
    </w:p>
    <w:p>
      <w:pPr>
        <w:pStyle w:val="4"/>
        <w:pageBreakBefore w:val="0"/>
        <w:kinsoku/>
        <w:wordWrap/>
        <w:overflowPunct/>
        <w:topLinePunct w:val="0"/>
        <w:bidi w:val="0"/>
        <w:spacing w:line="576" w:lineRule="exact"/>
        <w:jc w:val="both"/>
        <w:rPr>
          <w:rStyle w:val="30"/>
          <w:rFonts w:hint="eastAsia" w:ascii="仿宋" w:hAnsi="仿宋" w:eastAsia="仿宋"/>
          <w:b w:val="0"/>
          <w:bCs w:val="0"/>
        </w:rPr>
      </w:pPr>
      <w:r>
        <w:rPr>
          <w:rFonts w:hint="eastAsia" w:ascii="仿宋" w:hAnsi="仿宋" w:eastAsia="仿宋"/>
          <w:b w:val="0"/>
        </w:rPr>
        <w:t>一、收</w:t>
      </w:r>
      <w:r>
        <w:rPr>
          <w:rStyle w:val="30"/>
          <w:rFonts w:hint="eastAsia" w:ascii="仿宋" w:hAnsi="仿宋" w:eastAsia="仿宋"/>
          <w:b w:val="0"/>
          <w:bCs w:val="0"/>
        </w:rPr>
        <w:t>入支出决算总表</w:t>
      </w:r>
      <w:bookmarkEnd w:id="64"/>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60"/>
        <w:gridCol w:w="583"/>
        <w:gridCol w:w="1094"/>
        <w:gridCol w:w="2120"/>
        <w:gridCol w:w="583"/>
        <w:gridCol w:w="12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5000" w:type="pct"/>
            <w:gridSpan w:val="6"/>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21"/>
                <w:szCs w:val="18"/>
              </w:rPr>
            </w:pPr>
            <w:r>
              <w:rPr>
                <w:rFonts w:hint="eastAsia" w:ascii="宋体" w:hAnsi="宋体"/>
                <w:color w:val="000000"/>
                <w:sz w:val="21"/>
                <w:szCs w:val="18"/>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1678"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8"/>
                <w:szCs w:val="18"/>
              </w:rPr>
            </w:pPr>
          </w:p>
        </w:tc>
        <w:tc>
          <w:tcPr>
            <w:tcW w:w="342"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8"/>
                <w:szCs w:val="18"/>
              </w:rPr>
            </w:pPr>
          </w:p>
        </w:tc>
        <w:tc>
          <w:tcPr>
            <w:tcW w:w="642"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8"/>
                <w:szCs w:val="18"/>
              </w:rPr>
            </w:pPr>
          </w:p>
        </w:tc>
        <w:tc>
          <w:tcPr>
            <w:tcW w:w="1244"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8"/>
                <w:szCs w:val="18"/>
              </w:rPr>
            </w:pPr>
          </w:p>
        </w:tc>
        <w:tc>
          <w:tcPr>
            <w:tcW w:w="342"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8"/>
                <w:szCs w:val="18"/>
              </w:rPr>
            </w:pPr>
          </w:p>
        </w:tc>
        <w:tc>
          <w:tcPr>
            <w:tcW w:w="750"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3"/>
                <w:szCs w:val="18"/>
              </w:rPr>
            </w:pPr>
            <w:r>
              <w:rPr>
                <w:rFonts w:hint="eastAsia" w:ascii="宋体" w:hAnsi="宋体"/>
                <w:color w:val="000000"/>
                <w:sz w:val="13"/>
                <w:szCs w:val="18"/>
              </w:rPr>
              <w:t>财决公开01表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1678"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3"/>
                <w:szCs w:val="18"/>
              </w:rPr>
            </w:pPr>
            <w:r>
              <w:rPr>
                <w:rFonts w:hint="eastAsia" w:ascii="宋体" w:hAnsi="宋体"/>
                <w:color w:val="000000"/>
                <w:sz w:val="13"/>
                <w:szCs w:val="18"/>
              </w:rPr>
              <w:t>单位名称：四川省经济和信息化厅信息中心</w:t>
            </w:r>
          </w:p>
        </w:tc>
        <w:tc>
          <w:tcPr>
            <w:tcW w:w="342"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3"/>
                <w:szCs w:val="18"/>
              </w:rPr>
            </w:pPr>
          </w:p>
        </w:tc>
        <w:tc>
          <w:tcPr>
            <w:tcW w:w="642"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3"/>
                <w:szCs w:val="18"/>
              </w:rPr>
            </w:pPr>
            <w:r>
              <w:rPr>
                <w:rFonts w:hint="eastAsia" w:ascii="宋体" w:hAnsi="宋体"/>
                <w:color w:val="000000"/>
                <w:sz w:val="13"/>
                <w:szCs w:val="18"/>
              </w:rPr>
              <w:t xml:space="preserve">  2023年度</w:t>
            </w:r>
          </w:p>
        </w:tc>
        <w:tc>
          <w:tcPr>
            <w:tcW w:w="1244"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3"/>
                <w:szCs w:val="18"/>
              </w:rPr>
            </w:pPr>
          </w:p>
        </w:tc>
        <w:tc>
          <w:tcPr>
            <w:tcW w:w="342"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3"/>
                <w:szCs w:val="18"/>
              </w:rPr>
            </w:pPr>
          </w:p>
        </w:tc>
        <w:tc>
          <w:tcPr>
            <w:tcW w:w="750" w:type="pct"/>
            <w:tcBorders>
              <w:top w:val="nil"/>
              <w:left w:val="nil"/>
              <w:bottom w:val="nil"/>
              <w:right w:val="nil"/>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3"/>
                <w:szCs w:val="18"/>
              </w:rPr>
            </w:pPr>
            <w:r>
              <w:rPr>
                <w:rFonts w:hint="eastAsia" w:ascii="宋体" w:hAnsi="宋体"/>
                <w:color w:val="000000"/>
                <w:sz w:val="13"/>
                <w:szCs w:val="18"/>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 w:hRule="atLeast"/>
        </w:trPr>
        <w:tc>
          <w:tcPr>
            <w:tcW w:w="1678" w:type="pct"/>
            <w:tcBorders>
              <w:top w:val="single" w:color="auto" w:sz="6" w:space="0"/>
              <w:left w:val="single" w:color="auto" w:sz="6" w:space="0"/>
              <w:bottom w:val="single" w:color="auto" w:sz="6" w:space="0"/>
              <w:right w:val="nil"/>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收入</w:t>
            </w:r>
          </w:p>
        </w:tc>
        <w:tc>
          <w:tcPr>
            <w:tcW w:w="342" w:type="pct"/>
            <w:tcBorders>
              <w:top w:val="single" w:color="auto" w:sz="6" w:space="0"/>
              <w:left w:val="nil"/>
              <w:bottom w:val="single" w:color="auto" w:sz="6" w:space="0"/>
              <w:right w:val="nil"/>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642" w:type="pct"/>
            <w:tcBorders>
              <w:top w:val="single" w:color="auto" w:sz="6" w:space="0"/>
              <w:left w:val="nil"/>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nil"/>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支出</w:t>
            </w:r>
          </w:p>
        </w:tc>
        <w:tc>
          <w:tcPr>
            <w:tcW w:w="342" w:type="pct"/>
            <w:tcBorders>
              <w:top w:val="single" w:color="auto" w:sz="6" w:space="0"/>
              <w:left w:val="nil"/>
              <w:bottom w:val="single" w:color="auto" w:sz="6" w:space="0"/>
              <w:right w:val="nil"/>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750" w:type="pct"/>
            <w:tcBorders>
              <w:top w:val="single" w:color="auto" w:sz="6" w:space="0"/>
              <w:left w:val="nil"/>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项目</w:t>
            </w:r>
          </w:p>
        </w:tc>
        <w:tc>
          <w:tcPr>
            <w:tcW w:w="342" w:type="pct"/>
            <w:tcBorders>
              <w:top w:val="single" w:color="auto" w:sz="6" w:space="0"/>
              <w:left w:val="single" w:color="auto" w:sz="6" w:space="0"/>
              <w:bottom w:val="nil"/>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行次</w:t>
            </w:r>
          </w:p>
        </w:tc>
        <w:tc>
          <w:tcPr>
            <w:tcW w:w="642" w:type="pct"/>
            <w:tcBorders>
              <w:top w:val="single" w:color="auto" w:sz="6" w:space="0"/>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决算数</w:t>
            </w:r>
          </w:p>
        </w:tc>
        <w:tc>
          <w:tcPr>
            <w:tcW w:w="1244" w:type="pct"/>
            <w:tcBorders>
              <w:top w:val="single" w:color="auto" w:sz="6" w:space="0"/>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项目</w:t>
            </w:r>
          </w:p>
        </w:tc>
        <w:tc>
          <w:tcPr>
            <w:tcW w:w="342" w:type="pct"/>
            <w:tcBorders>
              <w:top w:val="single" w:color="auto" w:sz="6" w:space="0"/>
              <w:left w:val="single" w:color="auto" w:sz="6" w:space="0"/>
              <w:bottom w:val="nil"/>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行次</w:t>
            </w:r>
          </w:p>
        </w:tc>
        <w:tc>
          <w:tcPr>
            <w:tcW w:w="750" w:type="pct"/>
            <w:tcBorders>
              <w:top w:val="single" w:color="auto" w:sz="6" w:space="0"/>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 w:hRule="atLeast"/>
        </w:trPr>
        <w:tc>
          <w:tcPr>
            <w:tcW w:w="1678" w:type="pct"/>
            <w:tcBorders>
              <w:top w:val="single" w:color="auto" w:sz="6" w:space="0"/>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栏次</w:t>
            </w:r>
          </w:p>
        </w:tc>
        <w:tc>
          <w:tcPr>
            <w:tcW w:w="342" w:type="pct"/>
            <w:tcBorders>
              <w:top w:val="nil"/>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642" w:type="pct"/>
            <w:tcBorders>
              <w:top w:val="single" w:color="auto" w:sz="6" w:space="0"/>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1</w:t>
            </w:r>
          </w:p>
        </w:tc>
        <w:tc>
          <w:tcPr>
            <w:tcW w:w="1244" w:type="pct"/>
            <w:tcBorders>
              <w:top w:val="single" w:color="auto" w:sz="6" w:space="0"/>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栏次</w:t>
            </w:r>
          </w:p>
        </w:tc>
        <w:tc>
          <w:tcPr>
            <w:tcW w:w="342" w:type="pct"/>
            <w:tcBorders>
              <w:top w:val="nil"/>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750" w:type="pct"/>
            <w:tcBorders>
              <w:top w:val="single" w:color="auto" w:sz="6" w:space="0"/>
              <w:left w:val="single" w:color="auto" w:sz="6" w:space="0"/>
              <w:bottom w:val="single" w:color="auto" w:sz="6" w:space="0"/>
              <w:right w:val="single" w:color="auto" w:sz="6" w:space="0"/>
              <w:tl2br w:val="nil"/>
              <w:tr2bl w:val="nil"/>
            </w:tcBorders>
            <w:shd w:val="solid" w:color="C0C0C0" w:fill="auto"/>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r>
              <w:rPr>
                <w:rFonts w:hint="eastAsia" w:ascii="宋体" w:hAnsi="宋体"/>
                <w:color w:val="000000"/>
                <w:sz w:val="16"/>
                <w:szCs w:val="18"/>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一、一般公共预算财政拨款收入</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449.54</w:t>
            </w: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一、一般公共服务支出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32</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二、政府性基金预算财政拨款收入</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二、外交支出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33</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三、国有资本经营预算财政拨款收入</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三、国防支出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34</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四、上级补助收入</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四、公共安全支出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35</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五、事业收入</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五、教育支出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36</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六、经营收入</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6</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六、科学技术支出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37</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七、附属单位上缴收入</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7</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七、文化旅游体育与传媒支出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38</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八、其他收入</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8</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3.81</w:t>
            </w: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八、社会保障和就业支出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39</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36.38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b/>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9</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九、卫生健康支出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40</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14.49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b/>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10</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十、节能环保支出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41</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11</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十一、城乡社区支出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42</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b/>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12</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十二、农林水支出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43</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13</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十三、交通运输支出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44</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14</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十四、资源勘探工业信息等支出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45</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382.76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15</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十五、商业服务业等支出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46</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16</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十六、金融支出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47</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b/>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17</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十七、援助其他地区支出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48</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b/>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18</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十八、自然资源海洋气象等支出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49</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19</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十九、住房保障支出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50</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19.71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b/>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20</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二十、粮油物资储备支出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51</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21</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二十一、国有资本经营预算支出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52</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22</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二十二、灾害防治及应急管理支出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53</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23</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二十三、其他支出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54</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24</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二十四、债务还本支出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55</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b/>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25</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二十五、债务付息支出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56</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b/>
                <w:color w:val="000000"/>
                <w:sz w:val="11"/>
                <w:szCs w:val="18"/>
              </w:rPr>
            </w:pP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26</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6"/>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二十六、抗疫特别国债安排的支出</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57</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本年收入合计</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27</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453.35</w:t>
            </w: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本年支出合计</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58</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453.34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使用非财政拨款结余（含专用结余）</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28</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结余分配</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59</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年初结转和结余</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29</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年末结转和结余</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60</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678"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总计</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31</w:t>
            </w:r>
          </w:p>
        </w:tc>
        <w:tc>
          <w:tcPr>
            <w:tcW w:w="642"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453.35</w:t>
            </w:r>
          </w:p>
        </w:tc>
        <w:tc>
          <w:tcPr>
            <w:tcW w:w="1244"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总计</w:t>
            </w:r>
          </w:p>
        </w:tc>
        <w:tc>
          <w:tcPr>
            <w:tcW w:w="342" w:type="pct"/>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62</w:t>
            </w:r>
          </w:p>
        </w:tc>
        <w:tc>
          <w:tcPr>
            <w:tcW w:w="750" w:type="pct"/>
            <w:tcBorders>
              <w:top w:val="single" w:color="000000" w:sz="6" w:space="0"/>
              <w:left w:val="single" w:color="000000" w:sz="6" w:space="0"/>
              <w:bottom w:val="single" w:color="000000" w:sz="6" w:space="0"/>
              <w:right w:val="single" w:color="000000"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exact"/>
              <w:jc w:val="both"/>
              <w:textAlignment w:val="auto"/>
              <w:rPr>
                <w:rFonts w:hint="eastAsia" w:ascii="宋体" w:hAnsi="宋体"/>
                <w:color w:val="000000"/>
                <w:sz w:val="11"/>
                <w:szCs w:val="18"/>
              </w:rPr>
            </w:pPr>
            <w:r>
              <w:rPr>
                <w:rFonts w:hint="eastAsia" w:ascii="宋体" w:hAnsi="宋体"/>
                <w:color w:val="000000"/>
                <w:sz w:val="11"/>
                <w:szCs w:val="18"/>
              </w:rPr>
              <w:t>453.35</w:t>
            </w:r>
          </w:p>
        </w:tc>
      </w:tr>
    </w:tbl>
    <w:p>
      <w:pPr>
        <w:pStyle w:val="2"/>
        <w:pageBreakBefore w:val="0"/>
        <w:kinsoku/>
        <w:wordWrap/>
        <w:overflowPunct/>
        <w:topLinePunct w:val="0"/>
        <w:bidi w:val="0"/>
        <w:spacing w:line="576" w:lineRule="exact"/>
        <w:ind w:left="0" w:leftChars="0" w:firstLine="0" w:firstLineChars="0"/>
        <w:jc w:val="both"/>
        <w:rPr>
          <w:rStyle w:val="30"/>
          <w:rFonts w:hint="eastAsia" w:ascii="仿宋" w:hAnsi="仿宋" w:eastAsia="仿宋"/>
          <w:b w:val="0"/>
          <w:bCs w:val="0"/>
          <w:sz w:val="21"/>
          <w:szCs w:val="21"/>
        </w:rPr>
      </w:pPr>
    </w:p>
    <w:p>
      <w:pPr>
        <w:pStyle w:val="4"/>
        <w:pageBreakBefore w:val="0"/>
        <w:numPr>
          <w:ilvl w:val="0"/>
          <w:numId w:val="0"/>
        </w:numPr>
        <w:kinsoku/>
        <w:wordWrap/>
        <w:overflowPunct/>
        <w:topLinePunct w:val="0"/>
        <w:bidi w:val="0"/>
        <w:spacing w:line="576" w:lineRule="exact"/>
        <w:ind w:leftChars="0"/>
        <w:jc w:val="both"/>
        <w:rPr>
          <w:rStyle w:val="30"/>
          <w:rFonts w:hint="eastAsia" w:ascii="仿宋" w:hAnsi="仿宋" w:eastAsia="仿宋"/>
          <w:b w:val="0"/>
          <w:bCs w:val="0"/>
        </w:rPr>
      </w:pPr>
      <w:bookmarkStart w:id="65" w:name="_Toc15396620"/>
      <w:r>
        <w:rPr>
          <w:rFonts w:hint="eastAsia" w:ascii="仿宋" w:hAnsi="仿宋" w:eastAsia="仿宋"/>
          <w:b w:val="0"/>
          <w:lang w:eastAsia="zh-CN"/>
        </w:rPr>
        <w:t>二、</w:t>
      </w:r>
      <w:r>
        <w:rPr>
          <w:rFonts w:hint="eastAsia" w:ascii="仿宋" w:hAnsi="仿宋" w:eastAsia="仿宋"/>
          <w:b w:val="0"/>
        </w:rPr>
        <w:t>收</w:t>
      </w:r>
      <w:r>
        <w:rPr>
          <w:rStyle w:val="30"/>
          <w:rFonts w:hint="eastAsia" w:ascii="仿宋" w:hAnsi="仿宋" w:eastAsia="仿宋"/>
          <w:b w:val="0"/>
          <w:bCs w:val="0"/>
        </w:rPr>
        <w:t>入决算表</w:t>
      </w:r>
      <w:bookmarkEnd w:id="65"/>
    </w:p>
    <w:tbl>
      <w:tblPr>
        <w:tblStyle w:val="16"/>
        <w:tblW w:w="530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40"/>
        <w:gridCol w:w="383"/>
        <w:gridCol w:w="392"/>
        <w:gridCol w:w="1921"/>
        <w:gridCol w:w="584"/>
        <w:gridCol w:w="584"/>
        <w:gridCol w:w="434"/>
        <w:gridCol w:w="410"/>
        <w:gridCol w:w="410"/>
        <w:gridCol w:w="454"/>
        <w:gridCol w:w="10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5000" w:type="pct"/>
            <w:gridSpan w:val="11"/>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3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1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1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063"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23"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23"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4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27"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27"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51"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563"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财决公开02表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350" w:type="pct"/>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单位名称：四川省经济和信息化厅信息中心</w:t>
            </w:r>
          </w:p>
        </w:tc>
        <w:tc>
          <w:tcPr>
            <w:tcW w:w="212"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5"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63"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3"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563" w:type="pct"/>
            <w:gridSpan w:val="2"/>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2023年度</w:t>
            </w:r>
          </w:p>
        </w:tc>
        <w:tc>
          <w:tcPr>
            <w:tcW w:w="227"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27"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51"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563"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1779"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支出功能分类科目编码</w:t>
            </w: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科目名称</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本年收入合计</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财政拨款收入</w:t>
            </w:r>
          </w:p>
        </w:tc>
        <w:tc>
          <w:tcPr>
            <w:tcW w:w="24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上级补助收入</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事业收入</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经营收入</w:t>
            </w: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附属单位上缴收入</w:t>
            </w:r>
          </w:p>
        </w:tc>
        <w:tc>
          <w:tcPr>
            <w:tcW w:w="56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5" w:hRule="atLeast"/>
        </w:trPr>
        <w:tc>
          <w:tcPr>
            <w:tcW w:w="1779"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4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56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1779"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06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栏次</w:t>
            </w:r>
          </w:p>
        </w:tc>
        <w:tc>
          <w:tcPr>
            <w:tcW w:w="32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32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24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22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22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25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56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35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类</w:t>
            </w:r>
          </w:p>
        </w:tc>
        <w:tc>
          <w:tcPr>
            <w:tcW w:w="21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款</w:t>
            </w:r>
          </w:p>
        </w:tc>
        <w:tc>
          <w:tcPr>
            <w:tcW w:w="21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w:t>
            </w:r>
          </w:p>
        </w:tc>
        <w:tc>
          <w:tcPr>
            <w:tcW w:w="106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合计</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453.35</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449.54</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208</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社会保障和就业支出</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36.38</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36.38</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20805</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行政事业单位养老支出</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36.38</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36.38</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2080505</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机关事业单位基本养老保险缴费支出</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24.05</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24.05</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2080506</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机关事业单位职业年金缴费支出</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12.33</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12.33</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210</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卫生健康支出</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14.49</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14.49</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21011</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行政事业单位医疗</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14.49</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14.49</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2101102</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事业单位医疗</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14.49</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14.49</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215</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资源勘探工业信息等支出</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auto"/>
                <w:sz w:val="10"/>
                <w:szCs w:val="10"/>
                <w:u w:val="none"/>
              </w:rPr>
            </w:pPr>
            <w:r>
              <w:rPr>
                <w:rFonts w:hint="eastAsia" w:ascii="宋体" w:hAnsi="宋体" w:eastAsia="宋体" w:cs="宋体"/>
                <w:b/>
                <w:bCs/>
                <w:i w:val="0"/>
                <w:iCs w:val="0"/>
                <w:color w:val="auto"/>
                <w:kern w:val="0"/>
                <w:sz w:val="10"/>
                <w:szCs w:val="10"/>
                <w:u w:val="none"/>
                <w:lang w:val="en-US" w:eastAsia="zh-CN" w:bidi="ar"/>
              </w:rPr>
              <w:t>382.77</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378.96</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21502</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制造业</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auto"/>
                <w:sz w:val="10"/>
                <w:szCs w:val="10"/>
                <w:u w:val="none"/>
              </w:rPr>
            </w:pPr>
            <w:r>
              <w:rPr>
                <w:rFonts w:hint="eastAsia" w:ascii="宋体" w:hAnsi="宋体" w:eastAsia="宋体" w:cs="宋体"/>
                <w:b/>
                <w:bCs/>
                <w:i w:val="0"/>
                <w:iCs w:val="0"/>
                <w:color w:val="auto"/>
                <w:kern w:val="0"/>
                <w:sz w:val="10"/>
                <w:szCs w:val="10"/>
                <w:u w:val="none"/>
                <w:lang w:val="en-US" w:eastAsia="zh-CN" w:bidi="ar"/>
              </w:rPr>
              <w:t>382.77</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378.96</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2150202</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一般行政管理事务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auto"/>
                <w:sz w:val="10"/>
                <w:szCs w:val="10"/>
                <w:u w:val="none"/>
              </w:rPr>
            </w:pPr>
            <w:r>
              <w:rPr>
                <w:rFonts w:hint="eastAsia" w:ascii="宋体" w:hAnsi="宋体" w:eastAsia="宋体" w:cs="宋体"/>
                <w:i w:val="0"/>
                <w:iCs w:val="0"/>
                <w:color w:val="auto"/>
                <w:kern w:val="0"/>
                <w:sz w:val="10"/>
                <w:szCs w:val="10"/>
                <w:u w:val="none"/>
                <w:lang w:val="en-US" w:eastAsia="zh-CN" w:bidi="ar"/>
              </w:rPr>
              <w:t>168.57</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168.57</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2150203</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机关服务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auto"/>
                <w:sz w:val="10"/>
                <w:szCs w:val="10"/>
                <w:u w:val="none"/>
              </w:rPr>
            </w:pPr>
            <w:r>
              <w:rPr>
                <w:rFonts w:hint="eastAsia" w:ascii="宋体" w:hAnsi="宋体" w:eastAsia="宋体" w:cs="宋体"/>
                <w:i w:val="0"/>
                <w:iCs w:val="0"/>
                <w:color w:val="auto"/>
                <w:kern w:val="0"/>
                <w:sz w:val="10"/>
                <w:szCs w:val="10"/>
                <w:u w:val="none"/>
                <w:lang w:val="en-US" w:eastAsia="zh-CN" w:bidi="ar"/>
              </w:rPr>
              <w:t>214.2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210.39</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221</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住房保障支出</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auto"/>
                <w:sz w:val="10"/>
                <w:szCs w:val="10"/>
                <w:u w:val="none"/>
              </w:rPr>
            </w:pPr>
            <w:r>
              <w:rPr>
                <w:rFonts w:hint="eastAsia" w:ascii="宋体" w:hAnsi="宋体" w:eastAsia="宋体" w:cs="宋体"/>
                <w:b/>
                <w:bCs/>
                <w:i w:val="0"/>
                <w:iCs w:val="0"/>
                <w:color w:val="auto"/>
                <w:kern w:val="0"/>
                <w:sz w:val="10"/>
                <w:szCs w:val="10"/>
                <w:u w:val="none"/>
                <w:lang w:val="en-US" w:eastAsia="zh-CN" w:bidi="ar"/>
              </w:rPr>
              <w:t>19.71</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19.71</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22102</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住房改革支出</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auto"/>
                <w:sz w:val="10"/>
                <w:szCs w:val="10"/>
                <w:u w:val="none"/>
              </w:rPr>
            </w:pPr>
            <w:r>
              <w:rPr>
                <w:rFonts w:hint="eastAsia" w:ascii="宋体" w:hAnsi="宋体" w:eastAsia="宋体" w:cs="宋体"/>
                <w:b/>
                <w:bCs/>
                <w:i w:val="0"/>
                <w:iCs w:val="0"/>
                <w:color w:val="auto"/>
                <w:kern w:val="0"/>
                <w:sz w:val="10"/>
                <w:szCs w:val="10"/>
                <w:u w:val="none"/>
                <w:lang w:val="en-US" w:eastAsia="zh-CN" w:bidi="ar"/>
              </w:rPr>
              <w:t>19.71</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0"/>
                <w:szCs w:val="10"/>
                <w:u w:val="none"/>
              </w:rPr>
            </w:pPr>
            <w:r>
              <w:rPr>
                <w:rFonts w:hint="eastAsia" w:ascii="宋体" w:hAnsi="宋体" w:eastAsia="宋体" w:cs="宋体"/>
                <w:b/>
                <w:bCs/>
                <w:i w:val="0"/>
                <w:iCs w:val="0"/>
                <w:color w:val="000000"/>
                <w:kern w:val="0"/>
                <w:sz w:val="10"/>
                <w:szCs w:val="10"/>
                <w:u w:val="none"/>
                <w:lang w:val="en-US" w:eastAsia="zh-CN" w:bidi="ar"/>
              </w:rPr>
              <w:t>19.71</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2210201</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住房公积金</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18.51</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18.51</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6" w:hRule="atLeast"/>
        </w:trPr>
        <w:tc>
          <w:tcPr>
            <w:tcW w:w="177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2210203</w:t>
            </w:r>
          </w:p>
        </w:tc>
        <w:tc>
          <w:tcPr>
            <w:tcW w:w="10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购房补贴</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1.2</w:t>
            </w:r>
          </w:p>
        </w:tc>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r>
    </w:tbl>
    <w:p>
      <w:pPr>
        <w:pStyle w:val="4"/>
        <w:pageBreakBefore w:val="0"/>
        <w:numPr>
          <w:ilvl w:val="0"/>
          <w:numId w:val="0"/>
        </w:numPr>
        <w:kinsoku/>
        <w:wordWrap/>
        <w:overflowPunct/>
        <w:topLinePunct w:val="0"/>
        <w:bidi w:val="0"/>
        <w:spacing w:line="576" w:lineRule="exact"/>
        <w:jc w:val="both"/>
        <w:rPr>
          <w:rStyle w:val="30"/>
          <w:rFonts w:hint="eastAsia" w:ascii="仿宋" w:hAnsi="仿宋" w:eastAsia="仿宋"/>
          <w:b w:val="0"/>
          <w:bCs w:val="0"/>
        </w:rPr>
      </w:pPr>
      <w:bookmarkStart w:id="66" w:name="_Toc15396621"/>
      <w:r>
        <w:rPr>
          <w:rFonts w:hint="eastAsia" w:ascii="仿宋" w:hAnsi="仿宋" w:eastAsia="仿宋"/>
          <w:b w:val="0"/>
          <w:lang w:eastAsia="zh-CN"/>
        </w:rPr>
        <w:t>三、</w:t>
      </w:r>
      <w:r>
        <w:rPr>
          <w:rFonts w:hint="eastAsia" w:ascii="仿宋" w:hAnsi="仿宋" w:eastAsia="仿宋"/>
          <w:b w:val="0"/>
        </w:rPr>
        <w:t>支</w:t>
      </w:r>
      <w:r>
        <w:rPr>
          <w:rStyle w:val="30"/>
          <w:rFonts w:hint="eastAsia" w:ascii="仿宋" w:hAnsi="仿宋" w:eastAsia="仿宋"/>
          <w:b w:val="0"/>
          <w:bCs w:val="0"/>
        </w:rPr>
        <w:t>出决算表</w:t>
      </w:r>
      <w:bookmarkEnd w:id="66"/>
    </w:p>
    <w:tbl>
      <w:tblPr>
        <w:tblStyle w:val="16"/>
        <w:tblW w:w="536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2"/>
        <w:gridCol w:w="442"/>
        <w:gridCol w:w="448"/>
        <w:gridCol w:w="2804"/>
        <w:gridCol w:w="746"/>
        <w:gridCol w:w="746"/>
        <w:gridCol w:w="748"/>
        <w:gridCol w:w="727"/>
        <w:gridCol w:w="667"/>
        <w:gridCol w:w="13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5000" w:type="pct"/>
            <w:gridSpan w:val="10"/>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4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24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24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53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40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40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40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39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36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746"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财决公开03表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263" w:type="pct"/>
            <w:gridSpan w:val="4"/>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单位名称：四川省经济和信息化厅信息中心</w:t>
            </w:r>
          </w:p>
        </w:tc>
        <w:tc>
          <w:tcPr>
            <w:tcW w:w="408"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817" w:type="pct"/>
            <w:gridSpan w:val="2"/>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2023年度</w:t>
            </w:r>
          </w:p>
        </w:tc>
        <w:tc>
          <w:tcPr>
            <w:tcW w:w="398"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365"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746"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29" w:hRule="atLeast"/>
        </w:trPr>
        <w:tc>
          <w:tcPr>
            <w:tcW w:w="729"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支出功能分类科目编码</w:t>
            </w:r>
          </w:p>
        </w:tc>
        <w:tc>
          <w:tcPr>
            <w:tcW w:w="1534"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40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40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40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经营支出</w:t>
            </w:r>
          </w:p>
        </w:tc>
        <w:tc>
          <w:tcPr>
            <w:tcW w:w="746"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29"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534"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40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40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40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74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729"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53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40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0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0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9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6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4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4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24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24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53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453.34</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284.77</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168.57</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208</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社会保障和就业支出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36.38</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36.38</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20805</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行政事业单位养老支出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36.38</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36.38</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2080505</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机关事业单位基本养老保险缴费支出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24.05</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24.05</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2080506</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机关事业单位职业年金缴费支出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12.33</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12.33</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210</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卫生健康支出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14.49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14.49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21011</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行政事业单位医疗</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14.49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14.49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2101102</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事业单位医疗</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14.49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14.49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215</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资源勘探工业信息等支出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382.76</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214.19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168.57</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21502</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制造业</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382.76</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214.19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168.57</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2150202</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一般行政管理事务</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168.57</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168.57</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2150203</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机关服务</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214.19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214.19</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221</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住房保障支出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19.71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19.71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22102</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住房改革支出</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19.71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19.71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2210201</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住房公积金</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18.51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18.51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 w:hRule="atLeast"/>
        </w:trPr>
        <w:tc>
          <w:tcPr>
            <w:tcW w:w="7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2210203</w:t>
            </w:r>
          </w:p>
        </w:tc>
        <w:tc>
          <w:tcPr>
            <w:tcW w:w="1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购房补贴</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bl>
    <w:p>
      <w:pPr>
        <w:pStyle w:val="4"/>
        <w:pageBreakBefore w:val="0"/>
        <w:numPr>
          <w:ilvl w:val="0"/>
          <w:numId w:val="0"/>
        </w:numPr>
        <w:kinsoku/>
        <w:wordWrap/>
        <w:overflowPunct/>
        <w:topLinePunct w:val="0"/>
        <w:bidi w:val="0"/>
        <w:spacing w:line="576" w:lineRule="exact"/>
        <w:jc w:val="both"/>
        <w:rPr>
          <w:rStyle w:val="30"/>
          <w:rFonts w:hint="eastAsia" w:ascii="仿宋" w:hAnsi="仿宋" w:eastAsia="仿宋"/>
          <w:b w:val="0"/>
          <w:bCs w:val="0"/>
        </w:rPr>
      </w:pPr>
      <w:bookmarkStart w:id="67" w:name="_Toc15396622"/>
      <w:r>
        <w:rPr>
          <w:rFonts w:hint="eastAsia" w:ascii="仿宋" w:hAnsi="仿宋" w:eastAsia="仿宋"/>
          <w:b w:val="0"/>
          <w:lang w:eastAsia="zh-CN"/>
        </w:rPr>
        <w:t>四、</w:t>
      </w:r>
      <w:r>
        <w:rPr>
          <w:rFonts w:hint="eastAsia" w:ascii="仿宋" w:hAnsi="仿宋" w:eastAsia="仿宋"/>
          <w:b w:val="0"/>
        </w:rPr>
        <w:t>财</w:t>
      </w:r>
      <w:r>
        <w:rPr>
          <w:rStyle w:val="30"/>
          <w:rFonts w:hint="eastAsia" w:ascii="仿宋" w:hAnsi="仿宋" w:eastAsia="仿宋"/>
          <w:b w:val="0"/>
          <w:bCs w:val="0"/>
        </w:rPr>
        <w:t>政拨款收入支出决算总表</w:t>
      </w:r>
      <w:bookmarkEnd w:id="67"/>
    </w:p>
    <w:tbl>
      <w:tblPr>
        <w:tblStyle w:val="16"/>
        <w:tblW w:w="583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79"/>
        <w:gridCol w:w="485"/>
        <w:gridCol w:w="753"/>
        <w:gridCol w:w="2681"/>
        <w:gridCol w:w="411"/>
        <w:gridCol w:w="552"/>
        <w:gridCol w:w="756"/>
        <w:gridCol w:w="787"/>
        <w:gridCol w:w="8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5000" w:type="pct"/>
            <w:gridSpan w:val="9"/>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347"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24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37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680" w:type="pct"/>
            <w:gridSpan w:val="5"/>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财决公开04表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970" w:type="pct"/>
            <w:gridSpan w:val="3"/>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单位名称：四川省经济和信息化厅信息中心</w:t>
            </w:r>
          </w:p>
        </w:tc>
        <w:tc>
          <w:tcPr>
            <w:tcW w:w="1833" w:type="pct"/>
            <w:gridSpan w:val="3"/>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 xml:space="preserve">  2023年度</w:t>
            </w:r>
          </w:p>
        </w:tc>
        <w:tc>
          <w:tcPr>
            <w:tcW w:w="380"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3"/>
                <w:szCs w:val="13"/>
                <w:u w:val="none"/>
              </w:rPr>
            </w:pPr>
          </w:p>
        </w:tc>
        <w:tc>
          <w:tcPr>
            <w:tcW w:w="395"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3"/>
                <w:szCs w:val="13"/>
                <w:u w:val="none"/>
              </w:rPr>
            </w:pPr>
          </w:p>
        </w:tc>
        <w:tc>
          <w:tcPr>
            <w:tcW w:w="419"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jc w:val="center"/>
        </w:trPr>
        <w:tc>
          <w:tcPr>
            <w:tcW w:w="1970"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收入</w:t>
            </w:r>
          </w:p>
        </w:tc>
        <w:tc>
          <w:tcPr>
            <w:tcW w:w="3029"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项目</w:t>
            </w:r>
          </w:p>
        </w:tc>
        <w:tc>
          <w:tcPr>
            <w:tcW w:w="24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行次</w:t>
            </w:r>
          </w:p>
        </w:tc>
        <w:tc>
          <w:tcPr>
            <w:tcW w:w="37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金额</w:t>
            </w:r>
          </w:p>
        </w:tc>
        <w:tc>
          <w:tcPr>
            <w:tcW w:w="134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项目</w:t>
            </w:r>
          </w:p>
        </w:tc>
        <w:tc>
          <w:tcPr>
            <w:tcW w:w="2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行次</w:t>
            </w:r>
          </w:p>
        </w:tc>
        <w:tc>
          <w:tcPr>
            <w:tcW w:w="27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合计</w:t>
            </w:r>
          </w:p>
        </w:tc>
        <w:tc>
          <w:tcPr>
            <w:tcW w:w="38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一般公共预算财政拨款</w:t>
            </w:r>
          </w:p>
        </w:tc>
        <w:tc>
          <w:tcPr>
            <w:tcW w:w="3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政府性基金预算财政拨款</w:t>
            </w:r>
          </w:p>
        </w:tc>
        <w:tc>
          <w:tcPr>
            <w:tcW w:w="419"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栏次</w:t>
            </w:r>
          </w:p>
        </w:tc>
        <w:tc>
          <w:tcPr>
            <w:tcW w:w="24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 xml:space="preserve"> </w:t>
            </w:r>
          </w:p>
        </w:tc>
        <w:tc>
          <w:tcPr>
            <w:tcW w:w="37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w:t>
            </w:r>
          </w:p>
        </w:tc>
        <w:tc>
          <w:tcPr>
            <w:tcW w:w="134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栏次</w:t>
            </w:r>
          </w:p>
        </w:tc>
        <w:tc>
          <w:tcPr>
            <w:tcW w:w="2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 xml:space="preserve"> </w:t>
            </w:r>
          </w:p>
        </w:tc>
        <w:tc>
          <w:tcPr>
            <w:tcW w:w="27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w:t>
            </w:r>
          </w:p>
        </w:tc>
        <w:tc>
          <w:tcPr>
            <w:tcW w:w="38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w:t>
            </w:r>
          </w:p>
        </w:tc>
        <w:tc>
          <w:tcPr>
            <w:tcW w:w="3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4</w:t>
            </w:r>
          </w:p>
        </w:tc>
        <w:tc>
          <w:tcPr>
            <w:tcW w:w="419"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一、一般公共预算财政拨款</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一、一般公共服务支出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33</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二、政府性基金预算财政拨款</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二、外交支出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34</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三、国有资本经营预算财政拨款</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三、国防支出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35</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四、公共安全支出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五、教育支出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37</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六、科学技术支出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38</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七、文化旅游体育与传媒支出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八、社会保障和就业支出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40</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36.38</w:t>
            </w: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36.38</w:t>
            </w: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九、卫生健康支出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十、节能环保支出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11</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十一、城乡社区支出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43</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十二、农林水支出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13</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十三、交通运输支出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45</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十四、资源勘探工业信息等支出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46</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378.96</w:t>
            </w: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378.96</w:t>
            </w: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15</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十五、商业服务业等支出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47</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十六、金融支出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48</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17</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十七、援助其他地区支出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49</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十八、自然资源海洋气象等支出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50</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十九、住房保障支出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51</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19.71</w:t>
            </w: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19.71</w:t>
            </w: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20</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二十、粮油物资储备支出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52</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二十一、国有资本经营预算支出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53</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22</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二十二、灾害防治及应急管理支出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54</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23</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二十三、其他支出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55</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二十四、债务还本支出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56</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二十五、债务付息支出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57</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26</w:t>
            </w:r>
          </w:p>
        </w:tc>
        <w:tc>
          <w:tcPr>
            <w:tcW w:w="378"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二十六、抗疫特别国债安排的支出</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58</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本年收入合计</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27</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本年支出合计</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59</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年初财政拨款结转和结余</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28</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年末财政拨款结转和结余</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60</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一、一般公共预算财政拨款</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29</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61</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二、政府性基金预算财政拨款</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62</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三、国有资本经营预算财政拨款</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63</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80"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395"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1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总计</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32</w:t>
            </w:r>
          </w:p>
        </w:tc>
        <w:tc>
          <w:tcPr>
            <w:tcW w:w="378"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1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总计</w:t>
            </w:r>
          </w:p>
        </w:tc>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64</w:t>
            </w:r>
          </w:p>
        </w:tc>
        <w:tc>
          <w:tcPr>
            <w:tcW w:w="277"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380"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395"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419"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bl>
    <w:p>
      <w:pPr>
        <w:pStyle w:val="4"/>
        <w:keepNext/>
        <w:keepLines/>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Style w:val="30"/>
          <w:rFonts w:hint="eastAsia" w:ascii="仿宋" w:hAnsi="仿宋" w:eastAsia="仿宋"/>
          <w:b w:val="0"/>
          <w:bCs w:val="0"/>
        </w:rPr>
      </w:pPr>
      <w:bookmarkStart w:id="68" w:name="_Toc15396623"/>
      <w:r>
        <w:rPr>
          <w:rFonts w:hint="eastAsia" w:ascii="仿宋" w:hAnsi="仿宋" w:eastAsia="仿宋"/>
          <w:b w:val="0"/>
          <w:lang w:eastAsia="zh-CN"/>
        </w:rPr>
        <w:t>五、</w:t>
      </w:r>
      <w:r>
        <w:rPr>
          <w:rFonts w:hint="eastAsia" w:ascii="仿宋" w:hAnsi="仿宋" w:eastAsia="仿宋"/>
          <w:b w:val="0"/>
        </w:rPr>
        <w:t>财</w:t>
      </w:r>
      <w:r>
        <w:rPr>
          <w:rStyle w:val="30"/>
          <w:rFonts w:hint="eastAsia" w:ascii="仿宋" w:hAnsi="仿宋" w:eastAsia="仿宋"/>
          <w:b w:val="0"/>
          <w:bCs w:val="0"/>
        </w:rPr>
        <w:t>政拨款支出决算明细表</w:t>
      </w:r>
      <w:bookmarkEnd w:id="68"/>
      <w:bookmarkStart w:id="69" w:name="_Toc15396624"/>
    </w:p>
    <w:tbl>
      <w:tblPr>
        <w:tblStyle w:val="16"/>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1"/>
        <w:gridCol w:w="2196"/>
        <w:gridCol w:w="381"/>
        <w:gridCol w:w="546"/>
        <w:gridCol w:w="546"/>
        <w:gridCol w:w="546"/>
        <w:gridCol w:w="546"/>
        <w:gridCol w:w="346"/>
        <w:gridCol w:w="407"/>
        <w:gridCol w:w="486"/>
        <w:gridCol w:w="486"/>
        <w:gridCol w:w="486"/>
        <w:gridCol w:w="1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 w:hRule="atLeast"/>
          <w:jc w:val="center"/>
        </w:trPr>
        <w:tc>
          <w:tcPr>
            <w:tcW w:w="5000" w:type="pct"/>
            <w:gridSpan w:val="13"/>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财政拨款支出决算明细表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 w:hRule="atLeast"/>
          <w:jc w:val="center"/>
        </w:trPr>
        <w:tc>
          <w:tcPr>
            <w:tcW w:w="21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641"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13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2"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2"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2"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2"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3"/>
                <w:szCs w:val="13"/>
                <w:u w:val="none"/>
              </w:rPr>
            </w:pPr>
          </w:p>
        </w:tc>
        <w:tc>
          <w:tcPr>
            <w:tcW w:w="40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7"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财决公开05表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jc w:val="center"/>
        </w:trPr>
        <w:tc>
          <w:tcPr>
            <w:tcW w:w="1384" w:type="pct"/>
            <w:gridSpan w:val="4"/>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单位名称：四川省经济和信息化厅信息中心</w:t>
            </w:r>
          </w:p>
        </w:tc>
        <w:tc>
          <w:tcPr>
            <w:tcW w:w="402" w:type="pct"/>
            <w:tcBorders>
              <w:top w:val="nil"/>
              <w:left w:val="nil"/>
              <w:bottom w:val="nil"/>
              <w:right w:val="nil"/>
            </w:tcBorders>
            <w:shd w:val="clear" w:color="auto" w:fill="auto"/>
            <w:noWrap/>
            <w:vAlign w:val="bottom"/>
          </w:tcPr>
          <w:p>
            <w:pPr>
              <w:pageBreakBefore w:val="0"/>
              <w:kinsoku/>
              <w:wordWrap/>
              <w:overflowPunct/>
              <w:topLinePunct w:val="0"/>
              <w:bidi w:val="0"/>
              <w:spacing w:line="576" w:lineRule="exact"/>
              <w:jc w:val="both"/>
              <w:rPr>
                <w:rFonts w:hint="eastAsia" w:ascii="宋体" w:hAnsi="宋体" w:eastAsia="宋体" w:cs="宋体"/>
                <w:i w:val="0"/>
                <w:iCs w:val="0"/>
                <w:color w:val="000000"/>
                <w:sz w:val="13"/>
                <w:szCs w:val="13"/>
                <w:u w:val="none"/>
              </w:rPr>
            </w:pPr>
          </w:p>
        </w:tc>
        <w:tc>
          <w:tcPr>
            <w:tcW w:w="1205" w:type="pct"/>
            <w:gridSpan w:val="3"/>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bidi w:val="0"/>
              <w:spacing w:line="576" w:lineRule="exact"/>
              <w:jc w:val="both"/>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 xml:space="preserve">  2023年度</w:t>
            </w:r>
          </w:p>
        </w:tc>
        <w:tc>
          <w:tcPr>
            <w:tcW w:w="400" w:type="pct"/>
            <w:tcBorders>
              <w:top w:val="nil"/>
              <w:left w:val="nil"/>
              <w:bottom w:val="nil"/>
              <w:right w:val="nil"/>
            </w:tcBorders>
            <w:shd w:val="clear" w:color="auto" w:fill="auto"/>
            <w:noWrap/>
            <w:vAlign w:val="bottom"/>
          </w:tcPr>
          <w:p>
            <w:pPr>
              <w:pageBreakBefore w:val="0"/>
              <w:kinsoku/>
              <w:wordWrap/>
              <w:overflowPunct/>
              <w:topLinePunct w:val="0"/>
              <w:bidi w:val="0"/>
              <w:spacing w:line="576" w:lineRule="exact"/>
              <w:jc w:val="both"/>
              <w:rPr>
                <w:rFonts w:hint="eastAsia" w:ascii="宋体" w:hAnsi="宋体" w:eastAsia="宋体" w:cs="宋体"/>
                <w:i w:val="0"/>
                <w:iCs w:val="0"/>
                <w:color w:val="000000"/>
                <w:sz w:val="13"/>
                <w:szCs w:val="13"/>
                <w:u w:val="none"/>
              </w:rPr>
            </w:pPr>
          </w:p>
        </w:tc>
        <w:tc>
          <w:tcPr>
            <w:tcW w:w="40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0"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6"/>
                <w:szCs w:val="16"/>
                <w:u w:val="none"/>
              </w:rPr>
            </w:pPr>
          </w:p>
        </w:tc>
        <w:tc>
          <w:tcPr>
            <w:tcW w:w="407" w:type="pct"/>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bidi w:val="0"/>
              <w:spacing w:line="576" w:lineRule="exact"/>
              <w:jc w:val="both"/>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jc w:val="center"/>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项目</w:t>
            </w:r>
          </w:p>
        </w:tc>
        <w:tc>
          <w:tcPr>
            <w:tcW w:w="13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行次</w:t>
            </w:r>
          </w:p>
        </w:tc>
        <w:tc>
          <w:tcPr>
            <w:tcW w:w="402"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合计</w:t>
            </w:r>
          </w:p>
        </w:tc>
        <w:tc>
          <w:tcPr>
            <w:tcW w:w="1207"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一般公共预算财政拨款</w:t>
            </w:r>
          </w:p>
        </w:tc>
        <w:tc>
          <w:tcPr>
            <w:tcW w:w="1200"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政府性基金预算财政拨款</w:t>
            </w:r>
          </w:p>
        </w:tc>
        <w:tc>
          <w:tcPr>
            <w:tcW w:w="1207"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8"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经济分类科目编码</w:t>
            </w:r>
          </w:p>
        </w:tc>
        <w:tc>
          <w:tcPr>
            <w:tcW w:w="64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科目名称</w:t>
            </w:r>
          </w:p>
        </w:tc>
        <w:tc>
          <w:tcPr>
            <w:tcW w:w="13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3"/>
                <w:szCs w:val="13"/>
                <w:u w:val="none"/>
              </w:rPr>
            </w:pPr>
          </w:p>
        </w:tc>
        <w:tc>
          <w:tcPr>
            <w:tcW w:w="402"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3"/>
                <w:szCs w:val="13"/>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小计</w:t>
            </w:r>
          </w:p>
        </w:tc>
        <w:tc>
          <w:tcPr>
            <w:tcW w:w="40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基本支出</w:t>
            </w:r>
          </w:p>
        </w:tc>
        <w:tc>
          <w:tcPr>
            <w:tcW w:w="40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项目支出</w:t>
            </w:r>
          </w:p>
        </w:tc>
        <w:tc>
          <w:tcPr>
            <w:tcW w:w="40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小计</w:t>
            </w:r>
          </w:p>
        </w:tc>
        <w:tc>
          <w:tcPr>
            <w:tcW w:w="40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基本支出</w:t>
            </w:r>
          </w:p>
        </w:tc>
        <w:tc>
          <w:tcPr>
            <w:tcW w:w="40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项目支出</w:t>
            </w:r>
          </w:p>
        </w:tc>
        <w:tc>
          <w:tcPr>
            <w:tcW w:w="40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小计</w:t>
            </w:r>
          </w:p>
        </w:tc>
        <w:tc>
          <w:tcPr>
            <w:tcW w:w="40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基本支出</w:t>
            </w:r>
          </w:p>
        </w:tc>
        <w:tc>
          <w:tcPr>
            <w:tcW w:w="40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合计</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280.97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168.57</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工资福利支出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248.61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248.61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248.61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基本工资</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67.3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67.3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67.3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津贴补贴</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奖金</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30106</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伙食补助费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绩效工资</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auto"/>
                <w:sz w:val="11"/>
                <w:szCs w:val="11"/>
                <w:u w:val="none"/>
              </w:rPr>
            </w:pPr>
            <w:r>
              <w:rPr>
                <w:rFonts w:hint="eastAsia" w:ascii="宋体" w:hAnsi="宋体" w:eastAsia="宋体" w:cs="宋体"/>
                <w:i w:val="0"/>
                <w:iCs w:val="0"/>
                <w:color w:val="auto"/>
                <w:kern w:val="0"/>
                <w:sz w:val="11"/>
                <w:szCs w:val="11"/>
                <w:u w:val="none"/>
                <w:lang w:val="en-US" w:eastAsia="zh-CN" w:bidi="ar"/>
              </w:rPr>
              <w:t>103.6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auto"/>
                <w:sz w:val="11"/>
                <w:szCs w:val="11"/>
                <w:u w:val="none"/>
              </w:rPr>
            </w:pPr>
            <w:r>
              <w:rPr>
                <w:rFonts w:hint="eastAsia" w:ascii="宋体" w:hAnsi="宋体" w:eastAsia="宋体" w:cs="宋体"/>
                <w:i w:val="0"/>
                <w:iCs w:val="0"/>
                <w:color w:val="auto"/>
                <w:kern w:val="0"/>
                <w:sz w:val="11"/>
                <w:szCs w:val="11"/>
                <w:u w:val="none"/>
                <w:lang w:val="en-US" w:eastAsia="zh-CN" w:bidi="ar"/>
              </w:rPr>
              <w:t>103.6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auto"/>
                <w:sz w:val="11"/>
                <w:szCs w:val="11"/>
                <w:u w:val="none"/>
              </w:rPr>
            </w:pPr>
            <w:r>
              <w:rPr>
                <w:rFonts w:hint="eastAsia" w:ascii="宋体" w:hAnsi="宋体" w:eastAsia="宋体" w:cs="宋体"/>
                <w:i w:val="0"/>
                <w:iCs w:val="0"/>
                <w:color w:val="auto"/>
                <w:kern w:val="0"/>
                <w:sz w:val="11"/>
                <w:szCs w:val="11"/>
                <w:u w:val="none"/>
                <w:lang w:val="en-US" w:eastAsia="zh-CN" w:bidi="ar"/>
              </w:rPr>
              <w:t>103.6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30108</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机关事业单位基本养老保险费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24.05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24.05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24.05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职业年金缴费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12.33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12.33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12.33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30110</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职工基本医疗保险缴费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公务员医疗补助缴费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其他社会保障缴费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住房公积金</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18.51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18.51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18.51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医疗费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其他工资福利支出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商品和服务支出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197.33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197.33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28.76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168.57</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办公费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印刷费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2.05</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咨询费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手续费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30205</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水费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30206</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电费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邮电费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30208</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取暖费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物业管理费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差旅费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因公出国（境）费用</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维修（护）费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租赁费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30215</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会议费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0.57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0.57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auto"/>
                <w:sz w:val="11"/>
                <w:szCs w:val="11"/>
                <w:u w:val="none"/>
              </w:rPr>
            </w:pPr>
            <w:r>
              <w:rPr>
                <w:rFonts w:hint="eastAsia" w:ascii="宋体" w:hAnsi="宋体" w:eastAsia="宋体" w:cs="宋体"/>
                <w:i w:val="0"/>
                <w:iCs w:val="0"/>
                <w:color w:val="auto"/>
                <w:kern w:val="0"/>
                <w:sz w:val="11"/>
                <w:szCs w:val="11"/>
                <w:u w:val="none"/>
                <w:lang w:val="en-US" w:eastAsia="zh-CN" w:bidi="ar"/>
              </w:rPr>
              <w:t>0.57</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auto"/>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30216</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培训费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公务接待费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30218</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专用材料费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被装购置费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30225</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专用燃料费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30226</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劳务费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80.7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80.7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78.7</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委托业务费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81.8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81.8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81.8</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30228</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工会经费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福利费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30231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公务用车运行维护费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30239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其他交通费用</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30240</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税金及附加费用</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其他商品和服务支出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16.61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auto"/>
                <w:sz w:val="11"/>
                <w:szCs w:val="11"/>
                <w:u w:val="none"/>
              </w:rPr>
            </w:pPr>
            <w:r>
              <w:rPr>
                <w:rFonts w:hint="eastAsia" w:ascii="宋体" w:hAnsi="宋体" w:eastAsia="宋体" w:cs="宋体"/>
                <w:i w:val="0"/>
                <w:iCs w:val="0"/>
                <w:color w:val="auto"/>
                <w:kern w:val="0"/>
                <w:sz w:val="11"/>
                <w:szCs w:val="11"/>
                <w:u w:val="none"/>
                <w:lang w:val="en-US" w:eastAsia="zh-CN" w:bidi="ar"/>
              </w:rPr>
              <w:t>16.61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auto"/>
                <w:sz w:val="11"/>
                <w:szCs w:val="11"/>
                <w:u w:val="none"/>
              </w:rPr>
            </w:pPr>
            <w:r>
              <w:rPr>
                <w:rFonts w:hint="eastAsia" w:ascii="宋体" w:hAnsi="宋体" w:eastAsia="宋体" w:cs="宋体"/>
                <w:i w:val="0"/>
                <w:iCs w:val="0"/>
                <w:color w:val="auto"/>
                <w:kern w:val="0"/>
                <w:sz w:val="11"/>
                <w:szCs w:val="11"/>
                <w:u w:val="none"/>
                <w:lang w:val="en-US" w:eastAsia="zh-CN" w:bidi="ar"/>
              </w:rPr>
              <w:t>15.16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1.45</w:t>
            </w: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对个人和家庭的补助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离休费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退休费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退职（役）费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抚恤金</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30305</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生活补助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30306</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救济费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医疗费补助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30308</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助学金</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奖励金</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30310</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个人农业生产补贴</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30311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代缴社会保险费</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其他个人和家庭的补助支出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债务利息及费用支出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30701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国内债务付息</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30702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国外债务付息</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30703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国内债务发行费用</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30704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国外债务发行费用</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资本性支出（基本建设）</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房屋建筑物购建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30902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办公设备购置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专用设备购置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30905</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基础设施建设</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30906</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大型修缮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30907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信息网络及软件购置更新</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30908</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物资储备</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30913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公务用车购置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30919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其他交通工具购置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30921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文物和陈列品购置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30922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无形资产购置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30999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其他基本建设支出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资本性支出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房屋建筑物购建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办公设备购置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专用设备购置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31005</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基础设施建设</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31006</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大型修缮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信息网络及软件购置更新</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31008</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物资储备</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土地补偿</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31010</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安置补助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地上附着物和青苗补偿</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拆迁补偿</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公务用车购置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其他交通工具购置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31021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文物和陈列品购置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31022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无形资产购置</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其他资本性支出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对企业补助（基本建设）</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31101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资本金注入</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31199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其他对企业补助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对企业补助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31201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资本金注入</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31203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政府投资基金股权投资</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31204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费用补贴</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31205</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利息补贴</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31299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其他对企业补助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对社会保障基金补助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101</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31302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对社会保险基金补助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102</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31303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补充全国社会保障基金</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103</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31304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对机关事业单位职业年金的补助</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104</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105</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39907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国家赔偿费用支出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106</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39908</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对民间非营利组织和群众性自治组织补贴</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107</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39909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经常性赠与</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108</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39910</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资本性赠与</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109</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jc w:val="center"/>
        </w:trPr>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39999</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其他支出</w:t>
            </w:r>
          </w:p>
        </w:tc>
        <w:tc>
          <w:tcPr>
            <w:tcW w:w="1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110</w:t>
            </w: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2"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0"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c>
          <w:tcPr>
            <w:tcW w:w="407" w:type="pct"/>
            <w:tcBorders>
              <w:top w:val="single" w:color="808080" w:sz="4" w:space="0"/>
              <w:left w:val="single" w:color="808080" w:sz="4" w:space="0"/>
              <w:bottom w:val="single" w:color="808080" w:sz="4" w:space="0"/>
              <w:right w:val="single" w:color="808080" w:sz="4" w:space="0"/>
            </w:tcBorders>
            <w:shd w:val="clear" w:color="auto" w:fill="auto"/>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11"/>
                <w:szCs w:val="11"/>
                <w:u w:val="none"/>
              </w:rPr>
            </w:pPr>
          </w:p>
        </w:tc>
      </w:tr>
    </w:tbl>
    <w:p>
      <w:pPr>
        <w:pageBreakBefore w:val="0"/>
        <w:numPr>
          <w:ilvl w:val="0"/>
          <w:numId w:val="0"/>
        </w:numPr>
        <w:kinsoku/>
        <w:wordWrap/>
        <w:overflowPunct/>
        <w:topLinePunct w:val="0"/>
        <w:bidi w:val="0"/>
        <w:spacing w:line="576" w:lineRule="exact"/>
        <w:jc w:val="both"/>
      </w:pPr>
    </w:p>
    <w:p>
      <w:pPr>
        <w:pStyle w:val="4"/>
        <w:pageBreakBefore w:val="0"/>
        <w:kinsoku/>
        <w:wordWrap/>
        <w:overflowPunct/>
        <w:topLinePunct w:val="0"/>
        <w:bidi w:val="0"/>
        <w:spacing w:line="576" w:lineRule="exact"/>
        <w:jc w:val="both"/>
        <w:rPr>
          <w:rFonts w:ascii="仿宋" w:hAnsi="仿宋" w:eastAsia="仿宋"/>
        </w:rPr>
      </w:pPr>
      <w:r>
        <w:rPr>
          <w:rStyle w:val="30"/>
          <w:rFonts w:hint="eastAsia" w:ascii="仿宋" w:hAnsi="仿宋" w:eastAsia="仿宋"/>
          <w:b w:val="0"/>
          <w:bCs w:val="0"/>
        </w:rPr>
        <w:t>六、</w:t>
      </w:r>
      <w:r>
        <w:rPr>
          <w:rFonts w:hint="eastAsia" w:ascii="仿宋" w:hAnsi="仿宋" w:eastAsia="仿宋"/>
          <w:b w:val="0"/>
        </w:rPr>
        <w:t>一</w:t>
      </w:r>
      <w:r>
        <w:rPr>
          <w:rStyle w:val="30"/>
          <w:rFonts w:hint="eastAsia" w:ascii="仿宋" w:hAnsi="仿宋" w:eastAsia="仿宋"/>
          <w:b w:val="0"/>
          <w:bCs w:val="0"/>
        </w:rPr>
        <w:t>般公共预算财政拨款支出决算表</w:t>
      </w:r>
      <w:bookmarkEnd w:id="69"/>
    </w:p>
    <w:tbl>
      <w:tblPr>
        <w:tblStyle w:val="16"/>
        <w:tblW w:w="543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2"/>
        <w:gridCol w:w="472"/>
        <w:gridCol w:w="474"/>
        <w:gridCol w:w="3363"/>
        <w:gridCol w:w="1411"/>
        <w:gridCol w:w="1411"/>
        <w:gridCol w:w="16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5000" w:type="pct"/>
            <w:gridSpan w:val="7"/>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32"/>
                <w:szCs w:val="32"/>
                <w:u w:val="none"/>
              </w:rPr>
            </w:pPr>
            <w:bookmarkStart w:id="70" w:name="_Toc15396625"/>
            <w:r>
              <w:rPr>
                <w:rFonts w:hint="eastAsia" w:ascii="宋体" w:hAnsi="宋体" w:eastAsia="宋体" w:cs="宋体"/>
                <w:i w:val="0"/>
                <w:iCs w:val="0"/>
                <w:color w:val="000000"/>
                <w:kern w:val="0"/>
                <w:sz w:val="32"/>
                <w:szCs w:val="32"/>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6" w:hRule="atLeast"/>
        </w:trPr>
        <w:tc>
          <w:tcPr>
            <w:tcW w:w="25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25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25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181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76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76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892"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财决公开06表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6" w:hRule="atLeast"/>
        </w:trPr>
        <w:tc>
          <w:tcPr>
            <w:tcW w:w="2582" w:type="pct"/>
            <w:gridSpan w:val="4"/>
            <w:tcBorders>
              <w:top w:val="nil"/>
              <w:left w:val="nil"/>
              <w:bottom w:val="single" w:color="000000" w:sz="4" w:space="0"/>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单位名称：四川省经济和信息化厅信息中心</w:t>
            </w:r>
          </w:p>
        </w:tc>
        <w:tc>
          <w:tcPr>
            <w:tcW w:w="762" w:type="pct"/>
            <w:tcBorders>
              <w:top w:val="nil"/>
              <w:left w:val="nil"/>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2023年度</w:t>
            </w:r>
          </w:p>
        </w:tc>
        <w:tc>
          <w:tcPr>
            <w:tcW w:w="762" w:type="pct"/>
            <w:tcBorders>
              <w:top w:val="nil"/>
              <w:left w:val="nil"/>
              <w:bottom w:val="single" w:color="000000" w:sz="4" w:space="0"/>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892" w:type="pct"/>
            <w:tcBorders>
              <w:top w:val="nil"/>
              <w:left w:val="nil"/>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766"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支出功能分类科目编码</w:t>
            </w:r>
          </w:p>
        </w:tc>
        <w:tc>
          <w:tcPr>
            <w:tcW w:w="1816"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892"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766"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181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892"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25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81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76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9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25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2"/>
                <w:szCs w:val="22"/>
                <w:u w:val="none"/>
              </w:rPr>
            </w:pPr>
          </w:p>
        </w:tc>
        <w:tc>
          <w:tcPr>
            <w:tcW w:w="181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449.54</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280.97</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36.38</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36.38</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36.38</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36.38</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24.05</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24.05</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12.33</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12.33</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14.49</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14.49</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14.49</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14.49</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14.49</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14.49</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215</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资源勘探工业信息等支出</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378.96</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210.39</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21502</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制造业</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378.96</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210.39</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2150202</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一般行政管理事务</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168.57</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2150203</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机关服务</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210.39</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210.39</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221</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住房保障支出</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19.71</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19.71</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22102</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住房改革支出</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19.71</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19.71</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2210201</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住房公积金</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18.51</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18.51</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7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2210203</w:t>
            </w:r>
          </w:p>
        </w:tc>
        <w:tc>
          <w:tcPr>
            <w:tcW w:w="18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购房补贴</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bl>
    <w:p>
      <w:pPr>
        <w:pStyle w:val="4"/>
        <w:pageBreakBefore w:val="0"/>
        <w:kinsoku/>
        <w:wordWrap/>
        <w:overflowPunct/>
        <w:topLinePunct w:val="0"/>
        <w:bidi w:val="0"/>
        <w:spacing w:line="576" w:lineRule="exact"/>
        <w:jc w:val="both"/>
        <w:outlineLvl w:val="9"/>
        <w:rPr>
          <w:rStyle w:val="30"/>
          <w:rFonts w:hint="eastAsia" w:ascii="仿宋" w:hAnsi="仿宋" w:eastAsia="仿宋"/>
          <w:b w:val="0"/>
          <w:bCs w:val="0"/>
        </w:rPr>
        <w:sectPr>
          <w:headerReference r:id="rId5" w:type="default"/>
          <w:footerReference r:id="rId6" w:type="default"/>
          <w:pgSz w:w="11906" w:h="16838"/>
          <w:pgMar w:top="1440" w:right="1800" w:bottom="1440" w:left="1800" w:header="851" w:footer="992" w:gutter="0"/>
          <w:cols w:space="425" w:num="1"/>
          <w:titlePg/>
          <w:docGrid w:type="lines" w:linePitch="312" w:charSpace="0"/>
        </w:sectPr>
      </w:pPr>
    </w:p>
    <w:p>
      <w:pPr>
        <w:pStyle w:val="4"/>
        <w:pageBreakBefore w:val="0"/>
        <w:kinsoku/>
        <w:wordWrap/>
        <w:overflowPunct/>
        <w:topLinePunct w:val="0"/>
        <w:bidi w:val="0"/>
        <w:spacing w:line="576" w:lineRule="exact"/>
        <w:jc w:val="both"/>
        <w:rPr>
          <w:rFonts w:ascii="仿宋" w:hAnsi="仿宋" w:eastAsia="仿宋"/>
        </w:rPr>
      </w:pPr>
      <w:r>
        <w:rPr>
          <w:rStyle w:val="30"/>
          <w:rFonts w:hint="eastAsia" w:ascii="仿宋" w:hAnsi="仿宋" w:eastAsia="仿宋"/>
          <w:b w:val="0"/>
          <w:bCs w:val="0"/>
        </w:rPr>
        <w:t>七、</w:t>
      </w:r>
      <w:r>
        <w:rPr>
          <w:rFonts w:hint="eastAsia" w:ascii="仿宋" w:hAnsi="仿宋" w:eastAsia="仿宋"/>
          <w:b w:val="0"/>
        </w:rPr>
        <w:t>一</w:t>
      </w:r>
      <w:r>
        <w:rPr>
          <w:rStyle w:val="30"/>
          <w:rFonts w:hint="eastAsia" w:ascii="仿宋" w:hAnsi="仿宋" w:eastAsia="仿宋"/>
          <w:b w:val="0"/>
          <w:bCs w:val="0"/>
        </w:rPr>
        <w:t>般公共预算财政拨款支出决算明细表</w:t>
      </w:r>
      <w:bookmarkEnd w:id="70"/>
    </w:p>
    <w:tbl>
      <w:tblPr>
        <w:tblStyle w:val="16"/>
        <w:tblW w:w="521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26"/>
        <w:gridCol w:w="1176"/>
        <w:gridCol w:w="549"/>
        <w:gridCol w:w="549"/>
        <w:gridCol w:w="438"/>
        <w:gridCol w:w="438"/>
        <w:gridCol w:w="346"/>
        <w:gridCol w:w="346"/>
        <w:gridCol w:w="494"/>
        <w:gridCol w:w="494"/>
        <w:gridCol w:w="494"/>
        <w:gridCol w:w="494"/>
        <w:gridCol w:w="346"/>
        <w:gridCol w:w="383"/>
        <w:gridCol w:w="494"/>
        <w:gridCol w:w="346"/>
        <w:gridCol w:w="346"/>
        <w:gridCol w:w="549"/>
        <w:gridCol w:w="438"/>
        <w:gridCol w:w="438"/>
        <w:gridCol w:w="346"/>
        <w:gridCol w:w="346"/>
        <w:gridCol w:w="438"/>
        <w:gridCol w:w="438"/>
        <w:gridCol w:w="438"/>
        <w:gridCol w:w="438"/>
        <w:gridCol w:w="383"/>
        <w:gridCol w:w="643"/>
        <w:gridCol w:w="539"/>
        <w:gridCol w:w="546"/>
        <w:gridCol w:w="750"/>
        <w:gridCol w:w="499"/>
        <w:gridCol w:w="3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00" w:type="pct"/>
            <w:gridSpan w:val="35"/>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bookmarkStart w:id="71" w:name="_Toc15396626"/>
            <w:r>
              <w:rPr>
                <w:rFonts w:hint="eastAsia" w:ascii="宋体" w:hAnsi="宋体" w:eastAsia="宋体" w:cs="宋体"/>
                <w:i w:val="0"/>
                <w:iCs w:val="0"/>
                <w:color w:val="000000"/>
                <w:kern w:val="0"/>
                <w:sz w:val="16"/>
                <w:szCs w:val="16"/>
                <w:u w:val="none"/>
                <w:lang w:val="en-US" w:eastAsia="zh-CN" w:bidi="ar"/>
              </w:rPr>
              <w:t>一般公共预算财政拨款支出决算明细表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0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0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0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331"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6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6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2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6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2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885" w:type="pct"/>
            <w:gridSpan w:val="5"/>
            <w:tcBorders>
              <w:top w:val="nil"/>
              <w:left w:val="nil"/>
              <w:bottom w:val="nil"/>
              <w:right w:val="nil"/>
            </w:tcBorders>
            <w:shd w:val="clear" w:color="auto" w:fill="auto"/>
            <w:noWrap/>
            <w:vAlign w:val="center"/>
          </w:tcPr>
          <w:tbl>
            <w:tblPr>
              <w:tblStyle w:val="16"/>
              <w:tblW w:w="2761"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2760"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kern w:val="0"/>
                      <w:sz w:val="13"/>
                      <w:szCs w:val="13"/>
                      <w:u w:val="none"/>
                      <w:lang w:val="en-US" w:eastAsia="zh-CN" w:bidi="ar"/>
                    </w:rPr>
                  </w:pPr>
                  <w:r>
                    <w:rPr>
                      <w:rFonts w:hint="eastAsia" w:ascii="宋体" w:hAnsi="宋体" w:eastAsia="宋体" w:cs="宋体"/>
                      <w:i w:val="0"/>
                      <w:iCs w:val="0"/>
                      <w:color w:val="000000"/>
                      <w:kern w:val="0"/>
                      <w:sz w:val="13"/>
                      <w:szCs w:val="13"/>
                      <w:u w:val="none"/>
                      <w:lang w:val="en-US" w:eastAsia="zh-CN" w:bidi="ar"/>
                    </w:rPr>
                    <w:t>财决公开07表</w:t>
                  </w:r>
                </w:p>
              </w:tc>
            </w:tr>
          </w:tbl>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kern w:val="0"/>
                <w:sz w:val="13"/>
                <w:szCs w:val="13"/>
                <w:u w:val="none"/>
                <w:lang w:val="en-US" w:eastAsia="zh-CN" w:bidi="ar"/>
              </w:rPr>
            </w:pPr>
          </w:p>
        </w:tc>
        <w:tc>
          <w:tcPr>
            <w:tcW w:w="12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975" w:type="pct"/>
            <w:gridSpan w:val="6"/>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13"/>
                <w:szCs w:val="13"/>
                <w:u w:val="none"/>
                <w:lang w:val="en-US" w:eastAsia="zh-CN" w:bidi="ar"/>
              </w:rPr>
              <w:t>单位名称：四川省经济和信息化厅信息中心</w:t>
            </w: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53" w:type="pct"/>
            <w:gridSpan w:val="2"/>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kern w:val="0"/>
                <w:sz w:val="13"/>
                <w:szCs w:val="13"/>
                <w:u w:val="none"/>
                <w:lang w:val="en-US" w:eastAsia="zh-CN" w:bidi="ar"/>
              </w:rPr>
            </w:pPr>
            <w:r>
              <w:rPr>
                <w:rFonts w:hint="eastAsia" w:ascii="宋体" w:hAnsi="宋体" w:eastAsia="宋体" w:cs="宋体"/>
                <w:i w:val="0"/>
                <w:iCs w:val="0"/>
                <w:color w:val="000000"/>
                <w:kern w:val="0"/>
                <w:sz w:val="13"/>
                <w:szCs w:val="13"/>
                <w:u w:val="none"/>
                <w:lang w:val="en-US" w:eastAsia="zh-CN" w:bidi="ar"/>
              </w:rPr>
              <w:t>单位:万元</w:t>
            </w:r>
          </w:p>
        </w:tc>
        <w:tc>
          <w:tcPr>
            <w:tcW w:w="163"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kern w:val="0"/>
                <w:sz w:val="13"/>
                <w:szCs w:val="13"/>
                <w:u w:val="none"/>
                <w:lang w:val="en-US" w:eastAsia="zh-CN" w:bidi="ar"/>
              </w:rPr>
            </w:pPr>
          </w:p>
        </w:tc>
        <w:tc>
          <w:tcPr>
            <w:tcW w:w="21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kern w:val="0"/>
                <w:sz w:val="13"/>
                <w:szCs w:val="13"/>
                <w:u w:val="none"/>
                <w:lang w:val="en-US" w:eastAsia="zh-CN" w:bidi="ar"/>
              </w:rPr>
            </w:pPr>
          </w:p>
        </w:tc>
        <w:tc>
          <w:tcPr>
            <w:tcW w:w="149"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kern w:val="0"/>
                <w:sz w:val="13"/>
                <w:szCs w:val="13"/>
                <w:u w:val="none"/>
                <w:lang w:val="en-US" w:eastAsia="zh-CN" w:bidi="ar"/>
              </w:rPr>
            </w:pPr>
          </w:p>
        </w:tc>
        <w:tc>
          <w:tcPr>
            <w:tcW w:w="125"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46" w:type="pct"/>
            <w:gridSpan w:val="4"/>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4"/>
                <w:szCs w:val="4"/>
                <w:u w:val="none"/>
              </w:rPr>
            </w:pPr>
            <w:r>
              <w:rPr>
                <w:rFonts w:hint="eastAsia" w:ascii="宋体" w:hAnsi="宋体" w:eastAsia="宋体" w:cs="宋体"/>
                <w:i w:val="0"/>
                <w:iCs w:val="0"/>
                <w:color w:val="000000"/>
                <w:kern w:val="0"/>
                <w:sz w:val="4"/>
                <w:szCs w:val="4"/>
                <w:u w:val="none"/>
                <w:lang w:val="en-US" w:eastAsia="zh-CN" w:bidi="ar"/>
              </w:rPr>
              <w:t>项目</w:t>
            </w:r>
          </w:p>
        </w:tc>
        <w:tc>
          <w:tcPr>
            <w:tcW w:w="164"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4"/>
                <w:szCs w:val="4"/>
                <w:u w:val="none"/>
              </w:rPr>
            </w:pPr>
            <w:r>
              <w:rPr>
                <w:rFonts w:hint="eastAsia" w:ascii="宋体" w:hAnsi="宋体" w:eastAsia="宋体" w:cs="宋体"/>
                <w:i w:val="0"/>
                <w:iCs w:val="0"/>
                <w:color w:val="000000"/>
                <w:kern w:val="0"/>
                <w:sz w:val="4"/>
                <w:szCs w:val="4"/>
                <w:u w:val="none"/>
                <w:lang w:val="en-US" w:eastAsia="zh-CN" w:bidi="ar"/>
              </w:rPr>
              <w:t>合计</w:t>
            </w:r>
          </w:p>
        </w:tc>
        <w:tc>
          <w:tcPr>
            <w:tcW w:w="1859" w:type="pct"/>
            <w:gridSpan w:val="1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4"/>
                <w:szCs w:val="4"/>
                <w:u w:val="none"/>
              </w:rPr>
            </w:pPr>
            <w:r>
              <w:rPr>
                <w:rFonts w:hint="eastAsia" w:ascii="宋体" w:hAnsi="宋体" w:eastAsia="宋体" w:cs="宋体"/>
                <w:i w:val="0"/>
                <w:iCs w:val="0"/>
                <w:color w:val="000000"/>
                <w:kern w:val="0"/>
                <w:sz w:val="4"/>
                <w:szCs w:val="4"/>
                <w:u w:val="none"/>
                <w:lang w:val="en-US" w:eastAsia="zh-CN" w:bidi="ar"/>
              </w:rPr>
              <w:t>工资福利支出</w:t>
            </w:r>
          </w:p>
        </w:tc>
        <w:tc>
          <w:tcPr>
            <w:tcW w:w="2054" w:type="pct"/>
            <w:gridSpan w:val="1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4"/>
                <w:szCs w:val="4"/>
                <w:u w:val="none"/>
              </w:rPr>
            </w:pPr>
            <w:r>
              <w:rPr>
                <w:rFonts w:hint="eastAsia" w:ascii="宋体" w:hAnsi="宋体" w:eastAsia="宋体" w:cs="宋体"/>
                <w:i w:val="0"/>
                <w:iCs w:val="0"/>
                <w:color w:val="000000"/>
                <w:kern w:val="0"/>
                <w:sz w:val="4"/>
                <w:szCs w:val="4"/>
                <w:u w:val="none"/>
                <w:lang w:val="en-US" w:eastAsia="zh-CN" w:bidi="ar"/>
              </w:rPr>
              <w:t>商品和服务支出</w:t>
            </w:r>
          </w:p>
        </w:tc>
        <w:tc>
          <w:tcPr>
            <w:tcW w:w="275" w:type="pct"/>
            <w:gridSpan w:val="2"/>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4"/>
                <w:szCs w:val="4"/>
                <w:u w:val="none"/>
              </w:rPr>
            </w:pPr>
            <w:r>
              <w:rPr>
                <w:rFonts w:hint="eastAsia" w:ascii="宋体" w:hAnsi="宋体" w:eastAsia="宋体" w:cs="宋体"/>
                <w:i w:val="0"/>
                <w:iCs w:val="0"/>
                <w:color w:val="000000"/>
                <w:kern w:val="0"/>
                <w:sz w:val="4"/>
                <w:szCs w:val="4"/>
                <w:u w:val="none"/>
                <w:lang w:val="en-US" w:eastAsia="zh-CN" w:bidi="ar"/>
              </w:rPr>
              <w:t>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14"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支出功能分类科目编码</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科目名称</w:t>
            </w:r>
          </w:p>
        </w:tc>
        <w:tc>
          <w:tcPr>
            <w:tcW w:w="164"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3"/>
                <w:szCs w:val="13"/>
                <w:u w:val="none"/>
              </w:rPr>
            </w:pPr>
          </w:p>
        </w:tc>
        <w:tc>
          <w:tcPr>
            <w:tcW w:w="164"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小计</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基本工资</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津贴补贴</w:t>
            </w:r>
          </w:p>
        </w:tc>
        <w:tc>
          <w:tcPr>
            <w:tcW w:w="11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奖金</w:t>
            </w:r>
          </w:p>
        </w:tc>
        <w:tc>
          <w:tcPr>
            <w:tcW w:w="11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伙食补助费</w:t>
            </w:r>
          </w:p>
        </w:tc>
        <w:tc>
          <w:tcPr>
            <w:tcW w:w="15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绩效工资</w:t>
            </w:r>
          </w:p>
        </w:tc>
        <w:tc>
          <w:tcPr>
            <w:tcW w:w="15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机关事业单位基本养老保险缴费</w:t>
            </w:r>
          </w:p>
        </w:tc>
        <w:tc>
          <w:tcPr>
            <w:tcW w:w="15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职业年金缴费</w:t>
            </w:r>
          </w:p>
        </w:tc>
        <w:tc>
          <w:tcPr>
            <w:tcW w:w="15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职工基本医疗保险缴费</w:t>
            </w:r>
          </w:p>
        </w:tc>
        <w:tc>
          <w:tcPr>
            <w:tcW w:w="11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公务员医疗补助缴费</w:t>
            </w:r>
          </w:p>
        </w:tc>
        <w:tc>
          <w:tcPr>
            <w:tcW w:w="12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其他社会保障缴费</w:t>
            </w:r>
          </w:p>
        </w:tc>
        <w:tc>
          <w:tcPr>
            <w:tcW w:w="15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住房公积金</w:t>
            </w:r>
          </w:p>
        </w:tc>
        <w:tc>
          <w:tcPr>
            <w:tcW w:w="11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医疗费</w:t>
            </w:r>
          </w:p>
        </w:tc>
        <w:tc>
          <w:tcPr>
            <w:tcW w:w="11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其他工资福利支出</w:t>
            </w:r>
          </w:p>
        </w:tc>
        <w:tc>
          <w:tcPr>
            <w:tcW w:w="164"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小计</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办公费</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印刷费</w:t>
            </w:r>
          </w:p>
        </w:tc>
        <w:tc>
          <w:tcPr>
            <w:tcW w:w="11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咨询费</w:t>
            </w:r>
          </w:p>
        </w:tc>
        <w:tc>
          <w:tcPr>
            <w:tcW w:w="11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差旅费</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会议费</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劳务费</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委托业务费</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工会经费</w:t>
            </w:r>
          </w:p>
        </w:tc>
        <w:tc>
          <w:tcPr>
            <w:tcW w:w="120"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福利费</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公务用车运行维护费</w:t>
            </w:r>
          </w:p>
        </w:tc>
        <w:tc>
          <w:tcPr>
            <w:tcW w:w="161"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其他交通费用</w:t>
            </w:r>
          </w:p>
        </w:tc>
        <w:tc>
          <w:tcPr>
            <w:tcW w:w="163"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税金及附加费用</w:t>
            </w:r>
          </w:p>
        </w:tc>
        <w:tc>
          <w:tcPr>
            <w:tcW w:w="218"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其他商品和服务支出</w:t>
            </w:r>
          </w:p>
        </w:tc>
        <w:tc>
          <w:tcPr>
            <w:tcW w:w="149"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小计</w:t>
            </w:r>
          </w:p>
        </w:tc>
        <w:tc>
          <w:tcPr>
            <w:tcW w:w="125" w:type="pct"/>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4"/>
                <w:szCs w:val="4"/>
                <w:u w:val="none"/>
              </w:rPr>
            </w:pPr>
            <w:r>
              <w:rPr>
                <w:rFonts w:hint="eastAsia" w:ascii="宋体" w:hAnsi="宋体" w:eastAsia="宋体" w:cs="宋体"/>
                <w:i w:val="0"/>
                <w:iCs w:val="0"/>
                <w:color w:val="000000"/>
                <w:kern w:val="0"/>
                <w:sz w:val="4"/>
                <w:szCs w:val="4"/>
                <w:u w:val="none"/>
                <w:lang w:val="en-US" w:eastAsia="zh-CN" w:bidi="ar"/>
              </w:rPr>
              <w:t>生活补助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14"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49"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5" w:type="pct"/>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类</w:t>
            </w:r>
          </w:p>
        </w:tc>
        <w:tc>
          <w:tcPr>
            <w:tcW w:w="104"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款</w:t>
            </w:r>
          </w:p>
        </w:tc>
        <w:tc>
          <w:tcPr>
            <w:tcW w:w="104"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项</w:t>
            </w:r>
          </w:p>
        </w:tc>
        <w:tc>
          <w:tcPr>
            <w:tcW w:w="33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栏次</w:t>
            </w:r>
          </w:p>
        </w:tc>
        <w:tc>
          <w:tcPr>
            <w:tcW w:w="164"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164"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13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13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11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11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15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w:t>
            </w:r>
          </w:p>
        </w:tc>
        <w:tc>
          <w:tcPr>
            <w:tcW w:w="15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w:t>
            </w:r>
          </w:p>
        </w:tc>
        <w:tc>
          <w:tcPr>
            <w:tcW w:w="15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w:t>
            </w:r>
          </w:p>
        </w:tc>
        <w:tc>
          <w:tcPr>
            <w:tcW w:w="15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w:t>
            </w:r>
          </w:p>
        </w:tc>
        <w:tc>
          <w:tcPr>
            <w:tcW w:w="11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11</w:t>
            </w:r>
          </w:p>
        </w:tc>
        <w:tc>
          <w:tcPr>
            <w:tcW w:w="12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w:t>
            </w:r>
          </w:p>
        </w:tc>
        <w:tc>
          <w:tcPr>
            <w:tcW w:w="15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13</w:t>
            </w:r>
          </w:p>
        </w:tc>
        <w:tc>
          <w:tcPr>
            <w:tcW w:w="11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w:t>
            </w:r>
          </w:p>
        </w:tc>
        <w:tc>
          <w:tcPr>
            <w:tcW w:w="11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15</w:t>
            </w:r>
          </w:p>
        </w:tc>
        <w:tc>
          <w:tcPr>
            <w:tcW w:w="164"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w:t>
            </w:r>
          </w:p>
        </w:tc>
        <w:tc>
          <w:tcPr>
            <w:tcW w:w="13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17</w:t>
            </w:r>
          </w:p>
        </w:tc>
        <w:tc>
          <w:tcPr>
            <w:tcW w:w="13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w:t>
            </w:r>
          </w:p>
        </w:tc>
        <w:tc>
          <w:tcPr>
            <w:tcW w:w="11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w:t>
            </w:r>
          </w:p>
        </w:tc>
        <w:tc>
          <w:tcPr>
            <w:tcW w:w="11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26</w:t>
            </w:r>
          </w:p>
        </w:tc>
        <w:tc>
          <w:tcPr>
            <w:tcW w:w="13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w:t>
            </w:r>
          </w:p>
        </w:tc>
        <w:tc>
          <w:tcPr>
            <w:tcW w:w="13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13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37</w:t>
            </w:r>
          </w:p>
        </w:tc>
        <w:tc>
          <w:tcPr>
            <w:tcW w:w="13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38</w:t>
            </w:r>
          </w:p>
        </w:tc>
        <w:tc>
          <w:tcPr>
            <w:tcW w:w="12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w:t>
            </w:r>
          </w:p>
        </w:tc>
        <w:tc>
          <w:tcPr>
            <w:tcW w:w="192"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40</w:t>
            </w:r>
          </w:p>
        </w:tc>
        <w:tc>
          <w:tcPr>
            <w:tcW w:w="161"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163"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w:t>
            </w:r>
          </w:p>
        </w:tc>
        <w:tc>
          <w:tcPr>
            <w:tcW w:w="218"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43</w:t>
            </w:r>
          </w:p>
        </w:tc>
        <w:tc>
          <w:tcPr>
            <w:tcW w:w="149"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w:t>
            </w:r>
          </w:p>
        </w:tc>
        <w:tc>
          <w:tcPr>
            <w:tcW w:w="125"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4"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合计</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449.54</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248.61</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67.3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4.23</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auto"/>
                <w:sz w:val="11"/>
                <w:szCs w:val="11"/>
                <w:u w:val="none"/>
              </w:rPr>
            </w:pPr>
            <w:r>
              <w:rPr>
                <w:rFonts w:hint="eastAsia" w:ascii="宋体" w:hAnsi="宋体" w:eastAsia="宋体" w:cs="宋体"/>
                <w:i w:val="0"/>
                <w:iCs w:val="0"/>
                <w:color w:val="auto"/>
                <w:kern w:val="0"/>
                <w:sz w:val="11"/>
                <w:szCs w:val="11"/>
                <w:u w:val="none"/>
                <w:lang w:val="en-US" w:eastAsia="zh-CN" w:bidi="ar"/>
              </w:rPr>
              <w:t>103.6</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auto"/>
                <w:sz w:val="11"/>
                <w:szCs w:val="11"/>
                <w:u w:val="none"/>
              </w:rPr>
            </w:pPr>
            <w:r>
              <w:rPr>
                <w:rFonts w:hint="eastAsia" w:ascii="宋体" w:hAnsi="宋体" w:eastAsia="宋体" w:cs="宋体"/>
                <w:i w:val="0"/>
                <w:iCs w:val="0"/>
                <w:color w:val="auto"/>
                <w:kern w:val="0"/>
                <w:sz w:val="11"/>
                <w:szCs w:val="11"/>
                <w:u w:val="none"/>
                <w:lang w:val="en-US" w:eastAsia="zh-CN" w:bidi="ar"/>
              </w:rPr>
              <w:t>24.05</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12.33</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18.51</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197.33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2.59</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3.05</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0.57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80.7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81.8</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w:t>
            </w: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1.43</w:t>
            </w: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16.61</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208</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社会保障和就业支出</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36.38</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36.38</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24.05</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12.33</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20805</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行政事业单位养老支出</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36.38</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36.38</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24.05</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12.33</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2080505</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机关事业单位基本养老保险缴费支出</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24.05</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24.05</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24.05</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2080506</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机关事业单位职业年金缴费支出</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12.33</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12.33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12.33</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210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卫生健康支出</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14.49</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14.49</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14.49</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21011</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行政事业单位医疗</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14.49</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14.49</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14.49</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2101102</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事业单位医疗</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215</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资源勘探工业信息等支出</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378.96</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178.03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67.3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3.03</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themeColor="text1"/>
                <w:sz w:val="11"/>
                <w:szCs w:val="11"/>
                <w:u w:val="none"/>
                <w14:textFill>
                  <w14:solidFill>
                    <w14:schemeClr w14:val="tx1"/>
                  </w14:solidFill>
                </w14:textFill>
              </w:rPr>
            </w:pPr>
            <w:r>
              <w:rPr>
                <w:rFonts w:hint="eastAsia" w:ascii="宋体" w:hAnsi="宋体" w:eastAsia="宋体" w:cs="宋体"/>
                <w:b/>
                <w:bCs/>
                <w:i w:val="0"/>
                <w:iCs w:val="0"/>
                <w:color w:val="000000" w:themeColor="text1"/>
                <w:kern w:val="0"/>
                <w:sz w:val="11"/>
                <w:szCs w:val="11"/>
                <w:u w:val="none"/>
                <w:lang w:val="en-US" w:eastAsia="zh-CN" w:bidi="ar"/>
                <w14:textFill>
                  <w14:solidFill>
                    <w14:schemeClr w14:val="tx1"/>
                  </w14:solidFill>
                </w14:textFill>
              </w:rPr>
              <w:t>103.6</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themeColor="text1"/>
                <w:sz w:val="11"/>
                <w:szCs w:val="11"/>
                <w:u w:val="none"/>
                <w14:textFill>
                  <w14:solidFill>
                    <w14:schemeClr w14:val="tx1"/>
                  </w14:solidFill>
                </w14:textFill>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4.1</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197.33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2.59</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3.05</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0.57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80.7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81.8</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2.48</w:t>
            </w: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2.1</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1.43</w:t>
            </w: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16.61</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3.6</w:t>
            </w: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21502</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制造业</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378.96</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178.03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67.3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3.03</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themeColor="text1"/>
                <w:sz w:val="11"/>
                <w:szCs w:val="11"/>
                <w:u w:val="none"/>
                <w14:textFill>
                  <w14:solidFill>
                    <w14:schemeClr w14:val="tx1"/>
                  </w14:solidFill>
                </w14:textFill>
              </w:rPr>
            </w:pPr>
            <w:r>
              <w:rPr>
                <w:rFonts w:hint="eastAsia" w:ascii="宋体" w:hAnsi="宋体" w:eastAsia="宋体" w:cs="宋体"/>
                <w:b/>
                <w:bCs/>
                <w:i w:val="0"/>
                <w:iCs w:val="0"/>
                <w:color w:val="000000" w:themeColor="text1"/>
                <w:kern w:val="0"/>
                <w:sz w:val="11"/>
                <w:szCs w:val="11"/>
                <w:u w:val="none"/>
                <w:lang w:val="en-US" w:eastAsia="zh-CN" w:bidi="ar"/>
                <w14:textFill>
                  <w14:solidFill>
                    <w14:schemeClr w14:val="tx1"/>
                  </w14:solidFill>
                </w14:textFill>
              </w:rPr>
              <w:t>103.6</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themeColor="text1"/>
                <w:sz w:val="11"/>
                <w:szCs w:val="11"/>
                <w:u w:val="none"/>
                <w14:textFill>
                  <w14:solidFill>
                    <w14:schemeClr w14:val="tx1"/>
                  </w14:solidFill>
                </w14:textFill>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4.1</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197.33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2.59</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3.05</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0.57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80.7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81.8</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2.48</w:t>
            </w: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2.1</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1.43</w:t>
            </w: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16.61</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3.6</w:t>
            </w: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2150202</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一般行政管理事务</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168.57</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themeColor="text1"/>
                <w:sz w:val="11"/>
                <w:szCs w:val="11"/>
                <w:u w:val="none"/>
                <w14:textFill>
                  <w14:solidFill>
                    <w14:schemeClr w14:val="tx1"/>
                  </w14:solidFill>
                </w14:textFill>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themeColor="text1"/>
                <w:sz w:val="11"/>
                <w:szCs w:val="11"/>
                <w:u w:val="none"/>
                <w14:textFill>
                  <w14:solidFill>
                    <w14:schemeClr w14:val="tx1"/>
                  </w14:solidFill>
                </w14:textFill>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168.57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2.05</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0.57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78.7</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81.8</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1.45</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2150203</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机关服务</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210.39</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178.02</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67.3</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themeColor="text1"/>
                <w:sz w:val="11"/>
                <w:szCs w:val="11"/>
                <w:u w:val="none"/>
                <w14:textFill>
                  <w14:solidFill>
                    <w14:schemeClr w14:val="tx1"/>
                  </w14:solidFill>
                </w14:textFill>
              </w:rPr>
            </w:pPr>
            <w:r>
              <w:rPr>
                <w:rFonts w:hint="eastAsia" w:ascii="宋体" w:hAnsi="宋体" w:eastAsia="宋体" w:cs="宋体"/>
                <w:i w:val="0"/>
                <w:iCs w:val="0"/>
                <w:color w:val="000000" w:themeColor="text1"/>
                <w:kern w:val="0"/>
                <w:sz w:val="11"/>
                <w:szCs w:val="11"/>
                <w:u w:val="none"/>
                <w:lang w:val="en-US" w:eastAsia="zh-CN" w:bidi="ar"/>
                <w14:textFill>
                  <w14:solidFill>
                    <w14:schemeClr w14:val="tx1"/>
                  </w14:solidFill>
                </w14:textFill>
              </w:rPr>
              <w:t>103.6</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themeColor="text1"/>
                <w:sz w:val="11"/>
                <w:szCs w:val="11"/>
                <w:u w:val="none"/>
                <w14:textFill>
                  <w14:solidFill>
                    <w14:schemeClr w14:val="tx1"/>
                  </w14:solidFill>
                </w14:textFill>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28.76</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2.59</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w:t>
            </w: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1.43</w:t>
            </w: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15.16</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221</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住房保障支出</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19.71</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19.71</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themeColor="text1"/>
                <w:sz w:val="11"/>
                <w:szCs w:val="11"/>
                <w:u w:val="none"/>
                <w14:textFill>
                  <w14:solidFill>
                    <w14:schemeClr w14:val="tx1"/>
                  </w14:solidFill>
                </w14:textFill>
              </w:rPr>
            </w:pPr>
            <w:r>
              <w:rPr>
                <w:rFonts w:hint="eastAsia" w:ascii="宋体" w:hAnsi="宋体" w:eastAsia="宋体" w:cs="宋体"/>
                <w:b/>
                <w:bCs/>
                <w:i w:val="0"/>
                <w:iCs w:val="0"/>
                <w:color w:val="000000" w:themeColor="text1"/>
                <w:kern w:val="0"/>
                <w:sz w:val="11"/>
                <w:szCs w:val="11"/>
                <w:u w:val="none"/>
                <w:lang w:val="en-US" w:eastAsia="zh-CN" w:bidi="ar"/>
                <w14:textFill>
                  <w14:solidFill>
                    <w14:schemeClr w14:val="tx1"/>
                  </w14:solidFill>
                </w14:textFill>
              </w:rPr>
              <w:t>1.2</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themeColor="text1"/>
                <w:sz w:val="11"/>
                <w:szCs w:val="11"/>
                <w:u w:val="none"/>
                <w14:textFill>
                  <w14:solidFill>
                    <w14:schemeClr w14:val="tx1"/>
                  </w14:solidFill>
                </w14:textFill>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18.51</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22102</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6"/>
                <w:szCs w:val="6"/>
                <w:u w:val="none"/>
              </w:rPr>
            </w:pPr>
            <w:r>
              <w:rPr>
                <w:rFonts w:hint="eastAsia" w:ascii="宋体" w:hAnsi="宋体" w:eastAsia="宋体" w:cs="宋体"/>
                <w:b/>
                <w:bCs/>
                <w:i w:val="0"/>
                <w:iCs w:val="0"/>
                <w:color w:val="000000"/>
                <w:kern w:val="0"/>
                <w:sz w:val="6"/>
                <w:szCs w:val="6"/>
                <w:u w:val="none"/>
                <w:lang w:val="en-US" w:eastAsia="zh-CN" w:bidi="ar"/>
              </w:rPr>
              <w:t>住房改革支出</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19.71</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19.71</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themeColor="text1"/>
                <w:sz w:val="11"/>
                <w:szCs w:val="11"/>
                <w:u w:val="none"/>
                <w14:textFill>
                  <w14:solidFill>
                    <w14:schemeClr w14:val="tx1"/>
                  </w14:solidFill>
                </w14:textFill>
              </w:rPr>
            </w:pPr>
            <w:r>
              <w:rPr>
                <w:rFonts w:hint="eastAsia" w:ascii="宋体" w:hAnsi="宋体" w:eastAsia="宋体" w:cs="宋体"/>
                <w:b/>
                <w:bCs/>
                <w:i w:val="0"/>
                <w:iCs w:val="0"/>
                <w:color w:val="000000" w:themeColor="text1"/>
                <w:kern w:val="0"/>
                <w:sz w:val="11"/>
                <w:szCs w:val="11"/>
                <w:u w:val="none"/>
                <w:lang w:val="en-US" w:eastAsia="zh-CN" w:bidi="ar"/>
                <w14:textFill>
                  <w14:solidFill>
                    <w14:schemeClr w14:val="tx1"/>
                  </w14:solidFill>
                </w14:textFill>
              </w:rPr>
              <w:t>1.2</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themeColor="text1"/>
                <w:sz w:val="11"/>
                <w:szCs w:val="11"/>
                <w:u w:val="none"/>
                <w14:textFill>
                  <w14:solidFill>
                    <w14:schemeClr w14:val="tx1"/>
                  </w14:solidFill>
                </w14:textFill>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18.51</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2210201</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住房公积金</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18.51</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18.51</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themeColor="text1"/>
                <w:sz w:val="11"/>
                <w:szCs w:val="11"/>
                <w:u w:val="none"/>
                <w14:textFill>
                  <w14:solidFill>
                    <w14:schemeClr w14:val="tx1"/>
                  </w14:solidFill>
                </w14:textFill>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themeColor="text1"/>
                <w:sz w:val="11"/>
                <w:szCs w:val="11"/>
                <w:u w:val="none"/>
                <w14:textFill>
                  <w14:solidFill>
                    <w14:schemeClr w14:val="tx1"/>
                  </w14:solidFill>
                </w14:textFill>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18.51</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2210203</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6"/>
                <w:szCs w:val="6"/>
                <w:u w:val="none"/>
              </w:rPr>
            </w:pPr>
            <w:r>
              <w:rPr>
                <w:rFonts w:hint="eastAsia" w:ascii="宋体" w:hAnsi="宋体" w:eastAsia="宋体" w:cs="宋体"/>
                <w:i w:val="0"/>
                <w:iCs w:val="0"/>
                <w:color w:val="000000"/>
                <w:kern w:val="0"/>
                <w:sz w:val="6"/>
                <w:szCs w:val="6"/>
                <w:u w:val="none"/>
                <w:lang w:val="en-US" w:eastAsia="zh-CN" w:bidi="ar"/>
              </w:rPr>
              <w:t>购房补贴</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themeColor="text1"/>
                <w:sz w:val="11"/>
                <w:szCs w:val="11"/>
                <w:u w:val="none"/>
                <w14:textFill>
                  <w14:solidFill>
                    <w14:schemeClr w14:val="tx1"/>
                  </w14:solidFill>
                </w14:textFill>
              </w:rPr>
            </w:pPr>
            <w:r>
              <w:rPr>
                <w:rFonts w:hint="eastAsia" w:ascii="宋体" w:hAnsi="宋体" w:eastAsia="宋体" w:cs="宋体"/>
                <w:i w:val="0"/>
                <w:iCs w:val="0"/>
                <w:color w:val="000000" w:themeColor="text1"/>
                <w:kern w:val="0"/>
                <w:sz w:val="11"/>
                <w:szCs w:val="11"/>
                <w:u w:val="none"/>
                <w:lang w:val="en-US" w:eastAsia="zh-CN" w:bidi="ar"/>
                <w14:textFill>
                  <w14:solidFill>
                    <w14:schemeClr w14:val="tx1"/>
                  </w14:solidFill>
                </w14:textFill>
              </w:rPr>
              <w:t>1.2</w:t>
            </w: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themeColor="text1"/>
                <w:sz w:val="11"/>
                <w:szCs w:val="11"/>
                <w:u w:val="none"/>
                <w14:textFill>
                  <w14:solidFill>
                    <w14:schemeClr w14:val="tx1"/>
                  </w14:solidFill>
                </w14:textFill>
              </w:rPr>
            </w:pPr>
            <w:r>
              <w:rPr>
                <w:rFonts w:hint="eastAsia" w:ascii="宋体" w:hAnsi="宋体" w:eastAsia="宋体" w:cs="宋体"/>
                <w:i w:val="0"/>
                <w:iCs w:val="0"/>
                <w:color w:val="000000" w:themeColor="text1"/>
                <w:kern w:val="0"/>
                <w:sz w:val="11"/>
                <w:szCs w:val="11"/>
                <w:u w:val="none"/>
                <w:lang w:val="en-US" w:eastAsia="zh-CN" w:bidi="ar"/>
                <w14:textFill>
                  <w14:solidFill>
                    <w14:schemeClr w14:val="tx1"/>
                  </w14:solidFill>
                </w14:textFill>
              </w:rPr>
              <w:t>1.2</w:t>
            </w: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themeColor="text1"/>
                <w:sz w:val="11"/>
                <w:szCs w:val="11"/>
                <w:u w:val="none"/>
                <w14:textFill>
                  <w14:solidFill>
                    <w14:schemeClr w14:val="tx1"/>
                  </w14:solidFill>
                </w14:textFill>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themeColor="text1"/>
                <w:sz w:val="11"/>
                <w:szCs w:val="11"/>
                <w:u w:val="none"/>
                <w14:textFill>
                  <w14:solidFill>
                    <w14:schemeClr w14:val="tx1"/>
                  </w14:solidFill>
                </w14:textFill>
              </w:rPr>
            </w:pPr>
            <w:r>
              <w:rPr>
                <w:rFonts w:hint="eastAsia" w:ascii="宋体" w:hAnsi="宋体" w:eastAsia="宋体" w:cs="宋体"/>
                <w:i w:val="0"/>
                <w:iCs w:val="0"/>
                <w:color w:val="000000" w:themeColor="text1"/>
                <w:kern w:val="0"/>
                <w:sz w:val="11"/>
                <w:szCs w:val="11"/>
                <w:u w:val="none"/>
                <w:lang w:val="en-US" w:eastAsia="zh-CN" w:bidi="ar"/>
                <w14:textFill>
                  <w14:solidFill>
                    <w14:schemeClr w14:val="tx1"/>
                  </w14:solidFill>
                </w14:textFill>
              </w:rPr>
              <w:t>1.2</w:t>
            </w: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themeColor="text1"/>
                <w:sz w:val="11"/>
                <w:szCs w:val="11"/>
                <w:u w:val="none"/>
                <w14:textFill>
                  <w14:solidFill>
                    <w14:schemeClr w14:val="tx1"/>
                  </w14:solidFill>
                </w14:textFill>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bl>
    <w:p>
      <w:pPr>
        <w:pStyle w:val="4"/>
        <w:pageBreakBefore w:val="0"/>
        <w:kinsoku/>
        <w:wordWrap/>
        <w:overflowPunct/>
        <w:topLinePunct w:val="0"/>
        <w:bidi w:val="0"/>
        <w:spacing w:line="576" w:lineRule="exact"/>
        <w:jc w:val="both"/>
        <w:outlineLvl w:val="9"/>
        <w:rPr>
          <w:rStyle w:val="30"/>
          <w:rFonts w:hint="eastAsia" w:ascii="仿宋" w:hAnsi="仿宋" w:eastAsia="仿宋"/>
          <w:b w:val="0"/>
          <w:bCs w:val="0"/>
        </w:rPr>
        <w:sectPr>
          <w:pgSz w:w="16838" w:h="11906" w:orient="landscape"/>
          <w:pgMar w:top="1803" w:right="1440" w:bottom="1803" w:left="1440" w:header="851" w:footer="992" w:gutter="0"/>
          <w:cols w:space="0" w:num="1"/>
          <w:titlePg/>
          <w:rtlGutter w:val="0"/>
          <w:docGrid w:type="lines" w:linePitch="319" w:charSpace="0"/>
        </w:sectPr>
      </w:pPr>
    </w:p>
    <w:p>
      <w:pPr>
        <w:pStyle w:val="4"/>
        <w:pageBreakBefore w:val="0"/>
        <w:kinsoku/>
        <w:wordWrap/>
        <w:overflowPunct/>
        <w:topLinePunct w:val="0"/>
        <w:bidi w:val="0"/>
        <w:spacing w:line="576" w:lineRule="exact"/>
        <w:jc w:val="both"/>
        <w:rPr>
          <w:rFonts w:ascii="仿宋" w:hAnsi="仿宋" w:eastAsia="仿宋"/>
        </w:rPr>
      </w:pPr>
      <w:r>
        <w:rPr>
          <w:rStyle w:val="30"/>
          <w:rFonts w:hint="eastAsia" w:ascii="仿宋" w:hAnsi="仿宋" w:eastAsia="仿宋"/>
          <w:b w:val="0"/>
          <w:bCs w:val="0"/>
        </w:rPr>
        <w:t>八、</w:t>
      </w:r>
      <w:r>
        <w:rPr>
          <w:rFonts w:hint="eastAsia" w:ascii="仿宋" w:hAnsi="仿宋" w:eastAsia="仿宋"/>
          <w:b w:val="0"/>
        </w:rPr>
        <w:t>一</w:t>
      </w:r>
      <w:r>
        <w:rPr>
          <w:rStyle w:val="30"/>
          <w:rFonts w:hint="eastAsia" w:ascii="仿宋" w:hAnsi="仿宋" w:eastAsia="仿宋"/>
          <w:b w:val="0"/>
          <w:bCs w:val="0"/>
        </w:rPr>
        <w:t>般公共预算财政拨款基本支出决算表</w:t>
      </w:r>
      <w:bookmarkEnd w:id="71"/>
    </w:p>
    <w:tbl>
      <w:tblPr>
        <w:tblStyle w:val="16"/>
        <w:tblW w:w="503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1"/>
        <w:gridCol w:w="1872"/>
        <w:gridCol w:w="550"/>
        <w:gridCol w:w="491"/>
        <w:gridCol w:w="1319"/>
        <w:gridCol w:w="494"/>
        <w:gridCol w:w="491"/>
        <w:gridCol w:w="2316"/>
        <w:gridCol w:w="5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bookmarkStart w:id="72" w:name="_Toc15396627"/>
            <w:r>
              <w:rPr>
                <w:rFonts w:hint="eastAsia" w:ascii="宋体" w:hAnsi="宋体" w:eastAsia="宋体" w:cs="宋体"/>
                <w:i w:val="0"/>
                <w:iCs w:val="0"/>
                <w:color w:val="000000"/>
                <w:kern w:val="0"/>
                <w:sz w:val="20"/>
                <w:szCs w:val="20"/>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财决公开08表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9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单位名称：四川省经济和信息化厅信息中心</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57" w:type="pct"/>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2023年度</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670" w:type="pct"/>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1699" w:type="pct"/>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人员经费</w:t>
            </w:r>
          </w:p>
        </w:tc>
        <w:tc>
          <w:tcPr>
            <w:tcW w:w="3300" w:type="pct"/>
            <w:gridSpan w:val="6"/>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4" w:hRule="atLeast"/>
        </w:trPr>
        <w:tc>
          <w:tcPr>
            <w:tcW w:w="286"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科目编码</w:t>
            </w:r>
          </w:p>
        </w:tc>
        <w:tc>
          <w:tcPr>
            <w:tcW w:w="1092"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科目名称</w:t>
            </w:r>
          </w:p>
        </w:tc>
        <w:tc>
          <w:tcPr>
            <w:tcW w:w="32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决算数</w:t>
            </w:r>
          </w:p>
        </w:tc>
        <w:tc>
          <w:tcPr>
            <w:tcW w:w="286"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科目编码</w:t>
            </w:r>
          </w:p>
        </w:tc>
        <w:tc>
          <w:tcPr>
            <w:tcW w:w="769"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科目名称</w:t>
            </w:r>
          </w:p>
        </w:tc>
        <w:tc>
          <w:tcPr>
            <w:tcW w:w="288"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决算数</w:t>
            </w:r>
          </w:p>
        </w:tc>
        <w:tc>
          <w:tcPr>
            <w:tcW w:w="286"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科目编码</w:t>
            </w:r>
          </w:p>
        </w:tc>
        <w:tc>
          <w:tcPr>
            <w:tcW w:w="135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科目名称</w:t>
            </w:r>
          </w:p>
        </w:tc>
        <w:tc>
          <w:tcPr>
            <w:tcW w:w="320" w:type="pc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工资福利支出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248.61</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商品和服务支出</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28.76</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307</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债务利息及费用支出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30101</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基本工资</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67.3</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30201</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办公费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2.59</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30701</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国内债务付息</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30102</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津贴补贴</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4.23</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30202</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印刷费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30702</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国外债务付息</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30103</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奖金</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30203</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咨询费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资本性支出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30106</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伙食补助费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30204</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手续费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31001</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房屋建筑物购建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30107</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绩效工资</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103.6</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30205</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水费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31002</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办公设备购置</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30108</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机关事业单位基本养老保险缴费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24.05</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30206</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电费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31003</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专用设备购置</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30109</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职业年金缴费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12.33</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30207</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邮电费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31005</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基础设施建设</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30110</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职工基本医疗保险缴费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14.49</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30208</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取暖费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31006</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大型修缮</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30111</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公务员医疗补助缴费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30209</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物业管理费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31007</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信息网络及软件购置更新</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30112</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其他社会保障缴费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4.1</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30211</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差旅费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31008</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物资储备</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30113</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住房公积金</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18.51</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30212</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因公出国（境）费用</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31009</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土地补偿</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30114</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医疗费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30213</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维修（护）费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31010</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安置补助</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30199</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其他工资福利支出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30214</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租赁费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31011</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地上附着物和青苗补偿</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对个人和家庭的补助</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30215</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会议费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31012</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拆迁补偿</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30301</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离休费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30216</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培训费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31013</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公务用车购置</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30302</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退休费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30217</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公务接待费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31019</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其他交通工具购置</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30303</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退职（役）费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30218</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专用材料费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31021</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文物和陈列品购置</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30304</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抚恤金</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30224</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被装购置费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31022</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无形资产购置</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30305</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生活补助</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3.6</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30225</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专用燃料费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31099</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其他资本性支出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30306</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救济费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30226</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劳务费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其他支出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30307</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医疗费补助</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30227</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委托业务费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39907</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国家赔偿费用支出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30308</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助学金</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30228</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工会经费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2.48</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39908</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对民间非营利组织和群众性自治组织补贴</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30309</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奖励金</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30229</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福利费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2.1</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39909</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经常性赠与</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30310</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个人农业生产补贴</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30231</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公务用车运行维护费</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1.43</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39910</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资本性赠与</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30311</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代缴社会保险费</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30239</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其他交通费用</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39999</w:t>
            </w: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其他支出</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30399</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其他对个人和家庭的补助</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30240</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税金及附加费用</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30299</w:t>
            </w: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  其他商品和服务支出</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15.16</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人员经费合计</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252.21</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公用经费合计</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28.76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1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bl>
    <w:p>
      <w:pPr>
        <w:pStyle w:val="4"/>
        <w:pageBreakBefore w:val="0"/>
        <w:kinsoku/>
        <w:wordWrap/>
        <w:overflowPunct/>
        <w:topLinePunct w:val="0"/>
        <w:bidi w:val="0"/>
        <w:spacing w:line="576" w:lineRule="exact"/>
        <w:jc w:val="both"/>
        <w:rPr>
          <w:rFonts w:ascii="仿宋" w:hAnsi="仿宋" w:eastAsia="仿宋"/>
        </w:rPr>
      </w:pPr>
      <w:r>
        <w:rPr>
          <w:rStyle w:val="30"/>
          <w:rFonts w:hint="eastAsia" w:ascii="仿宋" w:hAnsi="仿宋" w:eastAsia="仿宋"/>
          <w:b w:val="0"/>
          <w:bCs w:val="0"/>
        </w:rPr>
        <w:t>九、</w:t>
      </w:r>
      <w:r>
        <w:rPr>
          <w:rFonts w:hint="eastAsia" w:ascii="仿宋" w:hAnsi="仿宋" w:eastAsia="仿宋"/>
          <w:b w:val="0"/>
        </w:rPr>
        <w:t>一</w:t>
      </w:r>
      <w:r>
        <w:rPr>
          <w:rStyle w:val="30"/>
          <w:rFonts w:hint="eastAsia" w:ascii="仿宋" w:hAnsi="仿宋" w:eastAsia="仿宋"/>
          <w:b w:val="0"/>
          <w:bCs w:val="0"/>
        </w:rPr>
        <w:t>般公共预算财政拨款项目支出决算表</w:t>
      </w:r>
      <w:bookmarkEnd w:id="72"/>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6"/>
        <w:gridCol w:w="436"/>
        <w:gridCol w:w="436"/>
        <w:gridCol w:w="3024"/>
        <w:gridCol w:w="2085"/>
        <w:gridCol w:w="20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5000" w:type="pct"/>
            <w:gridSpan w:val="6"/>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32"/>
                <w:szCs w:val="32"/>
                <w:u w:val="none"/>
              </w:rPr>
            </w:pPr>
            <w:bookmarkStart w:id="73" w:name="_Toc15396628"/>
            <w:r>
              <w:rPr>
                <w:rFonts w:hint="eastAsia" w:ascii="宋体" w:hAnsi="宋体" w:eastAsia="宋体" w:cs="宋体"/>
                <w:i w:val="0"/>
                <w:iCs w:val="0"/>
                <w:color w:val="000000"/>
                <w:kern w:val="0"/>
                <w:sz w:val="32"/>
                <w:szCs w:val="32"/>
                <w:u w:val="none"/>
                <w:lang w:val="en-US" w:eastAsia="zh-CN" w:bidi="ar"/>
              </w:rPr>
              <w:t>一般公共预算财政拨款项目支出决算表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5"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85"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85"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693"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371" w:type="pct"/>
            <w:tcBorders>
              <w:top w:val="nil"/>
              <w:left w:val="nil"/>
              <w:bottom w:val="nil"/>
              <w:right w:val="nil"/>
            </w:tcBorders>
            <w:shd w:val="clear" w:color="auto" w:fill="auto"/>
            <w:noWrap/>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377"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财决公开09表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250" w:type="pct"/>
            <w:gridSpan w:val="4"/>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单位名称：四川省经济和信息化厅信息中心</w:t>
            </w:r>
          </w:p>
        </w:tc>
        <w:tc>
          <w:tcPr>
            <w:tcW w:w="1371"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2023年度</w:t>
            </w:r>
          </w:p>
        </w:tc>
        <w:tc>
          <w:tcPr>
            <w:tcW w:w="1377"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556" w:type="pct"/>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1693"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371"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1377"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556"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693" w:type="pct"/>
            <w:vMerge w:val="continue"/>
            <w:tcBorders>
              <w:top w:val="nil"/>
              <w:left w:val="nil"/>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371" w:type="pct"/>
            <w:vMerge w:val="continue"/>
            <w:tcBorders>
              <w:top w:val="single" w:color="000000" w:sz="4" w:space="0"/>
              <w:left w:val="nil"/>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377" w:type="pct"/>
            <w:vMerge w:val="continue"/>
            <w:tcBorders>
              <w:top w:val="single" w:color="000000" w:sz="4" w:space="0"/>
              <w:left w:val="nil"/>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185" w:type="pct"/>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185"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185"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693" w:type="pct"/>
            <w:vMerge w:val="continue"/>
            <w:tcBorders>
              <w:top w:val="nil"/>
              <w:left w:val="nil"/>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371" w:type="pct"/>
            <w:vMerge w:val="continue"/>
            <w:tcBorders>
              <w:top w:val="single" w:color="000000" w:sz="4" w:space="0"/>
              <w:left w:val="nil"/>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377" w:type="pct"/>
            <w:vMerge w:val="continue"/>
            <w:tcBorders>
              <w:top w:val="single" w:color="000000" w:sz="4" w:space="0"/>
              <w:left w:val="nil"/>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185" w:type="pct"/>
            <w:vMerge w:val="continue"/>
            <w:tcBorders>
              <w:top w:val="nil"/>
              <w:left w:val="single" w:color="000000" w:sz="4" w:space="0"/>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85" w:type="pct"/>
            <w:vMerge w:val="continue"/>
            <w:tcBorders>
              <w:top w:val="nil"/>
              <w:left w:val="nil"/>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85" w:type="pct"/>
            <w:vMerge w:val="continue"/>
            <w:tcBorders>
              <w:top w:val="nil"/>
              <w:left w:val="nil"/>
              <w:bottom w:val="single" w:color="000000" w:sz="4" w:space="0"/>
              <w:right w:val="single" w:color="000000" w:sz="4" w:space="0"/>
            </w:tcBorders>
            <w:shd w:val="clear" w:color="FFFFFF" w:fill="C0C0C0"/>
            <w:vAlign w:val="center"/>
          </w:tcPr>
          <w:p>
            <w:pPr>
              <w:pageBreakBefore w:val="0"/>
              <w:kinsoku/>
              <w:wordWrap/>
              <w:overflowPunct/>
              <w:topLinePunct w:val="0"/>
              <w:bidi w:val="0"/>
              <w:spacing w:line="576" w:lineRule="exact"/>
              <w:jc w:val="both"/>
              <w:rPr>
                <w:rFonts w:hint="eastAsia" w:ascii="宋体" w:hAnsi="宋体" w:eastAsia="宋体" w:cs="宋体"/>
                <w:i w:val="0"/>
                <w:iCs w:val="0"/>
                <w:color w:val="000000"/>
                <w:sz w:val="22"/>
                <w:szCs w:val="22"/>
                <w:u w:val="none"/>
              </w:rPr>
            </w:pPr>
          </w:p>
        </w:tc>
        <w:tc>
          <w:tcPr>
            <w:tcW w:w="1693"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168.57</w:t>
            </w:r>
          </w:p>
        </w:tc>
        <w:tc>
          <w:tcPr>
            <w:tcW w:w="13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5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215</w:t>
            </w:r>
          </w:p>
        </w:tc>
        <w:tc>
          <w:tcPr>
            <w:tcW w:w="1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资源勘探工业信息等支出</w:t>
            </w:r>
          </w:p>
        </w:tc>
        <w:tc>
          <w:tcPr>
            <w:tcW w:w="1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168.57</w:t>
            </w:r>
          </w:p>
        </w:tc>
        <w:tc>
          <w:tcPr>
            <w:tcW w:w="13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5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21502</w:t>
            </w:r>
          </w:p>
        </w:tc>
        <w:tc>
          <w:tcPr>
            <w:tcW w:w="1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制造业</w:t>
            </w:r>
          </w:p>
        </w:tc>
        <w:tc>
          <w:tcPr>
            <w:tcW w:w="1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168.57</w:t>
            </w:r>
          </w:p>
        </w:tc>
        <w:tc>
          <w:tcPr>
            <w:tcW w:w="13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5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2150202</w:t>
            </w:r>
          </w:p>
        </w:tc>
        <w:tc>
          <w:tcPr>
            <w:tcW w:w="1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一般行政管理事务</w:t>
            </w:r>
          </w:p>
        </w:tc>
        <w:tc>
          <w:tcPr>
            <w:tcW w:w="1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168.57</w:t>
            </w:r>
          </w:p>
        </w:tc>
        <w:tc>
          <w:tcPr>
            <w:tcW w:w="13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spacing w:line="576"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168.57</w:t>
            </w:r>
          </w:p>
        </w:tc>
      </w:tr>
    </w:tbl>
    <w:p>
      <w:pPr>
        <w:pStyle w:val="4"/>
        <w:pageBreakBefore w:val="0"/>
        <w:kinsoku/>
        <w:wordWrap/>
        <w:overflowPunct/>
        <w:topLinePunct w:val="0"/>
        <w:bidi w:val="0"/>
        <w:spacing w:line="576" w:lineRule="exact"/>
        <w:jc w:val="both"/>
        <w:outlineLvl w:val="9"/>
        <w:rPr>
          <w:rStyle w:val="30"/>
          <w:rFonts w:hint="eastAsia" w:ascii="仿宋" w:hAnsi="仿宋" w:eastAsia="仿宋"/>
          <w:b w:val="0"/>
          <w:bCs w:val="0"/>
        </w:rPr>
      </w:pPr>
    </w:p>
    <w:p>
      <w:pPr>
        <w:pStyle w:val="4"/>
        <w:pageBreakBefore w:val="0"/>
        <w:kinsoku/>
        <w:wordWrap/>
        <w:overflowPunct/>
        <w:topLinePunct w:val="0"/>
        <w:bidi w:val="0"/>
        <w:spacing w:line="576" w:lineRule="exact"/>
        <w:jc w:val="both"/>
        <w:rPr>
          <w:rFonts w:ascii="仿宋" w:hAnsi="仿宋" w:eastAsia="仿宋"/>
        </w:rPr>
      </w:pPr>
      <w:r>
        <w:rPr>
          <w:rStyle w:val="30"/>
          <w:rFonts w:hint="eastAsia" w:ascii="仿宋" w:hAnsi="仿宋" w:eastAsia="仿宋"/>
          <w:b w:val="0"/>
          <w:bCs w:val="0"/>
        </w:rPr>
        <w:t>十、</w:t>
      </w:r>
      <w:bookmarkEnd w:id="73"/>
      <w:r>
        <w:rPr>
          <w:rFonts w:hint="eastAsia" w:ascii="仿宋" w:hAnsi="仿宋" w:eastAsia="仿宋"/>
          <w:b w:val="0"/>
        </w:rPr>
        <w:t>政</w:t>
      </w:r>
      <w:r>
        <w:rPr>
          <w:rStyle w:val="30"/>
          <w:rFonts w:hint="eastAsia" w:ascii="仿宋" w:hAnsi="仿宋" w:eastAsia="仿宋"/>
          <w:b w:val="0"/>
          <w:bCs w:val="0"/>
        </w:rPr>
        <w:t>府性基金预算财政拨款收入支出决算表</w:t>
      </w:r>
    </w:p>
    <w:tbl>
      <w:tblPr>
        <w:tblStyle w:val="16"/>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416"/>
        <w:gridCol w:w="416"/>
        <w:gridCol w:w="2489"/>
        <w:gridCol w:w="615"/>
        <w:gridCol w:w="1056"/>
        <w:gridCol w:w="615"/>
        <w:gridCol w:w="615"/>
        <w:gridCol w:w="616"/>
        <w:gridCol w:w="12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5000" w:type="pct"/>
            <w:gridSpan w:val="10"/>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4"/>
                <w:szCs w:val="24"/>
                <w:u w:val="none"/>
              </w:rPr>
            </w:pPr>
            <w:bookmarkStart w:id="74" w:name="_Toc15396629"/>
            <w:r>
              <w:rPr>
                <w:rFonts w:hint="eastAsia" w:ascii="宋体" w:hAnsi="宋体" w:eastAsia="宋体" w:cs="宋体"/>
                <w:i w:val="0"/>
                <w:iCs w:val="0"/>
                <w:color w:val="000000"/>
                <w:kern w:val="0"/>
                <w:sz w:val="24"/>
                <w:szCs w:val="24"/>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trPr>
        <w:tc>
          <w:tcPr>
            <w:tcW w:w="5000" w:type="pct"/>
            <w:gridSpan w:val="10"/>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（信息中心2023年本表无数据）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3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30"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267"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9"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财决公开10表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58" w:type="pct"/>
            <w:gridSpan w:val="4"/>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单位名称：四川省经济和信息化厅信息中心</w:t>
            </w:r>
          </w:p>
        </w:tc>
        <w:tc>
          <w:tcPr>
            <w:tcW w:w="556"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556"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2023年度</w:t>
            </w:r>
          </w:p>
        </w:tc>
        <w:tc>
          <w:tcPr>
            <w:tcW w:w="556"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556"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556"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559"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391" w:type="pct"/>
            <w:gridSpan w:val="3"/>
            <w:vMerge w:val="restart"/>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267"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56"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年初结转和结余</w:t>
            </w:r>
          </w:p>
        </w:tc>
        <w:tc>
          <w:tcPr>
            <w:tcW w:w="556"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1668" w:type="pct"/>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c>
          <w:tcPr>
            <w:tcW w:w="559"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391" w:type="pct"/>
            <w:gridSpan w:val="3"/>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267"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56"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556"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391" w:type="pct"/>
            <w:gridSpan w:val="3"/>
            <w:vMerge w:val="continue"/>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267"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6"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130" w:type="pc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130"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130"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267"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bl>
    <w:p>
      <w:pPr>
        <w:pStyle w:val="4"/>
        <w:pageBreakBefore w:val="0"/>
        <w:kinsoku/>
        <w:wordWrap/>
        <w:overflowPunct/>
        <w:topLinePunct w:val="0"/>
        <w:bidi w:val="0"/>
        <w:spacing w:before="0" w:after="0" w:line="576" w:lineRule="exact"/>
        <w:jc w:val="both"/>
        <w:outlineLvl w:val="9"/>
        <w:rPr>
          <w:rStyle w:val="30"/>
          <w:rFonts w:hint="eastAsia" w:ascii="仿宋" w:hAnsi="仿宋" w:eastAsia="仿宋"/>
          <w:b w:val="0"/>
          <w:bCs w:val="0"/>
        </w:rPr>
      </w:pPr>
    </w:p>
    <w:p>
      <w:pPr>
        <w:pageBreakBefore w:val="0"/>
        <w:kinsoku/>
        <w:wordWrap/>
        <w:overflowPunct/>
        <w:topLinePunct w:val="0"/>
        <w:bidi w:val="0"/>
        <w:spacing w:line="576" w:lineRule="exact"/>
        <w:jc w:val="both"/>
        <w:rPr>
          <w:rStyle w:val="30"/>
          <w:rFonts w:hint="eastAsia" w:ascii="仿宋" w:hAnsi="仿宋" w:eastAsia="仿宋"/>
          <w:b w:val="0"/>
          <w:bCs w:val="0"/>
        </w:rPr>
      </w:pPr>
    </w:p>
    <w:p>
      <w:pPr>
        <w:pStyle w:val="6"/>
        <w:pageBreakBefore w:val="0"/>
        <w:kinsoku/>
        <w:wordWrap/>
        <w:overflowPunct/>
        <w:topLinePunct w:val="0"/>
        <w:bidi w:val="0"/>
        <w:spacing w:line="576" w:lineRule="exact"/>
        <w:jc w:val="both"/>
        <w:rPr>
          <w:rStyle w:val="30"/>
          <w:rFonts w:hint="eastAsia" w:ascii="仿宋" w:hAnsi="仿宋" w:eastAsia="仿宋"/>
          <w:b w:val="0"/>
          <w:bCs w:val="0"/>
        </w:rPr>
      </w:pPr>
    </w:p>
    <w:p>
      <w:pPr>
        <w:pStyle w:val="6"/>
        <w:pageBreakBefore w:val="0"/>
        <w:kinsoku/>
        <w:wordWrap/>
        <w:overflowPunct/>
        <w:topLinePunct w:val="0"/>
        <w:bidi w:val="0"/>
        <w:spacing w:line="576" w:lineRule="exact"/>
        <w:jc w:val="both"/>
        <w:rPr>
          <w:rStyle w:val="30"/>
          <w:rFonts w:hint="eastAsia" w:ascii="仿宋" w:hAnsi="仿宋" w:eastAsia="仿宋"/>
          <w:b w:val="0"/>
          <w:bCs w:val="0"/>
        </w:rPr>
      </w:pPr>
    </w:p>
    <w:p>
      <w:pPr>
        <w:pStyle w:val="4"/>
        <w:pageBreakBefore w:val="0"/>
        <w:kinsoku/>
        <w:wordWrap/>
        <w:overflowPunct/>
        <w:topLinePunct w:val="0"/>
        <w:bidi w:val="0"/>
        <w:spacing w:before="0" w:after="0" w:line="576" w:lineRule="exact"/>
        <w:jc w:val="both"/>
        <w:rPr>
          <w:rFonts w:ascii="仿宋" w:hAnsi="仿宋" w:eastAsia="仿宋"/>
        </w:rPr>
      </w:pPr>
      <w:r>
        <w:rPr>
          <w:rStyle w:val="30"/>
          <w:rFonts w:hint="eastAsia" w:ascii="仿宋" w:hAnsi="仿宋" w:eastAsia="仿宋"/>
          <w:b w:val="0"/>
          <w:bCs w:val="0"/>
        </w:rPr>
        <w:t>十一、</w:t>
      </w:r>
      <w:bookmarkEnd w:id="74"/>
      <w:r>
        <w:rPr>
          <w:rFonts w:hint="eastAsia" w:ascii="仿宋" w:hAnsi="仿宋" w:eastAsia="仿宋"/>
          <w:b w:val="0"/>
        </w:rPr>
        <w:t>国</w:t>
      </w:r>
      <w:r>
        <w:rPr>
          <w:rStyle w:val="30"/>
          <w:rFonts w:hint="eastAsia" w:ascii="仿宋" w:hAnsi="仿宋" w:eastAsia="仿宋"/>
          <w:b w:val="0"/>
          <w:bCs w:val="0"/>
        </w:rPr>
        <w:t>有资本经营预算财政拨款收入支出决算表</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66"/>
        <w:gridCol w:w="396"/>
        <w:gridCol w:w="396"/>
        <w:gridCol w:w="1151"/>
        <w:gridCol w:w="1060"/>
        <w:gridCol w:w="628"/>
        <w:gridCol w:w="628"/>
        <w:gridCol w:w="11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5000" w:type="pct"/>
            <w:gridSpan w:val="8"/>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bookmarkStart w:id="75" w:name="_Toc15396630"/>
            <w:r>
              <w:rPr>
                <w:rFonts w:hint="eastAsia" w:ascii="宋体" w:hAnsi="宋体" w:eastAsia="宋体" w:cs="宋体"/>
                <w:i w:val="0"/>
                <w:iCs w:val="0"/>
                <w:color w:val="000000"/>
                <w:kern w:val="0"/>
                <w:sz w:val="22"/>
                <w:szCs w:val="22"/>
                <w:u w:val="none"/>
                <w:lang w:val="en-US" w:eastAsia="zh-CN" w:bidi="ar"/>
              </w:rPr>
              <w:t>国有资本经营预算财政拨款收入支出决算表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trPr>
        <w:tc>
          <w:tcPr>
            <w:tcW w:w="5000" w:type="pct"/>
            <w:gridSpan w:val="8"/>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（信息中心2023年本表无数据）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37"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16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16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69"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16"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46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46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18"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财决公开11表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37" w:type="pct"/>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单位名称：四川省经济和信息化厅信息中心</w:t>
            </w:r>
          </w:p>
        </w:tc>
        <w:tc>
          <w:tcPr>
            <w:tcW w:w="166"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166"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69" w:type="pct"/>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16"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2023年度</w:t>
            </w:r>
          </w:p>
        </w:tc>
        <w:tc>
          <w:tcPr>
            <w:tcW w:w="46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46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718"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2640" w:type="pct"/>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716"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年初结转和结余</w:t>
            </w:r>
          </w:p>
        </w:tc>
        <w:tc>
          <w:tcPr>
            <w:tcW w:w="462"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w:t>
            </w:r>
          </w:p>
        </w:tc>
        <w:tc>
          <w:tcPr>
            <w:tcW w:w="462"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w:t>
            </w:r>
          </w:p>
        </w:tc>
        <w:tc>
          <w:tcPr>
            <w:tcW w:w="718" w:type="pct"/>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871" w:type="pct"/>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769"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716"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462"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462"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18"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 w:hRule="atLeast"/>
        </w:trPr>
        <w:tc>
          <w:tcPr>
            <w:tcW w:w="187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69"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16"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462"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462"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18"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 w:hRule="atLeast"/>
        </w:trPr>
        <w:tc>
          <w:tcPr>
            <w:tcW w:w="187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69"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16"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462"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462"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c>
          <w:tcPr>
            <w:tcW w:w="718" w:type="pct"/>
            <w:vMerge w:val="continue"/>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1537" w:type="pc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类</w:t>
            </w:r>
          </w:p>
        </w:tc>
        <w:tc>
          <w:tcPr>
            <w:tcW w:w="166"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款</w:t>
            </w:r>
          </w:p>
        </w:tc>
        <w:tc>
          <w:tcPr>
            <w:tcW w:w="166"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69"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3"/>
                <w:szCs w:val="13"/>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3"/>
                <w:szCs w:val="13"/>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3"/>
                <w:szCs w:val="13"/>
                <w:u w:val="none"/>
              </w:rPr>
            </w:pP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3"/>
                <w:szCs w:val="13"/>
                <w:u w:val="none"/>
              </w:rPr>
            </w:pPr>
          </w:p>
        </w:tc>
      </w:tr>
    </w:tbl>
    <w:p>
      <w:pPr>
        <w:pStyle w:val="4"/>
        <w:pageBreakBefore w:val="0"/>
        <w:kinsoku/>
        <w:wordWrap/>
        <w:overflowPunct/>
        <w:topLinePunct w:val="0"/>
        <w:bidi w:val="0"/>
        <w:spacing w:line="576" w:lineRule="exact"/>
        <w:jc w:val="both"/>
        <w:rPr>
          <w:rFonts w:ascii="仿宋" w:hAnsi="仿宋" w:eastAsia="仿宋"/>
        </w:rPr>
      </w:pPr>
      <w:r>
        <w:rPr>
          <w:rStyle w:val="30"/>
          <w:rFonts w:hint="eastAsia" w:ascii="仿宋" w:hAnsi="仿宋" w:eastAsia="仿宋"/>
          <w:b w:val="0"/>
          <w:bCs w:val="0"/>
        </w:rPr>
        <w:t>十二、</w:t>
      </w:r>
      <w:bookmarkEnd w:id="75"/>
      <w:r>
        <w:rPr>
          <w:rStyle w:val="30"/>
          <w:rFonts w:hint="eastAsia" w:ascii="仿宋" w:hAnsi="仿宋" w:eastAsia="仿宋"/>
          <w:b w:val="0"/>
          <w:bCs w:val="0"/>
        </w:rPr>
        <w:t>国有资本经营预算财政拨款支出决算表</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416"/>
        <w:gridCol w:w="416"/>
        <w:gridCol w:w="2699"/>
        <w:gridCol w:w="1521"/>
        <w:gridCol w:w="1516"/>
        <w:gridCol w:w="1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5000" w:type="pct"/>
            <w:gridSpan w:val="7"/>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4"/>
                <w:szCs w:val="24"/>
                <w:u w:val="none"/>
              </w:rPr>
            </w:pPr>
            <w:bookmarkStart w:id="76" w:name="_Toc15396631"/>
            <w:r>
              <w:rPr>
                <w:rFonts w:hint="eastAsia" w:ascii="宋体" w:hAnsi="宋体" w:eastAsia="宋体" w:cs="宋体"/>
                <w:i w:val="0"/>
                <w:iCs w:val="0"/>
                <w:color w:val="000000"/>
                <w:kern w:val="0"/>
                <w:sz w:val="24"/>
                <w:szCs w:val="24"/>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trPr>
        <w:tc>
          <w:tcPr>
            <w:tcW w:w="5000" w:type="pct"/>
            <w:gridSpan w:val="7"/>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（信息中心2023年本表无数据）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7"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4"/>
                <w:szCs w:val="24"/>
                <w:u w:val="none"/>
              </w:rPr>
            </w:pPr>
          </w:p>
        </w:tc>
        <w:tc>
          <w:tcPr>
            <w:tcW w:w="167"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4"/>
                <w:szCs w:val="24"/>
                <w:u w:val="none"/>
              </w:rPr>
            </w:pPr>
          </w:p>
        </w:tc>
        <w:tc>
          <w:tcPr>
            <w:tcW w:w="167"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4"/>
                <w:szCs w:val="24"/>
                <w:u w:val="none"/>
              </w:rPr>
            </w:pPr>
          </w:p>
        </w:tc>
        <w:tc>
          <w:tcPr>
            <w:tcW w:w="1642"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4"/>
                <w:szCs w:val="24"/>
                <w:u w:val="none"/>
              </w:rPr>
            </w:pPr>
          </w:p>
        </w:tc>
        <w:tc>
          <w:tcPr>
            <w:tcW w:w="951"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4"/>
                <w:szCs w:val="24"/>
                <w:u w:val="none"/>
              </w:rPr>
            </w:pPr>
          </w:p>
        </w:tc>
        <w:tc>
          <w:tcPr>
            <w:tcW w:w="94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4"/>
                <w:szCs w:val="24"/>
                <w:u w:val="none"/>
              </w:rPr>
            </w:pPr>
          </w:p>
        </w:tc>
        <w:tc>
          <w:tcPr>
            <w:tcW w:w="954"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财决公开12表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44" w:type="pct"/>
            <w:gridSpan w:val="4"/>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单位名称：四川省经济和信息化厅信息中心</w:t>
            </w:r>
          </w:p>
        </w:tc>
        <w:tc>
          <w:tcPr>
            <w:tcW w:w="951"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2023年度</w:t>
            </w:r>
          </w:p>
        </w:tc>
        <w:tc>
          <w:tcPr>
            <w:tcW w:w="948" w:type="pct"/>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954"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2144" w:type="pct"/>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2855" w:type="pct"/>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501" w:type="pct"/>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642"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951"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48"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954" w:type="pct"/>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50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642"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951"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948"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954"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50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1642"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951"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948"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c>
          <w:tcPr>
            <w:tcW w:w="954" w:type="pct"/>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167" w:type="pc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167"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167"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642" w:type="pc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9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5"/>
                <w:szCs w:val="15"/>
                <w:u w:val="none"/>
              </w:rPr>
            </w:pPr>
          </w:p>
        </w:tc>
      </w:tr>
    </w:tbl>
    <w:p>
      <w:pPr>
        <w:pStyle w:val="4"/>
        <w:pageBreakBefore w:val="0"/>
        <w:kinsoku/>
        <w:wordWrap/>
        <w:overflowPunct/>
        <w:topLinePunct w:val="0"/>
        <w:bidi w:val="0"/>
        <w:spacing w:before="0" w:after="0" w:line="576" w:lineRule="exact"/>
        <w:jc w:val="both"/>
        <w:outlineLvl w:val="9"/>
        <w:rPr>
          <w:rStyle w:val="30"/>
          <w:rFonts w:hint="eastAsia" w:ascii="仿宋" w:hAnsi="仿宋" w:eastAsia="仿宋"/>
          <w:b w:val="0"/>
          <w:bCs w:val="0"/>
        </w:rPr>
      </w:pPr>
    </w:p>
    <w:p>
      <w:pPr>
        <w:pageBreakBefore w:val="0"/>
        <w:kinsoku/>
        <w:wordWrap/>
        <w:overflowPunct/>
        <w:topLinePunct w:val="0"/>
        <w:bidi w:val="0"/>
        <w:spacing w:line="576" w:lineRule="exact"/>
        <w:jc w:val="both"/>
        <w:rPr>
          <w:rStyle w:val="30"/>
          <w:rFonts w:hint="eastAsia" w:ascii="仿宋" w:hAnsi="仿宋" w:eastAsia="仿宋"/>
          <w:b w:val="0"/>
          <w:bCs w:val="0"/>
        </w:rPr>
      </w:pPr>
    </w:p>
    <w:p>
      <w:pPr>
        <w:pageBreakBefore w:val="0"/>
        <w:kinsoku/>
        <w:wordWrap/>
        <w:overflowPunct/>
        <w:topLinePunct w:val="0"/>
        <w:bidi w:val="0"/>
        <w:spacing w:line="576" w:lineRule="exact"/>
        <w:jc w:val="both"/>
        <w:rPr>
          <w:rStyle w:val="30"/>
          <w:rFonts w:hint="eastAsia" w:ascii="仿宋" w:hAnsi="仿宋" w:eastAsia="仿宋"/>
          <w:b w:val="0"/>
          <w:bCs w:val="0"/>
        </w:rPr>
      </w:pPr>
    </w:p>
    <w:p>
      <w:pPr>
        <w:pageBreakBefore w:val="0"/>
        <w:kinsoku/>
        <w:wordWrap/>
        <w:overflowPunct/>
        <w:topLinePunct w:val="0"/>
        <w:bidi w:val="0"/>
        <w:spacing w:line="576" w:lineRule="exact"/>
        <w:jc w:val="both"/>
        <w:rPr>
          <w:rStyle w:val="30"/>
          <w:rFonts w:hint="eastAsia" w:ascii="仿宋" w:hAnsi="仿宋" w:eastAsia="仿宋"/>
          <w:b w:val="0"/>
          <w:bCs w:val="0"/>
        </w:rPr>
      </w:pPr>
    </w:p>
    <w:bookmarkEnd w:id="76"/>
    <w:p>
      <w:pPr>
        <w:pageBreakBefore w:val="0"/>
        <w:numPr>
          <w:ilvl w:val="0"/>
          <w:numId w:val="3"/>
        </w:numPr>
        <w:kinsoku/>
        <w:wordWrap/>
        <w:overflowPunct/>
        <w:topLinePunct w:val="0"/>
        <w:bidi w:val="0"/>
        <w:spacing w:line="576" w:lineRule="exact"/>
        <w:jc w:val="both"/>
        <w:rPr>
          <w:rStyle w:val="30"/>
          <w:rFonts w:hint="eastAsia" w:ascii="仿宋" w:hAnsi="仿宋" w:eastAsia="仿宋"/>
          <w:b w:val="0"/>
          <w:bCs w:val="0"/>
        </w:rPr>
        <w:sectPr>
          <w:pgSz w:w="11906" w:h="16838"/>
          <w:pgMar w:top="1440" w:right="1803" w:bottom="1440" w:left="1803" w:header="851" w:footer="992" w:gutter="0"/>
          <w:cols w:space="0" w:num="1"/>
          <w:titlePg/>
          <w:rtlGutter w:val="0"/>
          <w:docGrid w:type="lines" w:linePitch="319" w:charSpace="0"/>
        </w:sectPr>
      </w:pPr>
    </w:p>
    <w:p>
      <w:pPr>
        <w:pageBreakBefore w:val="0"/>
        <w:numPr>
          <w:ilvl w:val="0"/>
          <w:numId w:val="3"/>
        </w:numPr>
        <w:kinsoku/>
        <w:wordWrap/>
        <w:overflowPunct/>
        <w:topLinePunct w:val="0"/>
        <w:bidi w:val="0"/>
        <w:spacing w:line="576" w:lineRule="exact"/>
        <w:jc w:val="both"/>
        <w:rPr>
          <w:rStyle w:val="30"/>
          <w:rFonts w:hint="eastAsia" w:ascii="仿宋" w:hAnsi="仿宋" w:eastAsia="仿宋"/>
          <w:b w:val="0"/>
          <w:bCs w:val="0"/>
        </w:rPr>
      </w:pPr>
      <w:r>
        <w:rPr>
          <w:rStyle w:val="30"/>
          <w:rFonts w:hint="eastAsia" w:ascii="仿宋" w:hAnsi="仿宋" w:eastAsia="仿宋"/>
          <w:b w:val="0"/>
          <w:bCs w:val="0"/>
        </w:rPr>
        <w:t>财政拨款“三公”经费支出决算表</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8"/>
        <w:gridCol w:w="534"/>
        <w:gridCol w:w="429"/>
        <w:gridCol w:w="523"/>
        <w:gridCol w:w="472"/>
        <w:gridCol w:w="747"/>
        <w:gridCol w:w="429"/>
        <w:gridCol w:w="535"/>
        <w:gridCol w:w="429"/>
        <w:gridCol w:w="522"/>
        <w:gridCol w:w="473"/>
        <w:gridCol w:w="747"/>
        <w:gridCol w:w="429"/>
        <w:gridCol w:w="1066"/>
        <w:gridCol w:w="429"/>
        <w:gridCol w:w="641"/>
        <w:gridCol w:w="641"/>
        <w:gridCol w:w="747"/>
        <w:gridCol w:w="429"/>
        <w:gridCol w:w="1066"/>
        <w:gridCol w:w="429"/>
        <w:gridCol w:w="641"/>
        <w:gridCol w:w="641"/>
        <w:gridCol w:w="7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0" w:type="auto"/>
            <w:gridSpan w:val="24"/>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0" w:type="auto"/>
            <w:gridSpan w:val="24"/>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财决公开13表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0" w:type="auto"/>
            <w:gridSpan w:val="11"/>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3"/>
                <w:szCs w:val="13"/>
                <w:u w:val="none"/>
                <w:lang w:val="en-US" w:eastAsia="zh-CN" w:bidi="ar"/>
              </w:rPr>
              <w:t>单位名称：四川省经济和信息化厅信息中心</w:t>
            </w:r>
          </w:p>
        </w:tc>
        <w:tc>
          <w:tcPr>
            <w:tcW w:w="0" w:type="auto"/>
            <w:gridSpan w:val="8"/>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2023年度</w:t>
            </w: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gridSpan w:val="3"/>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预算数</w:t>
            </w:r>
          </w:p>
        </w:tc>
        <w:tc>
          <w:tcPr>
            <w:tcW w:w="0" w:type="auto"/>
            <w:gridSpan w:val="18"/>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合计</w:t>
            </w:r>
          </w:p>
        </w:tc>
        <w:tc>
          <w:tcPr>
            <w:tcW w:w="0" w:type="auto"/>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因公出国（境）费用</w:t>
            </w:r>
          </w:p>
        </w:tc>
        <w:tc>
          <w:tcPr>
            <w:tcW w:w="0" w:type="auto"/>
            <w:gridSpan w:val="3"/>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公务用车购置及运行费</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公务接待费</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合计</w:t>
            </w:r>
          </w:p>
        </w:tc>
        <w:tc>
          <w:tcPr>
            <w:tcW w:w="0" w:type="auto"/>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因公出国（境）费</w:t>
            </w:r>
          </w:p>
        </w:tc>
        <w:tc>
          <w:tcPr>
            <w:tcW w:w="0" w:type="auto"/>
            <w:gridSpan w:val="3"/>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公务用车购置及运行费</w:t>
            </w:r>
          </w:p>
        </w:tc>
        <w:tc>
          <w:tcPr>
            <w:tcW w:w="0" w:type="auto"/>
            <w:vMerge w:val="restart"/>
            <w:tcBorders>
              <w:top w:val="nil"/>
              <w:left w:val="nil"/>
              <w:bottom w:val="single" w:color="000000" w:sz="4" w:space="0"/>
              <w:right w:val="nil"/>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公务接待费</w:t>
            </w:r>
          </w:p>
        </w:tc>
        <w:tc>
          <w:tcPr>
            <w:tcW w:w="0" w:type="auto"/>
            <w:gridSpan w:val="6"/>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其中：一般公共预算财政拨款</w:t>
            </w:r>
          </w:p>
        </w:tc>
        <w:tc>
          <w:tcPr>
            <w:tcW w:w="0" w:type="auto"/>
            <w:gridSpan w:val="6"/>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其中：政府性基金预算财政拨款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0" w:type="auto"/>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公务用车购置费</w:t>
            </w:r>
          </w:p>
        </w:tc>
        <w:tc>
          <w:tcPr>
            <w:tcW w:w="0" w:type="auto"/>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公务用车运行费</w:t>
            </w:r>
          </w:p>
        </w:tc>
        <w:tc>
          <w:tcPr>
            <w:tcW w:w="0" w:type="auto"/>
            <w:vMerge w:val="continue"/>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0" w:type="auto"/>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公务用车 </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购置费</w:t>
            </w:r>
          </w:p>
        </w:tc>
        <w:tc>
          <w:tcPr>
            <w:tcW w:w="0" w:type="auto"/>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公务用车 </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运行费</w:t>
            </w:r>
          </w:p>
        </w:tc>
        <w:tc>
          <w:tcPr>
            <w:tcW w:w="0" w:type="auto"/>
            <w:vMerge w:val="continue"/>
            <w:tcBorders>
              <w:top w:val="nil"/>
              <w:left w:val="nil"/>
              <w:bottom w:val="single" w:color="000000" w:sz="4" w:space="0"/>
              <w:right w:val="nil"/>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因公出国（境）费</w:t>
            </w:r>
          </w:p>
        </w:tc>
        <w:tc>
          <w:tcPr>
            <w:tcW w:w="0" w:type="auto"/>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公务用车购置及运行费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公务接待费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因公出国（境）费</w:t>
            </w:r>
          </w:p>
        </w:tc>
        <w:tc>
          <w:tcPr>
            <w:tcW w:w="0" w:type="auto"/>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公务用车购置及运行费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000000" w:sz="4" w:space="0"/>
              <w:right w:val="nil"/>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公务用车 </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购置费</w:t>
            </w:r>
          </w:p>
        </w:tc>
        <w:tc>
          <w:tcPr>
            <w:tcW w:w="0" w:type="auto"/>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公务用车 </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运行费</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公务用车 </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购置费</w:t>
            </w:r>
          </w:p>
        </w:tc>
        <w:tc>
          <w:tcPr>
            <w:tcW w:w="0" w:type="auto"/>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公务用车 </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运行费</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1.43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1.43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1.43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1.43</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0"/>
                <w:szCs w:val="1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i w:val="0"/>
                <w:iCs w:val="0"/>
                <w:color w:val="000000"/>
                <w:sz w:val="11"/>
                <w:szCs w:val="11"/>
                <w:u w:val="none"/>
              </w:rPr>
            </w:pPr>
          </w:p>
        </w:tc>
      </w:tr>
    </w:tbl>
    <w:sdt>
      <w:sdtPr>
        <w:rPr>
          <w:rFonts w:ascii="宋体" w:hAnsi="宋体" w:eastAsia="宋体" w:cs="Times New Roman"/>
          <w:kern w:val="2"/>
          <w:sz w:val="21"/>
          <w:szCs w:val="24"/>
          <w:lang w:val="en-US" w:eastAsia="zh-CN" w:bidi="ar-SA"/>
        </w:rPr>
        <w:id w:val="147482563"/>
        <w15:color w:val="DBDBDB"/>
        <w:docPartObj>
          <w:docPartGallery w:val="Table of Contents"/>
          <w:docPartUnique/>
        </w:docPartObj>
      </w:sdtPr>
      <w:sdtEndPr>
        <w:rPr>
          <w:rFonts w:hint="eastAsia" w:ascii="仿宋" w:hAnsi="仿宋" w:eastAsia="仿宋" w:cs="Times New Roman"/>
          <w:bCs w:val="0"/>
          <w:kern w:val="2"/>
          <w:sz w:val="21"/>
          <w:szCs w:val="24"/>
          <w:lang w:val="en-US" w:eastAsia="zh-CN" w:bidi="ar-SA"/>
        </w:rPr>
      </w:sdtEndPr>
      <w:sdtContent>
        <w:p>
          <w:pPr>
            <w:pageBreakBefore w:val="0"/>
            <w:numPr>
              <w:ilvl w:val="0"/>
              <w:numId w:val="0"/>
            </w:numPr>
            <w:kinsoku/>
            <w:wordWrap/>
            <w:overflowPunct/>
            <w:topLinePunct w:val="0"/>
            <w:bidi w:val="0"/>
            <w:spacing w:line="576" w:lineRule="exact"/>
            <w:jc w:val="both"/>
            <w:rPr>
              <w:rFonts w:hint="eastAsia" w:ascii="仿宋" w:hAnsi="仿宋" w:eastAsia="仿宋" w:cs="Times New Roman"/>
              <w:bCs w:val="0"/>
              <w:kern w:val="2"/>
              <w:sz w:val="21"/>
              <w:szCs w:val="24"/>
              <w:lang w:val="en-US" w:eastAsia="zh-CN" w:bidi="ar-SA"/>
            </w:rPr>
            <w:sectPr>
              <w:pgSz w:w="16838" w:h="11906" w:orient="landscape"/>
              <w:pgMar w:top="1803" w:right="1440" w:bottom="1803" w:left="1440" w:header="851" w:footer="992" w:gutter="0"/>
              <w:cols w:space="0" w:num="1"/>
              <w:titlePg/>
              <w:rtlGutter w:val="0"/>
              <w:docGrid w:type="lines" w:linePitch="319" w:charSpace="0"/>
            </w:sectPr>
          </w:pPr>
        </w:p>
      </w:sdtContent>
    </w:sdt>
    <w:p>
      <w:pPr>
        <w:pStyle w:val="6"/>
        <w:pageBreakBefore w:val="0"/>
        <w:kinsoku/>
        <w:wordWrap/>
        <w:overflowPunct/>
        <w:topLinePunct w:val="0"/>
        <w:bidi w:val="0"/>
        <w:spacing w:line="576" w:lineRule="exact"/>
        <w:jc w:val="both"/>
        <w:rPr>
          <w:rFonts w:hint="eastAsia"/>
        </w:rPr>
      </w:pPr>
    </w:p>
    <w:sectPr>
      <w:pgSz w:w="16838" w:h="11906" w:orient="landscape"/>
      <w:pgMar w:top="1803" w:right="1440" w:bottom="1803" w:left="1440" w:header="851" w:footer="992" w:gutter="0"/>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6C6923"/>
    <w:multiLevelType w:val="singleLevel"/>
    <w:tmpl w:val="C36C6923"/>
    <w:lvl w:ilvl="0" w:tentative="0">
      <w:start w:val="13"/>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4NTQ0ODJiYWEyYjIyZjQ5YzgyMmZmMjJjYWY1MDkifQ=="/>
    <w:docVar w:name="KSO_WPS_MARK_KEY" w:val="fd3f7fdb-0f56-49e1-9ff7-b8719d96215a"/>
  </w:docVars>
  <w:rsids>
    <w:rsidRoot w:val="00172A27"/>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7A2236"/>
    <w:rsid w:val="024C492F"/>
    <w:rsid w:val="03DC2831"/>
    <w:rsid w:val="06B50CF4"/>
    <w:rsid w:val="081B5E94"/>
    <w:rsid w:val="0A2032A3"/>
    <w:rsid w:val="0B8A37D8"/>
    <w:rsid w:val="0D2C0806"/>
    <w:rsid w:val="0F005092"/>
    <w:rsid w:val="0F5FFB2F"/>
    <w:rsid w:val="0FFFCF60"/>
    <w:rsid w:val="10C055FF"/>
    <w:rsid w:val="118107EC"/>
    <w:rsid w:val="11DD6519"/>
    <w:rsid w:val="16BB723D"/>
    <w:rsid w:val="18015F3F"/>
    <w:rsid w:val="18A428FA"/>
    <w:rsid w:val="1BE8440E"/>
    <w:rsid w:val="1D155CEE"/>
    <w:rsid w:val="1D741063"/>
    <w:rsid w:val="1FDBBF84"/>
    <w:rsid w:val="20F57F95"/>
    <w:rsid w:val="240371BF"/>
    <w:rsid w:val="25711CC6"/>
    <w:rsid w:val="25C741E6"/>
    <w:rsid w:val="265159A9"/>
    <w:rsid w:val="276F80C0"/>
    <w:rsid w:val="27842671"/>
    <w:rsid w:val="29FD04D3"/>
    <w:rsid w:val="2ABE7A3E"/>
    <w:rsid w:val="2AFF09B6"/>
    <w:rsid w:val="2BE9DE4F"/>
    <w:rsid w:val="2CA234A8"/>
    <w:rsid w:val="2EFA178C"/>
    <w:rsid w:val="2EFDF86C"/>
    <w:rsid w:val="2F9D17E1"/>
    <w:rsid w:val="2FB03999"/>
    <w:rsid w:val="2FFBF4DB"/>
    <w:rsid w:val="30B46D73"/>
    <w:rsid w:val="319F7F4E"/>
    <w:rsid w:val="356A28F1"/>
    <w:rsid w:val="357C035A"/>
    <w:rsid w:val="368E000D"/>
    <w:rsid w:val="383D272C"/>
    <w:rsid w:val="39AE70AB"/>
    <w:rsid w:val="3A4DCE41"/>
    <w:rsid w:val="3BCB56FA"/>
    <w:rsid w:val="3BCBF531"/>
    <w:rsid w:val="3BE78B6C"/>
    <w:rsid w:val="3C0C0783"/>
    <w:rsid w:val="3EE7C2F4"/>
    <w:rsid w:val="3F371B56"/>
    <w:rsid w:val="3F6F68B0"/>
    <w:rsid w:val="3F792ED8"/>
    <w:rsid w:val="3F9F3A96"/>
    <w:rsid w:val="3FECA4B2"/>
    <w:rsid w:val="3FEF50F0"/>
    <w:rsid w:val="3FF58C48"/>
    <w:rsid w:val="3FFB0B11"/>
    <w:rsid w:val="3FFDC183"/>
    <w:rsid w:val="42FF6694"/>
    <w:rsid w:val="47FA6E4B"/>
    <w:rsid w:val="48BF60AB"/>
    <w:rsid w:val="493C27E9"/>
    <w:rsid w:val="496F39ED"/>
    <w:rsid w:val="49FF41D3"/>
    <w:rsid w:val="4B5B47F9"/>
    <w:rsid w:val="4BE068DB"/>
    <w:rsid w:val="4BF6002B"/>
    <w:rsid w:val="4BFFC6BE"/>
    <w:rsid w:val="4D970721"/>
    <w:rsid w:val="4ECE2238"/>
    <w:rsid w:val="4F734BFD"/>
    <w:rsid w:val="4FAABDAC"/>
    <w:rsid w:val="4FECC14C"/>
    <w:rsid w:val="4FF724A3"/>
    <w:rsid w:val="50FE2DF4"/>
    <w:rsid w:val="51DB4B86"/>
    <w:rsid w:val="51F64DB0"/>
    <w:rsid w:val="53E538C1"/>
    <w:rsid w:val="55333C3E"/>
    <w:rsid w:val="5577C728"/>
    <w:rsid w:val="55BEEF4F"/>
    <w:rsid w:val="56EF47D3"/>
    <w:rsid w:val="56FF9429"/>
    <w:rsid w:val="5B59B257"/>
    <w:rsid w:val="5F67802D"/>
    <w:rsid w:val="5F7DC4F2"/>
    <w:rsid w:val="5FB36814"/>
    <w:rsid w:val="5FBB8E56"/>
    <w:rsid w:val="5FFB5535"/>
    <w:rsid w:val="64CA39A1"/>
    <w:rsid w:val="670B0F91"/>
    <w:rsid w:val="67F626F1"/>
    <w:rsid w:val="69630ADE"/>
    <w:rsid w:val="69BD5F13"/>
    <w:rsid w:val="69FB0B4B"/>
    <w:rsid w:val="6AFE4DBA"/>
    <w:rsid w:val="6BFFE1FB"/>
    <w:rsid w:val="6C4A05C8"/>
    <w:rsid w:val="6D3B1A89"/>
    <w:rsid w:val="6D3BE631"/>
    <w:rsid w:val="6DB7D8A3"/>
    <w:rsid w:val="6DEDAF20"/>
    <w:rsid w:val="6E2F8F93"/>
    <w:rsid w:val="6EC78701"/>
    <w:rsid w:val="6F2F5865"/>
    <w:rsid w:val="6F6DF3FE"/>
    <w:rsid w:val="6F7A5481"/>
    <w:rsid w:val="6FBEB679"/>
    <w:rsid w:val="6FD22D01"/>
    <w:rsid w:val="6FEF08A6"/>
    <w:rsid w:val="6FFE07A9"/>
    <w:rsid w:val="703C193D"/>
    <w:rsid w:val="71BF4EC2"/>
    <w:rsid w:val="72734D90"/>
    <w:rsid w:val="736EFF82"/>
    <w:rsid w:val="73E75B71"/>
    <w:rsid w:val="7412278C"/>
    <w:rsid w:val="757AF4C7"/>
    <w:rsid w:val="75DDCDA9"/>
    <w:rsid w:val="75FF44B1"/>
    <w:rsid w:val="76DB2B7D"/>
    <w:rsid w:val="773B9914"/>
    <w:rsid w:val="774B8D15"/>
    <w:rsid w:val="77670518"/>
    <w:rsid w:val="777DD600"/>
    <w:rsid w:val="777E878D"/>
    <w:rsid w:val="777F76A3"/>
    <w:rsid w:val="777FA627"/>
    <w:rsid w:val="77DF1B5F"/>
    <w:rsid w:val="77DF8C41"/>
    <w:rsid w:val="77EF2D9D"/>
    <w:rsid w:val="77F7109F"/>
    <w:rsid w:val="79E7B28D"/>
    <w:rsid w:val="79F3E7B3"/>
    <w:rsid w:val="7ACFF0C2"/>
    <w:rsid w:val="7AFB9108"/>
    <w:rsid w:val="7B7A2ED3"/>
    <w:rsid w:val="7BD5340C"/>
    <w:rsid w:val="7BF9676A"/>
    <w:rsid w:val="7BFB19D2"/>
    <w:rsid w:val="7BFD1750"/>
    <w:rsid w:val="7BFDAA1B"/>
    <w:rsid w:val="7BFF2E1A"/>
    <w:rsid w:val="7CDF9A82"/>
    <w:rsid w:val="7CFFA1BD"/>
    <w:rsid w:val="7D2E3F7A"/>
    <w:rsid w:val="7DB57C11"/>
    <w:rsid w:val="7DCB59EF"/>
    <w:rsid w:val="7DED9490"/>
    <w:rsid w:val="7DEE96E4"/>
    <w:rsid w:val="7DFE1349"/>
    <w:rsid w:val="7DFEC5A8"/>
    <w:rsid w:val="7DFF4872"/>
    <w:rsid w:val="7DFFD6B5"/>
    <w:rsid w:val="7E7487E6"/>
    <w:rsid w:val="7E7C2A54"/>
    <w:rsid w:val="7EEEFD72"/>
    <w:rsid w:val="7EEF24A4"/>
    <w:rsid w:val="7EFD3EA2"/>
    <w:rsid w:val="7F1D517C"/>
    <w:rsid w:val="7F5DA057"/>
    <w:rsid w:val="7F6C2237"/>
    <w:rsid w:val="7F7F319B"/>
    <w:rsid w:val="7F9F20EE"/>
    <w:rsid w:val="7FA9391C"/>
    <w:rsid w:val="7FBBE890"/>
    <w:rsid w:val="7FBC2ABD"/>
    <w:rsid w:val="7FBD6C68"/>
    <w:rsid w:val="7FBF5D48"/>
    <w:rsid w:val="7FCCFC01"/>
    <w:rsid w:val="7FDD1748"/>
    <w:rsid w:val="7FDD66E1"/>
    <w:rsid w:val="7FE769C6"/>
    <w:rsid w:val="7FFD083E"/>
    <w:rsid w:val="7FFF9372"/>
    <w:rsid w:val="7FFF968E"/>
    <w:rsid w:val="84BF1F3B"/>
    <w:rsid w:val="8B7F9395"/>
    <w:rsid w:val="8BEF6302"/>
    <w:rsid w:val="8F55B106"/>
    <w:rsid w:val="95DF317D"/>
    <w:rsid w:val="97E77C70"/>
    <w:rsid w:val="9E3A10E2"/>
    <w:rsid w:val="9FB91FBD"/>
    <w:rsid w:val="9FD54998"/>
    <w:rsid w:val="A671883B"/>
    <w:rsid w:val="A7EFD17F"/>
    <w:rsid w:val="A7FFE43F"/>
    <w:rsid w:val="AB7EE559"/>
    <w:rsid w:val="AD6DD925"/>
    <w:rsid w:val="B9D9D9F5"/>
    <w:rsid w:val="BAE6BF63"/>
    <w:rsid w:val="BB7F0DC8"/>
    <w:rsid w:val="BD37104B"/>
    <w:rsid w:val="BDFEA317"/>
    <w:rsid w:val="BF9FAA37"/>
    <w:rsid w:val="C7FC67F3"/>
    <w:rsid w:val="CD9BBABB"/>
    <w:rsid w:val="CF99F292"/>
    <w:rsid w:val="D5DA60B3"/>
    <w:rsid w:val="D6ADAA3B"/>
    <w:rsid w:val="D7C6F579"/>
    <w:rsid w:val="D8FECA92"/>
    <w:rsid w:val="D97CF476"/>
    <w:rsid w:val="DAFFBE66"/>
    <w:rsid w:val="DBD51DA3"/>
    <w:rsid w:val="DBF1177F"/>
    <w:rsid w:val="DCFB1A0E"/>
    <w:rsid w:val="DD2C0BFE"/>
    <w:rsid w:val="DDABD44C"/>
    <w:rsid w:val="DDF2FB99"/>
    <w:rsid w:val="DE3F332B"/>
    <w:rsid w:val="DE6F4A3D"/>
    <w:rsid w:val="DE7D0A21"/>
    <w:rsid w:val="DF69F8B0"/>
    <w:rsid w:val="DFC71555"/>
    <w:rsid w:val="DFF5F567"/>
    <w:rsid w:val="DFFC3BF8"/>
    <w:rsid w:val="DFFC559C"/>
    <w:rsid w:val="DFFEDFAE"/>
    <w:rsid w:val="DFFFB5EB"/>
    <w:rsid w:val="E3FB5716"/>
    <w:rsid w:val="E4B33E57"/>
    <w:rsid w:val="E5BF946A"/>
    <w:rsid w:val="E8EF4E09"/>
    <w:rsid w:val="EB39BD45"/>
    <w:rsid w:val="EBBCD7CB"/>
    <w:rsid w:val="EBCF1FC2"/>
    <w:rsid w:val="EBD18F66"/>
    <w:rsid w:val="ED17392C"/>
    <w:rsid w:val="ED9FFD9A"/>
    <w:rsid w:val="EDB7968B"/>
    <w:rsid w:val="EEF73F60"/>
    <w:rsid w:val="EFED9E42"/>
    <w:rsid w:val="EFFFB194"/>
    <w:rsid w:val="F0B79826"/>
    <w:rsid w:val="F2E1F9D4"/>
    <w:rsid w:val="F4F8EF79"/>
    <w:rsid w:val="F5E74A89"/>
    <w:rsid w:val="F5FF7449"/>
    <w:rsid w:val="F6F804B5"/>
    <w:rsid w:val="F732CA16"/>
    <w:rsid w:val="F7880819"/>
    <w:rsid w:val="F7AF180D"/>
    <w:rsid w:val="F7BDBFA7"/>
    <w:rsid w:val="F7F7F96D"/>
    <w:rsid w:val="F7FAD68F"/>
    <w:rsid w:val="F7FB14CF"/>
    <w:rsid w:val="F8FB820F"/>
    <w:rsid w:val="F9BB8A88"/>
    <w:rsid w:val="FB3FC69C"/>
    <w:rsid w:val="FBDFF225"/>
    <w:rsid w:val="FBF7AB63"/>
    <w:rsid w:val="FC2F3373"/>
    <w:rsid w:val="FCD8D377"/>
    <w:rsid w:val="FCF51535"/>
    <w:rsid w:val="FD6FF2A6"/>
    <w:rsid w:val="FD77F6B8"/>
    <w:rsid w:val="FD7B0E51"/>
    <w:rsid w:val="FDD69328"/>
    <w:rsid w:val="FDDFEC0E"/>
    <w:rsid w:val="FDE58BDD"/>
    <w:rsid w:val="FDEC7001"/>
    <w:rsid w:val="FEDFE87F"/>
    <w:rsid w:val="FEF1D25B"/>
    <w:rsid w:val="FEFFA70F"/>
    <w:rsid w:val="FF348CA5"/>
    <w:rsid w:val="FF3EF90F"/>
    <w:rsid w:val="FF673ACB"/>
    <w:rsid w:val="FF7FB088"/>
    <w:rsid w:val="FFAF6081"/>
    <w:rsid w:val="FFD800B2"/>
    <w:rsid w:val="FFDF09D4"/>
    <w:rsid w:val="FFE1DA40"/>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图表目录1"/>
    <w:basedOn w:val="1"/>
    <w:next w:val="1"/>
    <w:qFormat/>
    <w:uiPriority w:val="0"/>
    <w:pPr>
      <w:ind w:left="200" w:leftChars="200" w:hanging="200" w:hangingChars="200"/>
    </w:pPr>
    <w:rPr>
      <w:rFonts w:ascii="Times New Roman" w:hAnsi="Times New Roman" w:eastAsia="仿宋_GB2312"/>
      <w:sz w:val="32"/>
    </w:rPr>
  </w:style>
  <w:style w:type="paragraph" w:styleId="6">
    <w:name w:val="Body Text"/>
    <w:basedOn w:val="1"/>
    <w:link w:val="26"/>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2"/>
    <w:semiHidden/>
    <w:unhideWhenUsed/>
    <w:qFormat/>
    <w:uiPriority w:val="99"/>
    <w:rPr>
      <w:sz w:val="18"/>
      <w:szCs w:val="18"/>
    </w:rPr>
  </w:style>
  <w:style w:type="paragraph" w:styleId="10">
    <w:name w:val="footer"/>
    <w:basedOn w:val="1"/>
    <w:link w:val="24"/>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5">
    <w:name w:val="Body Text First Indent 2"/>
    <w:basedOn w:val="7"/>
    <w:unhideWhenUsed/>
    <w:qFormat/>
    <w:uiPriority w:val="99"/>
    <w:pPr>
      <w:ind w:firstLine="420" w:firstLineChars="200"/>
    </w:pPr>
  </w:style>
  <w:style w:type="character" w:styleId="18">
    <w:name w:val="Strong"/>
    <w:basedOn w:val="17"/>
    <w:qFormat/>
    <w:uiPriority w:val="99"/>
    <w:rPr>
      <w:b/>
    </w:rPr>
  </w:style>
  <w:style w:type="character" w:styleId="19">
    <w:name w:val="Hyperlink"/>
    <w:basedOn w:val="17"/>
    <w:unhideWhenUsed/>
    <w:qFormat/>
    <w:uiPriority w:val="99"/>
    <w:rPr>
      <w:color w:val="0000FF" w:themeColor="hyperlink"/>
      <w:u w:val="single"/>
      <w14:textFill>
        <w14:solidFill>
          <w14:schemeClr w14:val="hlink"/>
        </w14:solidFill>
      </w14:textFill>
    </w:rPr>
  </w:style>
  <w:style w:type="paragraph" w:customStyle="1" w:styleId="20">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1">
    <w:name w:val="Header Char"/>
    <w:basedOn w:val="17"/>
    <w:semiHidden/>
    <w:qFormat/>
    <w:uiPriority w:val="99"/>
    <w:rPr>
      <w:rFonts w:ascii="Times New Roman" w:hAnsi="Times New Roman"/>
      <w:sz w:val="18"/>
      <w:szCs w:val="18"/>
    </w:rPr>
  </w:style>
  <w:style w:type="character" w:customStyle="1" w:styleId="22">
    <w:name w:val="页眉 字符"/>
    <w:link w:val="11"/>
    <w:semiHidden/>
    <w:qFormat/>
    <w:locked/>
    <w:uiPriority w:val="99"/>
    <w:rPr>
      <w:sz w:val="18"/>
    </w:rPr>
  </w:style>
  <w:style w:type="character" w:customStyle="1" w:styleId="23">
    <w:name w:val="Footer Char"/>
    <w:basedOn w:val="17"/>
    <w:semiHidden/>
    <w:qFormat/>
    <w:uiPriority w:val="99"/>
    <w:rPr>
      <w:rFonts w:ascii="Times New Roman" w:hAnsi="Times New Roman"/>
      <w:sz w:val="18"/>
      <w:szCs w:val="18"/>
    </w:rPr>
  </w:style>
  <w:style w:type="character" w:customStyle="1" w:styleId="24">
    <w:name w:val="页脚 字符"/>
    <w:link w:val="10"/>
    <w:qFormat/>
    <w:locked/>
    <w:uiPriority w:val="99"/>
    <w:rPr>
      <w:sz w:val="18"/>
    </w:rPr>
  </w:style>
  <w:style w:type="character" w:customStyle="1" w:styleId="25">
    <w:name w:val="Body Text Char"/>
    <w:basedOn w:val="17"/>
    <w:semiHidden/>
    <w:qFormat/>
    <w:uiPriority w:val="99"/>
    <w:rPr>
      <w:rFonts w:ascii="Times New Roman" w:hAnsi="Times New Roman"/>
      <w:szCs w:val="24"/>
    </w:rPr>
  </w:style>
  <w:style w:type="character" w:customStyle="1" w:styleId="26">
    <w:name w:val="正文文本 字符"/>
    <w:link w:val="6"/>
    <w:qFormat/>
    <w:locked/>
    <w:uiPriority w:val="99"/>
    <w:rPr>
      <w:rFonts w:ascii="仿宋_GB2312" w:hAnsi="Times New Roman" w:eastAsia="仿宋_GB2312"/>
      <w:sz w:val="24"/>
    </w:rPr>
  </w:style>
  <w:style w:type="paragraph" w:customStyle="1" w:styleId="2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8">
    <w:name w:val="List Paragraph"/>
    <w:basedOn w:val="1"/>
    <w:qFormat/>
    <w:uiPriority w:val="34"/>
    <w:pPr>
      <w:ind w:firstLine="420" w:firstLineChars="200"/>
    </w:pPr>
  </w:style>
  <w:style w:type="character" w:customStyle="1" w:styleId="29">
    <w:name w:val="标题 1 字符"/>
    <w:basedOn w:val="17"/>
    <w:link w:val="3"/>
    <w:qFormat/>
    <w:uiPriority w:val="9"/>
    <w:rPr>
      <w:rFonts w:ascii="Times New Roman" w:hAnsi="Times New Roman"/>
      <w:b/>
      <w:bCs/>
      <w:kern w:val="44"/>
      <w:sz w:val="44"/>
      <w:szCs w:val="44"/>
    </w:rPr>
  </w:style>
  <w:style w:type="character" w:customStyle="1" w:styleId="30">
    <w:name w:val="标题 2 字符"/>
    <w:basedOn w:val="17"/>
    <w:link w:val="4"/>
    <w:qFormat/>
    <w:uiPriority w:val="9"/>
    <w:rPr>
      <w:rFonts w:asciiTheme="majorHAnsi" w:hAnsiTheme="majorHAnsi" w:eastAsiaTheme="majorEastAsia" w:cstheme="majorBidi"/>
      <w:b/>
      <w:bCs/>
      <w:kern w:val="2"/>
      <w:sz w:val="32"/>
      <w:szCs w:val="32"/>
    </w:rPr>
  </w:style>
  <w:style w:type="paragraph" w:customStyle="1" w:styleId="31">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框文本 字符"/>
    <w:basedOn w:val="17"/>
    <w:link w:val="9"/>
    <w:semiHidden/>
    <w:qFormat/>
    <w:uiPriority w:val="99"/>
    <w:rPr>
      <w:rFonts w:ascii="Times New Roman" w:hAnsi="Times New Roman"/>
      <w:kern w:val="2"/>
      <w:sz w:val="18"/>
      <w:szCs w:val="18"/>
    </w:rPr>
  </w:style>
  <w:style w:type="character" w:customStyle="1" w:styleId="33">
    <w:name w:val="标题 3 字符"/>
    <w:basedOn w:val="17"/>
    <w:link w:val="5"/>
    <w:qFormat/>
    <w:uiPriority w:val="9"/>
    <w:rPr>
      <w:rFonts w:ascii="Times New Roman" w:hAnsi="Times New Roman"/>
      <w:b/>
      <w:bCs/>
      <w:kern w:val="2"/>
      <w:sz w:val="32"/>
      <w:szCs w:val="32"/>
    </w:rPr>
  </w:style>
  <w:style w:type="paragraph" w:customStyle="1" w:styleId="34">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chart" Target="charts/chart7.xml"/><Relationship Id="rId13" Type="http://schemas.openxmlformats.org/officeDocument/2006/relationships/chart" Target="charts/chart6.xml"/><Relationship Id="rId12" Type="http://schemas.openxmlformats.org/officeDocument/2006/relationships/chart" Target="charts/chart5.xml"/><Relationship Id="rId11" Type="http://schemas.openxmlformats.org/officeDocument/2006/relationships/chart" Target="charts/chart4.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1.xml"/><Relationship Id="rId1" Type="http://schemas.openxmlformats.org/officeDocument/2006/relationships/oleObject" Target="file:///C:\Users\12781\Desktop\&#23545;&#27604;&#2227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C:\Users\12781\Desktop\&#23545;&#27604;&#22270;.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12781\Desktop\&#23545;&#27604;&#22270;.xls"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C:\Users\12781\Desktop\&#23545;&#27604;&#22270;.xls"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C:\Users\12781\Desktop\&#23545;&#27604;&#22270;.xls"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C:\Users\12781\Desktop\&#23545;&#27604;&#22270;.xls"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12781\Desktop\&#23545;&#27604;&#2227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true"/>
          <a:lstStyle/>
          <a:p>
            <a:pPr defTabSz="914400">
              <a:defRPr lang="zh-CN" sz="1400" b="1" i="0" u="none" strike="noStrike" kern="1200" baseline="0">
                <a:solidFill>
                  <a:sysClr val="windowText" lastClr="000000">
                    <a:lumMod val="75000"/>
                    <a:lumOff val="25000"/>
                  </a:sysClr>
                </a:solidFill>
                <a:latin typeface="+mn-lt"/>
                <a:ea typeface="+mn-ea"/>
                <a:cs typeface="+mn-cs"/>
              </a:defRPr>
            </a:pPr>
            <a:r>
              <a:t>收、支决算总计对比</a:t>
            </a:r>
          </a:p>
        </c:rich>
      </c:tx>
      <c:layout/>
      <c:overlay val="false"/>
      <c:spPr>
        <a:noFill/>
        <a:ln>
          <a:noFill/>
        </a:ln>
        <a:effectLst/>
      </c:spPr>
    </c:title>
    <c:autoTitleDeleted val="false"/>
    <c:plotArea>
      <c:layout>
        <c:manualLayout>
          <c:layoutTarget val="inner"/>
          <c:xMode val="edge"/>
          <c:yMode val="edge"/>
          <c:x val="0.0289473684210526"/>
          <c:y val="0.279398148148148"/>
          <c:w val="0.942105263157895"/>
          <c:h val="0.606805555555556"/>
        </c:manualLayout>
      </c:layout>
      <c:barChart>
        <c:barDir val="col"/>
        <c:grouping val="clustered"/>
        <c:varyColors val="false"/>
        <c:ser>
          <c:idx val="0"/>
          <c:order val="0"/>
          <c:tx>
            <c:strRef>
              <c:f>[对比图.xls]Sheet1!$B$1</c:f>
              <c:strCache>
                <c:ptCount val="1"/>
                <c:pt idx="0">
                  <c:v>2022</c:v>
                </c:pt>
              </c:strCache>
            </c:strRef>
          </c:tx>
          <c:spPr>
            <a:solidFill>
              <a:srgbClr val="4874CB"/>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ysClr val="windowText" lastClr="000000">
                        <a:lumMod val="75000"/>
                        <a:lumOff val="25000"/>
                      </a:sys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ysClr val="windowText" lastClr="000000">
                          <a:lumMod val="35000"/>
                          <a:lumOff val="65000"/>
                        </a:sysClr>
                      </a:solidFill>
                      <a:round/>
                    </a:ln>
                    <a:effectLst/>
                  </c:spPr>
                </c15:leaderLines>
              </c:ext>
            </c:extLst>
          </c:dLbls>
          <c:cat>
            <c:strRef>
              <c:f>[对比图.xls]Sheet1!$A$2:$A$4</c:f>
              <c:strCache>
                <c:ptCount val="3"/>
                <c:pt idx="0">
                  <c:v>决算总收入</c:v>
                </c:pt>
                <c:pt idx="2">
                  <c:v>决算总支出</c:v>
                </c:pt>
              </c:strCache>
            </c:strRef>
          </c:cat>
          <c:val>
            <c:numRef>
              <c:f>[对比图.xls]Sheet1!$B$2:$B$4</c:f>
              <c:numCache>
                <c:formatCode>General</c:formatCode>
                <c:ptCount val="3"/>
                <c:pt idx="0">
                  <c:v>376.77</c:v>
                </c:pt>
                <c:pt idx="2">
                  <c:v>376.77</c:v>
                </c:pt>
              </c:numCache>
            </c:numRef>
          </c:val>
        </c:ser>
        <c:ser>
          <c:idx val="1"/>
          <c:order val="1"/>
          <c:tx>
            <c:strRef>
              <c:f>[对比图.xls]Sheet1!$C$1</c:f>
              <c:strCache>
                <c:ptCount val="1"/>
                <c:pt idx="0">
                  <c:v>2023</c:v>
                </c:pt>
              </c:strCache>
            </c:strRef>
          </c:tx>
          <c:spPr>
            <a:solidFill>
              <a:srgbClr val="EE822F"/>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ysClr val="windowText" lastClr="000000">
                        <a:lumMod val="75000"/>
                        <a:lumOff val="25000"/>
                      </a:sys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ysClr val="windowText" lastClr="000000">
                          <a:lumMod val="35000"/>
                          <a:lumOff val="65000"/>
                        </a:sysClr>
                      </a:solidFill>
                      <a:round/>
                    </a:ln>
                    <a:effectLst/>
                  </c:spPr>
                </c15:leaderLines>
              </c:ext>
            </c:extLst>
          </c:dLbls>
          <c:cat>
            <c:strRef>
              <c:f>[对比图.xls]Sheet1!$A$2:$A$4</c:f>
              <c:strCache>
                <c:ptCount val="3"/>
                <c:pt idx="0">
                  <c:v>决算总收入</c:v>
                </c:pt>
                <c:pt idx="2">
                  <c:v>决算总支出</c:v>
                </c:pt>
              </c:strCache>
            </c:strRef>
          </c:cat>
          <c:val>
            <c:numRef>
              <c:f>[对比图.xls]Sheet1!$C$2:$C$4</c:f>
              <c:numCache>
                <c:formatCode>General</c:formatCode>
                <c:ptCount val="3"/>
                <c:pt idx="0">
                  <c:v>453.35</c:v>
                </c:pt>
                <c:pt idx="2">
                  <c:v>453.35</c:v>
                </c:pt>
              </c:numCache>
            </c:numRef>
          </c:val>
        </c:ser>
        <c:dLbls>
          <c:showLegendKey val="false"/>
          <c:showVal val="true"/>
          <c:showCatName val="false"/>
          <c:showSerName val="false"/>
          <c:showPercent val="false"/>
          <c:showBubbleSize val="false"/>
        </c:dLbls>
        <c:gapWidth val="150"/>
        <c:overlap val="-25"/>
        <c:axId val="693871244"/>
        <c:axId val="127614643"/>
      </c:barChart>
      <c:catAx>
        <c:axId val="693871244"/>
        <c:scaling>
          <c:orientation val="minMax"/>
        </c:scaling>
        <c:delete val="false"/>
        <c:axPos val="b"/>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0" vertOverflow="ellipsis" vert="horz" wrap="square" anchor="ctr" anchorCtr="true"/>
          <a:lstStyle/>
          <a:p>
            <a:pPr>
              <a:defRPr lang="zh-CN" sz="900" b="0" i="0" u="none" strike="noStrike" kern="1200" baseline="0">
                <a:solidFill>
                  <a:sysClr val="windowText" lastClr="000000">
                    <a:lumMod val="65000"/>
                    <a:lumOff val="35000"/>
                  </a:sysClr>
                </a:solidFill>
                <a:latin typeface="+mn-lt"/>
                <a:ea typeface="+mn-ea"/>
                <a:cs typeface="+mn-cs"/>
              </a:defRPr>
            </a:pPr>
          </a:p>
        </c:txPr>
        <c:crossAx val="127614643"/>
        <c:crosses val="autoZero"/>
        <c:auto val="true"/>
        <c:lblAlgn val="ctr"/>
        <c:lblOffset val="100"/>
        <c:noMultiLvlLbl val="false"/>
      </c:catAx>
      <c:valAx>
        <c:axId val="127614643"/>
        <c:scaling>
          <c:orientation val="minMax"/>
        </c:scaling>
        <c:delete val="true"/>
        <c:axPos val="l"/>
        <c:numFmt formatCode="General"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ysClr val="windowText" lastClr="000000">
                    <a:lumMod val="65000"/>
                    <a:lumOff val="35000"/>
                  </a:sysClr>
                </a:solidFill>
                <a:latin typeface="+mn-lt"/>
                <a:ea typeface="+mn-ea"/>
                <a:cs typeface="+mn-cs"/>
              </a:defRPr>
            </a:pPr>
          </a:p>
        </c:txPr>
        <c:crossAx val="693871244"/>
        <c:crosses val="autoZero"/>
        <c:crossBetween val="between"/>
      </c:valAx>
      <c:spPr>
        <a:noFill/>
        <a:ln>
          <a:noFill/>
        </a:ln>
        <a:effectLst/>
      </c:spPr>
    </c:plotArea>
    <c:legend>
      <c:legendPos val="t"/>
      <c:layout/>
      <c:overlay val="false"/>
      <c:spPr>
        <a:noFill/>
        <a:ln>
          <a:noFill/>
        </a:ln>
        <a:effectLst/>
      </c:spPr>
      <c:txPr>
        <a:bodyPr rot="0" spcFirstLastPara="0" vertOverflow="ellipsis" vert="horz" wrap="square" anchor="ctr" anchorCtr="true"/>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true"/>
    <c:dispBlanksAs val="gap"/>
    <c:showDLblsOverMax val="false"/>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1" i="0" u="none" strike="noStrike" kern="1200" baseline="0">
              <a:solidFill>
                <a:schemeClr val="tx1">
                  <a:lumMod val="75000"/>
                  <a:lumOff val="25000"/>
                </a:schemeClr>
              </a:solidFill>
              <a:latin typeface="+mn-lt"/>
              <a:ea typeface="+mn-ea"/>
              <a:cs typeface="+mn-cs"/>
            </a:defRPr>
          </a:pPr>
        </a:p>
      </c:txPr>
    </c:title>
    <c:autoTitleDeleted val="false"/>
    <c:plotArea>
      <c:layout/>
      <c:pieChart>
        <c:varyColors val="true"/>
        <c:ser>
          <c:idx val="0"/>
          <c:order val="0"/>
          <c:tx>
            <c:strRef>
              <c:f>'[对比图.xls]2023年收入情况'!$B$1</c:f>
              <c:strCache>
                <c:ptCount val="1"/>
                <c:pt idx="0">
                  <c:v>2023年总收入</c:v>
                </c:pt>
              </c:strCache>
            </c:strRef>
          </c:tx>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Lbls>
            <c:delete val="true"/>
          </c:dLbls>
          <c:cat>
            <c:strRef>
              <c:f>'[对比图.xls]2023年收入情况'!$A$2:$A$3</c:f>
              <c:strCache>
                <c:ptCount val="2"/>
                <c:pt idx="0">
                  <c:v>财政拨款收入</c:v>
                </c:pt>
                <c:pt idx="1">
                  <c:v>其他收入</c:v>
                </c:pt>
              </c:strCache>
            </c:strRef>
          </c:cat>
          <c:val>
            <c:numRef>
              <c:f>'[对比图.xls]2023年收入情况'!$B$2:$B$3</c:f>
              <c:numCache>
                <c:formatCode>General</c:formatCode>
                <c:ptCount val="2"/>
                <c:pt idx="0">
                  <c:v>449.54</c:v>
                </c:pt>
                <c:pt idx="1">
                  <c:v>3.81</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1" i="0" u="none" strike="noStrike" kern="1200" baseline="0">
              <a:solidFill>
                <a:schemeClr val="tx1">
                  <a:lumMod val="75000"/>
                  <a:lumOff val="25000"/>
                </a:schemeClr>
              </a:solidFill>
              <a:latin typeface="+mn-lt"/>
              <a:ea typeface="+mn-ea"/>
              <a:cs typeface="+mn-cs"/>
            </a:defRPr>
          </a:pPr>
        </a:p>
      </c:txPr>
    </c:title>
    <c:autoTitleDeleted val="false"/>
    <c:plotArea>
      <c:layout/>
      <c:pieChart>
        <c:varyColors val="true"/>
        <c:ser>
          <c:idx val="0"/>
          <c:order val="0"/>
          <c:tx>
            <c:strRef>
              <c:f>'[对比图.xls]2023支出决算'!$B$1</c:f>
              <c:strCache>
                <c:ptCount val="1"/>
                <c:pt idx="0">
                  <c:v>2023年总支出</c:v>
                </c:pt>
              </c:strCache>
            </c:strRef>
          </c:tx>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true"/>
                  <a:lstStyle/>
                  <a:p>
                    <a:pPr defTabSz="914400">
                      <a:defRPr lang="zh-CN" sz="1000" b="0" i="0" u="none" strike="noStrike" kern="1200" baseline="0">
                        <a:solidFill>
                          <a:schemeClr val="tx1">
                            <a:lumMod val="75000"/>
                            <a:lumOff val="25000"/>
                          </a:schemeClr>
                        </a:solidFill>
                        <a:latin typeface="+mn-lt"/>
                        <a:ea typeface="+mn-ea"/>
                        <a:cs typeface="+mn-cs"/>
                      </a:defRPr>
                    </a:pPr>
                    <a:r>
                      <a:t>基本支出6</a:t>
                    </a:r>
                    <a:r>
                      <a:rPr lang="en-US" altLang="zh-CN"/>
                      <a:t>2.82</a:t>
                    </a:r>
                    <a:r>
                      <a:t>%</a:t>
                    </a:r>
                  </a:p>
                </c:rich>
              </c:tx>
              <c:dLblPos val="inEnd"/>
              <c:showLegendKey val="false"/>
              <c:showVal val="false"/>
              <c:showCatName val="true"/>
              <c:showSerName val="false"/>
              <c:showPercent val="true"/>
              <c:showBubbleSize val="false"/>
              <c:separator>
</c:separator>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true"/>
                  <a:lstStyle/>
                  <a:p>
                    <a:pPr defTabSz="914400">
                      <a:defRPr lang="zh-CN" sz="1000" b="0" i="0" u="none" strike="noStrike" kern="1200" baseline="0">
                        <a:solidFill>
                          <a:schemeClr val="tx1">
                            <a:lumMod val="75000"/>
                            <a:lumOff val="25000"/>
                          </a:schemeClr>
                        </a:solidFill>
                        <a:latin typeface="+mn-lt"/>
                        <a:ea typeface="+mn-ea"/>
                        <a:cs typeface="+mn-cs"/>
                      </a:defRPr>
                    </a:pPr>
                    <a:r>
                      <a:t>项目支出</a:t>
                    </a:r>
                  </a:p>
                  <a:p>
                    <a:pPr defTabSz="914400">
                      <a:defRPr lang="zh-CN" sz="1000" b="0" i="0" u="none" strike="noStrike" kern="1200" baseline="0">
                        <a:solidFill>
                          <a:schemeClr val="tx1">
                            <a:lumMod val="75000"/>
                            <a:lumOff val="25000"/>
                          </a:schemeClr>
                        </a:solidFill>
                        <a:latin typeface="+mn-lt"/>
                        <a:ea typeface="+mn-ea"/>
                        <a:cs typeface="+mn-cs"/>
                      </a:defRPr>
                    </a:pPr>
                    <a:r>
                      <a:rPr lang="en-US" altLang="zh-CN"/>
                      <a:t>37.18</a:t>
                    </a:r>
                    <a:r>
                      <a:t>%</a:t>
                    </a:r>
                  </a:p>
                </c:rich>
              </c:tx>
              <c:dLblPos val="inEnd"/>
              <c:showLegendKey val="false"/>
              <c:showVal val="false"/>
              <c:showCatName val="true"/>
              <c:showSerName val="false"/>
              <c:showPercent val="true"/>
              <c:showBubbleSize val="false"/>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tru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'[对比图.xls]2023支出决算'!$A$2:$A$3</c:f>
              <c:strCache>
                <c:ptCount val="2"/>
                <c:pt idx="0">
                  <c:v>基本支出</c:v>
                </c:pt>
                <c:pt idx="1">
                  <c:v>项目支出</c:v>
                </c:pt>
              </c:strCache>
            </c:strRef>
          </c:cat>
          <c:val>
            <c:numRef>
              <c:f>'[对比图.xls]2023支出决算'!$B$2:$B$3</c:f>
              <c:numCache>
                <c:formatCode>General</c:formatCode>
                <c:ptCount val="2"/>
                <c:pt idx="0">
                  <c:v>284.77</c:v>
                </c:pt>
                <c:pt idx="1">
                  <c:v>168.57</c:v>
                </c:pt>
              </c:numCache>
            </c:numRef>
          </c:val>
        </c:ser>
        <c:dLbls>
          <c:showLegendKey val="false"/>
          <c:showVal val="false"/>
          <c:showCatName val="true"/>
          <c:showSerName val="false"/>
          <c:showPercent val="true"/>
          <c:showBubbleSize val="false"/>
          <c:showLeaderLines val="true"/>
        </c:dLbls>
        <c:firstSliceAng val="0"/>
      </c:pieChart>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1" i="0" u="none" strike="noStrike" kern="1200" baseline="0">
              <a:solidFill>
                <a:schemeClr val="tx1">
                  <a:lumMod val="75000"/>
                  <a:lumOff val="25000"/>
                </a:schemeClr>
              </a:solidFill>
              <a:latin typeface="+mn-lt"/>
              <a:ea typeface="+mn-ea"/>
              <a:cs typeface="+mn-cs"/>
            </a:defRPr>
          </a:pPr>
        </a:p>
      </c:txPr>
    </c:title>
    <c:autoTitleDeleted val="false"/>
    <c:plotArea>
      <c:layout>
        <c:manualLayout>
          <c:layoutTarget val="inner"/>
          <c:xMode val="edge"/>
          <c:yMode val="edge"/>
          <c:x val="0.0289473684210526"/>
          <c:y val="0.277083333333333"/>
          <c:w val="0.942105263157895"/>
          <c:h val="0.606805555555556"/>
        </c:manualLayout>
      </c:layout>
      <c:barChart>
        <c:barDir val="col"/>
        <c:grouping val="clustered"/>
        <c:varyColors val="false"/>
        <c:ser>
          <c:idx val="0"/>
          <c:order val="0"/>
          <c:tx>
            <c:strRef>
              <c:f>'[对比图.xls]2022年、2023年财政拨款收入支出'!$B$1</c:f>
              <c:strCache>
                <c:ptCount val="1"/>
                <c:pt idx="0">
                  <c:v>2022</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'[对比图.xls]2022年、2023年财政拨款收入支出'!$A$2:$A$4</c:f>
              <c:strCache>
                <c:ptCount val="3"/>
                <c:pt idx="0">
                  <c:v>财政拨款总收入</c:v>
                </c:pt>
                <c:pt idx="2">
                  <c:v>财政拨款总支出</c:v>
                </c:pt>
              </c:strCache>
            </c:strRef>
          </c:cat>
          <c:val>
            <c:numRef>
              <c:f>'[对比图.xls]2022年、2023年财政拨款收入支出'!$B$2:$B$4</c:f>
              <c:numCache>
                <c:formatCode>General</c:formatCode>
                <c:ptCount val="3"/>
                <c:pt idx="0">
                  <c:v>368.05</c:v>
                </c:pt>
                <c:pt idx="2">
                  <c:v>368.05</c:v>
                </c:pt>
              </c:numCache>
            </c:numRef>
          </c:val>
        </c:ser>
        <c:ser>
          <c:idx val="1"/>
          <c:order val="1"/>
          <c:tx>
            <c:strRef>
              <c:f>'[对比图.xls]2022年、2023年财政拨款收入支出'!$C$1</c:f>
              <c:strCache>
                <c:ptCount val="1"/>
                <c:pt idx="0">
                  <c:v>2023</c:v>
                </c:pt>
              </c:strCache>
            </c:strRef>
          </c:tx>
          <c:spPr>
            <a:solidFill>
              <a:schemeClr val="accent2"/>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'[对比图.xls]2022年、2023年财政拨款收入支出'!$A$2:$A$4</c:f>
              <c:strCache>
                <c:ptCount val="3"/>
                <c:pt idx="0">
                  <c:v>财政拨款总收入</c:v>
                </c:pt>
                <c:pt idx="2">
                  <c:v>财政拨款总支出</c:v>
                </c:pt>
              </c:strCache>
            </c:strRef>
          </c:cat>
          <c:val>
            <c:numRef>
              <c:f>'[对比图.xls]2022年、2023年财政拨款收入支出'!$C$2:$C$4</c:f>
              <c:numCache>
                <c:formatCode>General</c:formatCode>
                <c:ptCount val="3"/>
                <c:pt idx="0">
                  <c:v>449.54</c:v>
                </c:pt>
                <c:pt idx="2">
                  <c:v>449.54</c:v>
                </c:pt>
              </c:numCache>
            </c:numRef>
          </c:val>
        </c:ser>
        <c:dLbls>
          <c:showLegendKey val="false"/>
          <c:showVal val="true"/>
          <c:showCatName val="false"/>
          <c:showSerName val="false"/>
          <c:showPercent val="false"/>
          <c:showBubbleSize val="false"/>
        </c:dLbls>
        <c:gapWidth val="150"/>
        <c:overlap val="-25"/>
        <c:axId val="253850142"/>
        <c:axId val="850283976"/>
      </c:barChart>
      <c:catAx>
        <c:axId val="253850142"/>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850283976"/>
        <c:crosses val="autoZero"/>
        <c:auto val="true"/>
        <c:lblAlgn val="ctr"/>
        <c:lblOffset val="100"/>
        <c:noMultiLvlLbl val="false"/>
      </c:catAx>
      <c:valAx>
        <c:axId val="850283976"/>
        <c:scaling>
          <c:orientation val="minMax"/>
        </c:scaling>
        <c:delete val="true"/>
        <c:axPos val="l"/>
        <c:numFmt formatCode="General"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53850142"/>
        <c:crosses val="autoZero"/>
        <c:crossBetween val="between"/>
      </c:valAx>
      <c:spPr>
        <a:noFill/>
        <a:ln>
          <a:noFill/>
        </a:ln>
        <a:effectLst/>
      </c:spPr>
    </c:plotArea>
    <c:legend>
      <c:legendPos val="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1" i="0" u="none" strike="noStrike" kern="1200" baseline="0">
              <a:solidFill>
                <a:schemeClr val="tx1">
                  <a:lumMod val="75000"/>
                  <a:lumOff val="25000"/>
                </a:schemeClr>
              </a:solidFill>
              <a:latin typeface="+mn-lt"/>
              <a:ea typeface="+mn-ea"/>
              <a:cs typeface="+mn-cs"/>
            </a:defRPr>
          </a:pPr>
        </a:p>
      </c:txPr>
    </c:title>
    <c:autoTitleDeleted val="false"/>
    <c:plotArea>
      <c:layout/>
      <c:barChart>
        <c:barDir val="col"/>
        <c:grouping val="clustered"/>
        <c:varyColors val="false"/>
        <c:ser>
          <c:idx val="0"/>
          <c:order val="0"/>
          <c:tx>
            <c:strRef>
              <c:f>[对比图.xls]一般公共预算增减变化!$A$2</c:f>
              <c:strCache>
                <c:ptCount val="1"/>
                <c:pt idx="0">
                  <c:v>一般公共预算财政拨款支出</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[对比图.xls]一般公共预算增减变化!$B$1:$C$1</c:f>
              <c:numCache>
                <c:formatCode>General</c:formatCode>
                <c:ptCount val="2"/>
                <c:pt idx="0">
                  <c:v>2022</c:v>
                </c:pt>
                <c:pt idx="1">
                  <c:v>2023</c:v>
                </c:pt>
              </c:numCache>
            </c:numRef>
          </c:cat>
          <c:val>
            <c:numRef>
              <c:f>[对比图.xls]一般公共预算增减变化!$B$2:$C$2</c:f>
              <c:numCache>
                <c:formatCode>General</c:formatCode>
                <c:ptCount val="2"/>
                <c:pt idx="0">
                  <c:v>368.05</c:v>
                </c:pt>
                <c:pt idx="1">
                  <c:v>449.54</c:v>
                </c:pt>
              </c:numCache>
            </c:numRef>
          </c:val>
        </c:ser>
        <c:dLbls>
          <c:showLegendKey val="false"/>
          <c:showVal val="true"/>
          <c:showCatName val="false"/>
          <c:showSerName val="false"/>
          <c:showPercent val="false"/>
          <c:showBubbleSize val="false"/>
        </c:dLbls>
        <c:gapWidth val="150"/>
        <c:overlap val="-25"/>
        <c:axId val="316963307"/>
        <c:axId val="139357526"/>
      </c:barChart>
      <c:catAx>
        <c:axId val="316963307"/>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39357526"/>
        <c:crosses val="autoZero"/>
        <c:auto val="true"/>
        <c:lblAlgn val="ctr"/>
        <c:lblOffset val="100"/>
        <c:noMultiLvlLbl val="false"/>
      </c:catAx>
      <c:valAx>
        <c:axId val="139357526"/>
        <c:scaling>
          <c:orientation val="minMax"/>
        </c:scaling>
        <c:delete val="true"/>
        <c:axPos val="l"/>
        <c:numFmt formatCode="General"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316963307"/>
        <c:crosses val="autoZero"/>
        <c:crossBetween val="between"/>
      </c:valAx>
      <c:spPr>
        <a:noFill/>
        <a:ln>
          <a:noFill/>
        </a:ln>
        <a:effectLst/>
      </c:spPr>
    </c:plotArea>
    <c:legend>
      <c:legendPos val="t"/>
      <c:layout>
        <c:manualLayout>
          <c:xMode val="edge"/>
          <c:yMode val="edge"/>
          <c:x val="0.338552631578947"/>
          <c:y val="0.143981481481481"/>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95789473684211"/>
          <c:y val="0.025462962962963"/>
        </c:manualLayout>
      </c:layout>
      <c:overlay val="false"/>
      <c:spPr>
        <a:noFill/>
        <a:ln>
          <a:noFill/>
        </a:ln>
        <a:effectLst/>
      </c:spPr>
      <c:txPr>
        <a:bodyPr rot="0" spcFirstLastPara="0" vertOverflow="ellipsis" vert="horz" wrap="square" anchor="ctr" anchorCtr="true"/>
        <a:lstStyle/>
        <a:p>
          <a:pPr>
            <a:defRPr lang="zh-CN" sz="1400" b="1" i="0" u="none" strike="noStrike" kern="1200" baseline="0">
              <a:solidFill>
                <a:schemeClr val="tx1">
                  <a:lumMod val="75000"/>
                  <a:lumOff val="25000"/>
                </a:schemeClr>
              </a:solidFill>
              <a:latin typeface="+mn-lt"/>
              <a:ea typeface="+mn-ea"/>
              <a:cs typeface="+mn-cs"/>
            </a:defRPr>
          </a:pPr>
        </a:p>
      </c:txPr>
    </c:title>
    <c:autoTitleDeleted val="false"/>
    <c:plotArea>
      <c:layout/>
      <c:pieChart>
        <c:varyColors val="true"/>
        <c:ser>
          <c:idx val="0"/>
          <c:order val="0"/>
          <c:tx>
            <c:strRef>
              <c:f>[对比图.xls]一般公共预算财政拨款支出决算结构!$B$2</c:f>
              <c:strCache>
                <c:ptCount val="1"/>
                <c:pt idx="0">
                  <c:v>一般公共预算财政拨款支出决算结构</c:v>
                </c:pt>
              </c:strCache>
            </c:strRef>
          </c:tx>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Pt>
            <c:idx val="2"/>
            <c:bubble3D val="false"/>
            <c:spPr>
              <a:solidFill>
                <a:schemeClr val="accent3"/>
              </a:solidFill>
              <a:ln>
                <a:solidFill>
                  <a:schemeClr val="bg1"/>
                </a:solidFill>
              </a:ln>
              <a:effectLst/>
            </c:spPr>
          </c:dPt>
          <c:dPt>
            <c:idx val="3"/>
            <c:bubble3D val="false"/>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[对比图.xls]一般公共预算财政拨款支出决算结构!$A$3:$A$6</c:f>
              <c:strCache>
                <c:ptCount val="4"/>
                <c:pt idx="0">
                  <c:v>资源勘探工业信息等支出</c:v>
                </c:pt>
                <c:pt idx="1">
                  <c:v>社会保障和就业支出</c:v>
                </c:pt>
                <c:pt idx="2">
                  <c:v>卫生健康支出</c:v>
                </c:pt>
                <c:pt idx="3">
                  <c:v>住房保障支出</c:v>
                </c:pt>
              </c:strCache>
            </c:strRef>
          </c:cat>
          <c:val>
            <c:numRef>
              <c:f>[对比图.xls]一般公共预算财政拨款支出决算结构!$B$3:$B$6</c:f>
              <c:numCache>
                <c:formatCode>General</c:formatCode>
                <c:ptCount val="4"/>
                <c:pt idx="0">
                  <c:v>378.96</c:v>
                </c:pt>
                <c:pt idx="1">
                  <c:v>36.38</c:v>
                </c:pt>
                <c:pt idx="2">
                  <c:v>14.49</c:v>
                </c:pt>
                <c:pt idx="3">
                  <c:v>19.71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t"/>
      <c:layout>
        <c:manualLayout>
          <c:xMode val="edge"/>
          <c:yMode val="edge"/>
          <c:x val="0.0553289473684211"/>
          <c:y val="0.143981481481481"/>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800" b="1" i="0" u="none" strike="noStrike" kern="1200" baseline="0">
                <a:solidFill>
                  <a:schemeClr val="dk1">
                    <a:lumMod val="75000"/>
                    <a:lumOff val="25000"/>
                  </a:schemeClr>
                </a:solidFill>
                <a:latin typeface="+mn-lt"/>
                <a:ea typeface="+mn-ea"/>
                <a:cs typeface="+mn-cs"/>
              </a:defRPr>
            </a:pPr>
            <a:r>
              <a:t>2023年三公经费财政拨款支出</a:t>
            </a:r>
          </a:p>
        </c:rich>
      </c:tx>
      <c:layout>
        <c:manualLayout>
          <c:xMode val="edge"/>
          <c:yMode val="edge"/>
          <c:x val="0.249868421052632"/>
          <c:y val="0.025462962962963"/>
        </c:manualLayout>
      </c:layout>
      <c:overlay val="false"/>
      <c:spPr>
        <a:noFill/>
        <a:ln>
          <a:noFill/>
        </a:ln>
        <a:effectLst/>
      </c:spPr>
    </c:title>
    <c:autoTitleDeleted val="false"/>
    <c:plotArea>
      <c:layout/>
      <c:pieChart>
        <c:varyColors val="true"/>
        <c:ser>
          <c:idx val="0"/>
          <c:order val="0"/>
          <c:tx>
            <c:strRef>
              <c:f>[对比图.xls]“三公”经费财政拨款支出结构!$A$2</c:f>
              <c:strCache>
                <c:ptCount val="1"/>
                <c:pt idx="0">
                  <c:v>公务用车</c:v>
                </c:pt>
              </c:strCache>
            </c:strRef>
          </c:tx>
          <c:spPr/>
          <c:explosion val="0"/>
          <c:dPt>
            <c:idx val="0"/>
            <c:bubble3D val="false"/>
            <c:spPr>
              <a:solidFill>
                <a:schemeClr val="accent1"/>
              </a:solidFill>
              <a:ln>
                <a:noFill/>
              </a:ln>
              <a:effectLst>
                <a:outerShdw blurRad="254000" sx="102000" sy="102000" algn="ctr" rotWithShape="0">
                  <a:prstClr val="black">
                    <a:alpha val="20000"/>
                  </a:prstClr>
                </a:outerShdw>
              </a:effectLst>
            </c:spPr>
          </c:dPt>
          <c:dLbls>
            <c:dLbl>
              <c:idx val="0"/>
              <c:layout/>
              <c:tx>
                <c:rich>
                  <a:bodyPr rot="0" spcFirstLastPara="0" vertOverflow="ellipsis" vert="horz" wrap="square" lIns="38100" tIns="19050" rIns="38100" bIns="19050" anchor="ctr" anchorCtr="true"/>
                  <a:lstStyle/>
                  <a:p>
                    <a:pPr defTabSz="914400">
                      <a:defRPr lang="zh-CN" sz="1000" b="1" i="0" u="none" strike="noStrike" kern="1200" baseline="0">
                        <a:solidFill>
                          <a:schemeClr val="lt1"/>
                        </a:solidFill>
                        <a:latin typeface="+mn-lt"/>
                        <a:ea typeface="+mn-ea"/>
                        <a:cs typeface="+mn-cs"/>
                      </a:defRPr>
                    </a:pPr>
                    <a:r>
                      <a:t>公务用车100%</a:t>
                    </a:r>
                  </a:p>
                </c:rich>
              </c:tx>
              <c:dLblPos val="ctr"/>
              <c:showLegendKey val="false"/>
              <c:showVal val="false"/>
              <c:showCatName val="true"/>
              <c:showSerName val="false"/>
              <c:showPercent val="true"/>
              <c:showBubbleSize val="false"/>
              <c:separator>
</c:separator>
              <c:extLst>
                <c:ext xmlns:c15="http://schemas.microsoft.com/office/drawing/2012/chart" uri="{CE6537A1-D6FC-4f65-9D91-7224C49458BB}"/>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true"/>
              <a:lstStyle/>
              <a:p>
                <a:pPr>
                  <a:defRPr lang="zh-CN" sz="1000" b="1" i="0" u="none" strike="noStrike" kern="1200" baseline="0">
                    <a:solidFill>
                      <a:schemeClr val="lt1"/>
                    </a:solidFill>
                    <a:latin typeface="+mn-lt"/>
                    <a:ea typeface="+mn-ea"/>
                    <a:cs typeface="+mn-cs"/>
                  </a:defRPr>
                </a:pPr>
              </a:p>
            </c:txPr>
            <c:dLblPos val="ctr"/>
            <c:showLegendKey val="false"/>
            <c:showVal val="false"/>
            <c:showCatName val="true"/>
            <c:showSerName val="false"/>
            <c:showPercent val="true"/>
            <c:showBubbleSize val="false"/>
            <c:showLeaderLines val="true"/>
            <c:extLst>
              <c:ext xmlns:c15="http://schemas.microsoft.com/office/drawing/2012/chart" uri="{CE6537A1-D6FC-4f65-9D91-7224C49458BB}">
                <c15:layout/>
                <c15:showLeaderLines val="true"/>
                <c15:leaderLines>
                  <c:spPr>
                    <a:ln w="9525">
                      <a:solidFill>
                        <a:schemeClr val="dk1">
                          <a:lumMod val="50000"/>
                          <a:lumOff val="50000"/>
                        </a:schemeClr>
                      </a:solidFill>
                    </a:ln>
                    <a:effectLst/>
                  </c:spPr>
                </c15:leaderLines>
              </c:ext>
            </c:extLst>
          </c:dLbls>
          <c:cat>
            <c:strRef>
              <c:f>[对比图.xls]“三公”经费财政拨款支出结构!$B$1</c:f>
              <c:strCache>
                <c:ptCount val="1"/>
                <c:pt idx="0">
                  <c:v>2023年“三公经费”财政拨款支出结构</c:v>
                </c:pt>
              </c:strCache>
            </c:strRef>
          </c:cat>
          <c:val>
            <c:numRef>
              <c:f>[对比图.xls]“三公”经费财政拨款支出结构!$B$2</c:f>
              <c:numCache>
                <c:formatCode>General</c:formatCode>
                <c:ptCount val="1"/>
                <c:pt idx="0">
                  <c:v>1.43</c:v>
                </c:pt>
              </c:numCache>
            </c:numRef>
          </c:val>
        </c:ser>
        <c:dLbls>
          <c:showLegendKey val="false"/>
          <c:showVal val="false"/>
          <c:showCatName val="true"/>
          <c:showSerName val="false"/>
          <c:showPercent val="true"/>
          <c:showBubbleSize val="false"/>
          <c:showLeaderLines val="true"/>
        </c:dLbls>
        <c:firstSliceAng val="0"/>
      </c:pieChart>
      <c:spPr>
        <a:noFill/>
        <a:ln>
          <a:noFill/>
        </a:ln>
        <a:effectLst/>
      </c:spPr>
    </c:plotArea>
    <c:legend>
      <c:legendPos val="r"/>
      <c:layout/>
      <c:overlay val="false"/>
      <c:spPr>
        <a:solidFill>
          <a:schemeClr val="lt1">
            <a:lumMod val="95000"/>
            <a:alpha val="39000"/>
          </a:schemeClr>
        </a:solidFill>
        <a:ln>
          <a:noFill/>
        </a:ln>
        <a:effectLst/>
      </c:spPr>
      <c:txPr>
        <a:bodyPr rot="0" spcFirstLastPara="0" vertOverflow="ellipsis" vert="horz" wrap="square" anchor="ctr" anchorCtr="true"/>
        <a:lstStyle/>
        <a:p>
          <a:pPr>
            <a:defRPr lang="zh-CN" sz="900" b="0" i="0" u="none" strike="noStrike" kern="1200" baseline="0">
              <a:solidFill>
                <a:schemeClr val="dk1">
                  <a:lumMod val="75000"/>
                  <a:lumOff val="25000"/>
                </a:schemeClr>
              </a:solidFill>
              <a:latin typeface="+mn-lt"/>
              <a:ea typeface="+mn-ea"/>
              <a:cs typeface="+mn-cs"/>
            </a:defRPr>
          </a:pPr>
        </a:p>
      </c:txPr>
    </c:legend>
    <c:plotVisOnly val="true"/>
    <c:dispBlanksAs val="gap"/>
    <c:showDLblsOverMax val="false"/>
  </c:chart>
  <c: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true">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false"/>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false"/>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10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ysClr val="windowText" lastClr="000000"/>
    </cs:fontRef>
    <cs:spPr>
      <a:ln>
        <a:noFill/>
      </a:ln>
      <a:effectLst/>
    </cs:spPr>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 lastClr="FFFFFF">
            <a:lumMod val="902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75000"/>
        <a:lumOff val="25000"/>
      </a:sysClr>
    </cs:fontRef>
    <cs:defRPr sz="1400" b="1" kern="120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37</Pages>
  <Words>11427</Words>
  <Characters>14779</Characters>
  <Lines>54</Lines>
  <Paragraphs>15</Paragraphs>
  <TotalTime>1</TotalTime>
  <ScaleCrop>false</ScaleCrop>
  <LinksUpToDate>false</LinksUpToDate>
  <CharactersWithSpaces>15487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2020-08-09T17:49:00Z</dcterms:created>
  <dc:creator>曹颖</dc:creator>
  <cp:lastModifiedBy>user</cp:lastModifiedBy>
  <cp:lastPrinted>2023-08-04T18:35:00Z</cp:lastPrinted>
  <dcterms:modified xsi:type="dcterms:W3CDTF">2024-09-05T16:21:26Z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B8F9BACF217144C2B9E054FA7693B385_12</vt:lpwstr>
  </property>
</Properties>
</file>