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9E1B8">
      <w:pPr>
        <w:spacing w:line="600" w:lineRule="exact"/>
        <w:jc w:val="left"/>
        <w:outlineLvl w:val="0"/>
        <w:rPr>
          <w:rFonts w:ascii="方正小标宋简体" w:hAnsi="宋体" w:eastAsia="方正小标宋简体"/>
          <w:szCs w:val="21"/>
        </w:rPr>
      </w:pPr>
      <w:bookmarkStart w:id="0" w:name="_Toc15306267"/>
    </w:p>
    <w:p w14:paraId="6D0602CE">
      <w:pPr>
        <w:pStyle w:val="2"/>
        <w:spacing w:before="93"/>
      </w:pPr>
    </w:p>
    <w:p w14:paraId="77544CD2">
      <w:pPr>
        <w:spacing w:line="600" w:lineRule="exact"/>
        <w:jc w:val="center"/>
        <w:outlineLvl w:val="0"/>
        <w:rPr>
          <w:rFonts w:ascii="方正小标宋简体" w:hAnsi="宋体" w:eastAsia="方正小标宋简体"/>
          <w:sz w:val="72"/>
          <w:szCs w:val="72"/>
        </w:rPr>
      </w:pPr>
    </w:p>
    <w:p w14:paraId="54302BF1">
      <w:pPr>
        <w:spacing w:line="600" w:lineRule="exact"/>
        <w:jc w:val="center"/>
        <w:outlineLvl w:val="0"/>
        <w:rPr>
          <w:rFonts w:ascii="方正小标宋简体" w:hAnsi="宋体" w:eastAsia="方正小标宋简体"/>
          <w:sz w:val="72"/>
          <w:szCs w:val="72"/>
        </w:rPr>
      </w:pPr>
    </w:p>
    <w:p w14:paraId="5D189F16">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96597"/>
      <w:bookmarkStart w:id="2" w:name="_Toc15378441"/>
      <w:bookmarkStart w:id="3" w:name="_Toc15396475"/>
      <w:bookmarkStart w:id="4" w:name="_Toc15377193"/>
      <w:bookmarkStart w:id="5" w:name="_Toc15377425"/>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p w14:paraId="7B6E007B">
      <w:pPr>
        <w:adjustRightInd w:val="0"/>
        <w:snapToGrid w:val="0"/>
        <w:spacing w:line="360" w:lineRule="auto"/>
        <w:jc w:val="center"/>
        <w:outlineLvl w:val="0"/>
        <w:rPr>
          <w:rFonts w:hint="eastAsia" w:ascii="方正小标宋简体" w:hAnsi="方正小标宋简体" w:eastAsia="方正小标宋简体" w:cs="方正小标宋简体"/>
          <w:sz w:val="72"/>
          <w:szCs w:val="72"/>
          <w:lang w:val="en-US" w:eastAsia="zh-CN"/>
        </w:rPr>
      </w:pPr>
      <w:bookmarkStart w:id="6" w:name="_Toc15378442"/>
      <w:bookmarkStart w:id="7" w:name="_Toc15377426"/>
      <w:bookmarkStart w:id="8" w:name="_Toc15396476"/>
      <w:bookmarkStart w:id="9" w:name="_Toc15377194"/>
      <w:bookmarkStart w:id="10" w:name="_Toc15396598"/>
      <w:r>
        <w:rPr>
          <w:rFonts w:hint="eastAsia" w:ascii="方正小标宋简体" w:hAnsi="方正小标宋简体" w:eastAsia="方正小标宋简体" w:cs="方正小标宋简体"/>
          <w:sz w:val="72"/>
          <w:szCs w:val="72"/>
        </w:rPr>
        <w:t>四川省</w:t>
      </w:r>
      <w:bookmarkEnd w:id="0"/>
      <w:bookmarkStart w:id="11" w:name="_Toc15306268"/>
      <w:r>
        <w:rPr>
          <w:rFonts w:hint="eastAsia" w:ascii="方正小标宋简体" w:hAnsi="方正小标宋简体" w:eastAsia="方正小标宋简体" w:cs="方正小标宋简体"/>
          <w:sz w:val="72"/>
          <w:szCs w:val="72"/>
          <w:lang w:val="en-US" w:eastAsia="zh-CN"/>
        </w:rPr>
        <w:t>纺织工业设计院</w:t>
      </w:r>
    </w:p>
    <w:p w14:paraId="596A2C78">
      <w:pPr>
        <w:adjustRightInd w:val="0"/>
        <w:snapToGrid w:val="0"/>
        <w:spacing w:line="360" w:lineRule="auto"/>
        <w:jc w:val="center"/>
        <w:outlineLvl w:val="0"/>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单位决算</w:t>
      </w:r>
      <w:bookmarkEnd w:id="6"/>
      <w:bookmarkEnd w:id="7"/>
      <w:bookmarkEnd w:id="8"/>
      <w:bookmarkEnd w:id="9"/>
      <w:bookmarkEnd w:id="10"/>
      <w:bookmarkEnd w:id="11"/>
    </w:p>
    <w:p w14:paraId="17C30D53">
      <w:pPr>
        <w:adjustRightInd w:val="0"/>
        <w:snapToGrid w:val="0"/>
        <w:spacing w:line="360" w:lineRule="auto"/>
        <w:jc w:val="center"/>
        <w:outlineLvl w:val="0"/>
        <w:rPr>
          <w:rFonts w:ascii="方正小标宋简体" w:hAnsi="宋体" w:eastAsia="方正小标宋简体"/>
          <w:sz w:val="52"/>
          <w:szCs w:val="52"/>
        </w:rPr>
      </w:pPr>
      <w:r>
        <w:rPr>
          <w:rFonts w:hint="eastAsia" w:ascii="方正小标宋简体" w:hAnsi="宋体" w:eastAsia="方正小标宋简体"/>
          <w:sz w:val="52"/>
          <w:szCs w:val="52"/>
        </w:rPr>
        <w:t>(单位公开范本)</w:t>
      </w:r>
    </w:p>
    <w:p w14:paraId="09802532">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14:paraId="7C45D207">
      <w:pPr>
        <w:widowControl/>
        <w:jc w:val="center"/>
        <w:rPr>
          <w:rFonts w:ascii="黑体" w:hAnsi="黑体" w:eastAsia="黑体" w:cstheme="minorBidi"/>
          <w:sz w:val="28"/>
          <w:szCs w:val="28"/>
        </w:rPr>
      </w:pPr>
    </w:p>
    <w:p w14:paraId="3BFB1DE0">
      <w:pPr>
        <w:pStyle w:val="12"/>
        <w:rPr>
          <w:rFonts w:hint="default" w:ascii="Times New Roman" w:hAnsi="Times New Roman" w:cs="Times New Roman"/>
        </w:rPr>
      </w:pPr>
      <w:r>
        <w:rPr>
          <w:rFonts w:hint="default" w:ascii="Times New Roman" w:hAnsi="Times New Roman" w:cs="Times New Roman"/>
        </w:rPr>
        <w:t>公开时间：202</w:t>
      </w:r>
      <w:r>
        <w:rPr>
          <w:rFonts w:hint="default" w:ascii="Times New Roman" w:hAnsi="Times New Roman" w:cs="Times New Roman"/>
          <w:lang w:val="en-US" w:eastAsia="zh-CN"/>
        </w:rPr>
        <w:t>4</w:t>
      </w:r>
      <w:r>
        <w:rPr>
          <w:rFonts w:hint="default" w:ascii="Times New Roman" w:hAnsi="Times New Roman" w:cs="Times New Roman"/>
        </w:rPr>
        <w:t>年9月</w:t>
      </w:r>
      <w:r>
        <w:rPr>
          <w:rFonts w:hint="eastAsia" w:ascii="Times New Roman" w:hAnsi="Times New Roman" w:cs="Times New Roman"/>
          <w:lang w:val="en-US" w:eastAsia="zh-CN"/>
        </w:rPr>
        <w:t>10</w:t>
      </w:r>
      <w:r>
        <w:rPr>
          <w:rFonts w:hint="default" w:ascii="Times New Roman" w:hAnsi="Times New Roman" w:cs="Times New Roman"/>
        </w:rPr>
        <w:t>日</w:t>
      </w:r>
    </w:p>
    <w:p w14:paraId="5A7A2CB4">
      <w:pPr>
        <w:rPr>
          <w:rFonts w:hint="default" w:ascii="Times New Roman" w:hAnsi="Times New Roman" w:cs="Times New Roman"/>
        </w:rPr>
      </w:pPr>
    </w:p>
    <w:p w14:paraId="7BDEF30C">
      <w:pPr>
        <w:pStyle w:val="12"/>
        <w:adjustRightInd w:val="0"/>
        <w:snapToGrid w:val="0"/>
        <w:spacing w:before="0" w:line="440" w:lineRule="exact"/>
        <w:jc w:val="left"/>
        <w:rPr>
          <w:rFonts w:hint="default" w:ascii="Times New Roman" w:hAnsi="Times New Roman" w:eastAsia="仿宋" w:cs="Times New Roman"/>
          <w:sz w:val="24"/>
          <w:szCs w:val="24"/>
          <w:lang w:val="en-US" w:eastAsia="zh-CN"/>
        </w:rPr>
      </w:pPr>
      <w:r>
        <w:rPr>
          <w:rFonts w:hint="default" w:ascii="Times New Roman" w:hAnsi="Times New Roman" w:cs="Times New Roman"/>
          <w:sz w:val="24"/>
        </w:rPr>
        <w:t>第一部分 单位概况</w:t>
      </w:r>
      <w:r>
        <w:rPr>
          <w:rFonts w:hint="default" w:ascii="Times New Roman" w:hAnsi="Times New Roman" w:cs="Times New Roman"/>
          <w:sz w:val="24"/>
          <w:lang w:val="en-US" w:eastAsia="zh-CN"/>
        </w:rPr>
        <w:t>......................................................................................................1</w:t>
      </w:r>
    </w:p>
    <w:p w14:paraId="127E004E">
      <w:pPr>
        <w:pStyle w:val="13"/>
        <w:adjustRightInd w:val="0"/>
        <w:snapToGrid w:val="0"/>
        <w:spacing w:line="440" w:lineRule="exact"/>
        <w:jc w:val="left"/>
        <w:rPr>
          <w:rFonts w:hint="default" w:ascii="Times New Roman" w:hAnsi="Times New Roman" w:cs="Times New Roman"/>
          <w:sz w:val="24"/>
          <w:lang w:val="en-US"/>
        </w:rPr>
      </w:pPr>
      <w:r>
        <w:rPr>
          <w:rFonts w:hint="default" w:ascii="Times New Roman" w:hAnsi="Times New Roman" w:cs="Times New Roman"/>
          <w:sz w:val="24"/>
        </w:rPr>
        <w:t>一、主要职责</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1</w:t>
      </w:r>
    </w:p>
    <w:p w14:paraId="4BB18487">
      <w:pPr>
        <w:pStyle w:val="13"/>
        <w:adjustRightInd w:val="0"/>
        <w:snapToGrid w:val="0"/>
        <w:spacing w:line="440" w:lineRule="exact"/>
        <w:jc w:val="left"/>
        <w:rPr>
          <w:rFonts w:hint="default" w:ascii="Times New Roman" w:hAnsi="Times New Roman" w:cs="Times New Roman"/>
          <w:lang w:val="en-US"/>
        </w:rPr>
      </w:pPr>
      <w:r>
        <w:rPr>
          <w:rFonts w:hint="default" w:ascii="Times New Roman" w:hAnsi="Times New Roman" w:cs="Times New Roman"/>
          <w:sz w:val="24"/>
        </w:rPr>
        <w:t>二、机构设置</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1</w:t>
      </w:r>
    </w:p>
    <w:p w14:paraId="22B414E5">
      <w:pPr>
        <w:pStyle w:val="12"/>
        <w:adjustRightInd w:val="0"/>
        <w:snapToGrid w:val="0"/>
        <w:spacing w:before="0" w:line="440" w:lineRule="exact"/>
        <w:jc w:val="left"/>
        <w:rPr>
          <w:rFonts w:hint="default" w:ascii="Times New Roman" w:hAnsi="Times New Roman" w:eastAsia="仿宋" w:cs="Times New Roman"/>
          <w:sz w:val="24"/>
          <w:szCs w:val="24"/>
          <w:lang w:val="en-US" w:eastAsia="zh-CN"/>
        </w:rPr>
      </w:pPr>
      <w:r>
        <w:rPr>
          <w:rFonts w:hint="default" w:ascii="Times New Roman" w:hAnsi="Times New Roman" w:cs="Times New Roman"/>
          <w:sz w:val="24"/>
        </w:rPr>
        <w:t>第二部分 2023年度单位决算情况说明</w:t>
      </w:r>
      <w:r>
        <w:rPr>
          <w:rFonts w:hint="default" w:ascii="Times New Roman" w:hAnsi="Times New Roman" w:eastAsia="仿宋_GB2312" w:cs="Times New Roman"/>
          <w:sz w:val="24"/>
          <w:lang w:val="en-US" w:eastAsia="zh-CN"/>
        </w:rPr>
        <w:t>.....................................................................</w:t>
      </w:r>
      <w:r>
        <w:rPr>
          <w:rFonts w:hint="eastAsia" w:ascii="Times New Roman" w:hAnsi="Times New Roman" w:eastAsia="仿宋_GB2312" w:cs="Times New Roman"/>
          <w:sz w:val="24"/>
          <w:lang w:val="en-US" w:eastAsia="zh-CN"/>
        </w:rPr>
        <w:t>2</w:t>
      </w:r>
    </w:p>
    <w:p w14:paraId="742FF758">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一、收入支出决算总体情况说明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2</w:t>
      </w:r>
    </w:p>
    <w:p w14:paraId="570EA7A0">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二、收入决算情况说明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2</w:t>
      </w:r>
    </w:p>
    <w:p w14:paraId="5CD87617">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三、支出决算情况说明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3</w:t>
      </w:r>
    </w:p>
    <w:p w14:paraId="3B86B065">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四、财政拨款收入支出决算总体情况说明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4</w:t>
      </w:r>
    </w:p>
    <w:p w14:paraId="65063309">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五、一般公共预算财政拨款支出决算情况说明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5</w:t>
      </w:r>
    </w:p>
    <w:p w14:paraId="7A55BAFE">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六、一般公共预算财政拨款基本支出决算情况说明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8</w:t>
      </w:r>
    </w:p>
    <w:p w14:paraId="3AED1439">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七、财政拨款“三公”经费支出决算情况说明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8</w:t>
      </w:r>
    </w:p>
    <w:p w14:paraId="027E74BE">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八、政府性基金预算支出决算情况说明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10</w:t>
      </w:r>
    </w:p>
    <w:p w14:paraId="3C52E215">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九、国有资本经营预算支出决算情况说明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10</w:t>
      </w:r>
      <w:r>
        <w:rPr>
          <w:rFonts w:hint="default" w:ascii="Times New Roman" w:hAnsi="Times New Roman" w:cs="Times New Roman"/>
          <w:sz w:val="24"/>
          <w:lang w:val="en-US" w:eastAsia="zh-CN"/>
        </w:rPr>
        <w:t xml:space="preserve">  </w:t>
      </w:r>
    </w:p>
    <w:p w14:paraId="748BAEF1">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十、其他重要事项的情况说明</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10</w:t>
      </w:r>
    </w:p>
    <w:p w14:paraId="4A60489E">
      <w:pPr>
        <w:pStyle w:val="12"/>
        <w:adjustRightInd w:val="0"/>
        <w:snapToGrid w:val="0"/>
        <w:spacing w:before="0" w:line="440" w:lineRule="exact"/>
        <w:jc w:val="left"/>
        <w:rPr>
          <w:rFonts w:hint="default" w:ascii="Times New Roman" w:hAnsi="Times New Roman" w:eastAsia="仿宋" w:cs="Times New Roman"/>
          <w:sz w:val="24"/>
          <w:szCs w:val="24"/>
          <w:lang w:val="en-US" w:eastAsia="zh-CN"/>
        </w:rPr>
      </w:pPr>
      <w:r>
        <w:rPr>
          <w:rFonts w:hint="default" w:ascii="Times New Roman" w:hAnsi="Times New Roman" w:cs="Times New Roman"/>
          <w:sz w:val="24"/>
        </w:rPr>
        <w:t>第三部分 名词解释</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............................................................12</w:t>
      </w:r>
    </w:p>
    <w:p w14:paraId="40FDD281">
      <w:pPr>
        <w:pStyle w:val="12"/>
        <w:adjustRightInd w:val="0"/>
        <w:snapToGrid w:val="0"/>
        <w:spacing w:before="0" w:line="440" w:lineRule="exact"/>
        <w:jc w:val="left"/>
        <w:rPr>
          <w:rFonts w:hint="default" w:ascii="Times New Roman" w:hAnsi="Times New Roman" w:eastAsia="仿宋" w:cs="Times New Roman"/>
          <w:sz w:val="24"/>
          <w:szCs w:val="24"/>
          <w:lang w:val="en-US" w:eastAsia="zh-CN"/>
        </w:rPr>
      </w:pPr>
      <w:r>
        <w:rPr>
          <w:rFonts w:hint="default" w:ascii="Times New Roman" w:hAnsi="Times New Roman" w:cs="Times New Roman"/>
          <w:sz w:val="24"/>
        </w:rPr>
        <w:t>第四部分 附件</w:t>
      </w:r>
      <w:r>
        <w:rPr>
          <w:rFonts w:hint="eastAsia" w:ascii="Times New Roman" w:hAnsi="Times New Roman" w:cs="Times New Roman"/>
          <w:sz w:val="24"/>
          <w:lang w:val="en-US" w:eastAsia="zh-CN"/>
        </w:rPr>
        <w:t>............................................................................................................15</w:t>
      </w:r>
    </w:p>
    <w:p w14:paraId="021B022F">
      <w:pPr>
        <w:pStyle w:val="12"/>
        <w:adjustRightInd w:val="0"/>
        <w:snapToGrid w:val="0"/>
        <w:spacing w:before="0" w:line="440" w:lineRule="exact"/>
        <w:jc w:val="left"/>
        <w:rPr>
          <w:rFonts w:hint="default" w:ascii="Times New Roman" w:hAnsi="Times New Roman" w:eastAsia="仿宋" w:cs="Times New Roman"/>
          <w:sz w:val="24"/>
          <w:szCs w:val="24"/>
          <w:lang w:val="en-US" w:eastAsia="zh-CN"/>
        </w:rPr>
      </w:pPr>
      <w:r>
        <w:rPr>
          <w:rFonts w:hint="default" w:ascii="Times New Roman" w:hAnsi="Times New Roman" w:cs="Times New Roman"/>
          <w:sz w:val="24"/>
        </w:rPr>
        <w:t>第五部分 附表</w:t>
      </w:r>
      <w:r>
        <w:rPr>
          <w:rFonts w:hint="eastAsia" w:ascii="Times New Roman" w:hAnsi="Times New Roman" w:cs="Times New Roman"/>
          <w:sz w:val="24"/>
          <w:lang w:val="en-US" w:eastAsia="zh-CN"/>
        </w:rPr>
        <w:t>............................................................................................................18</w:t>
      </w:r>
    </w:p>
    <w:p w14:paraId="517E38DC">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一、收入支出决算总表</w:t>
      </w:r>
      <w:r>
        <w:rPr>
          <w:rFonts w:hint="eastAsia" w:ascii="Times New Roman" w:hAnsi="Times New Roman" w:cs="Times New Roman"/>
          <w:sz w:val="24"/>
          <w:lang w:val="en-US" w:eastAsia="zh-CN"/>
        </w:rPr>
        <w:t>.......................................................................................19</w:t>
      </w:r>
    </w:p>
    <w:p w14:paraId="66498CE7">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二、收入决算表</w:t>
      </w:r>
      <w:r>
        <w:rPr>
          <w:rFonts w:hint="eastAsia" w:ascii="Times New Roman" w:hAnsi="Times New Roman" w:cs="Times New Roman"/>
          <w:sz w:val="24"/>
          <w:lang w:val="en-US" w:eastAsia="zh-CN"/>
        </w:rPr>
        <w:t>....................................................................................................19</w:t>
      </w:r>
    </w:p>
    <w:p w14:paraId="32E1266E">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三、支出决算表</w:t>
      </w:r>
      <w:r>
        <w:rPr>
          <w:rFonts w:hint="eastAsia" w:ascii="Times New Roman" w:hAnsi="Times New Roman" w:cs="Times New Roman"/>
          <w:sz w:val="24"/>
          <w:lang w:val="en-US" w:eastAsia="zh-CN"/>
        </w:rPr>
        <w:t>...................................................................................................19</w:t>
      </w:r>
    </w:p>
    <w:p w14:paraId="021B9AB6">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四、财政拨款收入支出决算总表</w:t>
      </w:r>
      <w:r>
        <w:rPr>
          <w:rFonts w:hint="eastAsia" w:ascii="Times New Roman" w:hAnsi="Times New Roman" w:cs="Times New Roman"/>
          <w:sz w:val="24"/>
          <w:lang w:val="en-US" w:eastAsia="zh-CN"/>
        </w:rPr>
        <w:t>.......................................................................19</w:t>
      </w:r>
    </w:p>
    <w:p w14:paraId="18AB575E">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五、财政拨款支出决算明细表</w:t>
      </w:r>
      <w:r>
        <w:rPr>
          <w:rFonts w:hint="eastAsia" w:ascii="Times New Roman" w:hAnsi="Times New Roman" w:cs="Times New Roman"/>
          <w:sz w:val="24"/>
          <w:lang w:val="en-US" w:eastAsia="zh-CN"/>
        </w:rPr>
        <w:t>............................................................................19</w:t>
      </w:r>
    </w:p>
    <w:p w14:paraId="63014F05">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六、一般公共预算财政拨款支出决算表</w:t>
      </w:r>
      <w:r>
        <w:rPr>
          <w:rFonts w:hint="eastAsia" w:ascii="Times New Roman" w:hAnsi="Times New Roman" w:cs="Times New Roman"/>
          <w:sz w:val="24"/>
          <w:lang w:val="en-US" w:eastAsia="zh-CN"/>
        </w:rPr>
        <w:t>............................................................19</w:t>
      </w:r>
    </w:p>
    <w:p w14:paraId="6EC7710B">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七、一般公共预算财政拨款支出决算明细表</w:t>
      </w:r>
      <w:r>
        <w:rPr>
          <w:rFonts w:hint="eastAsia" w:ascii="Times New Roman" w:hAnsi="Times New Roman" w:cs="Times New Roman"/>
          <w:sz w:val="24"/>
          <w:lang w:val="en-US" w:eastAsia="zh-CN"/>
        </w:rPr>
        <w:t>...................................................19</w:t>
      </w:r>
    </w:p>
    <w:p w14:paraId="24CB7E3D">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八、一般公共预算财政拨款基本支出决算明细表</w:t>
      </w:r>
      <w:r>
        <w:rPr>
          <w:rFonts w:hint="eastAsia" w:ascii="Times New Roman" w:hAnsi="Times New Roman" w:cs="Times New Roman"/>
          <w:sz w:val="24"/>
          <w:lang w:val="en-US" w:eastAsia="zh-CN"/>
        </w:rPr>
        <w:t>.............................................19</w:t>
      </w:r>
    </w:p>
    <w:p w14:paraId="33A2E1D4">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九、一般公共预算财政拨款项目支出决算表</w:t>
      </w:r>
      <w:r>
        <w:rPr>
          <w:rFonts w:hint="eastAsia" w:ascii="Times New Roman" w:hAnsi="Times New Roman" w:cs="Times New Roman"/>
          <w:sz w:val="24"/>
          <w:lang w:val="en-US" w:eastAsia="zh-CN"/>
        </w:rPr>
        <w:t>.....................................................19</w:t>
      </w:r>
    </w:p>
    <w:p w14:paraId="611E8F15">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十、政府性基金预算财政拨款收入支出决算表</w:t>
      </w:r>
      <w:r>
        <w:rPr>
          <w:rFonts w:hint="eastAsia" w:ascii="Times New Roman" w:hAnsi="Times New Roman" w:cs="Times New Roman"/>
          <w:sz w:val="24"/>
          <w:lang w:val="en-US" w:eastAsia="zh-CN"/>
        </w:rPr>
        <w:t>.................................................19</w:t>
      </w:r>
    </w:p>
    <w:p w14:paraId="25DFEF7D">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十一、国有资本经营预算财政拨款收入支出决算表</w:t>
      </w:r>
      <w:r>
        <w:rPr>
          <w:rFonts w:hint="eastAsia" w:ascii="Times New Roman" w:hAnsi="Times New Roman" w:cs="Times New Roman"/>
          <w:sz w:val="24"/>
          <w:lang w:val="en-US" w:eastAsia="zh-CN"/>
        </w:rPr>
        <w:t>........................................19</w:t>
      </w:r>
    </w:p>
    <w:p w14:paraId="13BD7238">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十二、国有资本经营预算财政拨款支出决算表</w:t>
      </w:r>
      <w:r>
        <w:rPr>
          <w:rFonts w:hint="eastAsia" w:ascii="Times New Roman" w:hAnsi="Times New Roman" w:cs="Times New Roman"/>
          <w:sz w:val="24"/>
          <w:lang w:val="en-US" w:eastAsia="zh-CN"/>
        </w:rPr>
        <w:t>.................................................19</w:t>
      </w:r>
    </w:p>
    <w:p w14:paraId="065155B0">
      <w:pPr>
        <w:pStyle w:val="13"/>
        <w:adjustRightInd w:val="0"/>
        <w:snapToGrid w:val="0"/>
        <w:spacing w:line="440" w:lineRule="exact"/>
        <w:jc w:val="left"/>
        <w:rPr>
          <w:rFonts w:hint="default" w:ascii="Times New Roman" w:hAnsi="Times New Roman" w:eastAsia="宋体" w:cs="Times New Roman"/>
          <w:sz w:val="24"/>
          <w:lang w:val="en-US" w:eastAsia="zh-CN"/>
        </w:rPr>
      </w:pPr>
      <w:r>
        <w:rPr>
          <w:rFonts w:hint="default" w:ascii="Times New Roman" w:hAnsi="Times New Roman" w:cs="Times New Roman"/>
          <w:sz w:val="24"/>
        </w:rPr>
        <w:t>十三、财政拨款“三公”经费支出决算表</w:t>
      </w:r>
      <w:r>
        <w:rPr>
          <w:rFonts w:hint="eastAsia" w:ascii="Times New Roman" w:hAnsi="Times New Roman" w:cs="Times New Roman"/>
          <w:sz w:val="24"/>
          <w:lang w:val="en-US" w:eastAsia="zh-CN"/>
        </w:rPr>
        <w:t>.............................................................19</w:t>
      </w:r>
    </w:p>
    <w:p w14:paraId="4916E47D">
      <w:pPr>
        <w:widowControl/>
        <w:adjustRightInd w:val="0"/>
        <w:snapToGrid w:val="0"/>
        <w:spacing w:line="440" w:lineRule="exact"/>
        <w:ind w:firstLine="1320" w:firstLineChars="550"/>
        <w:jc w:val="left"/>
        <w:rPr>
          <w:rFonts w:ascii="仿宋" w:hAnsi="仿宋" w:eastAsia="仿宋"/>
          <w:sz w:val="24"/>
        </w:rPr>
      </w:pPr>
      <w:r>
        <w:rPr>
          <w:rFonts w:ascii="仿宋" w:hAnsi="仿宋" w:eastAsia="仿宋"/>
          <w:sz w:val="24"/>
        </w:rPr>
        <w:t>(注：</w:t>
      </w:r>
      <w:r>
        <w:rPr>
          <w:rFonts w:hint="eastAsia" w:ascii="仿宋" w:hAnsi="仿宋" w:eastAsia="仿宋"/>
          <w:sz w:val="24"/>
        </w:rPr>
        <w:t>请单位根据实际注明页码</w:t>
      </w:r>
      <w:r>
        <w:rPr>
          <w:rFonts w:ascii="仿宋" w:hAnsi="仿宋" w:eastAsia="仿宋"/>
          <w:sz w:val="24"/>
        </w:rPr>
        <w:t>)</w:t>
      </w:r>
    </w:p>
    <w:p w14:paraId="4670B0EB">
      <w:pPr>
        <w:pStyle w:val="3"/>
        <w:jc w:val="center"/>
        <w:rPr>
          <w:rFonts w:hint="eastAsia" w:ascii="黑体" w:hAnsi="黑体" w:eastAsia="黑体"/>
          <w:b w:val="0"/>
        </w:rPr>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pPr>
      <w:bookmarkStart w:id="12" w:name="_Toc15396599"/>
      <w:bookmarkStart w:id="13" w:name="_Toc15377196"/>
    </w:p>
    <w:p w14:paraId="00D64AD8">
      <w:pPr>
        <w:pStyle w:val="3"/>
        <w:jc w:val="center"/>
        <w:rPr>
          <w:rStyle w:val="28"/>
          <w:rFonts w:ascii="黑体" w:hAnsi="黑体" w:eastAsia="黑体"/>
          <w:b/>
          <w:bCs w:val="0"/>
        </w:rPr>
      </w:pPr>
      <w:r>
        <w:rPr>
          <w:rFonts w:hint="eastAsia" w:ascii="黑体" w:hAnsi="黑体" w:eastAsia="黑体"/>
          <w:b w:val="0"/>
        </w:rPr>
        <w:t>第一部分 单位</w:t>
      </w:r>
      <w:r>
        <w:rPr>
          <w:rStyle w:val="28"/>
          <w:rFonts w:hint="eastAsia" w:ascii="黑体" w:hAnsi="黑体" w:eastAsia="黑体"/>
          <w:b w:val="0"/>
          <w:bCs w:val="0"/>
        </w:rPr>
        <w:t>概况</w:t>
      </w:r>
      <w:bookmarkEnd w:id="12"/>
      <w:bookmarkEnd w:id="13"/>
    </w:p>
    <w:p w14:paraId="6DC9B9B1">
      <w:pPr>
        <w:widowControl/>
        <w:jc w:val="left"/>
        <w:rPr>
          <w:rFonts w:ascii="黑体" w:eastAsia="黑体"/>
          <w:sz w:val="32"/>
          <w:szCs w:val="32"/>
        </w:rPr>
      </w:pPr>
    </w:p>
    <w:p w14:paraId="261E47B7">
      <w:pPr>
        <w:pStyle w:val="4"/>
        <w:numPr>
          <w:ilvl w:val="0"/>
          <w:numId w:val="1"/>
        </w:numPr>
        <w:rPr>
          <w:rStyle w:val="29"/>
          <w:rFonts w:ascii="黑体" w:hAnsi="黑体" w:eastAsia="黑体"/>
          <w:b w:val="0"/>
          <w:bCs w:val="0"/>
        </w:rPr>
      </w:pPr>
      <w:bookmarkStart w:id="14" w:name="_Toc15396600"/>
      <w:bookmarkStart w:id="15" w:name="_Toc15377197"/>
      <w:r>
        <w:rPr>
          <w:rStyle w:val="29"/>
          <w:rFonts w:hint="eastAsia" w:ascii="黑体" w:hAnsi="黑体" w:eastAsia="黑体"/>
          <w:b w:val="0"/>
          <w:bCs w:val="0"/>
        </w:rPr>
        <w:t>主要职责</w:t>
      </w:r>
    </w:p>
    <w:p w14:paraId="0572FEAD">
      <w:pPr>
        <w:snapToGrid w:val="0"/>
        <w:spacing w:line="520" w:lineRule="exact"/>
        <w:ind w:firstLine="640" w:firstLineChars="200"/>
        <w:rPr>
          <w:rFonts w:hint="eastAsia" w:ascii="Times New Roman" w:hAnsi="Times New Roman" w:eastAsia="仿宋_GB2312" w:cs="仿宋_GB2312"/>
          <w:bCs/>
          <w:sz w:val="32"/>
          <w:szCs w:val="32"/>
          <w:highlight w:val="none"/>
          <w:u w:val="single"/>
        </w:rPr>
      </w:pPr>
      <w:r>
        <w:rPr>
          <w:rFonts w:hint="eastAsia" w:ascii="仿宋_GB2312" w:hAnsi="仿宋" w:eastAsia="仿宋_GB2312"/>
          <w:sz w:val="32"/>
          <w:szCs w:val="32"/>
        </w:rPr>
        <w:t>四川省纺织工业设计院是直属于四川省经济和信息化厅的事业单位，前身是1953年成立的西南纺管局设计室，1978年11月经原国家纺织工业部批准独立建院，定名为纺织工业部成都设计院，1980年5月更名为四川省纺织工业设计院。经过四十余年的发展壮大，我院现有国家轻纺行业（纺织工程）甲级设计资质、建筑行业（建筑工程）甲级设计资质、工程咨询甲级资信（轻工、纺织、建筑）、工程总承包甲级资质、风景园林工程设计专项乙级资质、城乡规划乙级资质、建设工程项目管理资格和对外经营资质。</w:t>
      </w:r>
    </w:p>
    <w:p w14:paraId="4DF4C7C8"/>
    <w:p w14:paraId="1BBDFB78">
      <w:pPr>
        <w:pStyle w:val="4"/>
        <w:rPr>
          <w:rFonts w:ascii="黑体" w:hAnsi="黑体" w:eastAsia="黑体"/>
          <w:b w:val="0"/>
        </w:rPr>
      </w:pPr>
      <w:r>
        <w:rPr>
          <w:rFonts w:hint="eastAsia" w:ascii="黑体" w:hAnsi="黑体" w:eastAsia="黑体"/>
          <w:b w:val="0"/>
        </w:rPr>
        <w:t>二、机构设置</w:t>
      </w:r>
    </w:p>
    <w:bookmarkEnd w:id="14"/>
    <w:bookmarkEnd w:id="15"/>
    <w:p w14:paraId="645E656F">
      <w:pPr>
        <w:numPr>
          <w:ilvl w:val="0"/>
          <w:numId w:val="0"/>
        </w:numPr>
        <w:ind w:leftChars="0" w:firstLine="640" w:firstLineChars="200"/>
        <w:rPr>
          <w:rFonts w:hint="eastAsia"/>
          <w:lang w:val="en-US" w:eastAsia="zh-CN"/>
        </w:rPr>
      </w:pPr>
      <w:r>
        <w:rPr>
          <w:rFonts w:hint="eastAsia" w:ascii="仿宋" w:hAnsi="仿宋" w:eastAsia="仿宋"/>
          <w:color w:val="auto"/>
          <w:sz w:val="32"/>
          <w:szCs w:val="32"/>
          <w:highlight w:val="none"/>
          <w:lang w:val="en-US" w:eastAsia="zh-CN"/>
        </w:rPr>
        <w:t>四川省纺织工业设计院单位领导班子设院长（党委书记）1人、副院长2人、纪委书记1人；下设五个部门，分别是综合办公室、市场管理部、设计管理部、总工办、技术信息部。</w:t>
      </w:r>
    </w:p>
    <w:p w14:paraId="71CB1A5D">
      <w:pPr>
        <w:widowControl/>
        <w:jc w:val="left"/>
        <w:rPr>
          <w:rFonts w:ascii="仿宋" w:hAnsi="仿宋" w:eastAsia="仿宋"/>
          <w:kern w:val="0"/>
          <w:sz w:val="32"/>
          <w:szCs w:val="32"/>
        </w:rPr>
      </w:pPr>
      <w:r>
        <w:rPr>
          <w:rFonts w:ascii="仿宋" w:hAnsi="仿宋" w:eastAsia="仿宋"/>
          <w:sz w:val="32"/>
          <w:szCs w:val="32"/>
        </w:rPr>
        <w:br w:type="page"/>
      </w:r>
    </w:p>
    <w:p w14:paraId="0325CCDE">
      <w:pPr>
        <w:pStyle w:val="3"/>
        <w:ind w:right="440"/>
        <w:jc w:val="center"/>
        <w:rPr>
          <w:rStyle w:val="28"/>
          <w:rFonts w:ascii="黑体" w:hAnsi="黑体" w:eastAsia="黑体"/>
          <w:b w:val="0"/>
          <w:bCs/>
        </w:rPr>
      </w:pPr>
      <w:bookmarkStart w:id="16" w:name="_Toc15377204"/>
      <w:bookmarkStart w:id="17" w:name="_Toc15396602"/>
      <w:r>
        <w:rPr>
          <w:rFonts w:hint="eastAsia" w:ascii="黑体" w:hAnsi="黑体" w:eastAsia="黑体"/>
          <w:b w:val="0"/>
        </w:rPr>
        <w:t>第二部分 2023年度</w:t>
      </w:r>
      <w:r>
        <w:rPr>
          <w:rStyle w:val="28"/>
          <w:rFonts w:hint="eastAsia" w:ascii="黑体" w:hAnsi="黑体" w:eastAsia="黑体"/>
          <w:b w:val="0"/>
          <w:bCs/>
        </w:rPr>
        <w:t>单位决算情况说明</w:t>
      </w:r>
      <w:bookmarkEnd w:id="16"/>
      <w:bookmarkEnd w:id="17"/>
    </w:p>
    <w:p w14:paraId="48C8EEA9"/>
    <w:p w14:paraId="603180CC">
      <w:pPr>
        <w:pStyle w:val="27"/>
        <w:numPr>
          <w:ilvl w:val="0"/>
          <w:numId w:val="2"/>
        </w:numPr>
        <w:spacing w:line="600" w:lineRule="exact"/>
        <w:ind w:firstLineChars="0"/>
        <w:outlineLvl w:val="1"/>
        <w:rPr>
          <w:rStyle w:val="29"/>
          <w:rFonts w:ascii="黑体" w:hAnsi="黑体" w:eastAsia="黑体"/>
          <w:b w:val="0"/>
        </w:rPr>
      </w:pPr>
      <w:bookmarkStart w:id="18" w:name="_Toc15377205"/>
      <w:bookmarkStart w:id="19" w:name="_Toc15396603"/>
      <w:r>
        <w:rPr>
          <w:rFonts w:hint="eastAsia" w:ascii="黑体" w:hAnsi="黑体" w:eastAsia="黑体"/>
          <w:sz w:val="32"/>
          <w:szCs w:val="32"/>
        </w:rPr>
        <w:t>收</w:t>
      </w:r>
      <w:r>
        <w:rPr>
          <w:rStyle w:val="29"/>
          <w:rFonts w:hint="eastAsia" w:ascii="黑体" w:hAnsi="黑体" w:eastAsia="黑体"/>
          <w:b w:val="0"/>
        </w:rPr>
        <w:t>入支出决算总体情况说明</w:t>
      </w:r>
      <w:bookmarkEnd w:id="18"/>
      <w:bookmarkEnd w:id="19"/>
    </w:p>
    <w:p w14:paraId="06EB9BB7">
      <w:pPr>
        <w:spacing w:line="600" w:lineRule="exact"/>
        <w:ind w:firstLine="640" w:firstLineChars="200"/>
        <w:rPr>
          <w:rFonts w:ascii="仿宋" w:hAnsi="仿宋" w:eastAsia="仿宋"/>
          <w:sz w:val="32"/>
          <w:szCs w:val="32"/>
        </w:rPr>
      </w:pPr>
      <w:r>
        <w:rPr>
          <w:rFonts w:hint="eastAsia" w:ascii="仿宋" w:hAnsi="仿宋" w:eastAsia="仿宋"/>
          <w:sz w:val="32"/>
          <w:szCs w:val="32"/>
        </w:rPr>
        <w:t>2023年度收、支总计均为</w:t>
      </w:r>
      <w:r>
        <w:rPr>
          <w:rFonts w:hint="eastAsia" w:ascii="仿宋" w:hAnsi="仿宋" w:eastAsia="仿宋"/>
          <w:b/>
          <w:sz w:val="32"/>
          <w:szCs w:val="32"/>
        </w:rPr>
        <w:t>2690.01</w:t>
      </w:r>
      <w:r>
        <w:rPr>
          <w:rFonts w:hint="eastAsia" w:ascii="仿宋" w:hAnsi="仿宋" w:eastAsia="仿宋"/>
          <w:sz w:val="32"/>
          <w:szCs w:val="32"/>
        </w:rPr>
        <w:t>万元。与2022年度相比，收、支总计各增加</w:t>
      </w:r>
      <w:r>
        <w:rPr>
          <w:rFonts w:hint="eastAsia" w:ascii="仿宋" w:hAnsi="仿宋" w:eastAsia="仿宋"/>
          <w:sz w:val="32"/>
          <w:szCs w:val="32"/>
          <w:lang w:val="en-US" w:eastAsia="zh-CN"/>
        </w:rPr>
        <w:t>269.5</w:t>
      </w:r>
      <w:r>
        <w:rPr>
          <w:rFonts w:hint="eastAsia" w:ascii="仿宋" w:hAnsi="仿宋" w:eastAsia="仿宋"/>
          <w:sz w:val="32"/>
          <w:szCs w:val="32"/>
        </w:rPr>
        <w:t>万元，增长</w:t>
      </w:r>
      <w:r>
        <w:rPr>
          <w:rFonts w:hint="eastAsia" w:ascii="仿宋" w:hAnsi="仿宋" w:eastAsia="仿宋"/>
          <w:sz w:val="32"/>
          <w:szCs w:val="32"/>
          <w:lang w:val="en-US" w:eastAsia="zh-CN"/>
        </w:rPr>
        <w:t>11.13</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业务拓展后设计咨询项目增加</w:t>
      </w:r>
      <w:r>
        <w:rPr>
          <w:rFonts w:hint="eastAsia" w:ascii="仿宋" w:hAnsi="仿宋" w:eastAsia="仿宋"/>
          <w:sz w:val="32"/>
          <w:szCs w:val="32"/>
        </w:rPr>
        <w:t>。</w:t>
      </w:r>
    </w:p>
    <w:p w14:paraId="5B4AAA7C">
      <w:pPr>
        <w:spacing w:line="600" w:lineRule="exact"/>
        <w:jc w:val="left"/>
        <w:rPr>
          <w:rFonts w:ascii="仿宋_GB2312" w:eastAsia="仿宋_GB2312"/>
          <w:sz w:val="32"/>
          <w:szCs w:val="32"/>
        </w:rPr>
      </w:pPr>
      <w:r>
        <w:rPr>
          <w:rFonts w:hint="eastAsia" w:ascii="仿宋_GB2312" w:hAnsi="仿宋" w:eastAsia="仿宋_GB2312"/>
          <w:sz w:val="32"/>
          <w:szCs w:val="32"/>
          <w:lang w:eastAsia="zh-CN"/>
        </w:rPr>
        <w:drawing>
          <wp:anchor distT="0" distB="0" distL="114300" distR="114300" simplePos="0" relativeHeight="251660288" behindDoc="0" locked="0" layoutInCell="1" allowOverlap="1">
            <wp:simplePos x="0" y="0"/>
            <wp:positionH relativeFrom="column">
              <wp:posOffset>384810</wp:posOffset>
            </wp:positionH>
            <wp:positionV relativeFrom="page">
              <wp:posOffset>3465830</wp:posOffset>
            </wp:positionV>
            <wp:extent cx="4451985" cy="3185795"/>
            <wp:effectExtent l="4445" t="5080" r="20320" b="9525"/>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14:paraId="31BD23F2">
      <w:pPr>
        <w:pStyle w:val="6"/>
        <w:rPr>
          <w:rFonts w:ascii="仿宋_GB2312" w:eastAsia="仿宋_GB2312"/>
          <w:sz w:val="32"/>
          <w:szCs w:val="32"/>
        </w:rPr>
      </w:pPr>
    </w:p>
    <w:p w14:paraId="60641E55">
      <w:pPr>
        <w:rPr>
          <w:rFonts w:ascii="仿宋_GB2312" w:eastAsia="仿宋_GB2312"/>
          <w:sz w:val="32"/>
          <w:szCs w:val="32"/>
        </w:rPr>
      </w:pPr>
    </w:p>
    <w:p w14:paraId="2F9A6B8A">
      <w:pPr>
        <w:pStyle w:val="6"/>
        <w:rPr>
          <w:rFonts w:ascii="仿宋_GB2312" w:eastAsia="仿宋_GB2312"/>
          <w:sz w:val="32"/>
          <w:szCs w:val="32"/>
        </w:rPr>
      </w:pPr>
    </w:p>
    <w:p w14:paraId="77FE6794">
      <w:pPr>
        <w:rPr>
          <w:rFonts w:ascii="仿宋_GB2312" w:eastAsia="仿宋_GB2312"/>
          <w:sz w:val="32"/>
          <w:szCs w:val="32"/>
        </w:rPr>
      </w:pPr>
    </w:p>
    <w:p w14:paraId="6135A061">
      <w:pPr>
        <w:pStyle w:val="6"/>
        <w:rPr>
          <w:rFonts w:ascii="仿宋_GB2312" w:eastAsia="仿宋_GB2312"/>
          <w:sz w:val="32"/>
          <w:szCs w:val="32"/>
        </w:rPr>
      </w:pPr>
    </w:p>
    <w:p w14:paraId="4F473C69">
      <w:pPr>
        <w:spacing w:line="600" w:lineRule="exact"/>
        <w:rPr>
          <w:rFonts w:hint="eastAsia" w:ascii="仿宋" w:hAnsi="仿宋" w:eastAsia="仿宋"/>
          <w:sz w:val="32"/>
          <w:szCs w:val="32"/>
        </w:rPr>
      </w:pPr>
    </w:p>
    <w:p w14:paraId="7E5BDE0D">
      <w:pPr>
        <w:spacing w:line="600" w:lineRule="exact"/>
        <w:rPr>
          <w:rFonts w:hint="eastAsia" w:ascii="仿宋" w:hAnsi="仿宋" w:eastAsia="仿宋"/>
          <w:sz w:val="32"/>
          <w:szCs w:val="32"/>
        </w:rPr>
      </w:pPr>
    </w:p>
    <w:p w14:paraId="2D29DD74">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14:paraId="0EB54DC0"/>
    <w:p w14:paraId="4B70552F">
      <w:pPr>
        <w:pStyle w:val="27"/>
        <w:numPr>
          <w:ilvl w:val="0"/>
          <w:numId w:val="2"/>
        </w:numPr>
        <w:spacing w:line="600" w:lineRule="exact"/>
        <w:ind w:firstLineChars="0"/>
        <w:outlineLvl w:val="1"/>
        <w:rPr>
          <w:rStyle w:val="29"/>
          <w:rFonts w:ascii="黑体" w:hAnsi="黑体" w:eastAsia="黑体"/>
          <w:b w:val="0"/>
        </w:rPr>
      </w:pPr>
      <w:bookmarkStart w:id="20" w:name="_Toc15377206"/>
      <w:bookmarkStart w:id="21" w:name="_Toc15396604"/>
      <w:r>
        <w:rPr>
          <w:rFonts w:hint="eastAsia" w:ascii="黑体" w:hAnsi="黑体" w:eastAsia="黑体"/>
          <w:sz w:val="32"/>
          <w:szCs w:val="32"/>
        </w:rPr>
        <w:t>收</w:t>
      </w:r>
      <w:r>
        <w:rPr>
          <w:rStyle w:val="29"/>
          <w:rFonts w:hint="eastAsia" w:ascii="黑体" w:hAnsi="黑体" w:eastAsia="黑体"/>
          <w:b w:val="0"/>
        </w:rPr>
        <w:t>入决算情况说明</w:t>
      </w:r>
      <w:bookmarkEnd w:id="20"/>
      <w:bookmarkEnd w:id="21"/>
    </w:p>
    <w:p w14:paraId="2DB62D99">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2023年度本年收入合计</w:t>
      </w:r>
      <w:r>
        <w:rPr>
          <w:rFonts w:ascii="仿宋" w:hAnsi="仿宋" w:eastAsia="仿宋"/>
          <w:b/>
          <w:sz w:val="32"/>
          <w:szCs w:val="32"/>
        </w:rPr>
        <w:t>1808.53</w:t>
      </w:r>
      <w:r>
        <w:rPr>
          <w:rFonts w:hint="eastAsia" w:ascii="仿宋" w:hAnsi="仿宋" w:eastAsia="仿宋"/>
          <w:sz w:val="32"/>
          <w:szCs w:val="32"/>
        </w:rPr>
        <w:t>万元，其中：一般公共预算财政拨款收入</w:t>
      </w:r>
      <w:r>
        <w:rPr>
          <w:rFonts w:ascii="仿宋" w:hAnsi="仿宋" w:eastAsia="仿宋"/>
          <w:b/>
          <w:sz w:val="32"/>
          <w:szCs w:val="32"/>
        </w:rPr>
        <w:t>890.39</w:t>
      </w:r>
      <w:r>
        <w:rPr>
          <w:rFonts w:hint="eastAsia" w:ascii="仿宋" w:hAnsi="仿宋" w:eastAsia="仿宋"/>
          <w:sz w:val="32"/>
          <w:szCs w:val="32"/>
        </w:rPr>
        <w:t>万元，占</w:t>
      </w:r>
      <w:r>
        <w:rPr>
          <w:rFonts w:ascii="仿宋" w:hAnsi="仿宋" w:eastAsia="仿宋"/>
          <w:b/>
          <w:sz w:val="32"/>
          <w:szCs w:val="32"/>
        </w:rPr>
        <w:t>49.23%</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918.14</w:t>
      </w:r>
      <w:r>
        <w:rPr>
          <w:rFonts w:hint="eastAsia" w:ascii="仿宋" w:hAnsi="仿宋" w:eastAsia="仿宋"/>
          <w:sz w:val="32"/>
          <w:szCs w:val="32"/>
        </w:rPr>
        <w:t>万元，占</w:t>
      </w:r>
      <w:r>
        <w:rPr>
          <w:rFonts w:ascii="仿宋" w:hAnsi="仿宋" w:eastAsia="仿宋"/>
          <w:b/>
          <w:sz w:val="32"/>
          <w:szCs w:val="32"/>
        </w:rPr>
        <w:t>50.7</w:t>
      </w:r>
      <w:r>
        <w:rPr>
          <w:rFonts w:hint="eastAsia" w:ascii="仿宋" w:hAnsi="仿宋" w:eastAsia="仿宋"/>
          <w:b/>
          <w:sz w:val="32"/>
          <w:szCs w:val="32"/>
          <w:lang w:val="en-US" w:eastAsia="zh-CN"/>
        </w:rPr>
        <w:t>7</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p>
    <w:p w14:paraId="061B9C5B">
      <w:pPr>
        <w:spacing w:line="600" w:lineRule="exact"/>
        <w:ind w:firstLine="643" w:firstLineChars="200"/>
        <w:outlineLvl w:val="1"/>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01表</w:t>
      </w:r>
      <w:r>
        <w:rPr>
          <w:rFonts w:hint="eastAsia" w:ascii="仿宋" w:hAnsi="仿宋" w:eastAsia="仿宋"/>
          <w:b/>
          <w:sz w:val="32"/>
          <w:szCs w:val="32"/>
        </w:rPr>
        <w:t>，仅罗列本单位涉及的收入。</w:t>
      </w:r>
      <w:r>
        <w:rPr>
          <w:rFonts w:ascii="仿宋" w:hAnsi="仿宋" w:eastAsia="仿宋"/>
          <w:b/>
          <w:sz w:val="32"/>
          <w:szCs w:val="32"/>
        </w:rPr>
        <w:t>）</w:t>
      </w:r>
    </w:p>
    <w:p w14:paraId="0D0C954A">
      <w:pPr>
        <w:spacing w:line="600" w:lineRule="exact"/>
        <w:ind w:firstLine="480" w:firstLineChars="200"/>
        <w:outlineLvl w:val="1"/>
        <w:rPr>
          <w:rFonts w:ascii="仿宋" w:hAnsi="仿宋" w:eastAsia="仿宋"/>
          <w:sz w:val="32"/>
          <w:szCs w:val="32"/>
        </w:rPr>
      </w:pPr>
      <w:r>
        <w:rPr>
          <w:rFonts w:ascii="仿宋" w:hAnsi="仿宋" w:eastAsia="仿宋"/>
          <w:sz w:val="24"/>
        </w:rPr>
        <w:pict>
          <v:shape id="_x0000_s1026" o:spid="_x0000_s1026" o:spt="75" type="#_x0000_t75" style="position:absolute;left:0pt;margin-left:33.5pt;margin-top:13.75pt;height:241.6pt;width:335.75pt;z-index:251661312;mso-width-relative:page;mso-height-relative:page;" o:ole="t" filled="f" o:preferrelative="t" stroked="f" coordsize="21600,21600">
            <v:path/>
            <v:fill on="f" focussize="0,0"/>
            <v:stroke on="f"/>
            <v:imagedata r:id="rId10" o:title=""/>
            <o:lock v:ext="edit" aspectratio="f"/>
          </v:shape>
          <o:OLEObject Type="Embed" ProgID="Excel.Chart.8" ShapeID="_x0000_s1026" DrawAspect="Content" ObjectID="_1468075725" r:id="rId9">
            <o:LockedField>false</o:LockedField>
          </o:OLEObject>
        </w:pict>
      </w:r>
    </w:p>
    <w:p w14:paraId="1D7AFB46">
      <w:pPr>
        <w:pStyle w:val="6"/>
        <w:rPr>
          <w:rFonts w:ascii="仿宋" w:hAnsi="仿宋" w:eastAsia="仿宋"/>
          <w:sz w:val="32"/>
          <w:szCs w:val="32"/>
        </w:rPr>
      </w:pPr>
    </w:p>
    <w:p w14:paraId="5D02CE0C">
      <w:pPr>
        <w:rPr>
          <w:rFonts w:ascii="仿宋" w:hAnsi="仿宋" w:eastAsia="仿宋"/>
          <w:sz w:val="32"/>
          <w:szCs w:val="32"/>
        </w:rPr>
      </w:pPr>
    </w:p>
    <w:p w14:paraId="698089CA">
      <w:pPr>
        <w:pStyle w:val="6"/>
        <w:rPr>
          <w:rFonts w:ascii="仿宋" w:hAnsi="仿宋" w:eastAsia="仿宋"/>
          <w:sz w:val="32"/>
          <w:szCs w:val="32"/>
        </w:rPr>
      </w:pPr>
    </w:p>
    <w:p w14:paraId="734B1BF5">
      <w:pPr>
        <w:rPr>
          <w:rFonts w:ascii="仿宋" w:hAnsi="仿宋" w:eastAsia="仿宋"/>
          <w:sz w:val="32"/>
          <w:szCs w:val="32"/>
        </w:rPr>
      </w:pPr>
    </w:p>
    <w:p w14:paraId="6B11BD3C">
      <w:pPr>
        <w:pStyle w:val="6"/>
        <w:rPr>
          <w:rFonts w:ascii="仿宋" w:hAnsi="仿宋" w:eastAsia="仿宋"/>
          <w:sz w:val="32"/>
          <w:szCs w:val="32"/>
        </w:rPr>
      </w:pPr>
    </w:p>
    <w:p w14:paraId="0ADB3FC6">
      <w:pPr>
        <w:rPr>
          <w:rFonts w:ascii="仿宋" w:hAnsi="仿宋" w:eastAsia="仿宋"/>
          <w:sz w:val="32"/>
          <w:szCs w:val="32"/>
        </w:rPr>
      </w:pPr>
    </w:p>
    <w:p w14:paraId="61F2EA59">
      <w:pPr>
        <w:pStyle w:val="6"/>
        <w:rPr>
          <w:rFonts w:ascii="仿宋" w:hAnsi="仿宋" w:eastAsia="仿宋"/>
          <w:sz w:val="32"/>
          <w:szCs w:val="32"/>
        </w:rPr>
      </w:pPr>
    </w:p>
    <w:p w14:paraId="6A700EB0"/>
    <w:p w14:paraId="04F55C05">
      <w:pPr>
        <w:pStyle w:val="6"/>
      </w:pPr>
    </w:p>
    <w:p w14:paraId="1F44DFC8">
      <w:pPr>
        <w:spacing w:line="600" w:lineRule="exact"/>
        <w:ind w:firstLine="640" w:firstLineChars="200"/>
        <w:rPr>
          <w:rFonts w:ascii="仿宋" w:hAnsi="仿宋" w:eastAsia="仿宋"/>
          <w:sz w:val="32"/>
          <w:szCs w:val="32"/>
        </w:rPr>
      </w:pPr>
      <w:r>
        <w:rPr>
          <w:rFonts w:hint="eastAsia" w:ascii="仿宋" w:hAnsi="仿宋" w:eastAsia="仿宋"/>
          <w:sz w:val="32"/>
          <w:szCs w:val="32"/>
        </w:rPr>
        <w:t>（图2：收入决算结构图）（饼状图）</w:t>
      </w:r>
    </w:p>
    <w:p w14:paraId="1261B507">
      <w:pPr>
        <w:spacing w:line="600" w:lineRule="exact"/>
        <w:ind w:firstLine="640" w:firstLineChars="200"/>
        <w:rPr>
          <w:rFonts w:ascii="仿宋_GB2312" w:eastAsia="仿宋_GB2312"/>
          <w:sz w:val="32"/>
          <w:szCs w:val="32"/>
        </w:rPr>
      </w:pPr>
    </w:p>
    <w:p w14:paraId="734044C6">
      <w:pPr>
        <w:pStyle w:val="27"/>
        <w:numPr>
          <w:ilvl w:val="0"/>
          <w:numId w:val="2"/>
        </w:numPr>
        <w:spacing w:line="600" w:lineRule="exact"/>
        <w:ind w:firstLineChars="0"/>
        <w:outlineLvl w:val="1"/>
        <w:rPr>
          <w:rStyle w:val="29"/>
          <w:rFonts w:ascii="黑体" w:hAnsi="黑体" w:eastAsia="黑体"/>
          <w:b w:val="0"/>
        </w:rPr>
      </w:pPr>
      <w:bookmarkStart w:id="22" w:name="_Toc15377207"/>
      <w:bookmarkStart w:id="23" w:name="_Toc15396605"/>
      <w:r>
        <w:rPr>
          <w:rFonts w:hint="eastAsia" w:ascii="黑体" w:hAnsi="黑体" w:eastAsia="黑体"/>
          <w:sz w:val="32"/>
          <w:szCs w:val="32"/>
        </w:rPr>
        <w:t>支</w:t>
      </w:r>
      <w:r>
        <w:rPr>
          <w:rStyle w:val="29"/>
          <w:rFonts w:hint="eastAsia" w:ascii="黑体" w:hAnsi="黑体" w:eastAsia="黑体"/>
          <w:b w:val="0"/>
        </w:rPr>
        <w:t>出决算情况说明</w:t>
      </w:r>
      <w:bookmarkEnd w:id="22"/>
      <w:bookmarkEnd w:id="23"/>
    </w:p>
    <w:p w14:paraId="66AE3DAA">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2023年度本年支出合计</w:t>
      </w:r>
      <w:r>
        <w:rPr>
          <w:rFonts w:ascii="仿宋" w:hAnsi="仿宋" w:eastAsia="仿宋"/>
          <w:b/>
          <w:sz w:val="32"/>
          <w:szCs w:val="32"/>
        </w:rPr>
        <w:t>1792.22</w:t>
      </w:r>
      <w:r>
        <w:rPr>
          <w:rFonts w:hint="eastAsia" w:ascii="仿宋" w:hAnsi="仿宋" w:eastAsia="仿宋"/>
          <w:sz w:val="32"/>
          <w:szCs w:val="32"/>
        </w:rPr>
        <w:t>万元，其中：基本支出</w:t>
      </w:r>
      <w:r>
        <w:rPr>
          <w:rFonts w:ascii="仿宋" w:hAnsi="仿宋" w:eastAsia="仿宋"/>
          <w:b/>
          <w:sz w:val="32"/>
          <w:szCs w:val="32"/>
        </w:rPr>
        <w:t>890.39</w:t>
      </w:r>
      <w:r>
        <w:rPr>
          <w:rFonts w:hint="eastAsia" w:ascii="仿宋" w:hAnsi="仿宋" w:eastAsia="仿宋"/>
          <w:sz w:val="32"/>
          <w:szCs w:val="32"/>
        </w:rPr>
        <w:t>万元，占</w:t>
      </w:r>
      <w:r>
        <w:rPr>
          <w:rFonts w:ascii="仿宋" w:hAnsi="仿宋" w:eastAsia="仿宋"/>
          <w:b/>
          <w:sz w:val="32"/>
          <w:szCs w:val="32"/>
        </w:rPr>
        <w:t>49.68</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901.83</w:t>
      </w:r>
      <w:r>
        <w:rPr>
          <w:rFonts w:hint="eastAsia" w:ascii="仿宋" w:hAnsi="仿宋" w:eastAsia="仿宋"/>
          <w:sz w:val="32"/>
          <w:szCs w:val="32"/>
        </w:rPr>
        <w:t>万元，占</w:t>
      </w:r>
      <w:r>
        <w:rPr>
          <w:rFonts w:ascii="仿宋" w:hAnsi="仿宋" w:eastAsia="仿宋"/>
          <w:b/>
          <w:sz w:val="32"/>
          <w:szCs w:val="32"/>
        </w:rPr>
        <w:t>50.3</w:t>
      </w:r>
      <w:r>
        <w:rPr>
          <w:rFonts w:hint="eastAsia" w:ascii="仿宋" w:hAnsi="仿宋" w:eastAsia="仿宋"/>
          <w:b/>
          <w:sz w:val="32"/>
          <w:szCs w:val="32"/>
          <w:lang w:val="en-US" w:eastAsia="zh-CN"/>
        </w:rPr>
        <w:t>2</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3247AB40">
      <w:pPr>
        <w:spacing w:line="600" w:lineRule="exact"/>
        <w:ind w:firstLine="643" w:firstLineChars="200"/>
        <w:outlineLvl w:val="1"/>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04</w:t>
      </w:r>
      <w:r>
        <w:rPr>
          <w:rFonts w:hint="eastAsia" w:ascii="仿宋" w:hAnsi="仿宋" w:eastAsia="仿宋"/>
          <w:b/>
          <w:sz w:val="32"/>
          <w:szCs w:val="32"/>
        </w:rPr>
        <w:t>表，仅罗列本单位涉及的支出。）</w:t>
      </w:r>
    </w:p>
    <w:p w14:paraId="224F4AD7">
      <w:pPr>
        <w:spacing w:line="600" w:lineRule="exact"/>
        <w:ind w:firstLine="640"/>
        <w:rPr>
          <w:rFonts w:ascii="仿宋" w:hAnsi="仿宋" w:eastAsia="仿宋"/>
          <w:sz w:val="32"/>
          <w:szCs w:val="32"/>
          <w:shd w:val="pct10" w:color="auto" w:fill="FFFFFF"/>
        </w:rPr>
      </w:pPr>
    </w:p>
    <w:p w14:paraId="0D41CA49">
      <w:pPr>
        <w:rPr>
          <w:rFonts w:hint="eastAsia" w:ascii="仿宋" w:hAnsi="仿宋" w:eastAsia="仿宋"/>
          <w:sz w:val="32"/>
          <w:szCs w:val="32"/>
        </w:rPr>
      </w:pPr>
    </w:p>
    <w:p w14:paraId="1DFDD86D">
      <w:pPr>
        <w:pStyle w:val="6"/>
        <w:rPr>
          <w:rFonts w:hint="eastAsia" w:ascii="仿宋" w:hAnsi="仿宋" w:eastAsia="仿宋"/>
          <w:sz w:val="32"/>
          <w:szCs w:val="32"/>
        </w:rPr>
      </w:pPr>
      <w:r>
        <w:rPr>
          <w:rFonts w:hint="eastAsia" w:ascii="仿宋" w:hAnsi="仿宋" w:eastAsia="仿宋"/>
          <w:sz w:val="32"/>
          <w:szCs w:val="32"/>
          <w:lang w:eastAsia="zh-CN"/>
        </w:rPr>
        <w:drawing>
          <wp:inline distT="0" distB="0" distL="114300" distR="114300">
            <wp:extent cx="5067935" cy="5400675"/>
            <wp:effectExtent l="4445" t="4445" r="13970" b="5080"/>
            <wp:docPr id="2" name="图表 2" descr="7b0a202020202263686172745265734964223a2022343533383432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0D77759">
      <w:pPr>
        <w:spacing w:line="600" w:lineRule="exact"/>
        <w:ind w:firstLine="960" w:firstLineChars="300"/>
        <w:rPr>
          <w:rFonts w:ascii="仿宋" w:hAnsi="仿宋" w:eastAsia="仿宋"/>
          <w:sz w:val="32"/>
          <w:szCs w:val="32"/>
        </w:rPr>
      </w:pPr>
      <w:r>
        <w:rPr>
          <w:rFonts w:hint="eastAsia" w:ascii="仿宋" w:hAnsi="仿宋" w:eastAsia="仿宋"/>
          <w:sz w:val="32"/>
          <w:szCs w:val="32"/>
        </w:rPr>
        <w:t>（图3：支出决算结构图）（饼状图）</w:t>
      </w:r>
    </w:p>
    <w:p w14:paraId="2C5FE1B6">
      <w:pPr>
        <w:spacing w:line="600" w:lineRule="exact"/>
        <w:ind w:firstLine="640" w:firstLineChars="200"/>
        <w:rPr>
          <w:rFonts w:ascii="仿宋_GB2312" w:eastAsia="仿宋_GB2312"/>
          <w:sz w:val="32"/>
          <w:szCs w:val="32"/>
        </w:rPr>
      </w:pPr>
    </w:p>
    <w:p w14:paraId="71C7B020">
      <w:pPr>
        <w:spacing w:line="600" w:lineRule="exact"/>
        <w:ind w:firstLine="640" w:firstLineChars="200"/>
        <w:outlineLvl w:val="1"/>
        <w:rPr>
          <w:rStyle w:val="29"/>
          <w:rFonts w:ascii="黑体" w:hAnsi="黑体" w:eastAsia="黑体"/>
          <w:b w:val="0"/>
        </w:rPr>
      </w:pPr>
      <w:bookmarkStart w:id="24" w:name="_Toc15377208"/>
      <w:bookmarkStart w:id="25" w:name="_Toc15396606"/>
      <w:r>
        <w:rPr>
          <w:rFonts w:hint="eastAsia" w:ascii="黑体" w:hAnsi="黑体" w:eastAsia="黑体"/>
          <w:sz w:val="32"/>
          <w:szCs w:val="32"/>
        </w:rPr>
        <w:t>四、财</w:t>
      </w:r>
      <w:r>
        <w:rPr>
          <w:rStyle w:val="29"/>
          <w:rFonts w:hint="eastAsia" w:ascii="黑体" w:hAnsi="黑体" w:eastAsia="黑体"/>
          <w:b w:val="0"/>
        </w:rPr>
        <w:t>政拨款收入支出决算总体情况说明</w:t>
      </w:r>
      <w:bookmarkEnd w:id="24"/>
      <w:bookmarkEnd w:id="25"/>
    </w:p>
    <w:p w14:paraId="4D08AB14">
      <w:pPr>
        <w:spacing w:line="600" w:lineRule="exact"/>
        <w:ind w:firstLine="640"/>
        <w:rPr>
          <w:rFonts w:hint="default" w:ascii="仿宋" w:hAnsi="仿宋" w:eastAsia="仿宋"/>
          <w:sz w:val="32"/>
          <w:szCs w:val="32"/>
          <w:lang w:val="en-US" w:eastAsia="zh-CN"/>
        </w:rPr>
      </w:pPr>
      <w:r>
        <w:rPr>
          <w:rFonts w:hint="eastAsia" w:ascii="仿宋" w:hAnsi="仿宋" w:eastAsia="仿宋"/>
          <w:sz w:val="32"/>
          <w:szCs w:val="32"/>
        </w:rPr>
        <w:t>2023年度财政拨款收、支总计均为</w:t>
      </w:r>
      <w:r>
        <w:rPr>
          <w:rFonts w:ascii="仿宋" w:hAnsi="仿宋" w:eastAsia="仿宋"/>
          <w:b/>
          <w:sz w:val="32"/>
          <w:szCs w:val="32"/>
        </w:rPr>
        <w:t>890.39</w:t>
      </w:r>
      <w:r>
        <w:rPr>
          <w:rFonts w:hint="eastAsia" w:ascii="仿宋" w:hAnsi="仿宋" w:eastAsia="仿宋"/>
          <w:sz w:val="32"/>
          <w:szCs w:val="32"/>
        </w:rPr>
        <w:t>万元。与2022年度相比，财政拨款收、支总计各增加</w:t>
      </w:r>
      <w:r>
        <w:rPr>
          <w:rFonts w:hint="eastAsia" w:ascii="仿宋" w:hAnsi="仿宋" w:eastAsia="仿宋"/>
          <w:sz w:val="32"/>
          <w:szCs w:val="32"/>
          <w:lang w:val="en-US" w:eastAsia="zh-CN"/>
        </w:rPr>
        <w:t>9.05</w:t>
      </w:r>
      <w:r>
        <w:rPr>
          <w:rFonts w:hint="eastAsia" w:ascii="仿宋" w:hAnsi="仿宋" w:eastAsia="仿宋"/>
          <w:sz w:val="32"/>
          <w:szCs w:val="32"/>
        </w:rPr>
        <w:t>万元，增长</w:t>
      </w:r>
      <w:r>
        <w:rPr>
          <w:rFonts w:hint="eastAsia" w:ascii="仿宋" w:hAnsi="仿宋" w:eastAsia="仿宋"/>
          <w:sz w:val="32"/>
          <w:szCs w:val="32"/>
          <w:lang w:val="en-US" w:eastAsia="zh-CN"/>
        </w:rPr>
        <w:t>1.03</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用于设计院维持正常运行公用经费的增加。</w:t>
      </w:r>
    </w:p>
    <w:p w14:paraId="1C073249">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01-1</w:t>
      </w:r>
      <w:r>
        <w:rPr>
          <w:rFonts w:hint="eastAsia" w:ascii="仿宋" w:hAnsi="仿宋" w:eastAsia="仿宋"/>
          <w:b/>
          <w:sz w:val="32"/>
          <w:szCs w:val="32"/>
        </w:rPr>
        <w:t>表</w:t>
      </w:r>
      <w:r>
        <w:rPr>
          <w:rFonts w:ascii="仿宋" w:hAnsi="仿宋" w:eastAsia="仿宋"/>
          <w:b/>
          <w:sz w:val="32"/>
          <w:szCs w:val="32"/>
        </w:rPr>
        <w:t>）</w:t>
      </w:r>
    </w:p>
    <w:p w14:paraId="0AC43465">
      <w:pPr>
        <w:spacing w:line="240" w:lineRule="auto"/>
        <w:jc w:val="left"/>
        <w:rPr>
          <w:rFonts w:ascii="仿宋" w:hAnsi="仿宋" w:eastAsia="仿宋"/>
          <w:sz w:val="32"/>
          <w:szCs w:val="32"/>
        </w:rPr>
      </w:pPr>
      <w:r>
        <w:rPr>
          <w:rFonts w:hint="eastAsia" w:ascii="仿宋" w:hAnsi="仿宋" w:eastAsia="仿宋"/>
          <w:b/>
          <w:color w:val="FF0000"/>
          <w:sz w:val="32"/>
          <w:szCs w:val="32"/>
          <w:lang w:eastAsia="zh-CN"/>
        </w:rPr>
        <w:drawing>
          <wp:anchor distT="0" distB="0" distL="114300" distR="114300" simplePos="0" relativeHeight="251662336" behindDoc="0" locked="0" layoutInCell="1" allowOverlap="1">
            <wp:simplePos x="0" y="0"/>
            <wp:positionH relativeFrom="column">
              <wp:posOffset>586105</wp:posOffset>
            </wp:positionH>
            <wp:positionV relativeFrom="paragraph">
              <wp:posOffset>136525</wp:posOffset>
            </wp:positionV>
            <wp:extent cx="4365625" cy="2780030"/>
            <wp:effectExtent l="4445" t="4445" r="11430" b="15875"/>
            <wp:wrapSquare wrapText="bothSides"/>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14:paraId="136CF8EC">
      <w:pPr>
        <w:pStyle w:val="6"/>
        <w:rPr>
          <w:rFonts w:ascii="仿宋" w:hAnsi="仿宋" w:eastAsia="仿宋"/>
          <w:sz w:val="32"/>
          <w:szCs w:val="32"/>
        </w:rPr>
      </w:pPr>
    </w:p>
    <w:p w14:paraId="7B2B2710">
      <w:pPr>
        <w:rPr>
          <w:rFonts w:ascii="仿宋" w:hAnsi="仿宋" w:eastAsia="仿宋"/>
          <w:sz w:val="32"/>
          <w:szCs w:val="32"/>
        </w:rPr>
      </w:pPr>
    </w:p>
    <w:p w14:paraId="7436AC98">
      <w:pPr>
        <w:pStyle w:val="6"/>
        <w:rPr>
          <w:rFonts w:ascii="仿宋" w:hAnsi="仿宋" w:eastAsia="仿宋"/>
          <w:sz w:val="32"/>
          <w:szCs w:val="32"/>
        </w:rPr>
      </w:pPr>
    </w:p>
    <w:p w14:paraId="7CDC3ED9"/>
    <w:p w14:paraId="03A7B642">
      <w:pPr>
        <w:spacing w:line="600" w:lineRule="exact"/>
        <w:ind w:firstLine="640" w:firstLineChars="200"/>
        <w:rPr>
          <w:rFonts w:hint="eastAsia" w:ascii="仿宋" w:hAnsi="仿宋" w:eastAsia="仿宋"/>
          <w:sz w:val="32"/>
          <w:szCs w:val="32"/>
        </w:rPr>
      </w:pPr>
    </w:p>
    <w:p w14:paraId="28B08D3F">
      <w:pPr>
        <w:spacing w:line="600" w:lineRule="exact"/>
        <w:ind w:firstLine="640" w:firstLineChars="200"/>
        <w:rPr>
          <w:rFonts w:hint="eastAsia" w:ascii="仿宋" w:hAnsi="仿宋" w:eastAsia="仿宋"/>
          <w:sz w:val="32"/>
          <w:szCs w:val="32"/>
        </w:rPr>
      </w:pPr>
    </w:p>
    <w:p w14:paraId="7138AC79">
      <w:pPr>
        <w:spacing w:line="240" w:lineRule="auto"/>
        <w:jc w:val="left"/>
        <w:rPr>
          <w:rFonts w:hint="eastAsia" w:ascii="仿宋" w:hAnsi="仿宋" w:eastAsia="仿宋"/>
          <w:sz w:val="32"/>
          <w:szCs w:val="32"/>
        </w:rPr>
      </w:pPr>
    </w:p>
    <w:p w14:paraId="4A0FB24F">
      <w:pPr>
        <w:spacing w:line="600" w:lineRule="exact"/>
        <w:ind w:firstLine="640" w:firstLineChars="200"/>
        <w:rPr>
          <w:rFonts w:ascii="仿宋" w:hAnsi="仿宋" w:eastAsia="仿宋"/>
          <w:b/>
          <w:sz w:val="32"/>
          <w:szCs w:val="32"/>
        </w:rPr>
      </w:pPr>
      <w:r>
        <w:rPr>
          <w:rFonts w:hint="eastAsia" w:ascii="仿宋" w:hAnsi="仿宋" w:eastAsia="仿宋"/>
          <w:sz w:val="32"/>
          <w:szCs w:val="32"/>
        </w:rPr>
        <w:t>（图4：财政拨款收、支决算总计变动情况）（柱状图）</w:t>
      </w:r>
    </w:p>
    <w:p w14:paraId="12C4AC0A">
      <w:pPr>
        <w:spacing w:line="600" w:lineRule="exact"/>
        <w:ind w:firstLine="640" w:firstLineChars="200"/>
        <w:outlineLvl w:val="1"/>
        <w:rPr>
          <w:rStyle w:val="29"/>
          <w:rFonts w:ascii="黑体" w:hAnsi="黑体" w:eastAsia="黑体"/>
          <w:b w:val="0"/>
        </w:rPr>
      </w:pPr>
      <w:bookmarkStart w:id="26" w:name="_Toc15377209"/>
      <w:bookmarkStart w:id="27" w:name="_Toc15396607"/>
      <w:r>
        <w:rPr>
          <w:rFonts w:hint="eastAsia" w:ascii="黑体" w:hAnsi="黑体" w:eastAsia="黑体"/>
          <w:sz w:val="32"/>
          <w:szCs w:val="32"/>
        </w:rPr>
        <w:t>五、</w:t>
      </w:r>
      <w:r>
        <w:rPr>
          <w:rFonts w:hint="eastAsia" w:ascii="黑体" w:hAnsi="黑体" w:eastAsia="黑体"/>
          <w:b/>
          <w:sz w:val="32"/>
          <w:szCs w:val="32"/>
        </w:rPr>
        <w:t>一</w:t>
      </w:r>
      <w:r>
        <w:rPr>
          <w:rStyle w:val="29"/>
          <w:rFonts w:hint="eastAsia" w:ascii="黑体" w:hAnsi="黑体" w:eastAsia="黑体"/>
          <w:b w:val="0"/>
        </w:rPr>
        <w:t>般公共预算财政拨款支出决算情况说明</w:t>
      </w:r>
      <w:bookmarkEnd w:id="26"/>
      <w:bookmarkEnd w:id="27"/>
    </w:p>
    <w:p w14:paraId="1106D63A">
      <w:pPr>
        <w:spacing w:line="600" w:lineRule="exact"/>
        <w:ind w:firstLine="643"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14:paraId="00E9271B">
      <w:pPr>
        <w:spacing w:line="600" w:lineRule="exact"/>
        <w:ind w:firstLine="640" w:firstLineChars="200"/>
        <w:rPr>
          <w:rFonts w:ascii="仿宋" w:hAnsi="仿宋" w:eastAsia="仿宋"/>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890.39</w:t>
      </w:r>
      <w:r>
        <w:rPr>
          <w:rFonts w:hint="eastAsia" w:ascii="仿宋" w:hAnsi="仿宋" w:eastAsia="仿宋"/>
          <w:sz w:val="32"/>
          <w:szCs w:val="32"/>
        </w:rPr>
        <w:t>万元，占本年支出合计的</w:t>
      </w:r>
      <w:r>
        <w:rPr>
          <w:rFonts w:ascii="仿宋" w:hAnsi="仿宋" w:eastAsia="仿宋"/>
          <w:b/>
          <w:sz w:val="32"/>
          <w:szCs w:val="32"/>
        </w:rPr>
        <w:t>49.68</w:t>
      </w:r>
      <w:r>
        <w:rPr>
          <w:rFonts w:ascii="仿宋" w:hAnsi="仿宋" w:eastAsia="仿宋"/>
          <w:sz w:val="32"/>
          <w:szCs w:val="32"/>
        </w:rPr>
        <w:t>%</w:t>
      </w:r>
      <w:r>
        <w:rPr>
          <w:rFonts w:hint="eastAsia" w:ascii="仿宋" w:hAnsi="仿宋" w:eastAsia="仿宋"/>
          <w:sz w:val="32"/>
          <w:szCs w:val="32"/>
        </w:rPr>
        <w:t>。与2022年度相比，一般公共预算财政拨款支出增加</w:t>
      </w:r>
      <w:r>
        <w:rPr>
          <w:rFonts w:hint="eastAsia" w:ascii="仿宋" w:hAnsi="仿宋" w:eastAsia="仿宋"/>
          <w:sz w:val="32"/>
          <w:szCs w:val="32"/>
          <w:lang w:val="en-US" w:eastAsia="zh-CN"/>
        </w:rPr>
        <w:t>9.05</w:t>
      </w:r>
      <w:r>
        <w:rPr>
          <w:rFonts w:hint="eastAsia" w:ascii="仿宋" w:hAnsi="仿宋" w:eastAsia="仿宋"/>
          <w:sz w:val="32"/>
          <w:szCs w:val="32"/>
        </w:rPr>
        <w:t>万元，增长</w:t>
      </w:r>
      <w:r>
        <w:rPr>
          <w:rFonts w:hint="eastAsia" w:ascii="仿宋" w:hAnsi="仿宋" w:eastAsia="仿宋"/>
          <w:sz w:val="32"/>
          <w:szCs w:val="32"/>
          <w:lang w:val="en-US" w:eastAsia="zh-CN"/>
        </w:rPr>
        <w:t>1.03</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用于设计院维持正常运行公用经费的增加。</w:t>
      </w:r>
    </w:p>
    <w:p w14:paraId="34C3CCC3">
      <w:pPr>
        <w:pStyle w:val="6"/>
      </w:pPr>
      <w:r>
        <w:rPr>
          <w:rFonts w:hint="eastAsia" w:ascii="仿宋_GB2312" w:hAnsi="仿宋" w:eastAsia="仿宋_GB2312"/>
          <w:sz w:val="32"/>
          <w:szCs w:val="32"/>
          <w:lang w:eastAsia="zh-CN"/>
        </w:rPr>
        <w:drawing>
          <wp:inline distT="0" distB="0" distL="114300" distR="114300">
            <wp:extent cx="4841875" cy="2613660"/>
            <wp:effectExtent l="4445" t="4445" r="11430" b="1079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21A4EA">
      <w:pPr>
        <w:spacing w:line="600" w:lineRule="exact"/>
        <w:rPr>
          <w:rFonts w:ascii="仿宋" w:hAnsi="仿宋" w:eastAsia="仿宋"/>
          <w:sz w:val="32"/>
          <w:szCs w:val="32"/>
        </w:rPr>
      </w:pPr>
      <w:r>
        <w:rPr>
          <w:rFonts w:hint="eastAsia" w:ascii="仿宋" w:hAnsi="仿宋" w:eastAsia="仿宋"/>
          <w:sz w:val="32"/>
          <w:szCs w:val="32"/>
        </w:rPr>
        <w:t>（图5：一般公共预算财政拨款支出决算变动情况）（柱状图）</w:t>
      </w:r>
    </w:p>
    <w:p w14:paraId="5C6242FF">
      <w:pPr>
        <w:spacing w:line="600" w:lineRule="exact"/>
        <w:ind w:firstLine="643" w:firstLineChars="200"/>
        <w:outlineLvl w:val="2"/>
        <w:rPr>
          <w:rFonts w:ascii="仿宋" w:hAnsi="仿宋" w:eastAsia="仿宋"/>
          <w:b/>
          <w:sz w:val="32"/>
          <w:szCs w:val="32"/>
        </w:rPr>
      </w:pPr>
      <w:bookmarkStart w:id="29" w:name="_Toc15377211"/>
      <w:r>
        <w:rPr>
          <w:rFonts w:hint="eastAsia" w:ascii="仿宋" w:hAnsi="仿宋" w:eastAsia="仿宋"/>
          <w:b/>
          <w:sz w:val="32"/>
          <w:szCs w:val="32"/>
        </w:rPr>
        <w:t>（二）一般公共预算财政拨款支出决算结构情况</w:t>
      </w:r>
      <w:bookmarkEnd w:id="29"/>
    </w:p>
    <w:p w14:paraId="03607890">
      <w:pPr>
        <w:spacing w:line="600" w:lineRule="exact"/>
        <w:ind w:firstLine="640"/>
        <w:rPr>
          <w:rFonts w:ascii="仿宋" w:hAnsi="仿宋" w:eastAsia="仿宋"/>
          <w:b/>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890.39</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一般公共服务</w:t>
      </w:r>
      <w:r>
        <w:rPr>
          <w:rFonts w:hint="eastAsia" w:ascii="仿宋" w:hAnsi="仿宋" w:eastAsia="仿宋"/>
          <w:b/>
          <w:bCs/>
          <w:sz w:val="32"/>
          <w:szCs w:val="32"/>
        </w:rPr>
        <w:t>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w:t>
      </w:r>
      <w:r>
        <w:rPr>
          <w:rFonts w:hint="eastAsia" w:ascii="仿宋" w:hAnsi="仿宋" w:eastAsia="仿宋"/>
          <w:sz w:val="32"/>
          <w:szCs w:val="32"/>
          <w:lang w:val="en-US" w:eastAsia="zh-CN"/>
        </w:rPr>
        <w:t>2.15</w:t>
      </w:r>
      <w:r>
        <w:rPr>
          <w:rFonts w:hint="eastAsia" w:ascii="仿宋" w:hAnsi="仿宋" w:eastAsia="仿宋"/>
          <w:sz w:val="32"/>
          <w:szCs w:val="32"/>
        </w:rPr>
        <w:t>万元，占</w:t>
      </w:r>
      <w:r>
        <w:rPr>
          <w:rFonts w:hint="eastAsia" w:ascii="仿宋" w:hAnsi="仿宋" w:eastAsia="仿宋"/>
          <w:sz w:val="32"/>
          <w:szCs w:val="32"/>
          <w:lang w:val="en-US" w:eastAsia="zh-CN"/>
        </w:rPr>
        <w:t>0.24</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科学技术</w:t>
      </w:r>
      <w:r>
        <w:rPr>
          <w:rFonts w:hint="eastAsia" w:ascii="仿宋" w:hAnsi="仿宋" w:eastAsia="仿宋"/>
          <w:b/>
          <w:bCs/>
          <w:sz w:val="32"/>
          <w:szCs w:val="32"/>
        </w:rPr>
        <w:t>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文化旅游体育与传媒支出</w:t>
      </w:r>
      <w:r>
        <w:rPr>
          <w:rFonts w:hint="eastAsia" w:ascii="仿宋" w:hAnsi="仿宋" w:eastAsia="仿宋"/>
          <w:b/>
          <w:bCs/>
          <w:sz w:val="32"/>
          <w:szCs w:val="32"/>
          <w:lang w:val="en-US" w:eastAsia="zh-CN"/>
        </w:rPr>
        <w:t>0</w:t>
      </w:r>
      <w:r>
        <w:rPr>
          <w:rFonts w:hint="eastAsia" w:ascii="仿宋" w:hAnsi="仿宋" w:eastAsia="仿宋"/>
          <w:b/>
          <w:bCs/>
          <w:sz w:val="32"/>
          <w:szCs w:val="32"/>
        </w:rPr>
        <w:t>万元，占</w:t>
      </w:r>
      <w:r>
        <w:rPr>
          <w:rFonts w:hint="eastAsia" w:ascii="仿宋" w:hAnsi="仿宋" w:eastAsia="仿宋"/>
          <w:b/>
          <w:bCs/>
          <w:sz w:val="32"/>
          <w:szCs w:val="32"/>
          <w:lang w:val="en-US" w:eastAsia="zh-CN"/>
        </w:rPr>
        <w:t>0</w:t>
      </w:r>
      <w:r>
        <w:rPr>
          <w:rFonts w:ascii="仿宋" w:hAnsi="仿宋" w:eastAsia="仿宋"/>
          <w:b/>
          <w:bCs/>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sz w:val="32"/>
          <w:szCs w:val="32"/>
          <w:lang w:val="en-US" w:eastAsia="zh-CN"/>
        </w:rPr>
        <w:t>175.7</w:t>
      </w:r>
      <w:r>
        <w:rPr>
          <w:rFonts w:hint="eastAsia" w:ascii="仿宋" w:hAnsi="仿宋" w:eastAsia="仿宋"/>
          <w:sz w:val="32"/>
          <w:szCs w:val="32"/>
        </w:rPr>
        <w:t>万元，占</w:t>
      </w:r>
      <w:r>
        <w:rPr>
          <w:rFonts w:hint="eastAsia" w:ascii="仿宋" w:hAnsi="仿宋" w:eastAsia="仿宋"/>
          <w:sz w:val="32"/>
          <w:szCs w:val="32"/>
          <w:lang w:val="en-US" w:eastAsia="zh-CN"/>
        </w:rPr>
        <w:t>19.73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lang w:val="en-US" w:eastAsia="zh-CN"/>
        </w:rPr>
        <w:t>70</w:t>
      </w:r>
      <w:r>
        <w:rPr>
          <w:rFonts w:hint="eastAsia" w:ascii="仿宋" w:hAnsi="仿宋" w:eastAsia="仿宋"/>
          <w:sz w:val="32"/>
          <w:szCs w:val="32"/>
        </w:rPr>
        <w:t>万元，占</w:t>
      </w:r>
      <w:r>
        <w:rPr>
          <w:rFonts w:hint="eastAsia" w:ascii="仿宋" w:hAnsi="仿宋" w:eastAsia="仿宋"/>
          <w:sz w:val="32"/>
          <w:szCs w:val="32"/>
          <w:lang w:val="en-US" w:eastAsia="zh-CN"/>
        </w:rPr>
        <w:t>7.86</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Times New Roman"/>
          <w:b/>
          <w:bCs/>
          <w:sz w:val="32"/>
          <w:szCs w:val="32"/>
          <w:lang w:val="en-US" w:eastAsia="zh-CN"/>
        </w:rPr>
        <w:t>资源勘探工业信息等支出</w:t>
      </w:r>
      <w:r>
        <w:rPr>
          <w:rFonts w:hint="eastAsia" w:ascii="仿宋" w:hAnsi="仿宋" w:eastAsia="仿宋"/>
          <w:sz w:val="32"/>
          <w:szCs w:val="32"/>
          <w:lang w:val="en-US" w:eastAsia="zh-CN"/>
        </w:rPr>
        <w:t>587.54万元，占65.99%；</w:t>
      </w:r>
      <w:r>
        <w:rPr>
          <w:rFonts w:hint="eastAsia" w:ascii="仿宋" w:hAnsi="仿宋" w:eastAsia="仿宋"/>
          <w:b/>
          <w:bCs/>
          <w:sz w:val="32"/>
          <w:szCs w:val="32"/>
        </w:rPr>
        <w:t>住房保障支出</w:t>
      </w:r>
      <w:r>
        <w:rPr>
          <w:rFonts w:hint="eastAsia" w:ascii="仿宋" w:hAnsi="仿宋" w:eastAsia="仿宋"/>
          <w:sz w:val="32"/>
          <w:szCs w:val="32"/>
          <w:lang w:val="en-US" w:eastAsia="zh-CN"/>
        </w:rPr>
        <w:t>55</w:t>
      </w:r>
      <w:r>
        <w:rPr>
          <w:rFonts w:hint="eastAsia" w:ascii="仿宋" w:hAnsi="仿宋" w:eastAsia="仿宋"/>
          <w:sz w:val="32"/>
          <w:szCs w:val="32"/>
        </w:rPr>
        <w:t>万元，占</w:t>
      </w:r>
      <w:r>
        <w:rPr>
          <w:rFonts w:hint="eastAsia" w:ascii="仿宋" w:hAnsi="仿宋" w:eastAsia="仿宋"/>
          <w:sz w:val="32"/>
          <w:szCs w:val="32"/>
          <w:lang w:val="en-US" w:eastAsia="zh-CN"/>
        </w:rPr>
        <w:t>6.18</w:t>
      </w:r>
      <w:r>
        <w:rPr>
          <w:rFonts w:ascii="仿宋" w:hAnsi="仿宋" w:eastAsia="仿宋"/>
          <w:sz w:val="32"/>
          <w:szCs w:val="32"/>
        </w:rPr>
        <w:t>%</w:t>
      </w:r>
      <w:r>
        <w:rPr>
          <w:rFonts w:hint="eastAsia" w:ascii="仿宋" w:hAnsi="仿宋" w:eastAsia="仿宋"/>
          <w:sz w:val="32"/>
          <w:szCs w:val="32"/>
        </w:rPr>
        <w:t>。</w:t>
      </w:r>
    </w:p>
    <w:p w14:paraId="2C9139BF">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（注：数据来源于财决01-1表，仅罗列本单位涉及的全部功能分类科目，至类级。）</w:t>
      </w:r>
    </w:p>
    <w:p w14:paraId="3A86CACD">
      <w:pPr>
        <w:spacing w:line="600" w:lineRule="exact"/>
        <w:ind w:firstLine="640"/>
        <w:rPr>
          <w:rFonts w:ascii="仿宋" w:hAnsi="仿宋" w:eastAsia="仿宋"/>
          <w:sz w:val="32"/>
          <w:szCs w:val="32"/>
        </w:rPr>
      </w:pPr>
      <w:r>
        <w:rPr>
          <w:rFonts w:hint="eastAsia" w:ascii="仿宋" w:hAnsi="仿宋" w:eastAsia="仿宋"/>
          <w:color w:val="000000" w:themeColor="text1"/>
          <w:sz w:val="32"/>
          <w:szCs w:val="32"/>
          <w:lang w:eastAsia="zh-CN"/>
          <w14:textFill>
            <w14:solidFill>
              <w14:schemeClr w14:val="tx1"/>
            </w14:solidFill>
          </w14:textFill>
        </w:rPr>
        <w:drawing>
          <wp:anchor distT="0" distB="0" distL="114300" distR="114300" simplePos="0" relativeHeight="251663360" behindDoc="0" locked="0" layoutInCell="1" allowOverlap="1">
            <wp:simplePos x="0" y="0"/>
            <wp:positionH relativeFrom="column">
              <wp:posOffset>220345</wp:posOffset>
            </wp:positionH>
            <wp:positionV relativeFrom="paragraph">
              <wp:posOffset>18415</wp:posOffset>
            </wp:positionV>
            <wp:extent cx="5024120" cy="4352925"/>
            <wp:effectExtent l="4445" t="4445" r="19685" b="5080"/>
            <wp:wrapNone/>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14:paraId="488CD1E0">
      <w:pPr>
        <w:pStyle w:val="6"/>
      </w:pPr>
    </w:p>
    <w:p w14:paraId="3EF6A49D">
      <w:pPr>
        <w:spacing w:line="600" w:lineRule="exact"/>
        <w:ind w:firstLine="640" w:firstLineChars="200"/>
        <w:rPr>
          <w:rFonts w:hint="eastAsia" w:ascii="仿宋" w:hAnsi="仿宋" w:eastAsia="仿宋"/>
          <w:sz w:val="32"/>
          <w:szCs w:val="32"/>
        </w:rPr>
      </w:pPr>
    </w:p>
    <w:p w14:paraId="1492DDD1">
      <w:pPr>
        <w:spacing w:line="600" w:lineRule="exact"/>
        <w:ind w:firstLine="640" w:firstLineChars="200"/>
        <w:rPr>
          <w:rFonts w:hint="eastAsia" w:ascii="仿宋" w:hAnsi="仿宋" w:eastAsia="仿宋"/>
          <w:sz w:val="32"/>
          <w:szCs w:val="32"/>
        </w:rPr>
      </w:pPr>
    </w:p>
    <w:p w14:paraId="541E68BB">
      <w:pPr>
        <w:spacing w:line="600" w:lineRule="exact"/>
        <w:ind w:firstLine="640" w:firstLineChars="200"/>
        <w:rPr>
          <w:rFonts w:hint="eastAsia" w:ascii="仿宋" w:hAnsi="仿宋" w:eastAsia="仿宋"/>
          <w:sz w:val="32"/>
          <w:szCs w:val="32"/>
        </w:rPr>
      </w:pPr>
    </w:p>
    <w:p w14:paraId="05F02545">
      <w:pPr>
        <w:spacing w:line="600" w:lineRule="exact"/>
        <w:ind w:firstLine="640" w:firstLineChars="200"/>
        <w:rPr>
          <w:rFonts w:hint="eastAsia" w:ascii="仿宋" w:hAnsi="仿宋" w:eastAsia="仿宋"/>
          <w:sz w:val="32"/>
          <w:szCs w:val="32"/>
        </w:rPr>
      </w:pPr>
    </w:p>
    <w:p w14:paraId="7EA65CF4">
      <w:pPr>
        <w:spacing w:line="600" w:lineRule="exact"/>
        <w:ind w:firstLine="640" w:firstLineChars="200"/>
        <w:rPr>
          <w:rFonts w:hint="eastAsia" w:ascii="仿宋" w:hAnsi="仿宋" w:eastAsia="仿宋"/>
          <w:sz w:val="32"/>
          <w:szCs w:val="32"/>
        </w:rPr>
      </w:pPr>
    </w:p>
    <w:p w14:paraId="79009367">
      <w:pPr>
        <w:spacing w:line="600" w:lineRule="exact"/>
        <w:ind w:firstLine="640" w:firstLineChars="200"/>
        <w:rPr>
          <w:rFonts w:hint="eastAsia" w:ascii="仿宋" w:hAnsi="仿宋" w:eastAsia="仿宋"/>
          <w:sz w:val="32"/>
          <w:szCs w:val="32"/>
        </w:rPr>
      </w:pPr>
    </w:p>
    <w:p w14:paraId="3D780FBB">
      <w:pPr>
        <w:spacing w:line="600" w:lineRule="exact"/>
        <w:ind w:firstLine="640" w:firstLineChars="200"/>
        <w:rPr>
          <w:rFonts w:hint="eastAsia" w:ascii="仿宋" w:hAnsi="仿宋" w:eastAsia="仿宋"/>
          <w:sz w:val="32"/>
          <w:szCs w:val="32"/>
        </w:rPr>
      </w:pPr>
    </w:p>
    <w:p w14:paraId="6A00891E">
      <w:pPr>
        <w:spacing w:line="600" w:lineRule="exact"/>
        <w:ind w:firstLine="640" w:firstLineChars="200"/>
        <w:rPr>
          <w:rFonts w:hint="eastAsia" w:ascii="仿宋" w:hAnsi="仿宋" w:eastAsia="仿宋"/>
          <w:sz w:val="32"/>
          <w:szCs w:val="32"/>
        </w:rPr>
      </w:pPr>
    </w:p>
    <w:p w14:paraId="76D87A3E">
      <w:pPr>
        <w:spacing w:line="600" w:lineRule="exact"/>
        <w:ind w:firstLine="640" w:firstLineChars="200"/>
        <w:rPr>
          <w:rFonts w:hint="eastAsia" w:ascii="仿宋" w:hAnsi="仿宋" w:eastAsia="仿宋"/>
          <w:sz w:val="32"/>
          <w:szCs w:val="32"/>
        </w:rPr>
      </w:pPr>
    </w:p>
    <w:p w14:paraId="18645A77">
      <w:pPr>
        <w:spacing w:line="600" w:lineRule="exact"/>
        <w:rPr>
          <w:rFonts w:hint="eastAsia" w:ascii="仿宋" w:hAnsi="仿宋" w:eastAsia="仿宋"/>
          <w:sz w:val="32"/>
          <w:szCs w:val="32"/>
        </w:rPr>
      </w:pPr>
    </w:p>
    <w:p w14:paraId="04AD8295">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14:paraId="23615729">
      <w:pPr>
        <w:spacing w:line="600" w:lineRule="exact"/>
        <w:ind w:firstLine="643" w:firstLineChars="200"/>
        <w:outlineLvl w:val="2"/>
        <w:rPr>
          <w:rFonts w:ascii="仿宋" w:hAnsi="仿宋" w:eastAsia="仿宋"/>
          <w:b/>
          <w:sz w:val="32"/>
          <w:szCs w:val="32"/>
        </w:rPr>
      </w:pPr>
      <w:bookmarkStart w:id="30" w:name="_Toc15377212"/>
      <w:r>
        <w:rPr>
          <w:rFonts w:hint="eastAsia" w:ascii="仿宋" w:hAnsi="仿宋" w:eastAsia="仿宋"/>
          <w:b/>
          <w:sz w:val="32"/>
          <w:szCs w:val="32"/>
        </w:rPr>
        <w:t>（三）一般公共预算财政拨款支出决算具体情况</w:t>
      </w:r>
      <w:bookmarkEnd w:id="30"/>
    </w:p>
    <w:p w14:paraId="45210305">
      <w:pPr>
        <w:spacing w:line="600" w:lineRule="exact"/>
        <w:ind w:firstLine="643" w:firstLineChars="200"/>
        <w:outlineLvl w:val="2"/>
        <w:rPr>
          <w:rFonts w:ascii="仿宋" w:hAnsi="仿宋" w:eastAsia="仿宋"/>
          <w:sz w:val="32"/>
          <w:szCs w:val="32"/>
        </w:rPr>
      </w:pPr>
      <w:bookmarkStart w:id="31" w:name="_Toc15377444"/>
      <w:bookmarkStart w:id="32" w:name="_Toc15377213"/>
      <w:bookmarkStart w:id="33" w:name="_Toc15378460"/>
      <w:r>
        <w:rPr>
          <w:rFonts w:hint="eastAsia" w:ascii="仿宋" w:hAnsi="仿宋" w:eastAsia="仿宋"/>
          <w:b/>
          <w:sz w:val="32"/>
          <w:szCs w:val="32"/>
        </w:rPr>
        <w:t>2023年度一般公共预算支出决算数为</w:t>
      </w:r>
      <w:r>
        <w:rPr>
          <w:rFonts w:ascii="仿宋" w:hAnsi="仿宋" w:eastAsia="仿宋"/>
          <w:b/>
          <w:sz w:val="32"/>
          <w:szCs w:val="32"/>
        </w:rPr>
        <w:t>890.39</w:t>
      </w:r>
      <w:r>
        <w:rPr>
          <w:rFonts w:hint="eastAsia" w:ascii="仿宋" w:hAnsi="仿宋" w:eastAsia="仿宋"/>
          <w:sz w:val="32"/>
          <w:szCs w:val="32"/>
        </w:rPr>
        <w:t>，</w:t>
      </w:r>
      <w:r>
        <w:rPr>
          <w:rStyle w:val="17"/>
          <w:rFonts w:hint="eastAsia" w:ascii="仿宋" w:hAnsi="仿宋" w:eastAsia="仿宋"/>
          <w:bCs/>
          <w:sz w:val="32"/>
          <w:szCs w:val="32"/>
        </w:rPr>
        <w:t>完成预算</w:t>
      </w:r>
      <w:r>
        <w:rPr>
          <w:rStyle w:val="17"/>
          <w:rFonts w:hint="eastAsia" w:ascii="仿宋" w:hAnsi="仿宋" w:eastAsia="仿宋"/>
          <w:bCs/>
          <w:sz w:val="32"/>
          <w:szCs w:val="32"/>
          <w:lang w:val="en-US" w:eastAsia="zh-CN"/>
        </w:rPr>
        <w:t>100</w:t>
      </w:r>
      <w:r>
        <w:rPr>
          <w:rStyle w:val="17"/>
          <w:rFonts w:ascii="仿宋" w:hAnsi="仿宋" w:eastAsia="仿宋"/>
          <w:bCs/>
          <w:sz w:val="32"/>
          <w:szCs w:val="32"/>
        </w:rPr>
        <w:t>%</w:t>
      </w:r>
      <w:r>
        <w:rPr>
          <w:rStyle w:val="17"/>
          <w:rFonts w:hint="eastAsia" w:ascii="仿宋" w:hAnsi="仿宋" w:eastAsia="仿宋"/>
          <w:bCs/>
          <w:sz w:val="32"/>
          <w:szCs w:val="32"/>
        </w:rPr>
        <w:t>。其中：</w:t>
      </w:r>
      <w:bookmarkEnd w:id="31"/>
      <w:bookmarkEnd w:id="32"/>
      <w:bookmarkEnd w:id="33"/>
    </w:p>
    <w:p w14:paraId="0E3764AA">
      <w:pPr>
        <w:spacing w:line="600" w:lineRule="exact"/>
        <w:ind w:firstLine="643" w:firstLineChars="200"/>
        <w:rPr>
          <w:rFonts w:ascii="仿宋" w:hAnsi="仿宋" w:eastAsia="仿宋"/>
          <w:b/>
          <w:sz w:val="32"/>
          <w:szCs w:val="32"/>
        </w:rPr>
      </w:pPr>
      <w:r>
        <w:rPr>
          <w:rStyle w:val="17"/>
          <w:rFonts w:ascii="仿宋" w:hAnsi="仿宋" w:eastAsia="仿宋"/>
          <w:bCs/>
          <w:sz w:val="32"/>
          <w:szCs w:val="32"/>
        </w:rPr>
        <w:t>1.</w:t>
      </w:r>
      <w:r>
        <w:rPr>
          <w:rStyle w:val="17"/>
          <w:rFonts w:hint="eastAsia" w:ascii="仿宋" w:hAnsi="仿宋" w:eastAsia="仿宋"/>
          <w:bCs/>
          <w:sz w:val="32"/>
          <w:szCs w:val="32"/>
        </w:rPr>
        <w:t>教育（类）</w:t>
      </w:r>
      <w:r>
        <w:rPr>
          <w:rStyle w:val="17"/>
          <w:rFonts w:hint="eastAsia" w:ascii="仿宋" w:hAnsi="仿宋" w:eastAsia="仿宋"/>
          <w:bCs/>
          <w:sz w:val="32"/>
          <w:szCs w:val="32"/>
          <w:lang w:val="en-US" w:eastAsia="zh-CN"/>
        </w:rPr>
        <w:t>进修及培训</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培训支出</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2.15</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3B648F23">
      <w:pPr>
        <w:spacing w:line="600" w:lineRule="exact"/>
        <w:ind w:firstLine="643" w:firstLineChars="200"/>
        <w:rPr>
          <w:rFonts w:ascii="仿宋" w:hAnsi="仿宋" w:eastAsia="仿宋"/>
          <w:b/>
          <w:sz w:val="32"/>
          <w:szCs w:val="32"/>
        </w:rPr>
      </w:pPr>
      <w:r>
        <w:rPr>
          <w:rStyle w:val="17"/>
          <w:rFonts w:hint="eastAsia" w:ascii="仿宋" w:hAnsi="仿宋" w:eastAsia="仿宋"/>
          <w:bCs/>
          <w:sz w:val="32"/>
          <w:szCs w:val="32"/>
          <w:lang w:val="en-US" w:eastAsia="zh-CN"/>
        </w:rPr>
        <w:t>2</w:t>
      </w:r>
      <w:r>
        <w:rPr>
          <w:rStyle w:val="17"/>
          <w:rFonts w:ascii="仿宋" w:hAnsi="仿宋" w:eastAsia="仿宋"/>
          <w:bCs/>
          <w:sz w:val="32"/>
          <w:szCs w:val="32"/>
        </w:rPr>
        <w:t>.</w:t>
      </w:r>
      <w:r>
        <w:rPr>
          <w:rStyle w:val="17"/>
          <w:rFonts w:hint="eastAsia" w:ascii="仿宋" w:hAnsi="仿宋" w:eastAsia="仿宋"/>
          <w:bCs/>
          <w:sz w:val="32"/>
          <w:szCs w:val="32"/>
        </w:rPr>
        <w:t>社会保障和就业（类）</w:t>
      </w:r>
      <w:r>
        <w:rPr>
          <w:rStyle w:val="17"/>
          <w:rFonts w:hint="eastAsia" w:ascii="仿宋" w:hAnsi="仿宋" w:eastAsia="仿宋"/>
          <w:bCs/>
          <w:sz w:val="32"/>
          <w:szCs w:val="32"/>
          <w:lang w:val="en-US" w:eastAsia="zh-CN"/>
        </w:rPr>
        <w:t>行政事业单位养老支出</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事业单位离退休</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92.7</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28D5D0AE">
      <w:pPr>
        <w:spacing w:line="600" w:lineRule="exact"/>
        <w:ind w:firstLine="643" w:firstLineChars="200"/>
        <w:rPr>
          <w:rFonts w:ascii="仿宋" w:hAnsi="仿宋" w:eastAsia="仿宋"/>
          <w:b/>
          <w:sz w:val="32"/>
          <w:szCs w:val="32"/>
        </w:rPr>
      </w:pPr>
      <w:r>
        <w:rPr>
          <w:rStyle w:val="17"/>
          <w:rFonts w:hint="eastAsia" w:ascii="仿宋" w:hAnsi="仿宋" w:eastAsia="仿宋"/>
          <w:bCs/>
          <w:sz w:val="32"/>
          <w:szCs w:val="32"/>
          <w:lang w:val="en-US" w:eastAsia="zh-CN"/>
        </w:rPr>
        <w:t>3</w:t>
      </w:r>
      <w:r>
        <w:rPr>
          <w:rStyle w:val="17"/>
          <w:rFonts w:ascii="仿宋" w:hAnsi="仿宋" w:eastAsia="仿宋"/>
          <w:bCs/>
          <w:sz w:val="32"/>
          <w:szCs w:val="32"/>
        </w:rPr>
        <w:t>.</w:t>
      </w:r>
      <w:r>
        <w:rPr>
          <w:rStyle w:val="17"/>
          <w:rFonts w:hint="eastAsia" w:ascii="仿宋" w:hAnsi="仿宋" w:eastAsia="仿宋"/>
          <w:bCs/>
          <w:sz w:val="32"/>
          <w:szCs w:val="32"/>
        </w:rPr>
        <w:t>社会保障和就业（类）</w:t>
      </w:r>
      <w:r>
        <w:rPr>
          <w:rStyle w:val="17"/>
          <w:rFonts w:hint="eastAsia" w:ascii="仿宋" w:hAnsi="仿宋" w:eastAsia="仿宋"/>
          <w:bCs/>
          <w:sz w:val="32"/>
          <w:szCs w:val="32"/>
          <w:lang w:val="en-US" w:eastAsia="zh-CN"/>
        </w:rPr>
        <w:t>行政事业单位养老支出</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机关事业单位基本养老保险缴费支出</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83</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07E51B21">
      <w:pPr>
        <w:spacing w:line="600" w:lineRule="exact"/>
        <w:ind w:firstLine="643" w:firstLineChars="200"/>
        <w:rPr>
          <w:rStyle w:val="17"/>
          <w:rFonts w:hint="eastAsia" w:ascii="仿宋" w:hAnsi="仿宋" w:eastAsia="仿宋"/>
          <w:b w:val="0"/>
          <w:bCs/>
          <w:sz w:val="32"/>
          <w:szCs w:val="32"/>
        </w:rPr>
      </w:pPr>
      <w:r>
        <w:rPr>
          <w:rStyle w:val="17"/>
          <w:rFonts w:hint="eastAsia" w:ascii="仿宋" w:hAnsi="仿宋" w:eastAsia="仿宋"/>
          <w:bCs/>
          <w:sz w:val="32"/>
          <w:szCs w:val="32"/>
          <w:lang w:val="en-US" w:eastAsia="zh-CN"/>
        </w:rPr>
        <w:t>4</w:t>
      </w:r>
      <w:r>
        <w:rPr>
          <w:rStyle w:val="17"/>
          <w:rFonts w:ascii="仿宋" w:hAnsi="仿宋" w:eastAsia="仿宋"/>
          <w:bCs/>
          <w:sz w:val="32"/>
          <w:szCs w:val="32"/>
        </w:rPr>
        <w:t>.</w:t>
      </w:r>
      <w:r>
        <w:rPr>
          <w:rFonts w:hint="eastAsia" w:ascii="仿宋" w:hAnsi="仿宋" w:eastAsia="仿宋"/>
          <w:b/>
          <w:bCs/>
          <w:sz w:val="32"/>
          <w:szCs w:val="32"/>
        </w:rPr>
        <w:t>卫生健康</w:t>
      </w:r>
      <w:r>
        <w:rPr>
          <w:rStyle w:val="17"/>
          <w:rFonts w:hint="eastAsia" w:ascii="仿宋" w:hAnsi="仿宋" w:eastAsia="仿宋"/>
          <w:bCs/>
          <w:sz w:val="32"/>
          <w:szCs w:val="32"/>
        </w:rPr>
        <w:t>（类）</w:t>
      </w:r>
      <w:r>
        <w:rPr>
          <w:rStyle w:val="17"/>
          <w:rFonts w:hint="eastAsia" w:ascii="仿宋" w:hAnsi="仿宋" w:eastAsia="仿宋"/>
          <w:bCs/>
          <w:sz w:val="32"/>
          <w:szCs w:val="32"/>
          <w:lang w:val="en-US" w:eastAsia="zh-CN"/>
        </w:rPr>
        <w:t>行政事业单位医疗</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事业单位医疗</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70</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5A1F0ACE">
      <w:pPr>
        <w:pStyle w:val="6"/>
        <w:ind w:firstLine="321" w:firstLineChars="100"/>
        <w:rPr>
          <w:rStyle w:val="17"/>
          <w:rFonts w:hint="eastAsia" w:ascii="仿宋" w:hAnsi="仿宋" w:eastAsia="仿宋"/>
          <w:b w:val="0"/>
          <w:bCs/>
          <w:sz w:val="32"/>
          <w:szCs w:val="32"/>
        </w:rPr>
      </w:pPr>
      <w:r>
        <w:rPr>
          <w:rStyle w:val="17"/>
          <w:rFonts w:hint="eastAsia" w:ascii="仿宋" w:hAnsi="仿宋" w:eastAsia="仿宋"/>
          <w:bCs/>
          <w:sz w:val="32"/>
          <w:szCs w:val="32"/>
          <w:lang w:val="en-US" w:eastAsia="zh-CN"/>
        </w:rPr>
        <w:t>5.资源勘探工业信息等</w:t>
      </w:r>
      <w:r>
        <w:rPr>
          <w:rStyle w:val="17"/>
          <w:rFonts w:hint="eastAsia" w:ascii="仿宋" w:hAnsi="仿宋" w:eastAsia="仿宋"/>
          <w:bCs/>
          <w:sz w:val="32"/>
          <w:szCs w:val="32"/>
        </w:rPr>
        <w:t>（类）</w:t>
      </w:r>
      <w:r>
        <w:rPr>
          <w:rStyle w:val="17"/>
          <w:rFonts w:hint="eastAsia" w:ascii="仿宋" w:hAnsi="仿宋" w:eastAsia="仿宋"/>
          <w:bCs/>
          <w:sz w:val="32"/>
          <w:szCs w:val="32"/>
          <w:lang w:val="en-US" w:eastAsia="zh-CN"/>
        </w:rPr>
        <w:t>制造业</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制造业</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587.54</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7A5EDE29">
      <w:pPr>
        <w:pStyle w:val="6"/>
        <w:ind w:firstLine="321" w:firstLineChars="100"/>
      </w:pPr>
      <w:r>
        <w:rPr>
          <w:rStyle w:val="17"/>
          <w:rFonts w:hint="eastAsia" w:ascii="仿宋" w:hAnsi="仿宋" w:eastAsia="仿宋"/>
          <w:bCs/>
          <w:sz w:val="32"/>
          <w:szCs w:val="32"/>
          <w:lang w:val="en-US" w:eastAsia="zh-CN"/>
        </w:rPr>
        <w:t>6.住房保障</w:t>
      </w:r>
      <w:r>
        <w:rPr>
          <w:rStyle w:val="17"/>
          <w:rFonts w:hint="eastAsia" w:ascii="仿宋" w:hAnsi="仿宋" w:eastAsia="仿宋"/>
          <w:bCs/>
          <w:sz w:val="32"/>
          <w:szCs w:val="32"/>
        </w:rPr>
        <w:t>（类）</w:t>
      </w:r>
      <w:r>
        <w:rPr>
          <w:rStyle w:val="17"/>
          <w:rFonts w:hint="eastAsia" w:ascii="仿宋" w:hAnsi="仿宋" w:eastAsia="仿宋"/>
          <w:bCs/>
          <w:sz w:val="32"/>
          <w:szCs w:val="32"/>
          <w:lang w:val="en-US" w:eastAsia="zh-CN"/>
        </w:rPr>
        <w:t>住房改革支出</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住房公积金</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55</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644867C5"/>
    <w:p w14:paraId="3BE10718">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1-1表和财决08表，仅罗列本单位涉及的全部功能分类科目，至项级。上述“预算”口径为全年预算数。增减变动原因为决算数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和全年预算数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比较，与预算数持平可以不写原因。）</w:t>
      </w:r>
    </w:p>
    <w:p w14:paraId="5920D2C8">
      <w:pPr>
        <w:spacing w:line="600" w:lineRule="exact"/>
        <w:ind w:firstLine="640"/>
        <w:rPr>
          <w:rFonts w:ascii="仿宋" w:hAnsi="仿宋" w:eastAsia="仿宋"/>
          <w:b/>
          <w:sz w:val="32"/>
          <w:szCs w:val="32"/>
        </w:rPr>
      </w:pPr>
    </w:p>
    <w:p w14:paraId="7152DE6C">
      <w:pPr>
        <w:tabs>
          <w:tab w:val="right" w:pos="8306"/>
        </w:tabs>
        <w:spacing w:line="600" w:lineRule="exact"/>
        <w:ind w:firstLine="640"/>
        <w:outlineLvl w:val="1"/>
        <w:rPr>
          <w:rStyle w:val="29"/>
        </w:rPr>
      </w:pPr>
      <w:bookmarkStart w:id="34" w:name="_Toc15396608"/>
      <w:bookmarkStart w:id="35"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9"/>
          <w:rFonts w:hint="eastAsia" w:ascii="黑体" w:hAnsi="黑体" w:eastAsia="黑体"/>
          <w:b w:val="0"/>
        </w:rPr>
        <w:t>般公共预算财政拨款基本支出决算情况说明</w:t>
      </w:r>
      <w:bookmarkEnd w:id="34"/>
      <w:bookmarkEnd w:id="35"/>
      <w:r>
        <w:rPr>
          <w:rStyle w:val="29"/>
          <w:rFonts w:ascii="黑体" w:hAnsi="黑体" w:eastAsia="黑体"/>
          <w:b w:val="0"/>
        </w:rPr>
        <w:tab/>
      </w:r>
    </w:p>
    <w:p w14:paraId="22D04F10">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890.39</w:t>
      </w:r>
      <w:r>
        <w:rPr>
          <w:rFonts w:hint="eastAsia" w:ascii="仿宋" w:hAnsi="仿宋" w:eastAsia="仿宋"/>
          <w:sz w:val="32"/>
          <w:szCs w:val="32"/>
        </w:rPr>
        <w:t>万元，其中：</w:t>
      </w:r>
    </w:p>
    <w:p w14:paraId="69D9D307">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708.24</w:t>
      </w:r>
      <w:r>
        <w:rPr>
          <w:rFonts w:hint="eastAsia" w:ascii="仿宋" w:hAnsi="仿宋" w:eastAsia="仿宋"/>
          <w:sz w:val="32"/>
          <w:szCs w:val="32"/>
        </w:rPr>
        <w:t>万元，主要包括：基本工资、津贴补贴、奖金、绩效工资、机关事业单位基本养老保险缴费、其他社会保障缴费、其他工资福利支出、生活补助、住房公积金等。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182.15</w:t>
      </w:r>
      <w:r>
        <w:rPr>
          <w:rFonts w:hint="eastAsia" w:ascii="仿宋" w:hAnsi="仿宋" w:eastAsia="仿宋"/>
          <w:sz w:val="32"/>
          <w:szCs w:val="32"/>
        </w:rPr>
        <w:t>万元，主要包括：办公费、印刷费、咨询费、水费、电费、邮电费、差旅费、维修（护）费、会议费、培训费、劳务费、委托业务费、工会经费、福利费、其他商品和服务支出等。</w:t>
      </w:r>
    </w:p>
    <w:p w14:paraId="10B4D156">
      <w:pPr>
        <w:spacing w:line="600" w:lineRule="exact"/>
        <w:ind w:firstLine="645"/>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7表和财决08-1表，仅罗列本单位实际支出涉及的经济分类科目。）</w:t>
      </w:r>
    </w:p>
    <w:p w14:paraId="5E9A7313">
      <w:pPr>
        <w:spacing w:line="600" w:lineRule="exact"/>
        <w:ind w:firstLine="640"/>
        <w:rPr>
          <w:rFonts w:ascii="仿宋" w:hAnsi="仿宋" w:eastAsia="仿宋"/>
          <w:b/>
          <w:sz w:val="32"/>
          <w:szCs w:val="32"/>
        </w:rPr>
      </w:pPr>
    </w:p>
    <w:p w14:paraId="76B00A07">
      <w:pPr>
        <w:spacing w:line="600" w:lineRule="exact"/>
        <w:ind w:firstLine="640"/>
        <w:outlineLvl w:val="1"/>
        <w:rPr>
          <w:rStyle w:val="29"/>
          <w:rFonts w:ascii="黑体" w:hAnsi="黑体" w:eastAsia="黑体"/>
          <w:b w:val="0"/>
        </w:rPr>
      </w:pPr>
      <w:bookmarkStart w:id="36" w:name="_Toc15396609"/>
      <w:bookmarkStart w:id="37" w:name="_Toc15377215"/>
      <w:r>
        <w:rPr>
          <w:rFonts w:hint="eastAsia" w:ascii="黑体" w:eastAsia="黑体"/>
          <w:sz w:val="32"/>
          <w:szCs w:val="32"/>
        </w:rPr>
        <w:t>七、</w:t>
      </w:r>
      <w:r>
        <w:rPr>
          <w:rStyle w:val="29"/>
          <w:rFonts w:hint="eastAsia" w:ascii="黑体" w:hAnsi="黑体" w:eastAsia="黑体"/>
          <w:b w:val="0"/>
        </w:rPr>
        <w:t>财政拨款</w:t>
      </w:r>
      <w:r>
        <w:rPr>
          <w:rStyle w:val="29"/>
          <w:rFonts w:hint="eastAsia" w:ascii="黑体" w:hAnsi="黑体" w:eastAsia="黑体"/>
        </w:rPr>
        <w:t>“</w:t>
      </w:r>
      <w:r>
        <w:rPr>
          <w:rStyle w:val="29"/>
          <w:rFonts w:hint="eastAsia" w:ascii="黑体" w:hAnsi="黑体" w:eastAsia="黑体"/>
          <w:b w:val="0"/>
        </w:rPr>
        <w:t>三公”经费支出决算情况说明</w:t>
      </w:r>
      <w:bookmarkEnd w:id="36"/>
      <w:bookmarkEnd w:id="37"/>
    </w:p>
    <w:p w14:paraId="6BF15001">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14:paraId="75B1B05E">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2023年度“三公”经费财政拨款支出决算为</w:t>
      </w:r>
      <w:r>
        <w:rPr>
          <w:rFonts w:ascii="仿宋" w:hAnsi="仿宋" w:eastAsia="仿宋"/>
          <w:b/>
          <w:sz w:val="32"/>
          <w:szCs w:val="32"/>
        </w:rPr>
        <w:t>0</w:t>
      </w:r>
      <w:r>
        <w:rPr>
          <w:rFonts w:hint="eastAsia" w:ascii="仿宋" w:hAnsi="仿宋" w:eastAsia="仿宋"/>
          <w:sz w:val="32"/>
          <w:szCs w:val="32"/>
        </w:rPr>
        <w:t>万元，完成预算</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，较上年度增加</w:t>
      </w:r>
      <w:r>
        <w:rPr>
          <w:rFonts w:hint="eastAsia" w:ascii="仿宋" w:hAnsi="仿宋" w:eastAsia="仿宋"/>
          <w:sz w:val="32"/>
          <w:szCs w:val="32"/>
          <w:lang w:val="en-US" w:eastAsia="zh-CN"/>
        </w:rPr>
        <w:t>0</w:t>
      </w:r>
      <w:r>
        <w:rPr>
          <w:rFonts w:hint="eastAsia" w:ascii="仿宋" w:hAnsi="仿宋" w:eastAsia="仿宋"/>
          <w:sz w:val="32"/>
          <w:szCs w:val="32"/>
        </w:rPr>
        <w:t>万元，增长</w:t>
      </w:r>
      <w:r>
        <w:rPr>
          <w:rFonts w:hint="eastAsia" w:ascii="仿宋" w:hAnsi="仿宋" w:eastAsia="仿宋"/>
          <w:sz w:val="32"/>
          <w:szCs w:val="32"/>
          <w:lang w:val="en-US" w:eastAsia="zh-CN"/>
        </w:rPr>
        <w:t>0</w:t>
      </w:r>
      <w:r>
        <w:rPr>
          <w:rFonts w:hint="eastAsia" w:ascii="仿宋" w:hAnsi="仿宋" w:eastAsia="仿宋"/>
          <w:sz w:val="32"/>
          <w:szCs w:val="32"/>
        </w:rPr>
        <w:t>%。决算数与预算数持平的主要原因是</w:t>
      </w:r>
      <w:r>
        <w:rPr>
          <w:rFonts w:hint="eastAsia" w:ascii="仿宋" w:hAnsi="仿宋" w:eastAsia="仿宋"/>
          <w:sz w:val="32"/>
          <w:szCs w:val="32"/>
          <w:lang w:val="en-US" w:eastAsia="zh-CN"/>
        </w:rPr>
        <w:t>无三公经费财政拨款</w:t>
      </w:r>
      <w:r>
        <w:rPr>
          <w:rFonts w:hint="eastAsia" w:ascii="仿宋" w:hAnsi="仿宋" w:eastAsia="仿宋"/>
          <w:sz w:val="32"/>
          <w:szCs w:val="32"/>
        </w:rPr>
        <w:t>。</w:t>
      </w:r>
    </w:p>
    <w:p w14:paraId="0709669B">
      <w:pPr>
        <w:spacing w:line="600" w:lineRule="exact"/>
        <w:ind w:firstLine="640"/>
        <w:rPr>
          <w:rFonts w:ascii="仿宋" w:hAnsi="仿宋" w:eastAsia="仿宋"/>
          <w:b/>
          <w:sz w:val="32"/>
          <w:szCs w:val="32"/>
        </w:rPr>
      </w:pPr>
      <w:r>
        <w:rPr>
          <w:rFonts w:hint="eastAsia" w:ascii="仿宋" w:hAnsi="仿宋" w:eastAsia="仿宋"/>
          <w:b/>
          <w:sz w:val="32"/>
          <w:szCs w:val="32"/>
        </w:rPr>
        <w:t>（注：上述“预算”口径为全年预算数，包括一般公共预算和政府性基金预算财政拨款支出决算情况。）</w:t>
      </w:r>
    </w:p>
    <w:p w14:paraId="33C2A8C8">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14:paraId="36C5C1E1">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。具体情况如下：</w:t>
      </w:r>
    </w:p>
    <w:p w14:paraId="080B56EE">
      <w:pPr>
        <w:spacing w:line="600" w:lineRule="exact"/>
        <w:ind w:firstLine="640"/>
        <w:rPr>
          <w:rFonts w:ascii="仿宋" w:hAnsi="仿宋" w:eastAsia="仿宋"/>
          <w:sz w:val="32"/>
          <w:szCs w:val="32"/>
        </w:rPr>
      </w:pPr>
      <w:r>
        <w:rPr>
          <w:rFonts w:hint="eastAsia" w:ascii="仿宋" w:hAnsi="仿宋" w:eastAsia="仿宋"/>
          <w:sz w:val="32"/>
          <w:szCs w:val="32"/>
        </w:rPr>
        <w:t>（图7：“三公”经费财政拨款支出结构）（饼状图）</w:t>
      </w:r>
    </w:p>
    <w:p w14:paraId="2193D118">
      <w:pPr>
        <w:spacing w:line="600" w:lineRule="exact"/>
        <w:ind w:firstLine="640"/>
        <w:rPr>
          <w:rFonts w:ascii="仿宋_GB2312" w:eastAsia="仿宋_GB2312"/>
          <w:b/>
          <w:sz w:val="32"/>
          <w:szCs w:val="32"/>
        </w:rPr>
      </w:pPr>
      <w:bookmarkStart w:id="40" w:name="_Toc15396610"/>
      <w:bookmarkStart w:id="41" w:name="_Toc15377218"/>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完成预算</w:t>
      </w:r>
      <w:r>
        <w:rPr>
          <w:rStyle w:val="17"/>
          <w:rFonts w:ascii="仿宋" w:hAnsi="仿宋" w:eastAsia="仿宋"/>
          <w:bCs/>
          <w:sz w:val="32"/>
          <w:szCs w:val="32"/>
        </w:rPr>
        <w:t>0</w:t>
      </w:r>
      <w:r>
        <w:rPr>
          <w:rStyle w:val="17"/>
          <w:rFonts w:ascii="仿宋" w:hAnsi="仿宋" w:eastAsia="仿宋"/>
          <w:b w:val="0"/>
          <w:bCs/>
          <w:sz w:val="32"/>
          <w:szCs w:val="32"/>
        </w:rPr>
        <w:t>%</w:t>
      </w:r>
      <w:r>
        <w:rPr>
          <w:rStyle w:val="17"/>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人。因公出国（境）支出决算比2022年增加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未因公出国（境）</w:t>
      </w:r>
      <w:r>
        <w:rPr>
          <w:rFonts w:hint="eastAsia" w:ascii="仿宋_GB2312" w:eastAsia="仿宋_GB2312"/>
          <w:sz w:val="32"/>
          <w:szCs w:val="32"/>
        </w:rPr>
        <w:t>。</w:t>
      </w:r>
    </w:p>
    <w:p w14:paraId="41DEE7BF">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完成预算</w:t>
      </w:r>
      <w:r>
        <w:rPr>
          <w:rStyle w:val="17"/>
          <w:rFonts w:ascii="仿宋" w:hAnsi="仿宋" w:eastAsia="仿宋"/>
          <w:bCs/>
          <w:sz w:val="32"/>
          <w:szCs w:val="32"/>
        </w:rPr>
        <w:t>0</w:t>
      </w:r>
      <w:r>
        <w:rPr>
          <w:rStyle w:val="17"/>
          <w:rFonts w:ascii="仿宋" w:hAnsi="仿宋" w:eastAsia="仿宋"/>
          <w:b w:val="0"/>
          <w:bCs/>
          <w:sz w:val="32"/>
          <w:szCs w:val="32"/>
        </w:rPr>
        <w:t>%</w:t>
      </w:r>
      <w:r>
        <w:rPr>
          <w:rStyle w:val="17"/>
          <w:rFonts w:hint="eastAsia" w:ascii="仿宋" w:hAnsi="仿宋" w:eastAsia="仿宋"/>
          <w:b w:val="0"/>
          <w:bCs/>
          <w:sz w:val="32"/>
          <w:szCs w:val="32"/>
        </w:rPr>
        <w:t>。</w:t>
      </w:r>
      <w:r>
        <w:rPr>
          <w:rFonts w:hint="eastAsia" w:ascii="仿宋_GB2312" w:eastAsia="仿宋_GB2312"/>
          <w:sz w:val="32"/>
          <w:szCs w:val="32"/>
        </w:rPr>
        <w:t>公务用车购置及运行维护费支出决算比2022年度增加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未使用财政资金支付公务用车购置及运行维护费</w:t>
      </w:r>
      <w:r>
        <w:rPr>
          <w:rFonts w:hint="eastAsia" w:ascii="仿宋_GB2312" w:eastAsia="仿宋_GB2312"/>
          <w:sz w:val="32"/>
          <w:szCs w:val="32"/>
        </w:rPr>
        <w:t>。</w:t>
      </w:r>
    </w:p>
    <w:p w14:paraId="32809DF4">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hint="eastAsia" w:ascii="仿宋_GB2312" w:eastAsia="仿宋_GB2312"/>
          <w:sz w:val="32"/>
          <w:szCs w:val="32"/>
          <w:lang w:val="en-US" w:eastAsia="zh-CN"/>
        </w:rPr>
        <w:t>0</w:t>
      </w:r>
      <w:r>
        <w:rPr>
          <w:rFonts w:hint="eastAsia" w:ascii="仿宋_GB2312" w:eastAsia="仿宋_GB2312"/>
          <w:sz w:val="32"/>
          <w:szCs w:val="32"/>
        </w:rPr>
        <w:t>辆，其中：轿车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万元，越野车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万元，载客汽车</w:t>
      </w:r>
      <w:r>
        <w:rPr>
          <w:rFonts w:hint="eastAsia" w:ascii="仿宋_GB2312" w:eastAsia="仿宋_GB2312"/>
          <w:sz w:val="32"/>
          <w:szCs w:val="32"/>
          <w:lang w:val="en-US" w:eastAsia="zh-CN"/>
        </w:rPr>
        <w:t>0</w:t>
      </w:r>
      <w:r>
        <w:rPr>
          <w:rFonts w:hint="eastAsia" w:ascii="仿宋_GB2312" w:eastAsia="仿宋_GB2312"/>
          <w:sz w:val="32"/>
          <w:szCs w:val="32"/>
        </w:rPr>
        <w:t>辆、金额</w:t>
      </w:r>
      <w:r>
        <w:rPr>
          <w:rFonts w:hint="eastAsia" w:ascii="仿宋_GB2312" w:eastAsia="仿宋_GB2312"/>
          <w:sz w:val="32"/>
          <w:szCs w:val="32"/>
          <w:lang w:val="en-US" w:eastAsia="zh-CN"/>
        </w:rPr>
        <w:t>0</w:t>
      </w:r>
      <w:r>
        <w:rPr>
          <w:rFonts w:hint="eastAsia" w:ascii="仿宋_GB2312" w:eastAsia="仿宋_GB2312"/>
          <w:sz w:val="32"/>
          <w:szCs w:val="32"/>
        </w:rPr>
        <w:t>万元。截至2023年</w:t>
      </w:r>
      <w:r>
        <w:rPr>
          <w:rFonts w:ascii="仿宋_GB2312" w:eastAsia="仿宋_GB2312"/>
          <w:sz w:val="32"/>
          <w:szCs w:val="32"/>
        </w:rPr>
        <w:t>12</w:t>
      </w:r>
      <w:r>
        <w:rPr>
          <w:rFonts w:hint="eastAsia" w:ascii="仿宋_GB2312" w:eastAsia="仿宋_GB2312"/>
          <w:sz w:val="32"/>
          <w:szCs w:val="32"/>
        </w:rPr>
        <w:t>月31日，单位共有公务用车</w:t>
      </w:r>
      <w:r>
        <w:rPr>
          <w:rFonts w:hint="eastAsia" w:ascii="仿宋_GB2312" w:eastAsia="仿宋_GB2312"/>
          <w:sz w:val="32"/>
          <w:szCs w:val="32"/>
          <w:lang w:val="en-US" w:eastAsia="zh-CN"/>
        </w:rPr>
        <w:t>1</w:t>
      </w:r>
      <w:r>
        <w:rPr>
          <w:rFonts w:hint="eastAsia" w:ascii="仿宋_GB2312" w:eastAsia="仿宋_GB2312"/>
          <w:sz w:val="32"/>
          <w:szCs w:val="32"/>
        </w:rPr>
        <w:t>辆，其中：轿车</w:t>
      </w:r>
      <w:r>
        <w:rPr>
          <w:rFonts w:hint="eastAsia" w:ascii="仿宋_GB2312" w:eastAsia="仿宋_GB2312"/>
          <w:sz w:val="32"/>
          <w:szCs w:val="32"/>
          <w:lang w:val="en-US" w:eastAsia="zh-CN"/>
        </w:rPr>
        <w:t>1</w:t>
      </w:r>
      <w:r>
        <w:rPr>
          <w:rFonts w:hint="eastAsia" w:ascii="仿宋_GB2312" w:eastAsia="仿宋_GB2312"/>
          <w:sz w:val="32"/>
          <w:szCs w:val="32"/>
        </w:rPr>
        <w:t>辆、越野车</w:t>
      </w:r>
      <w:r>
        <w:rPr>
          <w:rFonts w:hint="eastAsia" w:ascii="仿宋_GB2312" w:eastAsia="仿宋_GB2312"/>
          <w:sz w:val="32"/>
          <w:szCs w:val="32"/>
          <w:lang w:val="en-US" w:eastAsia="zh-CN"/>
        </w:rPr>
        <w:t>0</w:t>
      </w:r>
      <w:r>
        <w:rPr>
          <w:rFonts w:hint="eastAsia" w:ascii="仿宋_GB2312" w:eastAsia="仿宋_GB2312"/>
          <w:sz w:val="32"/>
          <w:szCs w:val="32"/>
        </w:rPr>
        <w:t>辆、载客汽车</w:t>
      </w:r>
      <w:r>
        <w:rPr>
          <w:rFonts w:hint="eastAsia" w:ascii="仿宋_GB2312" w:eastAsia="仿宋_GB2312"/>
          <w:sz w:val="32"/>
          <w:szCs w:val="32"/>
          <w:lang w:val="en-US" w:eastAsia="zh-CN"/>
        </w:rPr>
        <w:t>0</w:t>
      </w:r>
      <w:r>
        <w:rPr>
          <w:rFonts w:hint="eastAsia" w:ascii="仿宋_GB2312" w:eastAsia="仿宋_GB2312"/>
          <w:sz w:val="32"/>
          <w:szCs w:val="32"/>
        </w:rPr>
        <w:t>辆。</w:t>
      </w:r>
    </w:p>
    <w:p w14:paraId="11995C85">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w:t>
      </w:r>
    </w:p>
    <w:p w14:paraId="6DD0C2CF">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完成预算</w:t>
      </w:r>
      <w:r>
        <w:rPr>
          <w:rStyle w:val="17"/>
          <w:rFonts w:ascii="仿宋" w:hAnsi="仿宋" w:eastAsia="仿宋"/>
          <w:b w:val="0"/>
          <w:bCs/>
          <w:sz w:val="32"/>
          <w:szCs w:val="32"/>
        </w:rPr>
        <w:t>0%</w:t>
      </w:r>
      <w:r>
        <w:rPr>
          <w:rStyle w:val="17"/>
          <w:rFonts w:hint="eastAsia" w:ascii="仿宋" w:hAnsi="仿宋" w:eastAsia="仿宋"/>
          <w:b w:val="0"/>
          <w:bCs/>
          <w:sz w:val="32"/>
          <w:szCs w:val="32"/>
        </w:rPr>
        <w:t>。</w:t>
      </w:r>
      <w:r>
        <w:rPr>
          <w:rFonts w:hint="eastAsia" w:ascii="仿宋_GB2312" w:eastAsia="仿宋_GB2312"/>
          <w:sz w:val="32"/>
          <w:szCs w:val="32"/>
        </w:rPr>
        <w:t>公务接待费支出决算比2022年度增加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未发生公务接待</w:t>
      </w:r>
      <w:r>
        <w:rPr>
          <w:rFonts w:hint="eastAsia" w:ascii="仿宋_GB2312" w:eastAsia="仿宋_GB2312"/>
          <w:sz w:val="32"/>
          <w:szCs w:val="32"/>
        </w:rPr>
        <w:t>。其中：</w:t>
      </w:r>
    </w:p>
    <w:p w14:paraId="63D58BF3">
      <w:pPr>
        <w:spacing w:line="600" w:lineRule="exact"/>
        <w:ind w:firstLine="640"/>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sz w:val="32"/>
          <w:szCs w:val="32"/>
        </w:rPr>
        <w:t>万元。国内公务接待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w:t>
      </w:r>
      <w:r>
        <w:rPr>
          <w:rFonts w:hint="eastAsia" w:ascii="仿宋_GB2312" w:eastAsia="仿宋_GB2312"/>
          <w:sz w:val="32"/>
          <w:szCs w:val="32"/>
        </w:rPr>
        <w:t>万元。</w:t>
      </w:r>
    </w:p>
    <w:p w14:paraId="6FD1FD82">
      <w:pPr>
        <w:spacing w:line="600" w:lineRule="exact"/>
        <w:ind w:firstLine="643" w:firstLineChars="200"/>
        <w:rPr>
          <w:rFonts w:ascii="仿宋_GB2312" w:eastAsia="仿宋_GB2312"/>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w:t>
      </w:r>
      <w:bookmarkStart w:id="67" w:name="_GoBack"/>
      <w:bookmarkEnd w:id="67"/>
      <w:r>
        <w:rPr>
          <w:rFonts w:hint="eastAsia" w:ascii="仿宋_GB2312" w:eastAsia="仿宋_GB2312"/>
          <w:sz w:val="32"/>
          <w:szCs w:val="32"/>
        </w:rPr>
        <w:t>。外事接待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w:t>
      </w:r>
      <w:r>
        <w:rPr>
          <w:rFonts w:hint="eastAsia" w:ascii="仿宋_GB2312" w:eastAsia="仿宋_GB2312"/>
          <w:sz w:val="32"/>
          <w:szCs w:val="32"/>
        </w:rPr>
        <w:t>万元。</w:t>
      </w:r>
    </w:p>
    <w:p w14:paraId="01F025D0">
      <w:pPr>
        <w:spacing w:line="600" w:lineRule="exact"/>
        <w:ind w:firstLine="640"/>
        <w:outlineLvl w:val="1"/>
        <w:rPr>
          <w:rFonts w:ascii="黑体" w:eastAsia="黑体"/>
          <w:sz w:val="32"/>
          <w:szCs w:val="32"/>
        </w:rPr>
      </w:pPr>
    </w:p>
    <w:p w14:paraId="599B1EEE">
      <w:pPr>
        <w:spacing w:line="600" w:lineRule="exact"/>
        <w:ind w:firstLine="640"/>
        <w:outlineLvl w:val="1"/>
        <w:rPr>
          <w:rStyle w:val="29"/>
          <w:rFonts w:ascii="黑体" w:hAnsi="黑体" w:eastAsia="黑体"/>
        </w:rPr>
      </w:pPr>
      <w:r>
        <w:rPr>
          <w:rFonts w:hint="eastAsia" w:ascii="黑体" w:eastAsia="黑体"/>
          <w:sz w:val="32"/>
          <w:szCs w:val="32"/>
        </w:rPr>
        <w:t>八、</w:t>
      </w:r>
      <w:r>
        <w:rPr>
          <w:rStyle w:val="29"/>
          <w:rFonts w:hint="eastAsia" w:ascii="黑体" w:hAnsi="黑体" w:eastAsia="黑体"/>
          <w:b w:val="0"/>
        </w:rPr>
        <w:t>政府性基金预算支出决算情况说明</w:t>
      </w:r>
      <w:bookmarkEnd w:id="40"/>
      <w:bookmarkEnd w:id="41"/>
    </w:p>
    <w:p w14:paraId="3698B83D">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14:paraId="2EC468EE">
      <w:pPr>
        <w:spacing w:line="600" w:lineRule="exact"/>
        <w:ind w:firstLine="640"/>
        <w:rPr>
          <w:rFonts w:ascii="仿宋_GB2312" w:eastAsia="仿宋_GB2312"/>
          <w:sz w:val="32"/>
          <w:szCs w:val="32"/>
        </w:rPr>
      </w:pPr>
    </w:p>
    <w:p w14:paraId="1BA23CD7">
      <w:pPr>
        <w:numPr>
          <w:ilvl w:val="0"/>
          <w:numId w:val="3"/>
        </w:numPr>
        <w:spacing w:line="600" w:lineRule="exact"/>
        <w:ind w:firstLine="640"/>
        <w:outlineLvl w:val="1"/>
        <w:rPr>
          <w:rStyle w:val="29"/>
          <w:rFonts w:ascii="黑体" w:hAnsi="黑体" w:eastAsia="黑体"/>
          <w:b w:val="0"/>
        </w:rPr>
      </w:pPr>
      <w:bookmarkStart w:id="42" w:name="_Toc15377219"/>
      <w:bookmarkStart w:id="43" w:name="_Toc15396611"/>
      <w:r>
        <w:rPr>
          <w:rStyle w:val="29"/>
          <w:rFonts w:hint="eastAsia" w:ascii="黑体" w:hAnsi="黑体" w:eastAsia="黑体"/>
          <w:b w:val="0"/>
        </w:rPr>
        <w:t>国有资本经营预算支出决算情况说明</w:t>
      </w:r>
      <w:bookmarkEnd w:id="42"/>
      <w:bookmarkEnd w:id="43"/>
    </w:p>
    <w:p w14:paraId="23EB517D">
      <w:pPr>
        <w:spacing w:line="600" w:lineRule="exact"/>
        <w:ind w:firstLine="640"/>
        <w:rPr>
          <w:rFonts w:ascii="仿宋_GB2312" w:eastAsia="仿宋_GB2312"/>
          <w:sz w:val="32"/>
          <w:szCs w:val="32"/>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14:paraId="5B97DBB9">
      <w:pPr>
        <w:spacing w:line="580" w:lineRule="exact"/>
        <w:jc w:val="center"/>
        <w:rPr>
          <w:rFonts w:ascii="方正小标宋简体" w:hAnsi="方正小标宋简体" w:eastAsia="方正小标宋简体" w:cs="方正小标宋简体"/>
          <w:sz w:val="44"/>
          <w:szCs w:val="44"/>
        </w:rPr>
      </w:pPr>
    </w:p>
    <w:p w14:paraId="6D15EC94">
      <w:pPr>
        <w:numPr>
          <w:ilvl w:val="0"/>
          <w:numId w:val="3"/>
        </w:numPr>
        <w:spacing w:line="600" w:lineRule="exact"/>
        <w:ind w:firstLine="640"/>
        <w:outlineLvl w:val="1"/>
        <w:rPr>
          <w:rStyle w:val="29"/>
          <w:rFonts w:ascii="黑体" w:hAnsi="黑体" w:eastAsia="黑体"/>
          <w:b w:val="0"/>
        </w:rPr>
      </w:pPr>
      <w:bookmarkStart w:id="44" w:name="_Toc15377221"/>
      <w:bookmarkStart w:id="45" w:name="_Toc15396612"/>
      <w:r>
        <w:rPr>
          <w:rStyle w:val="29"/>
          <w:rFonts w:hint="eastAsia" w:ascii="黑体" w:hAnsi="黑体" w:eastAsia="黑体"/>
          <w:b w:val="0"/>
        </w:rPr>
        <w:t>其他重要事项的情况说明</w:t>
      </w:r>
      <w:bookmarkEnd w:id="44"/>
      <w:bookmarkEnd w:id="45"/>
    </w:p>
    <w:p w14:paraId="38BDD774">
      <w:pPr>
        <w:spacing w:line="600" w:lineRule="exact"/>
        <w:ind w:firstLine="643"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14:paraId="0120933C">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四川省纺织工业设计院</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万元，与2022年度决算数持平。</w:t>
      </w:r>
    </w:p>
    <w:p w14:paraId="567264F6">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14:paraId="647AC98B">
      <w:pPr>
        <w:autoSpaceDE w:val="0"/>
        <w:autoSpaceDN w:val="0"/>
        <w:adjustRightInd w:val="0"/>
        <w:spacing w:line="600" w:lineRule="exact"/>
        <w:ind w:firstLine="643" w:firstLineChars="200"/>
        <w:jc w:val="left"/>
        <w:outlineLvl w:val="2"/>
        <w:rPr>
          <w:rFonts w:ascii="仿宋" w:hAnsi="仿宋" w:eastAsia="仿宋"/>
          <w:b/>
          <w:sz w:val="32"/>
          <w:szCs w:val="32"/>
        </w:rPr>
      </w:pPr>
      <w:bookmarkStart w:id="47" w:name="_Toc15377223"/>
      <w:r>
        <w:rPr>
          <w:rFonts w:hint="eastAsia" w:ascii="仿宋" w:hAnsi="仿宋" w:eastAsia="仿宋"/>
          <w:b/>
          <w:sz w:val="32"/>
          <w:szCs w:val="32"/>
        </w:rPr>
        <w:t>（二）政府采购支出情况</w:t>
      </w:r>
      <w:bookmarkEnd w:id="47"/>
    </w:p>
    <w:p w14:paraId="49105B64">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四川省纺织工业设计院</w:t>
      </w:r>
      <w:r>
        <w:rPr>
          <w:rFonts w:hint="eastAsia" w:ascii="仿宋_GB2312" w:eastAsia="仿宋_GB2312"/>
          <w:sz w:val="32"/>
          <w:szCs w:val="32"/>
        </w:rPr>
        <w:t>政府采购支出总额</w:t>
      </w:r>
      <w:r>
        <w:rPr>
          <w:rFonts w:ascii="仿宋" w:hAnsi="仿宋" w:eastAsia="仿宋"/>
          <w:b/>
          <w:sz w:val="32"/>
          <w:szCs w:val="32"/>
        </w:rPr>
        <w:t>21.55</w:t>
      </w:r>
      <w:r>
        <w:rPr>
          <w:rFonts w:hint="eastAsia" w:ascii="仿宋_GB2312" w:eastAsia="仿宋_GB2312"/>
          <w:sz w:val="32"/>
          <w:szCs w:val="32"/>
        </w:rPr>
        <w:t>万元，其中：政府采购货物支出</w:t>
      </w:r>
      <w:r>
        <w:rPr>
          <w:rFonts w:ascii="仿宋" w:hAnsi="仿宋" w:eastAsia="仿宋"/>
          <w:b/>
          <w:sz w:val="32"/>
          <w:szCs w:val="32"/>
        </w:rPr>
        <w:t>19.56</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1.99</w:t>
      </w:r>
      <w:r>
        <w:rPr>
          <w:rFonts w:hint="eastAsia" w:ascii="仿宋_GB2312" w:eastAsia="仿宋_GB2312"/>
          <w:sz w:val="32"/>
          <w:szCs w:val="32"/>
        </w:rPr>
        <w:t>万元。主要用于</w:t>
      </w:r>
      <w:r>
        <w:rPr>
          <w:rFonts w:hint="eastAsia" w:ascii="仿宋_GB2312" w:eastAsia="仿宋_GB2312"/>
          <w:sz w:val="32"/>
          <w:szCs w:val="32"/>
          <w:lang w:val="en-US" w:eastAsia="zh-CN"/>
        </w:rPr>
        <w:t>办公设备家具采购、公务用车加油、维修保养及保险</w:t>
      </w:r>
      <w:r>
        <w:rPr>
          <w:rFonts w:hint="eastAsia" w:ascii="仿宋_GB2312" w:eastAsia="仿宋_GB2312"/>
          <w:sz w:val="32"/>
          <w:szCs w:val="32"/>
        </w:rPr>
        <w:t>。授予中小企业合同金额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14:paraId="3A42F0E9">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14:paraId="7910FB96">
      <w:pPr>
        <w:autoSpaceDE w:val="0"/>
        <w:autoSpaceDN w:val="0"/>
        <w:adjustRightInd w:val="0"/>
        <w:spacing w:line="600" w:lineRule="exact"/>
        <w:ind w:firstLine="643"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14:paraId="03210158">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四川省纺织工业设计院</w:t>
      </w:r>
      <w:r>
        <w:rPr>
          <w:rFonts w:hint="eastAsia" w:ascii="仿宋_GB2312" w:eastAsia="仿宋_GB2312"/>
          <w:sz w:val="32"/>
          <w:szCs w:val="32"/>
        </w:rPr>
        <w:t>共有车辆</w:t>
      </w:r>
      <w:r>
        <w:rPr>
          <w:rFonts w:hint="eastAsia" w:ascii="仿宋_GB2312" w:eastAsia="仿宋_GB2312"/>
          <w:b/>
          <w:sz w:val="32"/>
          <w:szCs w:val="32"/>
        </w:rPr>
        <w:t>1</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1</w:t>
      </w:r>
      <w:r>
        <w:rPr>
          <w:rFonts w:hint="eastAsia" w:ascii="仿宋_GB2312" w:eastAsia="仿宋_GB2312"/>
          <w:sz w:val="32"/>
          <w:szCs w:val="32"/>
        </w:rPr>
        <w:t>辆，其他用车主要是用于</w:t>
      </w:r>
      <w:r>
        <w:rPr>
          <w:rFonts w:hint="eastAsia" w:ascii="仿宋_GB2312" w:eastAsia="仿宋_GB2312"/>
          <w:sz w:val="32"/>
          <w:szCs w:val="32"/>
          <w:lang w:val="en-US" w:eastAsia="zh-CN"/>
        </w:rPr>
        <w:t>单位管理正常运行</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14:paraId="736BE1CA">
      <w:pPr>
        <w:autoSpaceDE w:val="0"/>
        <w:autoSpaceDN w:val="0"/>
        <w:adjustRightInd w:val="0"/>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表，按单位决算报表填报数据罗列车辆情况。）</w:t>
      </w:r>
    </w:p>
    <w:p w14:paraId="772C29D0">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14:paraId="472E5BF6">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eastAsia="仿宋_GB2312"/>
          <w:sz w:val="32"/>
          <w:szCs w:val="32"/>
          <w:lang w:val="en-US" w:eastAsia="zh-CN"/>
        </w:rPr>
        <w:t>工资性支出、单位缴费、聘用人员经费、其他支出、日常公用经费、非定额公用经费6</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6</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6</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6</w:t>
      </w:r>
      <w:r>
        <w:rPr>
          <w:rFonts w:hint="eastAsia" w:ascii="仿宋_GB2312" w:eastAsia="仿宋_GB2312"/>
          <w:sz w:val="32"/>
          <w:szCs w:val="32"/>
        </w:rPr>
        <w:t>个项目开展绩效自评，绩效自评表详见第四部分附件。</w:t>
      </w:r>
    </w:p>
    <w:p w14:paraId="67BC55DC">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14:paraId="3CE4C63D">
      <w:pPr>
        <w:numPr>
          <w:ilvl w:val="0"/>
          <w:numId w:val="4"/>
        </w:numPr>
        <w:spacing w:line="600" w:lineRule="exact"/>
        <w:ind w:firstLine="660" w:firstLineChars="150"/>
        <w:jc w:val="center"/>
        <w:outlineLvl w:val="0"/>
        <w:rPr>
          <w:rStyle w:val="28"/>
          <w:rFonts w:ascii="黑体" w:hAnsi="黑体" w:eastAsia="黑体"/>
          <w:b w:val="0"/>
        </w:rPr>
      </w:pPr>
      <w:bookmarkStart w:id="49" w:name="_Toc15396613"/>
      <w:bookmarkStart w:id="50" w:name="_Toc15377225"/>
      <w:r>
        <w:rPr>
          <w:rFonts w:hint="eastAsia" w:ascii="黑体" w:hAnsi="黑体" w:eastAsia="黑体"/>
          <w:sz w:val="44"/>
          <w:szCs w:val="44"/>
        </w:rPr>
        <w:t>名</w:t>
      </w:r>
      <w:r>
        <w:rPr>
          <w:rStyle w:val="28"/>
          <w:rFonts w:hint="eastAsia" w:ascii="黑体" w:hAnsi="黑体" w:eastAsia="黑体"/>
          <w:b w:val="0"/>
        </w:rPr>
        <w:t>词解释</w:t>
      </w:r>
      <w:bookmarkEnd w:id="49"/>
      <w:bookmarkEnd w:id="50"/>
    </w:p>
    <w:p w14:paraId="5419A161">
      <w:pPr>
        <w:spacing w:line="600" w:lineRule="exact"/>
        <w:jc w:val="left"/>
        <w:rPr>
          <w:rFonts w:ascii="宋体"/>
          <w:b/>
          <w:sz w:val="44"/>
          <w:szCs w:val="44"/>
        </w:rPr>
      </w:pPr>
    </w:p>
    <w:p w14:paraId="77931B69">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14:paraId="21CE798A">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14:paraId="19AA6FC5">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经营收入：指事业单位在专业业务活动及其辅助活动之外开展非独立核算经营活动取得的收入。如</w:t>
      </w:r>
      <w:r>
        <w:rPr>
          <w:rFonts w:hint="eastAsia" w:ascii="仿宋_GB2312" w:eastAsia="仿宋_GB2312"/>
          <w:color w:val="auto"/>
          <w:sz w:val="32"/>
          <w:szCs w:val="32"/>
          <w:lang w:val="en-US" w:eastAsia="zh-CN"/>
        </w:rPr>
        <w:t>设计咨询费</w:t>
      </w:r>
      <w:r>
        <w:rPr>
          <w:rFonts w:hint="eastAsia" w:ascii="仿宋_GB2312" w:eastAsia="仿宋_GB2312"/>
          <w:color w:val="auto"/>
          <w:sz w:val="32"/>
          <w:szCs w:val="32"/>
        </w:rPr>
        <w:t>等。</w:t>
      </w:r>
    </w:p>
    <w:p w14:paraId="306C1D08">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r>
        <w:rPr>
          <w:rFonts w:ascii="仿宋_GB2312" w:eastAsia="仿宋_GB2312"/>
          <w:color w:val="auto"/>
          <w:sz w:val="32"/>
          <w:szCs w:val="32"/>
        </w:rPr>
        <w:t xml:space="preserve"> </w:t>
      </w:r>
    </w:p>
    <w:p w14:paraId="55945CFF">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14:paraId="7E1D906F">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22B83B16">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3B1060AB">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723A0D0C">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教育（类）</w:t>
      </w:r>
      <w:r>
        <w:rPr>
          <w:rFonts w:hint="eastAsia" w:ascii="仿宋_GB2312" w:eastAsia="仿宋_GB2312"/>
          <w:color w:val="auto"/>
          <w:sz w:val="32"/>
          <w:szCs w:val="32"/>
          <w:highlight w:val="none"/>
          <w:lang w:val="en-US" w:eastAsia="zh-CN"/>
        </w:rPr>
        <w:t>进修及培训</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val="en-US" w:eastAsia="zh-CN"/>
        </w:rPr>
        <w:t>培训支出</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eastAsia="zh-CN"/>
        </w:rPr>
        <w:t>各部门安排的用于培训的支出</w:t>
      </w:r>
      <w:r>
        <w:rPr>
          <w:rFonts w:hint="eastAsia" w:ascii="仿宋_GB2312" w:eastAsia="仿宋_GB2312"/>
          <w:color w:val="auto"/>
          <w:sz w:val="32"/>
          <w:szCs w:val="32"/>
          <w:highlight w:val="none"/>
        </w:rPr>
        <w:t>。</w:t>
      </w:r>
    </w:p>
    <w:p w14:paraId="69BDF56E">
      <w:pPr>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社会保障和就业（类）</w:t>
      </w:r>
      <w:r>
        <w:rPr>
          <w:rFonts w:hint="eastAsia" w:ascii="仿宋_GB2312" w:eastAsia="仿宋_GB2312"/>
          <w:color w:val="auto"/>
          <w:sz w:val="32"/>
          <w:szCs w:val="32"/>
          <w:highlight w:val="none"/>
          <w:lang w:val="en-US" w:eastAsia="zh-CN"/>
        </w:rPr>
        <w:t>行政事业单位养老支出</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val="en-US" w:eastAsia="zh-CN"/>
        </w:rPr>
        <w:t>事业单位离退休</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eastAsia="zh-CN"/>
        </w:rPr>
        <w:t>事业单位开支的离退休经费</w:t>
      </w:r>
      <w:r>
        <w:rPr>
          <w:rFonts w:hint="eastAsia" w:ascii="仿宋_GB2312" w:eastAsia="仿宋_GB2312"/>
          <w:color w:val="auto"/>
          <w:sz w:val="32"/>
          <w:szCs w:val="32"/>
          <w:highlight w:val="none"/>
        </w:rPr>
        <w:t>。</w:t>
      </w:r>
    </w:p>
    <w:p w14:paraId="363B8B67">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社会保障和就业（类）</w:t>
      </w:r>
      <w:r>
        <w:rPr>
          <w:rFonts w:hint="eastAsia" w:ascii="仿宋_GB2312" w:eastAsia="仿宋_GB2312"/>
          <w:color w:val="auto"/>
          <w:sz w:val="32"/>
          <w:szCs w:val="32"/>
          <w:highlight w:val="none"/>
          <w:lang w:val="en-US" w:eastAsia="zh-CN"/>
        </w:rPr>
        <w:t>行政事业单位养老支出</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val="en-US" w:eastAsia="zh-CN"/>
        </w:rPr>
        <w:t>机关事业单位基本养老保险缴费支出</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eastAsia="zh-CN"/>
        </w:rPr>
        <w:t>机关事业单位实施养老保险制度由单位缴纳的基本养老保险费支出</w:t>
      </w:r>
      <w:r>
        <w:rPr>
          <w:rFonts w:hint="eastAsia" w:ascii="仿宋_GB2312" w:eastAsia="仿宋_GB2312"/>
          <w:color w:val="auto"/>
          <w:sz w:val="32"/>
          <w:szCs w:val="32"/>
          <w:highlight w:val="none"/>
        </w:rPr>
        <w:t>。</w:t>
      </w:r>
    </w:p>
    <w:p w14:paraId="2A174714">
      <w:pPr>
        <w:ind w:firstLine="640" w:firstLineChars="200"/>
      </w:pP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社会保障和就业（类）</w:t>
      </w:r>
      <w:r>
        <w:rPr>
          <w:rFonts w:hint="eastAsia" w:ascii="仿宋_GB2312" w:eastAsia="仿宋_GB2312"/>
          <w:color w:val="auto"/>
          <w:sz w:val="32"/>
          <w:szCs w:val="32"/>
          <w:highlight w:val="none"/>
          <w:lang w:val="en-US" w:eastAsia="zh-CN"/>
        </w:rPr>
        <w:t>其他社会保障和就业支出</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val="en-US" w:eastAsia="zh-CN"/>
        </w:rPr>
        <w:t>其他社会保障和就业支出</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eastAsia="zh-CN"/>
        </w:rPr>
        <w:t>除上述项目以外其他用于社会保障和就业方面的支出</w:t>
      </w:r>
      <w:r>
        <w:rPr>
          <w:rFonts w:hint="eastAsia" w:ascii="仿宋_GB2312" w:eastAsia="仿宋_GB2312"/>
          <w:color w:val="auto"/>
          <w:sz w:val="32"/>
          <w:szCs w:val="32"/>
          <w:highlight w:val="none"/>
        </w:rPr>
        <w:t>。</w:t>
      </w:r>
    </w:p>
    <w:p w14:paraId="00A21885">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3</w:t>
      </w:r>
      <w:r>
        <w:rPr>
          <w:rFonts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卫生健康支出</w:t>
      </w:r>
      <w:r>
        <w:rPr>
          <w:rFonts w:hint="eastAsia" w:ascii="仿宋_GB2312" w:eastAsia="仿宋_GB2312"/>
          <w:color w:val="auto"/>
          <w:sz w:val="32"/>
          <w:szCs w:val="32"/>
          <w:highlight w:val="none"/>
        </w:rPr>
        <w:t>（类）</w:t>
      </w:r>
      <w:r>
        <w:rPr>
          <w:rFonts w:hint="eastAsia" w:ascii="仿宋_GB2312" w:eastAsia="仿宋_GB2312"/>
          <w:color w:val="auto"/>
          <w:sz w:val="32"/>
          <w:szCs w:val="32"/>
          <w:highlight w:val="none"/>
          <w:lang w:val="en-US" w:eastAsia="zh-CN"/>
        </w:rPr>
        <w:t>行政事业单位医疗</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val="en-US" w:eastAsia="zh-CN"/>
        </w:rPr>
        <w:t>事业单位医疗</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eastAsia="zh-CN"/>
        </w:rPr>
        <w:t>财政部门安排的事业单位基本医疗保险缴费经费，未参加医疗保险的事业单位的公费医疗经费，按国家规定享受离休人员待遇的医疗经费</w:t>
      </w:r>
      <w:r>
        <w:rPr>
          <w:rFonts w:hint="eastAsia" w:ascii="仿宋_GB2312" w:eastAsia="仿宋_GB2312"/>
          <w:color w:val="auto"/>
          <w:sz w:val="32"/>
          <w:szCs w:val="32"/>
          <w:highlight w:val="none"/>
        </w:rPr>
        <w:t>。</w:t>
      </w:r>
    </w:p>
    <w:p w14:paraId="0314C646">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14</w:t>
      </w:r>
      <w:r>
        <w:rPr>
          <w:rFonts w:ascii="仿宋_GB2312" w:eastAsia="仿宋_GB2312"/>
          <w:color w:val="auto"/>
          <w:sz w:val="32"/>
          <w:szCs w:val="32"/>
          <w:highlight w:val="none"/>
        </w:rPr>
        <w:t>.</w:t>
      </w:r>
      <w:r>
        <w:rPr>
          <w:rFonts w:hint="eastAsia" w:ascii="仿宋_GB2312" w:eastAsia="仿宋_GB2312"/>
          <w:color w:val="auto"/>
          <w:sz w:val="32"/>
          <w:szCs w:val="32"/>
          <w:highlight w:val="none"/>
        </w:rPr>
        <w:t>资源勘探信息等（类）</w:t>
      </w:r>
      <w:r>
        <w:rPr>
          <w:rFonts w:hint="eastAsia" w:ascii="仿宋_GB2312" w:eastAsia="仿宋_GB2312"/>
          <w:color w:val="auto"/>
          <w:sz w:val="32"/>
          <w:szCs w:val="32"/>
          <w:highlight w:val="none"/>
          <w:lang w:val="en-US" w:eastAsia="zh-CN"/>
        </w:rPr>
        <w:t>制造业</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val="en-US" w:eastAsia="zh-CN"/>
        </w:rPr>
        <w:t>纺织业</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eastAsia="zh-CN"/>
        </w:rPr>
        <w:t>用于纺织业方面的支出</w:t>
      </w:r>
      <w:r>
        <w:rPr>
          <w:rFonts w:hint="eastAsia" w:ascii="仿宋_GB2312" w:eastAsia="仿宋_GB2312"/>
          <w:color w:val="auto"/>
          <w:sz w:val="32"/>
          <w:szCs w:val="32"/>
          <w:highlight w:val="none"/>
        </w:rPr>
        <w:t>。</w:t>
      </w:r>
    </w:p>
    <w:p w14:paraId="635180EB">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15</w:t>
      </w:r>
      <w:r>
        <w:rPr>
          <w:rFonts w:ascii="仿宋_GB2312" w:eastAsia="仿宋_GB2312"/>
          <w:color w:val="auto"/>
          <w:sz w:val="32"/>
          <w:szCs w:val="32"/>
          <w:highlight w:val="none"/>
        </w:rPr>
        <w:t>.</w:t>
      </w:r>
      <w:r>
        <w:rPr>
          <w:rFonts w:hint="eastAsia" w:ascii="仿宋_GB2312" w:eastAsia="仿宋_GB2312"/>
          <w:color w:val="auto"/>
          <w:sz w:val="32"/>
          <w:szCs w:val="32"/>
          <w:highlight w:val="none"/>
        </w:rPr>
        <w:t>住房保障（类）</w:t>
      </w:r>
      <w:r>
        <w:rPr>
          <w:rFonts w:hint="eastAsia" w:ascii="仿宋_GB2312" w:eastAsia="仿宋_GB2312"/>
          <w:color w:val="auto"/>
          <w:sz w:val="32"/>
          <w:szCs w:val="32"/>
          <w:highlight w:val="none"/>
          <w:lang w:val="en-US" w:eastAsia="zh-CN"/>
        </w:rPr>
        <w:t>住房改革支出</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val="en-US" w:eastAsia="zh-CN"/>
        </w:rPr>
        <w:t>住房公积金</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eastAsia="zh-CN"/>
        </w:rPr>
        <w:t>行政事业单位按人力资源和社会保障部、财政部规定的基本工资和津贴补贴以及规定比例为职工缴纳的住房公积金</w:t>
      </w:r>
      <w:r>
        <w:rPr>
          <w:rFonts w:hint="eastAsia" w:ascii="仿宋_GB2312" w:eastAsia="仿宋_GB2312"/>
          <w:color w:val="auto"/>
          <w:sz w:val="32"/>
          <w:szCs w:val="32"/>
          <w:highlight w:val="none"/>
        </w:rPr>
        <w:t>。</w:t>
      </w:r>
    </w:p>
    <w:p w14:paraId="378CF061">
      <w:pPr>
        <w:ind w:firstLine="640" w:firstLineChars="200"/>
        <w:rPr>
          <w:rFonts w:ascii="仿宋_GB2312" w:eastAsia="仿宋_GB2312"/>
          <w:sz w:val="32"/>
          <w:szCs w:val="32"/>
        </w:rPr>
      </w:pPr>
      <w:r>
        <w:rPr>
          <w:rFonts w:hint="eastAsia" w:ascii="仿宋_GB2312" w:eastAsia="仿宋_GB2312"/>
          <w:sz w:val="32"/>
          <w:szCs w:val="32"/>
          <w:lang w:val="en-US" w:eastAsia="zh-CN"/>
        </w:rPr>
        <w:t>16</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14:paraId="3030878D">
      <w:pPr>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13E07198">
      <w:pPr>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14:paraId="1FB1E86E">
      <w:pPr>
        <w:pStyle w:val="2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19</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26EC5584">
      <w:pPr>
        <w:pStyle w:val="2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20</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865ECD6">
      <w:pPr>
        <w:pStyle w:val="26"/>
        <w:spacing w:line="560" w:lineRule="exact"/>
        <w:ind w:firstLine="640" w:firstLineChars="200"/>
        <w:rPr>
          <w:rFonts w:ascii="仿宋_GB2312" w:eastAsia="仿宋_GB2312" w:cs="黑体"/>
          <w:color w:val="auto"/>
          <w:sz w:val="32"/>
          <w:szCs w:val="32"/>
        </w:rPr>
      </w:pPr>
    </w:p>
    <w:p w14:paraId="0A81E11C">
      <w:pPr>
        <w:ind w:firstLine="643" w:firstLineChars="200"/>
        <w:rPr>
          <w:rFonts w:ascii="仿宋" w:hAnsi="仿宋" w:eastAsia="仿宋"/>
          <w:b/>
          <w:sz w:val="32"/>
          <w:szCs w:val="32"/>
        </w:rPr>
      </w:pPr>
      <w:r>
        <w:rPr>
          <w:rFonts w:hint="eastAsia" w:ascii="仿宋" w:hAnsi="仿宋" w:eastAsia="仿宋"/>
          <w:b/>
          <w:sz w:val="32"/>
          <w:szCs w:val="32"/>
        </w:rPr>
        <w:t>（名词解释部分请根据各单位实际列支情况罗列，并根据本单位职责职能增减名词解释内容。）</w:t>
      </w:r>
    </w:p>
    <w:p w14:paraId="16A9C188">
      <w:pPr>
        <w:spacing w:line="600" w:lineRule="exact"/>
        <w:jc w:val="center"/>
        <w:outlineLvl w:val="0"/>
        <w:rPr>
          <w:rStyle w:val="28"/>
          <w:rFonts w:ascii="黑体" w:hAnsi="黑体" w:eastAsia="黑体"/>
          <w:b w:val="0"/>
        </w:rPr>
      </w:pPr>
      <w:bookmarkStart w:id="51" w:name="_Toc15377226"/>
      <w:r>
        <w:rPr>
          <w:rFonts w:ascii="宋体"/>
          <w:b/>
          <w:sz w:val="44"/>
          <w:szCs w:val="44"/>
        </w:rPr>
        <w:br w:type="page"/>
      </w:r>
      <w:bookmarkStart w:id="52" w:name="_Toc15396614"/>
      <w:r>
        <w:rPr>
          <w:rFonts w:hint="eastAsia" w:ascii="黑体" w:hAnsi="黑体" w:eastAsia="黑体"/>
          <w:sz w:val="44"/>
          <w:szCs w:val="44"/>
        </w:rPr>
        <w:t>第</w:t>
      </w:r>
      <w:r>
        <w:rPr>
          <w:rStyle w:val="28"/>
          <w:rFonts w:hint="eastAsia" w:ascii="黑体" w:hAnsi="黑体" w:eastAsia="黑体"/>
          <w:b w:val="0"/>
        </w:rPr>
        <w:t>四部分 附件</w:t>
      </w:r>
      <w:bookmarkEnd w:id="52"/>
    </w:p>
    <w:p w14:paraId="5D8EFDB5">
      <w:pPr>
        <w:spacing w:line="572" w:lineRule="exact"/>
        <w:jc w:val="left"/>
        <w:outlineLvl w:val="0"/>
        <w:rPr>
          <w:rFonts w:ascii="仿宋_GB2312" w:hAnsi="仿宋_GB2312" w:eastAsia="仿宋_GB2312" w:cs="仿宋_GB2312"/>
          <w:sz w:val="32"/>
          <w:szCs w:val="32"/>
        </w:rPr>
      </w:pPr>
    </w:p>
    <w:p w14:paraId="25F2A569">
      <w:pPr>
        <w:spacing w:line="600" w:lineRule="exact"/>
        <w:jc w:val="center"/>
        <w:outlineLvl w:val="0"/>
        <w:rPr>
          <w:rFonts w:ascii="黑体" w:hAnsi="黑体" w:eastAsia="黑体"/>
          <w:color w:val="FF0000"/>
          <w:sz w:val="44"/>
          <w:szCs w:val="44"/>
        </w:rPr>
      </w:pPr>
      <w:bookmarkStart w:id="53" w:name="_Toc15396618"/>
      <w:r>
        <w:rPr>
          <w:rFonts w:hint="eastAsia"/>
          <w:sz w:val="32"/>
          <w:szCs w:val="32"/>
        </w:rPr>
        <w:t>部门预算项目支出绩效自评表（2023年度）</w:t>
      </w:r>
    </w:p>
    <w:p w14:paraId="67B77EF2">
      <w:pPr>
        <w:pStyle w:val="14"/>
        <w:spacing w:line="560" w:lineRule="exact"/>
        <w:ind w:left="0" w:leftChars="0" w:firstLine="640"/>
        <w:rPr>
          <w:sz w:val="32"/>
        </w:rPr>
      </w:pPr>
    </w:p>
    <w:p w14:paraId="2C2B400B">
      <w:pPr>
        <w:pStyle w:val="14"/>
        <w:spacing w:line="560" w:lineRule="exact"/>
        <w:ind w:left="0" w:leftChars="0" w:firstLine="640"/>
        <w:rPr>
          <w:rFonts w:hAnsi="Calibri" w:cs="仿宋"/>
          <w:sz w:val="32"/>
          <w:szCs w:val="32"/>
        </w:rPr>
      </w:pPr>
      <w:r>
        <w:rPr>
          <w:rFonts w:hint="eastAsia" w:hAnsi="Calibri" w:eastAsia="仿宋_GB2312" w:cs="仿宋"/>
          <w:sz w:val="32"/>
        </w:rPr>
        <w:t>（备注：按照绩效自评工作安排，各单位可在预算管理一体化系统—综合报表查询—预算绩效报表模块中下载本单位“部门预算项目支出绩效自评表（2023年度）”，该表格应作为附件予以公开。）</w:t>
      </w:r>
    </w:p>
    <w:p w14:paraId="10197D0C">
      <w:pPr>
        <w:pStyle w:val="2"/>
        <w:spacing w:before="93"/>
        <w:rPr>
          <w:rFonts w:hAnsi="Calibri" w:cs="仿宋"/>
          <w:sz w:val="32"/>
          <w:szCs w:val="32"/>
        </w:rPr>
      </w:pPr>
      <w:r>
        <w:drawing>
          <wp:inline distT="0" distB="0" distL="114300" distR="114300">
            <wp:extent cx="4420870" cy="2717800"/>
            <wp:effectExtent l="0" t="0" r="17780" b="635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5"/>
                    <a:stretch>
                      <a:fillRect/>
                    </a:stretch>
                  </pic:blipFill>
                  <pic:spPr>
                    <a:xfrm>
                      <a:off x="0" y="0"/>
                      <a:ext cx="4420870" cy="2717800"/>
                    </a:xfrm>
                    <a:prstGeom prst="rect">
                      <a:avLst/>
                    </a:prstGeom>
                    <a:noFill/>
                    <a:ln>
                      <a:noFill/>
                    </a:ln>
                  </pic:spPr>
                </pic:pic>
              </a:graphicData>
            </a:graphic>
          </wp:inline>
        </w:drawing>
      </w:r>
    </w:p>
    <w:p w14:paraId="4C8DCA6E">
      <w:pPr>
        <w:pStyle w:val="2"/>
        <w:spacing w:before="93"/>
        <w:rPr>
          <w:rFonts w:hAnsi="Calibri" w:cs="仿宋"/>
          <w:sz w:val="32"/>
          <w:szCs w:val="32"/>
        </w:rPr>
      </w:pPr>
      <w:r>
        <w:drawing>
          <wp:inline distT="0" distB="0" distL="114300" distR="114300">
            <wp:extent cx="4389120" cy="2814320"/>
            <wp:effectExtent l="0" t="0" r="11430" b="508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6"/>
                    <a:stretch>
                      <a:fillRect/>
                    </a:stretch>
                  </pic:blipFill>
                  <pic:spPr>
                    <a:xfrm>
                      <a:off x="0" y="0"/>
                      <a:ext cx="4389120" cy="2814320"/>
                    </a:xfrm>
                    <a:prstGeom prst="rect">
                      <a:avLst/>
                    </a:prstGeom>
                    <a:noFill/>
                    <a:ln>
                      <a:noFill/>
                    </a:ln>
                  </pic:spPr>
                </pic:pic>
              </a:graphicData>
            </a:graphic>
          </wp:inline>
        </w:drawing>
      </w:r>
    </w:p>
    <w:p w14:paraId="790944C5">
      <w:pPr>
        <w:pStyle w:val="2"/>
        <w:spacing w:before="93"/>
        <w:rPr>
          <w:rFonts w:hAnsi="Calibri" w:cs="仿宋"/>
          <w:sz w:val="32"/>
          <w:szCs w:val="32"/>
        </w:rPr>
      </w:pPr>
      <w:r>
        <w:drawing>
          <wp:inline distT="0" distB="0" distL="114300" distR="114300">
            <wp:extent cx="5266690" cy="3376930"/>
            <wp:effectExtent l="0" t="0" r="10160" b="1397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7"/>
                    <a:stretch>
                      <a:fillRect/>
                    </a:stretch>
                  </pic:blipFill>
                  <pic:spPr>
                    <a:xfrm>
                      <a:off x="0" y="0"/>
                      <a:ext cx="5266690" cy="3376930"/>
                    </a:xfrm>
                    <a:prstGeom prst="rect">
                      <a:avLst/>
                    </a:prstGeom>
                    <a:noFill/>
                    <a:ln>
                      <a:noFill/>
                    </a:ln>
                  </pic:spPr>
                </pic:pic>
              </a:graphicData>
            </a:graphic>
          </wp:inline>
        </w:drawing>
      </w:r>
    </w:p>
    <w:p w14:paraId="3564470A">
      <w:pPr>
        <w:pStyle w:val="2"/>
        <w:spacing w:before="93"/>
        <w:rPr>
          <w:rFonts w:hAnsi="Calibri" w:cs="仿宋"/>
          <w:sz w:val="32"/>
          <w:szCs w:val="32"/>
        </w:rPr>
      </w:pPr>
    </w:p>
    <w:p w14:paraId="68B5108E">
      <w:pPr>
        <w:pStyle w:val="2"/>
        <w:spacing w:before="93"/>
        <w:rPr>
          <w:rFonts w:hAnsi="Calibri" w:cs="仿宋"/>
          <w:sz w:val="32"/>
          <w:szCs w:val="32"/>
        </w:rPr>
      </w:pPr>
      <w:r>
        <w:drawing>
          <wp:inline distT="0" distB="0" distL="114300" distR="114300">
            <wp:extent cx="5266690" cy="3376930"/>
            <wp:effectExtent l="0" t="0" r="10160" b="1397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8"/>
                    <a:stretch>
                      <a:fillRect/>
                    </a:stretch>
                  </pic:blipFill>
                  <pic:spPr>
                    <a:xfrm>
                      <a:off x="0" y="0"/>
                      <a:ext cx="5266690" cy="3376930"/>
                    </a:xfrm>
                    <a:prstGeom prst="rect">
                      <a:avLst/>
                    </a:prstGeom>
                    <a:noFill/>
                    <a:ln>
                      <a:noFill/>
                    </a:ln>
                  </pic:spPr>
                </pic:pic>
              </a:graphicData>
            </a:graphic>
          </wp:inline>
        </w:drawing>
      </w:r>
    </w:p>
    <w:p w14:paraId="6A913BC5">
      <w:pPr>
        <w:pStyle w:val="2"/>
        <w:spacing w:before="93"/>
        <w:rPr>
          <w:rFonts w:hAnsi="Calibri" w:cs="仿宋"/>
          <w:sz w:val="32"/>
          <w:szCs w:val="32"/>
        </w:rPr>
      </w:pPr>
      <w:r>
        <w:drawing>
          <wp:inline distT="0" distB="0" distL="114300" distR="114300">
            <wp:extent cx="5266690" cy="3964305"/>
            <wp:effectExtent l="0" t="0" r="10160" b="1714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9"/>
                    <a:stretch>
                      <a:fillRect/>
                    </a:stretch>
                  </pic:blipFill>
                  <pic:spPr>
                    <a:xfrm>
                      <a:off x="0" y="0"/>
                      <a:ext cx="5266690" cy="3964305"/>
                    </a:xfrm>
                    <a:prstGeom prst="rect">
                      <a:avLst/>
                    </a:prstGeom>
                    <a:noFill/>
                    <a:ln>
                      <a:noFill/>
                    </a:ln>
                  </pic:spPr>
                </pic:pic>
              </a:graphicData>
            </a:graphic>
          </wp:inline>
        </w:drawing>
      </w:r>
    </w:p>
    <w:p w14:paraId="7CBA0239">
      <w:pPr>
        <w:pStyle w:val="2"/>
        <w:spacing w:before="93"/>
        <w:rPr>
          <w:rFonts w:hAnsi="Calibri" w:cs="仿宋"/>
          <w:sz w:val="32"/>
          <w:szCs w:val="32"/>
        </w:rPr>
      </w:pPr>
    </w:p>
    <w:p w14:paraId="6DA07DA7">
      <w:pPr>
        <w:pStyle w:val="2"/>
        <w:spacing w:before="93"/>
        <w:rPr>
          <w:rFonts w:hAnsi="Calibri" w:cs="仿宋"/>
          <w:sz w:val="32"/>
          <w:szCs w:val="32"/>
        </w:rPr>
      </w:pPr>
      <w:r>
        <w:drawing>
          <wp:inline distT="0" distB="0" distL="114300" distR="114300">
            <wp:extent cx="5266690" cy="3964305"/>
            <wp:effectExtent l="0" t="0" r="10160" b="1714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20"/>
                    <a:stretch>
                      <a:fillRect/>
                    </a:stretch>
                  </pic:blipFill>
                  <pic:spPr>
                    <a:xfrm>
                      <a:off x="0" y="0"/>
                      <a:ext cx="5266690" cy="3964305"/>
                    </a:xfrm>
                    <a:prstGeom prst="rect">
                      <a:avLst/>
                    </a:prstGeom>
                    <a:noFill/>
                    <a:ln>
                      <a:noFill/>
                    </a:ln>
                  </pic:spPr>
                </pic:pic>
              </a:graphicData>
            </a:graphic>
          </wp:inline>
        </w:drawing>
      </w:r>
    </w:p>
    <w:p w14:paraId="38D5D07B">
      <w:pPr>
        <w:pStyle w:val="2"/>
        <w:spacing w:before="93"/>
        <w:rPr>
          <w:rFonts w:hAnsi="Calibri" w:cs="仿宋"/>
          <w:sz w:val="32"/>
          <w:szCs w:val="32"/>
        </w:rPr>
      </w:pPr>
    </w:p>
    <w:p w14:paraId="3DD32265">
      <w:pPr>
        <w:pStyle w:val="2"/>
        <w:spacing w:before="93"/>
        <w:rPr>
          <w:rFonts w:hAnsi="Calibri" w:cs="仿宋"/>
          <w:sz w:val="32"/>
          <w:szCs w:val="32"/>
        </w:rPr>
      </w:pPr>
    </w:p>
    <w:p w14:paraId="69808215">
      <w:pPr>
        <w:pStyle w:val="2"/>
        <w:spacing w:before="93"/>
        <w:rPr>
          <w:rFonts w:hAnsi="Calibri" w:cs="仿宋"/>
          <w:sz w:val="32"/>
          <w:szCs w:val="32"/>
        </w:rPr>
      </w:pPr>
    </w:p>
    <w:p w14:paraId="6E8917A8">
      <w:pPr>
        <w:pStyle w:val="2"/>
        <w:spacing w:before="93"/>
        <w:rPr>
          <w:rFonts w:hAnsi="Calibri" w:cs="仿宋"/>
          <w:sz w:val="32"/>
          <w:szCs w:val="32"/>
        </w:rPr>
      </w:pPr>
    </w:p>
    <w:p w14:paraId="224D8925">
      <w:pPr>
        <w:pStyle w:val="2"/>
        <w:spacing w:before="93"/>
        <w:rPr>
          <w:rFonts w:hAnsi="Calibri" w:cs="仿宋"/>
          <w:sz w:val="32"/>
          <w:szCs w:val="32"/>
        </w:rPr>
      </w:pPr>
    </w:p>
    <w:p w14:paraId="02411E1B">
      <w:pPr>
        <w:spacing w:line="600" w:lineRule="exact"/>
        <w:jc w:val="center"/>
        <w:outlineLvl w:val="0"/>
        <w:rPr>
          <w:rFonts w:ascii="仿宋" w:hAnsi="仿宋" w:eastAsia="仿宋"/>
        </w:rPr>
      </w:pPr>
      <w:r>
        <w:rPr>
          <w:rFonts w:hint="eastAsia" w:ascii="黑体" w:hAnsi="黑体" w:eastAsia="黑体"/>
          <w:sz w:val="44"/>
          <w:szCs w:val="44"/>
        </w:rPr>
        <w:t>第</w:t>
      </w:r>
      <w:r>
        <w:rPr>
          <w:rStyle w:val="28"/>
          <w:rFonts w:hint="eastAsia" w:ascii="黑体" w:hAnsi="黑体" w:eastAsia="黑体"/>
          <w:b w:val="0"/>
        </w:rPr>
        <w:t>五部分 附表</w:t>
      </w:r>
      <w:bookmarkEnd w:id="51"/>
      <w:bookmarkEnd w:id="53"/>
      <w:bookmarkStart w:id="54" w:name="_Toc15396619"/>
    </w:p>
    <w:p w14:paraId="69FB357E">
      <w:pPr>
        <w:pStyle w:val="4"/>
        <w:rPr>
          <w:rFonts w:ascii="仿宋" w:hAnsi="仿宋" w:eastAsia="仿宋"/>
        </w:rPr>
      </w:pPr>
      <w:r>
        <w:rPr>
          <w:rFonts w:hint="eastAsia" w:ascii="仿宋" w:hAnsi="仿宋" w:eastAsia="仿宋"/>
          <w:b w:val="0"/>
        </w:rPr>
        <w:t>一、收</w:t>
      </w:r>
      <w:r>
        <w:rPr>
          <w:rStyle w:val="29"/>
          <w:rFonts w:hint="eastAsia" w:ascii="仿宋" w:hAnsi="仿宋" w:eastAsia="仿宋"/>
          <w:b w:val="0"/>
          <w:bCs w:val="0"/>
        </w:rPr>
        <w:t>入支出决算总表</w:t>
      </w:r>
      <w:bookmarkEnd w:id="54"/>
    </w:p>
    <w:p w14:paraId="44394C10">
      <w:pPr>
        <w:pStyle w:val="4"/>
        <w:rPr>
          <w:rFonts w:ascii="仿宋" w:hAnsi="仿宋" w:eastAsia="仿宋"/>
        </w:rPr>
      </w:pPr>
      <w:bookmarkStart w:id="55" w:name="_Toc15396620"/>
      <w:r>
        <w:rPr>
          <w:rFonts w:hint="eastAsia" w:ascii="仿宋" w:hAnsi="仿宋" w:eastAsia="仿宋"/>
          <w:b w:val="0"/>
        </w:rPr>
        <w:t>二、收</w:t>
      </w:r>
      <w:r>
        <w:rPr>
          <w:rStyle w:val="29"/>
          <w:rFonts w:hint="eastAsia" w:ascii="仿宋" w:hAnsi="仿宋" w:eastAsia="仿宋"/>
          <w:b w:val="0"/>
          <w:bCs w:val="0"/>
        </w:rPr>
        <w:t>入决算表</w:t>
      </w:r>
      <w:bookmarkEnd w:id="55"/>
    </w:p>
    <w:p w14:paraId="0BBF5127">
      <w:pPr>
        <w:pStyle w:val="4"/>
        <w:rPr>
          <w:rFonts w:ascii="仿宋" w:hAnsi="仿宋" w:eastAsia="仿宋"/>
        </w:rPr>
      </w:pPr>
      <w:bookmarkStart w:id="56" w:name="_Toc15396621"/>
      <w:r>
        <w:rPr>
          <w:rStyle w:val="29"/>
          <w:rFonts w:hint="eastAsia" w:ascii="仿宋" w:hAnsi="仿宋" w:eastAsia="仿宋"/>
          <w:b w:val="0"/>
          <w:bCs w:val="0"/>
        </w:rPr>
        <w:t>三、</w:t>
      </w:r>
      <w:r>
        <w:rPr>
          <w:rFonts w:hint="eastAsia" w:ascii="仿宋" w:hAnsi="仿宋" w:eastAsia="仿宋"/>
          <w:b w:val="0"/>
        </w:rPr>
        <w:t>支</w:t>
      </w:r>
      <w:r>
        <w:rPr>
          <w:rStyle w:val="29"/>
          <w:rFonts w:hint="eastAsia" w:ascii="仿宋" w:hAnsi="仿宋" w:eastAsia="仿宋"/>
          <w:b w:val="0"/>
          <w:bCs w:val="0"/>
        </w:rPr>
        <w:t>出决算表</w:t>
      </w:r>
      <w:bookmarkEnd w:id="56"/>
    </w:p>
    <w:p w14:paraId="2ECC629F">
      <w:pPr>
        <w:pStyle w:val="4"/>
        <w:rPr>
          <w:rFonts w:ascii="仿宋" w:hAnsi="仿宋" w:eastAsia="仿宋"/>
          <w:b w:val="0"/>
        </w:rPr>
      </w:pPr>
      <w:bookmarkStart w:id="57" w:name="_Toc15396622"/>
      <w:r>
        <w:rPr>
          <w:rStyle w:val="29"/>
          <w:rFonts w:hint="eastAsia" w:ascii="仿宋" w:hAnsi="仿宋" w:eastAsia="仿宋"/>
          <w:b w:val="0"/>
          <w:bCs w:val="0"/>
        </w:rPr>
        <w:t>四、</w:t>
      </w:r>
      <w:r>
        <w:rPr>
          <w:rFonts w:hint="eastAsia" w:ascii="仿宋" w:hAnsi="仿宋" w:eastAsia="仿宋"/>
          <w:b w:val="0"/>
        </w:rPr>
        <w:t>财</w:t>
      </w:r>
      <w:r>
        <w:rPr>
          <w:rStyle w:val="29"/>
          <w:rFonts w:hint="eastAsia" w:ascii="仿宋" w:hAnsi="仿宋" w:eastAsia="仿宋"/>
          <w:b w:val="0"/>
          <w:bCs w:val="0"/>
        </w:rPr>
        <w:t>政拨款收入支出决算总表</w:t>
      </w:r>
      <w:bookmarkEnd w:id="57"/>
    </w:p>
    <w:p w14:paraId="6E161FD6">
      <w:pPr>
        <w:pStyle w:val="4"/>
        <w:rPr>
          <w:rStyle w:val="29"/>
          <w:rFonts w:ascii="仿宋" w:hAnsi="仿宋" w:eastAsia="仿宋"/>
          <w:b w:val="0"/>
          <w:bCs w:val="0"/>
        </w:rPr>
      </w:pPr>
      <w:bookmarkStart w:id="58" w:name="_Toc15396623"/>
      <w:r>
        <w:rPr>
          <w:rStyle w:val="29"/>
          <w:rFonts w:hint="eastAsia" w:ascii="仿宋" w:hAnsi="仿宋" w:eastAsia="仿宋"/>
          <w:b w:val="0"/>
          <w:bCs w:val="0"/>
        </w:rPr>
        <w:t>五、</w:t>
      </w:r>
      <w:r>
        <w:rPr>
          <w:rFonts w:hint="eastAsia" w:ascii="仿宋" w:hAnsi="仿宋" w:eastAsia="仿宋"/>
          <w:b w:val="0"/>
        </w:rPr>
        <w:t>财</w:t>
      </w:r>
      <w:r>
        <w:rPr>
          <w:rStyle w:val="29"/>
          <w:rFonts w:hint="eastAsia" w:ascii="仿宋" w:hAnsi="仿宋" w:eastAsia="仿宋"/>
          <w:b w:val="0"/>
          <w:bCs w:val="0"/>
        </w:rPr>
        <w:t>政拨款支出决算明细表</w:t>
      </w:r>
      <w:bookmarkEnd w:id="58"/>
      <w:bookmarkStart w:id="59" w:name="_Toc15396624"/>
    </w:p>
    <w:p w14:paraId="7668912B">
      <w:pPr>
        <w:pStyle w:val="4"/>
        <w:rPr>
          <w:rFonts w:ascii="仿宋" w:hAnsi="仿宋" w:eastAsia="仿宋"/>
        </w:rPr>
      </w:pPr>
      <w:r>
        <w:rPr>
          <w:rStyle w:val="29"/>
          <w:rFonts w:hint="eastAsia" w:ascii="仿宋" w:hAnsi="仿宋" w:eastAsia="仿宋"/>
          <w:b w:val="0"/>
          <w:bCs w:val="0"/>
        </w:rPr>
        <w:t>六、</w:t>
      </w:r>
      <w:r>
        <w:rPr>
          <w:rFonts w:hint="eastAsia" w:ascii="仿宋" w:hAnsi="仿宋" w:eastAsia="仿宋"/>
          <w:b w:val="0"/>
        </w:rPr>
        <w:t>一</w:t>
      </w:r>
      <w:r>
        <w:rPr>
          <w:rStyle w:val="29"/>
          <w:rFonts w:hint="eastAsia" w:ascii="仿宋" w:hAnsi="仿宋" w:eastAsia="仿宋"/>
          <w:b w:val="0"/>
          <w:bCs w:val="0"/>
        </w:rPr>
        <w:t>般公共预算财政拨款支出决算表</w:t>
      </w:r>
      <w:bookmarkEnd w:id="59"/>
    </w:p>
    <w:p w14:paraId="3E338DDF">
      <w:pPr>
        <w:pStyle w:val="4"/>
        <w:rPr>
          <w:rFonts w:ascii="仿宋" w:hAnsi="仿宋" w:eastAsia="仿宋"/>
        </w:rPr>
      </w:pPr>
      <w:bookmarkStart w:id="60" w:name="_Toc15396625"/>
      <w:r>
        <w:rPr>
          <w:rStyle w:val="29"/>
          <w:rFonts w:hint="eastAsia" w:ascii="仿宋" w:hAnsi="仿宋" w:eastAsia="仿宋"/>
          <w:b w:val="0"/>
          <w:bCs w:val="0"/>
        </w:rPr>
        <w:t>七、</w:t>
      </w:r>
      <w:r>
        <w:rPr>
          <w:rFonts w:hint="eastAsia" w:ascii="仿宋" w:hAnsi="仿宋" w:eastAsia="仿宋"/>
          <w:b w:val="0"/>
        </w:rPr>
        <w:t>一</w:t>
      </w:r>
      <w:r>
        <w:rPr>
          <w:rStyle w:val="29"/>
          <w:rFonts w:hint="eastAsia" w:ascii="仿宋" w:hAnsi="仿宋" w:eastAsia="仿宋"/>
          <w:b w:val="0"/>
          <w:bCs w:val="0"/>
        </w:rPr>
        <w:t>般公共预算财政拨款支出决算明细表</w:t>
      </w:r>
      <w:bookmarkEnd w:id="60"/>
    </w:p>
    <w:p w14:paraId="50422864">
      <w:pPr>
        <w:pStyle w:val="4"/>
        <w:rPr>
          <w:rFonts w:ascii="仿宋" w:hAnsi="仿宋" w:eastAsia="仿宋"/>
        </w:rPr>
      </w:pPr>
      <w:bookmarkStart w:id="61" w:name="_Toc15396626"/>
      <w:r>
        <w:rPr>
          <w:rStyle w:val="29"/>
          <w:rFonts w:hint="eastAsia" w:ascii="仿宋" w:hAnsi="仿宋" w:eastAsia="仿宋"/>
          <w:b w:val="0"/>
          <w:bCs w:val="0"/>
        </w:rPr>
        <w:t>八、</w:t>
      </w:r>
      <w:r>
        <w:rPr>
          <w:rFonts w:hint="eastAsia" w:ascii="仿宋" w:hAnsi="仿宋" w:eastAsia="仿宋"/>
          <w:b w:val="0"/>
        </w:rPr>
        <w:t>一</w:t>
      </w:r>
      <w:r>
        <w:rPr>
          <w:rStyle w:val="29"/>
          <w:rFonts w:hint="eastAsia" w:ascii="仿宋" w:hAnsi="仿宋" w:eastAsia="仿宋"/>
          <w:b w:val="0"/>
          <w:bCs w:val="0"/>
        </w:rPr>
        <w:t>般公共预算财政拨款基本支出决算表</w:t>
      </w:r>
      <w:bookmarkEnd w:id="61"/>
    </w:p>
    <w:p w14:paraId="30506E7A">
      <w:pPr>
        <w:pStyle w:val="4"/>
        <w:rPr>
          <w:rFonts w:ascii="仿宋" w:hAnsi="仿宋" w:eastAsia="仿宋"/>
        </w:rPr>
      </w:pPr>
      <w:bookmarkStart w:id="62" w:name="_Toc15396627"/>
      <w:r>
        <w:rPr>
          <w:rStyle w:val="29"/>
          <w:rFonts w:hint="eastAsia" w:ascii="仿宋" w:hAnsi="仿宋" w:eastAsia="仿宋"/>
          <w:b w:val="0"/>
          <w:bCs w:val="0"/>
        </w:rPr>
        <w:t>九、</w:t>
      </w:r>
      <w:r>
        <w:rPr>
          <w:rFonts w:hint="eastAsia" w:ascii="仿宋" w:hAnsi="仿宋" w:eastAsia="仿宋"/>
          <w:b w:val="0"/>
        </w:rPr>
        <w:t>一</w:t>
      </w:r>
      <w:r>
        <w:rPr>
          <w:rStyle w:val="29"/>
          <w:rFonts w:hint="eastAsia" w:ascii="仿宋" w:hAnsi="仿宋" w:eastAsia="仿宋"/>
          <w:b w:val="0"/>
          <w:bCs w:val="0"/>
        </w:rPr>
        <w:t>般公共预算财政拨款项目支出决算表</w:t>
      </w:r>
      <w:bookmarkEnd w:id="62"/>
    </w:p>
    <w:p w14:paraId="6F5E8E73">
      <w:pPr>
        <w:pStyle w:val="4"/>
        <w:rPr>
          <w:rFonts w:ascii="仿宋" w:hAnsi="仿宋" w:eastAsia="仿宋"/>
        </w:rPr>
      </w:pPr>
      <w:bookmarkStart w:id="63" w:name="_Toc15396628"/>
      <w:r>
        <w:rPr>
          <w:rStyle w:val="29"/>
          <w:rFonts w:hint="eastAsia" w:ascii="仿宋" w:hAnsi="仿宋" w:eastAsia="仿宋"/>
          <w:b w:val="0"/>
          <w:bCs w:val="0"/>
        </w:rPr>
        <w:t>十、</w:t>
      </w:r>
      <w:bookmarkEnd w:id="63"/>
      <w:r>
        <w:rPr>
          <w:rFonts w:hint="eastAsia" w:ascii="仿宋" w:hAnsi="仿宋" w:eastAsia="仿宋"/>
          <w:b w:val="0"/>
        </w:rPr>
        <w:t>政</w:t>
      </w:r>
      <w:r>
        <w:rPr>
          <w:rStyle w:val="29"/>
          <w:rFonts w:hint="eastAsia" w:ascii="仿宋" w:hAnsi="仿宋" w:eastAsia="仿宋"/>
          <w:b w:val="0"/>
          <w:bCs w:val="0"/>
        </w:rPr>
        <w:t>府性基金预算财政拨款收入支出决算表</w:t>
      </w:r>
    </w:p>
    <w:p w14:paraId="05421D74">
      <w:pPr>
        <w:pStyle w:val="4"/>
        <w:rPr>
          <w:rFonts w:ascii="仿宋" w:hAnsi="仿宋" w:eastAsia="仿宋"/>
        </w:rPr>
      </w:pPr>
      <w:bookmarkStart w:id="64" w:name="_Toc15396629"/>
      <w:r>
        <w:rPr>
          <w:rStyle w:val="29"/>
          <w:rFonts w:hint="eastAsia" w:ascii="仿宋" w:hAnsi="仿宋" w:eastAsia="仿宋"/>
          <w:b w:val="0"/>
          <w:bCs w:val="0"/>
        </w:rPr>
        <w:t>十一、</w:t>
      </w:r>
      <w:bookmarkEnd w:id="64"/>
      <w:r>
        <w:rPr>
          <w:rFonts w:hint="eastAsia" w:ascii="仿宋" w:hAnsi="仿宋" w:eastAsia="仿宋"/>
          <w:b w:val="0"/>
        </w:rPr>
        <w:t>国</w:t>
      </w:r>
      <w:r>
        <w:rPr>
          <w:rStyle w:val="29"/>
          <w:rFonts w:hint="eastAsia" w:ascii="仿宋" w:hAnsi="仿宋" w:eastAsia="仿宋"/>
          <w:b w:val="0"/>
          <w:bCs w:val="0"/>
        </w:rPr>
        <w:t>有资本经营预算财政拨款收入支出决算表</w:t>
      </w:r>
    </w:p>
    <w:p w14:paraId="5C69D2FE">
      <w:pPr>
        <w:pStyle w:val="4"/>
        <w:rPr>
          <w:rFonts w:ascii="仿宋" w:hAnsi="仿宋" w:eastAsia="仿宋"/>
        </w:rPr>
      </w:pPr>
      <w:bookmarkStart w:id="65" w:name="_Toc15396630"/>
      <w:r>
        <w:rPr>
          <w:rStyle w:val="29"/>
          <w:rFonts w:hint="eastAsia" w:ascii="仿宋" w:hAnsi="仿宋" w:eastAsia="仿宋"/>
          <w:b w:val="0"/>
          <w:bCs w:val="0"/>
        </w:rPr>
        <w:t>十二、</w:t>
      </w:r>
      <w:bookmarkEnd w:id="65"/>
      <w:r>
        <w:rPr>
          <w:rStyle w:val="29"/>
          <w:rFonts w:hint="eastAsia" w:ascii="仿宋" w:hAnsi="仿宋" w:eastAsia="仿宋"/>
          <w:b w:val="0"/>
          <w:bCs w:val="0"/>
        </w:rPr>
        <w:t>国有资本经营预算财政拨款支出决算表</w:t>
      </w:r>
    </w:p>
    <w:p w14:paraId="47AB6C03">
      <w:pPr>
        <w:pStyle w:val="4"/>
        <w:rPr>
          <w:rFonts w:eastAsia="仿宋"/>
        </w:rPr>
      </w:pPr>
      <w:bookmarkStart w:id="66" w:name="_Toc15396631"/>
      <w:r>
        <w:rPr>
          <w:rStyle w:val="29"/>
          <w:rFonts w:hint="eastAsia" w:ascii="仿宋" w:hAnsi="仿宋" w:eastAsia="仿宋"/>
          <w:b w:val="0"/>
          <w:bCs w:val="0"/>
        </w:rPr>
        <w:t>十三、</w:t>
      </w:r>
      <w:bookmarkEnd w:id="66"/>
      <w:r>
        <w:rPr>
          <w:rStyle w:val="29"/>
          <w:rFonts w:hint="eastAsia" w:ascii="仿宋" w:hAnsi="仿宋" w:eastAsia="仿宋"/>
          <w:b w:val="0"/>
          <w:bCs w:val="0"/>
        </w:rPr>
        <w:t>财政拨款“三公”经费支出决算表</w:t>
      </w:r>
    </w:p>
    <w:sectPr>
      <w:footerReference r:id="rId6" w:type="first"/>
      <w:footerReference r:id="rId5"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14:paraId="4D7E5D32">
        <w:pPr>
          <w:pStyle w:val="10"/>
          <w:jc w:val="center"/>
        </w:pPr>
      </w:p>
    </w:sdtContent>
  </w:sdt>
  <w:p w14:paraId="1321DF0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46B0B">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0457"/>
                          </w:sdtPr>
                          <w:sdtContent>
                            <w:p w14:paraId="1148081B">
                              <w:pPr>
                                <w:pStyle w:val="10"/>
                                <w:jc w:val="center"/>
                              </w:pPr>
                              <w:r>
                                <w:fldChar w:fldCharType="begin"/>
                              </w:r>
                              <w:r>
                                <w:instrText xml:space="preserve">PAGE   \* MERGEFORMAT</w:instrText>
                              </w:r>
                              <w:r>
                                <w:fldChar w:fldCharType="separate"/>
                              </w:r>
                              <w:r>
                                <w:rPr>
                                  <w:lang w:val="zh-CN"/>
                                </w:rPr>
                                <w:t>15</w:t>
                              </w:r>
                              <w:r>
                                <w:fldChar w:fldCharType="end"/>
                              </w:r>
                            </w:p>
                          </w:sdtContent>
                        </w:sdt>
                        <w:p w14:paraId="165BC445">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sdt>
                    <w:sdtPr>
                      <w:id w:val="147470457"/>
                    </w:sdtPr>
                    <w:sdtContent>
                      <w:p w14:paraId="1148081B">
                        <w:pPr>
                          <w:pStyle w:val="10"/>
                          <w:jc w:val="center"/>
                        </w:pPr>
                        <w:r>
                          <w:fldChar w:fldCharType="begin"/>
                        </w:r>
                        <w:r>
                          <w:instrText xml:space="preserve">PAGE   \* MERGEFORMAT</w:instrText>
                        </w:r>
                        <w:r>
                          <w:fldChar w:fldCharType="separate"/>
                        </w:r>
                        <w:r>
                          <w:rPr>
                            <w:lang w:val="zh-CN"/>
                          </w:rPr>
                          <w:t>15</w:t>
                        </w:r>
                        <w:r>
                          <w:fldChar w:fldCharType="end"/>
                        </w:r>
                      </w:p>
                    </w:sdtContent>
                  </w:sdt>
                  <w:p w14:paraId="165BC445">
                    <w:pPr>
                      <w:pStyle w:val="2"/>
                    </w:pPr>
                  </w:p>
                </w:txbxContent>
              </v:textbox>
            </v:shape>
          </w:pict>
        </mc:Fallback>
      </mc:AlternateContent>
    </w:r>
  </w:p>
  <w:p w14:paraId="04ED39D7">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B50C0">
    <w:pPr>
      <w:pStyle w:val="10"/>
      <w:tabs>
        <w:tab w:val="clear" w:pos="4153"/>
      </w:tabs>
      <w:jc w:val="center"/>
      <w:rPr>
        <w:rFonts w:hint="eastAsia" w:eastAsia="宋体"/>
        <w:lang w:val="en-US" w:eastAsia="zh-CN"/>
      </w:rPr>
    </w:pPr>
    <w:r>
      <w:rPr>
        <w:rFonts w:hint="eastAsia"/>
        <w:lang w:val="en-US" w:eastAsia="zh-CN"/>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BD264">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YjMxMWY2NWU4ZWZiNzk0NWJjMzFiYzZjY2JhZW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8D42B4"/>
    <w:rsid w:val="0375005C"/>
    <w:rsid w:val="039A6EB0"/>
    <w:rsid w:val="03DC2831"/>
    <w:rsid w:val="065C7DCE"/>
    <w:rsid w:val="067032E2"/>
    <w:rsid w:val="07496FC8"/>
    <w:rsid w:val="081B5E94"/>
    <w:rsid w:val="09CA0F5B"/>
    <w:rsid w:val="0A2032A3"/>
    <w:rsid w:val="0B0604BC"/>
    <w:rsid w:val="0B8A37D8"/>
    <w:rsid w:val="0C086592"/>
    <w:rsid w:val="0F14754C"/>
    <w:rsid w:val="0F5FFB2F"/>
    <w:rsid w:val="0F96368D"/>
    <w:rsid w:val="0FFFCF60"/>
    <w:rsid w:val="10C055FF"/>
    <w:rsid w:val="114C494B"/>
    <w:rsid w:val="118107EC"/>
    <w:rsid w:val="119D51A7"/>
    <w:rsid w:val="11DD6519"/>
    <w:rsid w:val="15056EDB"/>
    <w:rsid w:val="16BB723D"/>
    <w:rsid w:val="176C3651"/>
    <w:rsid w:val="17D21A85"/>
    <w:rsid w:val="18015F3F"/>
    <w:rsid w:val="1BE8440E"/>
    <w:rsid w:val="1D155CEE"/>
    <w:rsid w:val="1FDBBF84"/>
    <w:rsid w:val="20F57F95"/>
    <w:rsid w:val="2274785E"/>
    <w:rsid w:val="240371BF"/>
    <w:rsid w:val="246F4BB2"/>
    <w:rsid w:val="25711CC6"/>
    <w:rsid w:val="25C741E6"/>
    <w:rsid w:val="26ED19A3"/>
    <w:rsid w:val="276F80C0"/>
    <w:rsid w:val="27842671"/>
    <w:rsid w:val="29C655F1"/>
    <w:rsid w:val="29FD04D3"/>
    <w:rsid w:val="2ABE7A3E"/>
    <w:rsid w:val="2AFF09B6"/>
    <w:rsid w:val="2CA234A8"/>
    <w:rsid w:val="2D6F269E"/>
    <w:rsid w:val="2EFA178C"/>
    <w:rsid w:val="2EFDF86C"/>
    <w:rsid w:val="2F9D17E1"/>
    <w:rsid w:val="30B46D73"/>
    <w:rsid w:val="319F7F4E"/>
    <w:rsid w:val="356A28F1"/>
    <w:rsid w:val="357C035A"/>
    <w:rsid w:val="35CE6D6B"/>
    <w:rsid w:val="36631C6B"/>
    <w:rsid w:val="368E000D"/>
    <w:rsid w:val="383D272C"/>
    <w:rsid w:val="39AE70AB"/>
    <w:rsid w:val="3A4DCE41"/>
    <w:rsid w:val="3B710866"/>
    <w:rsid w:val="3B8406BA"/>
    <w:rsid w:val="3BCB56FA"/>
    <w:rsid w:val="3C0C0783"/>
    <w:rsid w:val="3D79193C"/>
    <w:rsid w:val="3E2D55DC"/>
    <w:rsid w:val="3EE7C2F4"/>
    <w:rsid w:val="3F371B56"/>
    <w:rsid w:val="3F792ED8"/>
    <w:rsid w:val="3F9F3A96"/>
    <w:rsid w:val="3FECA4B2"/>
    <w:rsid w:val="3FF58C48"/>
    <w:rsid w:val="40317B83"/>
    <w:rsid w:val="42FF6694"/>
    <w:rsid w:val="48BF60AB"/>
    <w:rsid w:val="493C27E9"/>
    <w:rsid w:val="496F39ED"/>
    <w:rsid w:val="49FF41D3"/>
    <w:rsid w:val="4A356E9B"/>
    <w:rsid w:val="4AB70741"/>
    <w:rsid w:val="4AF60EA8"/>
    <w:rsid w:val="4BE068DB"/>
    <w:rsid w:val="4BF6002B"/>
    <w:rsid w:val="4BFFC6BE"/>
    <w:rsid w:val="4ECE2238"/>
    <w:rsid w:val="51C365EE"/>
    <w:rsid w:val="51DB4B86"/>
    <w:rsid w:val="51F64DB0"/>
    <w:rsid w:val="52B70F1D"/>
    <w:rsid w:val="55333C3E"/>
    <w:rsid w:val="56FA587C"/>
    <w:rsid w:val="57855914"/>
    <w:rsid w:val="585D2DB5"/>
    <w:rsid w:val="588A7283"/>
    <w:rsid w:val="5BD82630"/>
    <w:rsid w:val="5F67802D"/>
    <w:rsid w:val="5F7DC4F2"/>
    <w:rsid w:val="5F970C3A"/>
    <w:rsid w:val="5FB36814"/>
    <w:rsid w:val="5FBB8E56"/>
    <w:rsid w:val="5FFB5535"/>
    <w:rsid w:val="603B4F3C"/>
    <w:rsid w:val="61265BEC"/>
    <w:rsid w:val="643B19AE"/>
    <w:rsid w:val="64CA39A1"/>
    <w:rsid w:val="6509385A"/>
    <w:rsid w:val="67766910"/>
    <w:rsid w:val="67803B7C"/>
    <w:rsid w:val="680D3662"/>
    <w:rsid w:val="68AF296B"/>
    <w:rsid w:val="68E85E7D"/>
    <w:rsid w:val="68F640F6"/>
    <w:rsid w:val="69050F47"/>
    <w:rsid w:val="69132EFA"/>
    <w:rsid w:val="69630ADE"/>
    <w:rsid w:val="697E399E"/>
    <w:rsid w:val="69BD5F13"/>
    <w:rsid w:val="69FB0B4B"/>
    <w:rsid w:val="6BFFE1FB"/>
    <w:rsid w:val="6C0C7883"/>
    <w:rsid w:val="6C144CD3"/>
    <w:rsid w:val="6C150D37"/>
    <w:rsid w:val="6C4A05C8"/>
    <w:rsid w:val="6D394EF9"/>
    <w:rsid w:val="6D3B1A89"/>
    <w:rsid w:val="6DB7D8A3"/>
    <w:rsid w:val="6E0252EB"/>
    <w:rsid w:val="6E1F40EF"/>
    <w:rsid w:val="6E6D7E67"/>
    <w:rsid w:val="6E7348AC"/>
    <w:rsid w:val="6E887FC1"/>
    <w:rsid w:val="6EC78701"/>
    <w:rsid w:val="6EDD36E8"/>
    <w:rsid w:val="6F7A5481"/>
    <w:rsid w:val="6FFE07A9"/>
    <w:rsid w:val="71BF4EC2"/>
    <w:rsid w:val="72734D90"/>
    <w:rsid w:val="73E75B71"/>
    <w:rsid w:val="7412278C"/>
    <w:rsid w:val="75DDCDA9"/>
    <w:rsid w:val="75FF44B1"/>
    <w:rsid w:val="76C00A65"/>
    <w:rsid w:val="77670518"/>
    <w:rsid w:val="777FA627"/>
    <w:rsid w:val="77DF1B5F"/>
    <w:rsid w:val="77EF2D9D"/>
    <w:rsid w:val="79E7B28D"/>
    <w:rsid w:val="7ACFF0C2"/>
    <w:rsid w:val="7AFB9108"/>
    <w:rsid w:val="7BD5340C"/>
    <w:rsid w:val="7BFB19D2"/>
    <w:rsid w:val="7BFD1750"/>
    <w:rsid w:val="7BFDAA1B"/>
    <w:rsid w:val="7C5E4034"/>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Body Text"/>
    <w:basedOn w:val="1"/>
    <w:link w:val="25"/>
    <w:qFormat/>
    <w:uiPriority w:val="99"/>
    <w:pPr>
      <w:spacing w:beforeLines="30"/>
    </w:pPr>
    <w:rPr>
      <w:rFonts w:ascii="仿宋_GB2312" w:eastAsia="仿宋_GB2312"/>
      <w:kern w:val="0"/>
      <w:sz w:val="30"/>
    </w:rPr>
  </w:style>
  <w:style w:type="paragraph" w:styleId="6">
    <w:name w:val="table of authorities"/>
    <w:basedOn w:val="1"/>
    <w:next w:val="1"/>
    <w:qFormat/>
    <w:uiPriority w:val="0"/>
    <w:pPr>
      <w:ind w:left="200" w:leftChars="200"/>
    </w:p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字符"/>
    <w:link w:val="11"/>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字符"/>
    <w:link w:val="10"/>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字符"/>
    <w:link w:val="2"/>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字符"/>
    <w:basedOn w:val="16"/>
    <w:link w:val="3"/>
    <w:qFormat/>
    <w:uiPriority w:val="9"/>
    <w:rPr>
      <w:rFonts w:ascii="Times New Roman" w:hAnsi="Times New Roman"/>
      <w:b/>
      <w:bCs/>
      <w:kern w:val="44"/>
      <w:sz w:val="44"/>
      <w:szCs w:val="44"/>
    </w:rPr>
  </w:style>
  <w:style w:type="character" w:customStyle="1" w:styleId="29">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30">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16"/>
    <w:link w:val="9"/>
    <w:semiHidden/>
    <w:qFormat/>
    <w:uiPriority w:val="99"/>
    <w:rPr>
      <w:rFonts w:ascii="Times New Roman" w:hAnsi="Times New Roman"/>
      <w:kern w:val="2"/>
      <w:sz w:val="18"/>
      <w:szCs w:val="18"/>
    </w:rPr>
  </w:style>
  <w:style w:type="character" w:customStyle="1" w:styleId="32">
    <w:name w:val="标题 3 字符"/>
    <w:basedOn w:val="16"/>
    <w:link w:val="5"/>
    <w:qFormat/>
    <w:uiPriority w:val="9"/>
    <w:rPr>
      <w:rFonts w:ascii="Times New Roman" w:hAnsi="Times New Roman"/>
      <w:b/>
      <w:bCs/>
      <w:kern w:val="2"/>
      <w:sz w:val="32"/>
      <w:szCs w:val="32"/>
    </w:rPr>
  </w:style>
  <w:style w:type="paragraph" w:customStyle="1" w:styleId="33">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image" Target="media/image1.emf"/><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manualLayout>
          <c:xMode val="edge"/>
          <c:yMode val="edge"/>
          <c:x val="0.221095927186292"/>
          <c:y val="0.0400294409717141"/>
        </c:manualLayout>
      </c:layout>
      <c:overlay val="0"/>
      <c:spPr>
        <a:noFill/>
        <a:ln>
          <a:noFill/>
        </a:ln>
        <a:effectLst/>
      </c:spPr>
    </c:title>
    <c:autoTitleDeleted val="0"/>
    <c:plotArea>
      <c:layout>
        <c:manualLayout>
          <c:layoutTarget val="inner"/>
          <c:xMode val="edge"/>
          <c:yMode val="edge"/>
          <c:x val="0.0916348125346674"/>
          <c:y val="0.167093644380876"/>
          <c:w val="0.87277628032345"/>
          <c:h val="0.675157773952955"/>
        </c:manualLayout>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delete val="1"/>
          </c:dLbls>
          <c:cat>
            <c:strRef>
              <c:f>Sheet1!$A$2:$A$3</c:f>
              <c:strCache>
                <c:ptCount val="2"/>
                <c:pt idx="0">
                  <c:v>收入</c:v>
                </c:pt>
                <c:pt idx="1">
                  <c:v>支出</c:v>
                </c:pt>
              </c:strCache>
            </c:strRef>
          </c:cat>
          <c:val>
            <c:numRef>
              <c:f>Sheet1!$B$2:$B$3</c:f>
              <c:numCache>
                <c:formatCode>General</c:formatCode>
                <c:ptCount val="2"/>
                <c:pt idx="0">
                  <c:v>2420.51</c:v>
                </c:pt>
                <c:pt idx="1">
                  <c:v>2420.51</c:v>
                </c:pt>
              </c:numCache>
            </c:numRef>
          </c:val>
        </c:ser>
        <c:ser>
          <c:idx val="1"/>
          <c:order val="1"/>
          <c:tx>
            <c:strRef>
              <c:f>Sheet1!$C$1</c:f>
              <c:strCache>
                <c:ptCount val="1"/>
                <c:pt idx="0">
                  <c:v>2023年</c:v>
                </c:pt>
              </c:strCache>
            </c:strRef>
          </c:tx>
          <c:spPr>
            <a:solidFill>
              <a:schemeClr val="accent2"/>
            </a:solidFill>
            <a:ln>
              <a:noFill/>
            </a:ln>
            <a:effectLst/>
          </c:spPr>
          <c:invertIfNegative val="0"/>
          <c:dLbls>
            <c:delete val="1"/>
          </c:dLbls>
          <c:cat>
            <c:strRef>
              <c:f>Sheet1!$A$2:$A$3</c:f>
              <c:strCache>
                <c:ptCount val="2"/>
                <c:pt idx="0">
                  <c:v>收入</c:v>
                </c:pt>
                <c:pt idx="1">
                  <c:v>支出</c:v>
                </c:pt>
              </c:strCache>
            </c:strRef>
          </c:cat>
          <c:val>
            <c:numRef>
              <c:f>Sheet1!$C$2:$C$3</c:f>
              <c:numCache>
                <c:formatCode>General</c:formatCode>
                <c:ptCount val="2"/>
                <c:pt idx="0">
                  <c:v>2690.01</c:v>
                </c:pt>
                <c:pt idx="1">
                  <c:v>2690.01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Sheet1!$A$2:$A$3</c:f>
              <c:strCache>
                <c:ptCount val="2"/>
                <c:pt idx="0">
                  <c:v>收入</c:v>
                </c:pt>
                <c:pt idx="1">
                  <c:v>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699513903"/>
        <c:axId val="557244179"/>
      </c:barChart>
      <c:catAx>
        <c:axId val="69951390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7244179"/>
        <c:crosses val="autoZero"/>
        <c:auto val="1"/>
        <c:lblAlgn val="ctr"/>
        <c:lblOffset val="100"/>
        <c:noMultiLvlLbl val="0"/>
      </c:catAx>
      <c:valAx>
        <c:axId val="55724417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99513903"/>
        <c:crosses val="autoZero"/>
        <c:crossBetween val="between"/>
      </c:valAx>
      <c:spPr>
        <a:noFill/>
        <a:ln>
          <a:noFill/>
        </a:ln>
        <a:effectLst/>
      </c:spPr>
    </c:plotArea>
    <c:legend>
      <c:legendPos val="b"/>
      <c:legendEntry>
        <c:idx val="2"/>
        <c:delete val="1"/>
      </c:legendEntry>
      <c:layout>
        <c:manualLayout>
          <c:xMode val="edge"/>
          <c:yMode val="edge"/>
          <c:x val="0.392995257828087"/>
          <c:y val="0.94072750893147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支出结构（按功能）</a:t>
            </a:r>
          </a:p>
        </c:rich>
      </c:tx>
      <c:layout/>
      <c:overlay val="0"/>
      <c:spPr>
        <a:noFill/>
        <a:ln>
          <a:noFill/>
        </a:ln>
        <a:effectLst/>
      </c:spPr>
    </c:title>
    <c:autoTitleDeleted val="0"/>
    <c:plotArea>
      <c:layout/>
      <c:pieChart>
        <c:varyColors val="1"/>
        <c:ser>
          <c:idx val="0"/>
          <c:order val="0"/>
          <c:tx>
            <c:strRef>
              <c:f>Sheet1!$B$1</c:f>
              <c:strCache>
                <c:ptCount val="1"/>
                <c:pt idx="0">
                  <c:v>支出结构（按功能）</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教育支出</c:v>
                </c:pt>
                <c:pt idx="1">
                  <c:v>社会保障和就业支出</c:v>
                </c:pt>
                <c:pt idx="2">
                  <c:v>卫生健康支出</c:v>
                </c:pt>
                <c:pt idx="3">
                  <c:v>住房保障支出</c:v>
                </c:pt>
                <c:pt idx="4">
                  <c:v>资源勘探信息等支出</c:v>
                </c:pt>
              </c:strCache>
            </c:strRef>
          </c:cat>
          <c:val>
            <c:numRef>
              <c:f>Sheet1!$B$2:$B$6</c:f>
              <c:numCache>
                <c:formatCode>General</c:formatCode>
                <c:ptCount val="5"/>
                <c:pt idx="0">
                  <c:v>92852.12</c:v>
                </c:pt>
                <c:pt idx="1" c:formatCode="#,##0.00">
                  <c:v>1936991.72</c:v>
                </c:pt>
                <c:pt idx="2" c:formatCode="#,##0.00">
                  <c:v>849847.67</c:v>
                </c:pt>
                <c:pt idx="3" c:formatCode="#,##0.00">
                  <c:v>600166.8</c:v>
                </c:pt>
                <c:pt idx="4" c:formatCode="#,##0.00">
                  <c:v>14442334.11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zh-CN"/>
              <a:t>财政拨款收、支决算总计变动情况</a:t>
            </a:r>
            <a:endParaRPr altLang="zh-CN"/>
          </a:p>
        </c:rich>
      </c:tx>
      <c:layout>
        <c:manualLayout>
          <c:xMode val="edge"/>
          <c:yMode val="edge"/>
          <c:x val="0.168303519016739"/>
          <c:y val="0.0519483387822446"/>
        </c:manualLayout>
      </c:layout>
      <c:overlay val="0"/>
      <c:spPr>
        <a:noFill/>
        <a:ln>
          <a:noFill/>
        </a:ln>
        <a:effectLst/>
      </c:spPr>
    </c:title>
    <c:autoTitleDeleted val="0"/>
    <c:plotArea>
      <c:layout>
        <c:manualLayout>
          <c:layoutTarget val="inner"/>
          <c:xMode val="edge"/>
          <c:yMode val="edge"/>
          <c:x val="0.0835722819593787"/>
          <c:y val="0.200439399175003"/>
          <c:w val="0.883071841453344"/>
          <c:h val="0.623453779649745"/>
        </c:manualLayout>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delete val="1"/>
          </c:dLbls>
          <c:cat>
            <c:strRef>
              <c:f>Sheet1!$A$2:$A$3</c:f>
              <c:strCache>
                <c:ptCount val="2"/>
                <c:pt idx="0">
                  <c:v>收入</c:v>
                </c:pt>
                <c:pt idx="1">
                  <c:v>支出</c:v>
                </c:pt>
              </c:strCache>
            </c:strRef>
          </c:cat>
          <c:val>
            <c:numRef>
              <c:f>Sheet1!$B$2:$B$3</c:f>
              <c:numCache>
                <c:formatCode>General</c:formatCode>
                <c:ptCount val="2"/>
                <c:pt idx="0">
                  <c:v>881.34</c:v>
                </c:pt>
                <c:pt idx="1">
                  <c:v>881.34</c:v>
                </c:pt>
              </c:numCache>
            </c:numRef>
          </c:val>
        </c:ser>
        <c:ser>
          <c:idx val="1"/>
          <c:order val="1"/>
          <c:tx>
            <c:strRef>
              <c:f>Sheet1!$C$1</c:f>
              <c:strCache>
                <c:ptCount val="1"/>
                <c:pt idx="0">
                  <c:v>2023年</c:v>
                </c:pt>
              </c:strCache>
            </c:strRef>
          </c:tx>
          <c:spPr>
            <a:solidFill>
              <a:schemeClr val="accent2"/>
            </a:solidFill>
            <a:ln>
              <a:noFill/>
            </a:ln>
            <a:effectLst/>
          </c:spPr>
          <c:invertIfNegative val="0"/>
          <c:dLbls>
            <c:delete val="1"/>
          </c:dLbls>
          <c:cat>
            <c:strRef>
              <c:f>Sheet1!$A$2:$A$3</c:f>
              <c:strCache>
                <c:ptCount val="2"/>
                <c:pt idx="0">
                  <c:v>收入</c:v>
                </c:pt>
                <c:pt idx="1">
                  <c:v>支出</c:v>
                </c:pt>
              </c:strCache>
            </c:strRef>
          </c:cat>
          <c:val>
            <c:numRef>
              <c:f>Sheet1!$C$2:$C$3</c:f>
              <c:numCache>
                <c:formatCode>General</c:formatCode>
                <c:ptCount val="2"/>
                <c:pt idx="0">
                  <c:v>890.39</c:v>
                </c:pt>
                <c:pt idx="1">
                  <c:v>890.39</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Sheet1!$A$2:$A$3</c:f>
              <c:strCache>
                <c:ptCount val="2"/>
                <c:pt idx="0">
                  <c:v>收入</c:v>
                </c:pt>
                <c:pt idx="1">
                  <c:v>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900830482"/>
        <c:axId val="287965809"/>
      </c:barChart>
      <c:catAx>
        <c:axId val="90083048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87965809"/>
        <c:crosses val="autoZero"/>
        <c:auto val="1"/>
        <c:lblAlgn val="ctr"/>
        <c:lblOffset val="100"/>
        <c:noMultiLvlLbl val="0"/>
      </c:catAx>
      <c:valAx>
        <c:axId val="28796580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830482"/>
        <c:crosses val="autoZero"/>
        <c:crossBetween val="between"/>
      </c:valAx>
      <c:spPr>
        <a:noFill/>
        <a:ln>
          <a:noFill/>
        </a:ln>
        <a:effectLst/>
      </c:spPr>
    </c:plotArea>
    <c:legend>
      <c:legendPos val="b"/>
      <c:legendEntry>
        <c:idx val="2"/>
        <c:delete val="1"/>
      </c:legendEntry>
      <c:layout>
        <c:manualLayout>
          <c:xMode val="edge"/>
          <c:yMode val="edge"/>
          <c:x val="0.362471354751741"/>
          <c:y val="0.92042824154254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一般公共预算财政拨款支出决算变动情况</a:t>
            </a:r>
          </a:p>
        </c:rich>
      </c:tx>
      <c:layout>
        <c:manualLayout>
          <c:xMode val="edge"/>
          <c:yMode val="edge"/>
          <c:x val="0.158552545478341"/>
          <c:y val="0.0360144057623049"/>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delete val="1"/>
          </c:dLbls>
          <c:cat>
            <c:strRef>
              <c:f>Sheet1!$A$2</c:f>
              <c:strCache>
                <c:ptCount val="1"/>
                <c:pt idx="0">
                  <c:v>财政拨款</c:v>
                </c:pt>
              </c:strCache>
            </c:strRef>
          </c:cat>
          <c:val>
            <c:numRef>
              <c:f>Sheet1!$B$2</c:f>
              <c:numCache>
                <c:formatCode>General</c:formatCode>
                <c:ptCount val="1"/>
                <c:pt idx="0">
                  <c:v>881.34</c:v>
                </c:pt>
              </c:numCache>
            </c:numRef>
          </c:val>
        </c:ser>
        <c:ser>
          <c:idx val="1"/>
          <c:order val="1"/>
          <c:tx>
            <c:strRef>
              <c:f>Sheet1!$C$1</c:f>
              <c:strCache>
                <c:ptCount val="1"/>
                <c:pt idx="0">
                  <c:v>2023年</c:v>
                </c:pt>
              </c:strCache>
            </c:strRef>
          </c:tx>
          <c:spPr>
            <a:solidFill>
              <a:schemeClr val="accent2"/>
            </a:solidFill>
            <a:ln>
              <a:noFill/>
            </a:ln>
            <a:effectLst/>
          </c:spPr>
          <c:invertIfNegative val="0"/>
          <c:dLbls>
            <c:delete val="1"/>
          </c:dLbls>
          <c:cat>
            <c:strRef>
              <c:f>Sheet1!$A$2</c:f>
              <c:strCache>
                <c:ptCount val="1"/>
                <c:pt idx="0">
                  <c:v>财政拨款</c:v>
                </c:pt>
              </c:strCache>
            </c:strRef>
          </c:cat>
          <c:val>
            <c:numRef>
              <c:f>Sheet1!$C$2</c:f>
              <c:numCache>
                <c:formatCode>General</c:formatCode>
                <c:ptCount val="1"/>
                <c:pt idx="0">
                  <c:v>890.39</c:v>
                </c:pt>
              </c:numCache>
            </c:numRef>
          </c:val>
        </c:ser>
        <c:dLbls>
          <c:showLegendKey val="0"/>
          <c:showVal val="0"/>
          <c:showCatName val="0"/>
          <c:showSerName val="0"/>
          <c:showPercent val="0"/>
          <c:showBubbleSize val="0"/>
        </c:dLbls>
        <c:gapWidth val="219"/>
        <c:overlap val="-27"/>
        <c:axId val="521809919"/>
        <c:axId val="981801855"/>
      </c:barChart>
      <c:catAx>
        <c:axId val="52180991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81801855"/>
        <c:crosses val="autoZero"/>
        <c:auto val="1"/>
        <c:lblAlgn val="ctr"/>
        <c:lblOffset val="100"/>
        <c:noMultiLvlLbl val="0"/>
      </c:catAx>
      <c:valAx>
        <c:axId val="98180185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180991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manualLayout>
          <c:layoutTarget val="inner"/>
          <c:xMode val="edge"/>
          <c:yMode val="edge"/>
          <c:x val="0.192745197168857"/>
          <c:y val="0.0929061784897025"/>
          <c:w val="0.59479271991911"/>
          <c:h val="0.717925247902365"/>
        </c:manualLayout>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layout>
                <c:manualLayout>
                  <c:x val="-0.12758049802002"/>
                  <c:y val="0.0383850509287927"/>
                </c:manualLayout>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i="0"/>
                      <a:t>0.24%</a:t>
                    </a:r>
                    <a:endParaRPr i="0"/>
                  </a:p>
                </c:rich>
              </c:tx>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manualLayout>
                      <c:w val="0.146612740141557"/>
                      <c:h val="0.111889132020423"/>
                    </c:manualLayout>
                  </c15:layout>
                </c:ext>
              </c:extLst>
            </c:dLbl>
            <c:dLbl>
              <c:idx val="1"/>
              <c:layout>
                <c:manualLayout>
                  <c:x val="-0.0791730157146612"/>
                  <c:y val="0.196371921825948"/>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19.73%</a:t>
                    </a:r>
                    <a:endParaRPr lang="en-US" altLang="zh-CN"/>
                  </a:p>
                </c:rich>
              </c:tx>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manualLayout>
                      <c:w val="0.146612740141557"/>
                      <c:h val="0.111889132020423"/>
                    </c:manualLayout>
                  </c15:layout>
                </c:ext>
              </c:extLst>
            </c:dLbl>
            <c:dLbl>
              <c:idx val="2"/>
              <c:layout>
                <c:manualLayout>
                  <c:x val="0.0367268831731042"/>
                  <c:y val="0.0287570421760574"/>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i="0"/>
                      <a:t>7.86%</a:t>
                    </a:r>
                    <a:endParaRPr i="0"/>
                  </a:p>
                </c:rich>
              </c:tx>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manualLayout>
                      <c:w val="0.146612740141557"/>
                      <c:h val="0.111889132020423"/>
                    </c:manualLayout>
                  </c15:layout>
                </c:ext>
              </c:extLst>
            </c:dLbl>
            <c:dLbl>
              <c:idx val="3"/>
              <c:layout>
                <c:manualLayout>
                  <c:x val="-0.0791730157146612"/>
                  <c:y val="0.196371921825948"/>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i="0"/>
                      <a:t>6.18%</a:t>
                    </a:r>
                    <a:endParaRPr i="0"/>
                  </a:p>
                </c:rich>
              </c:tx>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manualLayout>
                      <c:w val="0.146612740141557"/>
                      <c:h val="0.111889132020423"/>
                    </c:manualLayout>
                  </c15:layout>
                </c:ext>
              </c:extLst>
            </c:dLbl>
            <c:dLbl>
              <c:idx val="4"/>
              <c:layout>
                <c:manualLayout>
                  <c:x val="0.193545561721068"/>
                  <c:y val="-0.129375707641594"/>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i="0"/>
                      <a:t>65.99%</a:t>
                    </a:r>
                    <a:endParaRPr i="0"/>
                  </a:p>
                </c:rich>
              </c:tx>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manualLayout>
                      <c:w val="0.146612740141557"/>
                      <c:h val="0.111889132020423"/>
                    </c:manualLayout>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教育支出</c:v>
                </c:pt>
                <c:pt idx="1">
                  <c:v>社会保障和就业支出</c:v>
                </c:pt>
                <c:pt idx="2">
                  <c:v>卫生健康支出</c:v>
                </c:pt>
                <c:pt idx="3">
                  <c:v>住房保障支出</c:v>
                </c:pt>
                <c:pt idx="4">
                  <c:v>资源勘探工业信息等支出</c:v>
                </c:pt>
              </c:strCache>
            </c:strRef>
          </c:cat>
          <c:val>
            <c:numRef>
              <c:f>Sheet1!$B$2:$B$6</c:f>
              <c:numCache>
                <c:formatCode>General</c:formatCode>
                <c:ptCount val="5"/>
                <c:pt idx="0">
                  <c:v>2.15</c:v>
                </c:pt>
                <c:pt idx="1">
                  <c:v>175.7</c:v>
                </c:pt>
                <c:pt idx="2">
                  <c:v>70</c:v>
                </c:pt>
                <c:pt idx="3">
                  <c:v>55</c:v>
                </c:pt>
                <c:pt idx="4">
                  <c:v>587.54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215196078431373"/>
          <c:y val="0.874981103552532"/>
          <c:w val="0.633455882352941"/>
          <c:h val="0.12003023431594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22</Pages>
  <Words>5448</Words>
  <Characters>8048</Characters>
  <Lines>54</Lines>
  <Paragraphs>15</Paragraphs>
  <TotalTime>18</TotalTime>
  <ScaleCrop>false</ScaleCrop>
  <LinksUpToDate>false</LinksUpToDate>
  <CharactersWithSpaces>8069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颖果</cp:lastModifiedBy>
  <cp:lastPrinted>2024-09-02T07:49:00Z</cp:lastPrinted>
  <dcterms:modified xsi:type="dcterms:W3CDTF">2024-09-05T01:44:32Z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893F5FB7C2DF4C70B886E2916CE3A472_12</vt:lpwstr>
  </property>
</Properties>
</file>