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C5115">
      <w:pPr>
        <w:spacing w:line="600" w:lineRule="exact"/>
        <w:jc w:val="left"/>
        <w:outlineLvl w:val="0"/>
        <w:rPr>
          <w:rFonts w:ascii="方正小标宋简体" w:hAnsi="宋体" w:eastAsia="方正小标宋简体"/>
          <w:szCs w:val="21"/>
        </w:rPr>
      </w:pPr>
      <w:bookmarkStart w:id="0" w:name="_Toc15306267"/>
    </w:p>
    <w:p w14:paraId="27BD85FC">
      <w:pPr>
        <w:pStyle w:val="6"/>
        <w:spacing w:before="93"/>
      </w:pPr>
    </w:p>
    <w:p w14:paraId="615A1DAB">
      <w:pPr>
        <w:spacing w:line="600" w:lineRule="exact"/>
        <w:jc w:val="center"/>
        <w:outlineLvl w:val="0"/>
        <w:rPr>
          <w:rFonts w:ascii="方正小标宋简体" w:hAnsi="宋体" w:eastAsia="方正小标宋简体"/>
          <w:sz w:val="72"/>
          <w:szCs w:val="72"/>
        </w:rPr>
      </w:pPr>
    </w:p>
    <w:p w14:paraId="6796C1F8">
      <w:pPr>
        <w:spacing w:line="600" w:lineRule="exact"/>
        <w:jc w:val="center"/>
        <w:outlineLvl w:val="0"/>
        <w:rPr>
          <w:rFonts w:ascii="方正小标宋简体" w:hAnsi="宋体" w:eastAsia="方正小标宋简体"/>
          <w:sz w:val="72"/>
          <w:szCs w:val="72"/>
        </w:rPr>
      </w:pPr>
    </w:p>
    <w:p w14:paraId="4CDB3180">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1" w:name="_Toc15378441"/>
      <w:bookmarkStart w:id="2" w:name="_Toc15396597"/>
      <w:bookmarkStart w:id="3" w:name="_Toc15377193"/>
      <w:bookmarkStart w:id="4" w:name="_Toc15396475"/>
      <w:bookmarkStart w:id="5" w:name="_Toc15377425"/>
      <w:r>
        <w:rPr>
          <w:rFonts w:hint="eastAsia" w:ascii="方正小标宋简体" w:hAnsi="方正小标宋简体" w:eastAsia="方正小标宋简体" w:cs="Times New Roman"/>
          <w:sz w:val="72"/>
          <w:szCs w:val="72"/>
        </w:rPr>
        <w:t>2023</w:t>
      </w:r>
      <w:r>
        <w:rPr>
          <w:rFonts w:hint="eastAsia" w:ascii="方正小标宋简体" w:hAnsi="方正小标宋简体" w:eastAsia="方正小标宋简体" w:cs="方正小标宋简体"/>
          <w:sz w:val="72"/>
          <w:szCs w:val="72"/>
        </w:rPr>
        <w:t>年度</w:t>
      </w:r>
      <w:bookmarkEnd w:id="1"/>
      <w:bookmarkEnd w:id="2"/>
      <w:bookmarkEnd w:id="3"/>
      <w:bookmarkEnd w:id="4"/>
      <w:bookmarkEnd w:id="5"/>
    </w:p>
    <w:p w14:paraId="5E202F13">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6" w:name="_Toc15378442"/>
      <w:bookmarkStart w:id="7" w:name="_Toc15377426"/>
      <w:bookmarkStart w:id="8" w:name="_Toc15396476"/>
      <w:bookmarkStart w:id="9" w:name="_Toc15377194"/>
      <w:bookmarkStart w:id="10" w:name="_Toc15396598"/>
      <w:r>
        <w:rPr>
          <w:rFonts w:hint="eastAsia" w:ascii="方正小标宋简体" w:hAnsi="方正小标宋简体" w:eastAsia="方正小标宋简体" w:cs="方正小标宋简体"/>
          <w:sz w:val="72"/>
          <w:szCs w:val="72"/>
        </w:rPr>
        <w:t>四川省</w:t>
      </w:r>
      <w:bookmarkEnd w:id="0"/>
      <w:bookmarkStart w:id="11" w:name="_Toc15306268"/>
      <w:r>
        <w:rPr>
          <w:rFonts w:hint="eastAsia" w:ascii="方正小标宋简体" w:hAnsi="方正小标宋简体" w:eastAsia="方正小标宋简体" w:cs="方正小标宋简体"/>
          <w:sz w:val="72"/>
          <w:szCs w:val="72"/>
        </w:rPr>
        <w:t>经济和信息化厅</w:t>
      </w:r>
    </w:p>
    <w:p w14:paraId="1FFEB437">
      <w:pPr>
        <w:adjustRightInd w:val="0"/>
        <w:snapToGrid w:val="0"/>
        <w:spacing w:line="360" w:lineRule="auto"/>
        <w:jc w:val="center"/>
        <w:outlineLvl w:val="0"/>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机关服务中心</w:t>
      </w:r>
    </w:p>
    <w:p w14:paraId="28113ECE">
      <w:pPr>
        <w:adjustRightInd w:val="0"/>
        <w:snapToGrid w:val="0"/>
        <w:spacing w:line="360" w:lineRule="auto"/>
        <w:jc w:val="center"/>
        <w:outlineLvl w:val="0"/>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单位决算</w:t>
      </w:r>
      <w:bookmarkEnd w:id="6"/>
      <w:bookmarkEnd w:id="7"/>
      <w:bookmarkEnd w:id="8"/>
      <w:bookmarkEnd w:id="9"/>
      <w:bookmarkEnd w:id="10"/>
      <w:bookmarkEnd w:id="11"/>
    </w:p>
    <w:p w14:paraId="3C223F10">
      <w:pPr>
        <w:adjustRightInd w:val="0"/>
        <w:snapToGrid w:val="0"/>
        <w:spacing w:line="360" w:lineRule="auto"/>
        <w:jc w:val="center"/>
        <w:outlineLvl w:val="0"/>
        <w:rPr>
          <w:rFonts w:ascii="方正小标宋简体" w:hAnsi="宋体" w:eastAsia="方正小标宋简体"/>
          <w:sz w:val="52"/>
          <w:szCs w:val="52"/>
        </w:rPr>
      </w:pPr>
    </w:p>
    <w:p w14:paraId="20F3D7F1">
      <w:pPr>
        <w:widowControl/>
        <w:jc w:val="center"/>
        <w:rPr>
          <w:rFonts w:ascii="黑体" w:hAnsi="黑体" w:eastAsia="黑体"/>
          <w:sz w:val="48"/>
          <w:szCs w:val="48"/>
        </w:rPr>
      </w:pPr>
      <w:r>
        <w:rPr>
          <w:rFonts w:ascii="方正小标宋简体" w:hAnsi="宋体" w:eastAsia="方正小标宋简体"/>
          <w:sz w:val="36"/>
          <w:szCs w:val="36"/>
        </w:rPr>
        <w:br w:type="page"/>
      </w:r>
      <w:r>
        <w:rPr>
          <w:rFonts w:hint="eastAsia" w:ascii="黑体" w:hAnsi="黑体" w:eastAsia="黑体"/>
          <w:sz w:val="48"/>
          <w:szCs w:val="48"/>
        </w:rPr>
        <w:t>目录</w:t>
      </w:r>
    </w:p>
    <w:p w14:paraId="34DD1F05">
      <w:pPr>
        <w:widowControl/>
        <w:jc w:val="center"/>
        <w:rPr>
          <w:rFonts w:ascii="黑体" w:hAnsi="黑体" w:eastAsia="黑体" w:cstheme="minorBidi"/>
          <w:sz w:val="28"/>
          <w:szCs w:val="28"/>
        </w:rPr>
      </w:pPr>
    </w:p>
    <w:p w14:paraId="1D4BAD86">
      <w:pPr>
        <w:pStyle w:val="12"/>
      </w:pPr>
      <w:r>
        <w:rPr>
          <w:rFonts w:hint="eastAsia"/>
        </w:rPr>
        <w:t>公开时间：</w:t>
      </w:r>
      <w:r>
        <w:rPr>
          <w:rFonts w:hint="eastAsia" w:cs="Times New Roman"/>
          <w:sz w:val="32"/>
        </w:rPr>
        <w:t>2024</w:t>
      </w:r>
      <w:r>
        <w:rPr>
          <w:rFonts w:hint="eastAsia"/>
        </w:rPr>
        <w:t>年</w:t>
      </w:r>
      <w:r>
        <w:rPr>
          <w:rFonts w:hint="eastAsia" w:cs="Times New Roman"/>
          <w:sz w:val="32"/>
        </w:rPr>
        <w:t>9</w:t>
      </w:r>
      <w:r>
        <w:rPr>
          <w:rFonts w:hint="eastAsia"/>
        </w:rPr>
        <w:t>月</w:t>
      </w:r>
      <w:r>
        <w:rPr>
          <w:rFonts w:hint="eastAsia" w:cs="Times New Roman"/>
          <w:sz w:val="32"/>
        </w:rPr>
        <w:t>6</w:t>
      </w:r>
      <w:r>
        <w:rPr>
          <w:rFonts w:hint="eastAsia"/>
        </w:rPr>
        <w:t>日</w:t>
      </w:r>
    </w:p>
    <w:p w14:paraId="70ACB030"/>
    <w:p w14:paraId="73979335">
      <w:pPr>
        <w:pStyle w:val="12"/>
        <w:adjustRightInd w:val="0"/>
        <w:snapToGrid w:val="0"/>
        <w:spacing w:before="0" w:line="440" w:lineRule="exact"/>
        <w:jc w:val="left"/>
        <w:rPr>
          <w:rFonts w:cstheme="minorBidi"/>
          <w:sz w:val="24"/>
          <w:szCs w:val="24"/>
        </w:rPr>
      </w:pPr>
      <w:r>
        <w:rPr>
          <w:rFonts w:hint="eastAsia"/>
          <w:sz w:val="24"/>
        </w:rPr>
        <w:t>第一部分</w:t>
      </w:r>
      <w:r>
        <w:rPr>
          <w:sz w:val="24"/>
        </w:rPr>
        <w:t xml:space="preserve"> </w:t>
      </w:r>
      <w:r>
        <w:rPr>
          <w:rFonts w:hint="eastAsia"/>
          <w:sz w:val="24"/>
        </w:rPr>
        <w:t>单位概况（</w:t>
      </w:r>
      <w:r>
        <w:rPr>
          <w:rFonts w:hint="eastAsia" w:cs="Times New Roman"/>
          <w:sz w:val="32"/>
        </w:rPr>
        <w:t>4</w:t>
      </w:r>
      <w:r>
        <w:rPr>
          <w:rFonts w:hint="eastAsia"/>
          <w:sz w:val="24"/>
        </w:rPr>
        <w:t>）</w:t>
      </w:r>
    </w:p>
    <w:p w14:paraId="50E8ABA2">
      <w:pPr>
        <w:pStyle w:val="13"/>
        <w:adjustRightInd w:val="0"/>
        <w:snapToGrid w:val="0"/>
        <w:spacing w:line="440" w:lineRule="exact"/>
        <w:jc w:val="left"/>
        <w:rPr>
          <w:sz w:val="24"/>
        </w:rPr>
      </w:pPr>
      <w:r>
        <w:rPr>
          <w:rFonts w:hint="eastAsia"/>
          <w:sz w:val="24"/>
        </w:rPr>
        <w:t>一、主要职责（</w:t>
      </w:r>
      <w:r>
        <w:rPr>
          <w:rFonts w:hint="eastAsia" w:cs="Times New Roman"/>
          <w:sz w:val="32"/>
        </w:rPr>
        <w:t>4</w:t>
      </w:r>
      <w:r>
        <w:rPr>
          <w:rFonts w:hint="eastAsia"/>
          <w:sz w:val="24"/>
        </w:rPr>
        <w:t>）</w:t>
      </w:r>
    </w:p>
    <w:p w14:paraId="3946A4FC">
      <w:pPr>
        <w:pStyle w:val="13"/>
        <w:adjustRightInd w:val="0"/>
        <w:snapToGrid w:val="0"/>
        <w:spacing w:line="440" w:lineRule="exact"/>
        <w:jc w:val="left"/>
      </w:pPr>
      <w:r>
        <w:rPr>
          <w:rFonts w:hint="eastAsia"/>
          <w:sz w:val="24"/>
        </w:rPr>
        <w:t>二、机构设置（</w:t>
      </w:r>
      <w:r>
        <w:rPr>
          <w:rFonts w:hint="eastAsia" w:cs="Times New Roman"/>
          <w:sz w:val="32"/>
        </w:rPr>
        <w:t>4</w:t>
      </w:r>
      <w:r>
        <w:rPr>
          <w:rFonts w:hint="eastAsia"/>
          <w:sz w:val="24"/>
        </w:rPr>
        <w:t>）</w:t>
      </w:r>
    </w:p>
    <w:p w14:paraId="4B240980">
      <w:pPr>
        <w:pStyle w:val="12"/>
        <w:adjustRightInd w:val="0"/>
        <w:snapToGrid w:val="0"/>
        <w:spacing w:before="0" w:line="440" w:lineRule="exact"/>
        <w:jc w:val="left"/>
        <w:rPr>
          <w:sz w:val="24"/>
          <w:szCs w:val="24"/>
        </w:rPr>
      </w:pPr>
      <w:r>
        <w:rPr>
          <w:rFonts w:hint="eastAsia"/>
          <w:sz w:val="24"/>
        </w:rPr>
        <w:t xml:space="preserve">第二部分 </w:t>
      </w:r>
      <w:r>
        <w:rPr>
          <w:rFonts w:hint="eastAsia" w:cs="Times New Roman"/>
          <w:sz w:val="32"/>
        </w:rPr>
        <w:t>2023</w:t>
      </w:r>
      <w:r>
        <w:rPr>
          <w:rFonts w:hint="eastAsia"/>
          <w:sz w:val="24"/>
        </w:rPr>
        <w:t>年度单位决算情况说明（</w:t>
      </w:r>
      <w:r>
        <w:rPr>
          <w:rFonts w:hint="eastAsia" w:cs="Times New Roman"/>
          <w:sz w:val="32"/>
        </w:rPr>
        <w:t>5</w:t>
      </w:r>
      <w:r>
        <w:rPr>
          <w:rFonts w:hint="eastAsia"/>
          <w:sz w:val="24"/>
        </w:rPr>
        <w:t>）</w:t>
      </w:r>
    </w:p>
    <w:p w14:paraId="2820021A">
      <w:pPr>
        <w:pStyle w:val="13"/>
        <w:adjustRightInd w:val="0"/>
        <w:snapToGrid w:val="0"/>
        <w:spacing w:line="440" w:lineRule="exact"/>
        <w:jc w:val="left"/>
        <w:rPr>
          <w:rFonts w:ascii="仿宋" w:hAnsi="仿宋" w:eastAsia="仿宋" w:cstheme="minorBidi"/>
          <w:sz w:val="24"/>
        </w:rPr>
      </w:pPr>
      <w:r>
        <w:rPr>
          <w:rFonts w:hint="eastAsia"/>
          <w:sz w:val="24"/>
        </w:rPr>
        <w:t>一、收入支出决算总体情况说明（</w:t>
      </w:r>
      <w:r>
        <w:rPr>
          <w:rFonts w:hint="eastAsia" w:cs="Times New Roman"/>
          <w:sz w:val="32"/>
        </w:rPr>
        <w:t>5</w:t>
      </w:r>
      <w:r>
        <w:rPr>
          <w:rFonts w:hint="eastAsia"/>
          <w:sz w:val="24"/>
        </w:rPr>
        <w:t>）</w:t>
      </w:r>
    </w:p>
    <w:p w14:paraId="2AC8623F">
      <w:pPr>
        <w:pStyle w:val="13"/>
        <w:adjustRightInd w:val="0"/>
        <w:snapToGrid w:val="0"/>
        <w:spacing w:line="440" w:lineRule="exact"/>
        <w:jc w:val="left"/>
        <w:rPr>
          <w:rFonts w:ascii="仿宋" w:hAnsi="仿宋" w:eastAsia="仿宋" w:cstheme="minorBidi"/>
          <w:sz w:val="24"/>
        </w:rPr>
      </w:pPr>
      <w:r>
        <w:rPr>
          <w:rFonts w:hint="eastAsia"/>
          <w:sz w:val="24"/>
        </w:rPr>
        <w:t>二、收入决算情况说明（</w:t>
      </w:r>
      <w:r>
        <w:rPr>
          <w:rFonts w:hint="eastAsia" w:cs="Times New Roman"/>
          <w:sz w:val="32"/>
        </w:rPr>
        <w:t>5</w:t>
      </w:r>
      <w:r>
        <w:rPr>
          <w:rFonts w:hint="eastAsia"/>
          <w:sz w:val="24"/>
        </w:rPr>
        <w:t>）</w:t>
      </w:r>
    </w:p>
    <w:p w14:paraId="5B0D7BBE">
      <w:pPr>
        <w:pStyle w:val="13"/>
        <w:adjustRightInd w:val="0"/>
        <w:snapToGrid w:val="0"/>
        <w:spacing w:line="440" w:lineRule="exact"/>
        <w:jc w:val="left"/>
        <w:rPr>
          <w:rFonts w:ascii="仿宋" w:hAnsi="仿宋" w:eastAsia="仿宋" w:cstheme="minorBidi"/>
          <w:sz w:val="24"/>
        </w:rPr>
      </w:pPr>
      <w:r>
        <w:rPr>
          <w:rFonts w:hint="eastAsia"/>
          <w:sz w:val="24"/>
        </w:rPr>
        <w:t>三、支出决算情况说明（</w:t>
      </w:r>
      <w:r>
        <w:rPr>
          <w:rFonts w:hint="eastAsia" w:cs="Times New Roman"/>
          <w:sz w:val="32"/>
        </w:rPr>
        <w:t>6</w:t>
      </w:r>
      <w:r>
        <w:rPr>
          <w:rFonts w:hint="eastAsia"/>
          <w:sz w:val="24"/>
        </w:rPr>
        <w:t>）</w:t>
      </w:r>
    </w:p>
    <w:p w14:paraId="337B0F15">
      <w:pPr>
        <w:pStyle w:val="13"/>
        <w:adjustRightInd w:val="0"/>
        <w:snapToGrid w:val="0"/>
        <w:spacing w:line="440" w:lineRule="exact"/>
        <w:jc w:val="left"/>
        <w:rPr>
          <w:rFonts w:ascii="仿宋" w:hAnsi="仿宋" w:eastAsia="仿宋" w:cstheme="minorBidi"/>
          <w:sz w:val="24"/>
        </w:rPr>
      </w:pPr>
      <w:r>
        <w:rPr>
          <w:rFonts w:hint="eastAsia"/>
          <w:sz w:val="24"/>
        </w:rPr>
        <w:t>四、财政拨款收入支出决算总体情况说明（</w:t>
      </w:r>
      <w:r>
        <w:rPr>
          <w:rFonts w:hint="eastAsia" w:cs="Times New Roman"/>
          <w:sz w:val="32"/>
        </w:rPr>
        <w:t>7</w:t>
      </w:r>
      <w:r>
        <w:rPr>
          <w:rFonts w:hint="eastAsia"/>
          <w:sz w:val="24"/>
        </w:rPr>
        <w:t>）</w:t>
      </w:r>
    </w:p>
    <w:p w14:paraId="252E4E8F">
      <w:pPr>
        <w:pStyle w:val="13"/>
        <w:adjustRightInd w:val="0"/>
        <w:snapToGrid w:val="0"/>
        <w:spacing w:line="440" w:lineRule="exact"/>
        <w:jc w:val="left"/>
        <w:rPr>
          <w:rFonts w:ascii="仿宋" w:hAnsi="仿宋" w:eastAsia="仿宋" w:cstheme="minorBidi"/>
          <w:sz w:val="24"/>
        </w:rPr>
      </w:pPr>
      <w:r>
        <w:rPr>
          <w:rFonts w:hint="eastAsia"/>
          <w:sz w:val="24"/>
        </w:rPr>
        <w:t>五、一般公共预算财政拨款支出决算情况说明（</w:t>
      </w:r>
      <w:r>
        <w:rPr>
          <w:rFonts w:hint="eastAsia" w:cs="Times New Roman"/>
          <w:sz w:val="32"/>
        </w:rPr>
        <w:t>7</w:t>
      </w:r>
      <w:r>
        <w:rPr>
          <w:rFonts w:hint="eastAsia"/>
          <w:sz w:val="24"/>
        </w:rPr>
        <w:t>）</w:t>
      </w:r>
    </w:p>
    <w:p w14:paraId="1DFEBF3D">
      <w:pPr>
        <w:pStyle w:val="13"/>
        <w:adjustRightInd w:val="0"/>
        <w:snapToGrid w:val="0"/>
        <w:spacing w:line="440" w:lineRule="exact"/>
        <w:jc w:val="left"/>
        <w:rPr>
          <w:rFonts w:ascii="仿宋" w:hAnsi="仿宋" w:eastAsia="仿宋" w:cstheme="minorBidi"/>
          <w:sz w:val="24"/>
        </w:rPr>
      </w:pPr>
      <w:r>
        <w:rPr>
          <w:rFonts w:hint="eastAsia"/>
          <w:sz w:val="24"/>
        </w:rPr>
        <w:t>六、一般公共预算财政拨款基本支出决算情况说明（</w:t>
      </w:r>
      <w:r>
        <w:rPr>
          <w:rFonts w:hint="eastAsia" w:cs="Times New Roman"/>
          <w:sz w:val="32"/>
        </w:rPr>
        <w:t>10</w:t>
      </w:r>
      <w:r>
        <w:rPr>
          <w:rFonts w:hint="eastAsia"/>
          <w:sz w:val="24"/>
        </w:rPr>
        <w:t>）</w:t>
      </w:r>
    </w:p>
    <w:p w14:paraId="1CCBBDB1">
      <w:pPr>
        <w:pStyle w:val="13"/>
        <w:adjustRightInd w:val="0"/>
        <w:snapToGrid w:val="0"/>
        <w:spacing w:line="440" w:lineRule="exact"/>
        <w:jc w:val="left"/>
        <w:rPr>
          <w:rFonts w:ascii="仿宋" w:hAnsi="仿宋" w:eastAsia="仿宋" w:cstheme="minorBidi"/>
          <w:sz w:val="24"/>
        </w:rPr>
      </w:pPr>
      <w:r>
        <w:rPr>
          <w:rFonts w:hint="eastAsia"/>
          <w:sz w:val="24"/>
        </w:rPr>
        <w:t>七、财政拨款“三公”经费支出决算情况说明（</w:t>
      </w:r>
      <w:r>
        <w:rPr>
          <w:rFonts w:hint="eastAsia" w:cs="Times New Roman"/>
          <w:sz w:val="32"/>
        </w:rPr>
        <w:t>10</w:t>
      </w:r>
      <w:r>
        <w:rPr>
          <w:rFonts w:hint="eastAsia"/>
          <w:sz w:val="24"/>
        </w:rPr>
        <w:t>）</w:t>
      </w:r>
    </w:p>
    <w:p w14:paraId="2B22F717">
      <w:pPr>
        <w:pStyle w:val="13"/>
        <w:adjustRightInd w:val="0"/>
        <w:snapToGrid w:val="0"/>
        <w:spacing w:line="440" w:lineRule="exact"/>
        <w:jc w:val="left"/>
        <w:rPr>
          <w:rFonts w:ascii="仿宋" w:hAnsi="仿宋" w:eastAsia="仿宋" w:cstheme="minorBidi"/>
          <w:sz w:val="24"/>
        </w:rPr>
      </w:pPr>
      <w:r>
        <w:rPr>
          <w:rFonts w:hint="eastAsia"/>
          <w:sz w:val="24"/>
        </w:rPr>
        <w:t>八、政府性基金预算支出决算情况说明（</w:t>
      </w:r>
      <w:r>
        <w:rPr>
          <w:rFonts w:hint="eastAsia" w:cs="Times New Roman"/>
          <w:sz w:val="32"/>
        </w:rPr>
        <w:t>12</w:t>
      </w:r>
      <w:r>
        <w:rPr>
          <w:rFonts w:hint="eastAsia"/>
          <w:sz w:val="24"/>
        </w:rPr>
        <w:t>）</w:t>
      </w:r>
    </w:p>
    <w:p w14:paraId="1D6C2DCB">
      <w:pPr>
        <w:pStyle w:val="13"/>
        <w:adjustRightInd w:val="0"/>
        <w:snapToGrid w:val="0"/>
        <w:spacing w:line="440" w:lineRule="exact"/>
        <w:jc w:val="left"/>
        <w:rPr>
          <w:sz w:val="24"/>
        </w:rPr>
      </w:pPr>
      <w:r>
        <w:rPr>
          <w:rFonts w:hint="eastAsia"/>
          <w:sz w:val="24"/>
        </w:rPr>
        <w:t>九、国有资本经营预算支出决算情况说明（</w:t>
      </w:r>
      <w:r>
        <w:rPr>
          <w:rFonts w:hint="eastAsia" w:cs="Times New Roman"/>
          <w:sz w:val="32"/>
        </w:rPr>
        <w:t>12</w:t>
      </w:r>
      <w:r>
        <w:rPr>
          <w:rFonts w:hint="eastAsia"/>
          <w:sz w:val="24"/>
        </w:rPr>
        <w:t>）</w:t>
      </w:r>
    </w:p>
    <w:p w14:paraId="3CEA539A">
      <w:pPr>
        <w:pStyle w:val="13"/>
        <w:adjustRightInd w:val="0"/>
        <w:snapToGrid w:val="0"/>
        <w:spacing w:line="440" w:lineRule="exact"/>
        <w:jc w:val="left"/>
        <w:rPr>
          <w:sz w:val="24"/>
        </w:rPr>
      </w:pPr>
      <w:r>
        <w:rPr>
          <w:rFonts w:hint="eastAsia"/>
          <w:sz w:val="24"/>
        </w:rPr>
        <w:t>十、其他重要事项的情况说明（</w:t>
      </w:r>
      <w:r>
        <w:rPr>
          <w:rFonts w:hint="eastAsia" w:cs="Times New Roman"/>
          <w:sz w:val="32"/>
        </w:rPr>
        <w:t>12</w:t>
      </w:r>
      <w:r>
        <w:rPr>
          <w:rFonts w:hint="eastAsia"/>
          <w:sz w:val="24"/>
        </w:rPr>
        <w:t>）</w:t>
      </w:r>
    </w:p>
    <w:p w14:paraId="68549DA0">
      <w:pPr>
        <w:pStyle w:val="12"/>
        <w:adjustRightInd w:val="0"/>
        <w:snapToGrid w:val="0"/>
        <w:spacing w:before="0" w:line="440" w:lineRule="exact"/>
        <w:jc w:val="left"/>
        <w:rPr>
          <w:rFonts w:cstheme="minorBidi"/>
          <w:sz w:val="24"/>
          <w:szCs w:val="24"/>
        </w:rPr>
      </w:pPr>
      <w:r>
        <w:rPr>
          <w:rFonts w:hint="eastAsia"/>
          <w:sz w:val="24"/>
        </w:rPr>
        <w:t>第三部分</w:t>
      </w:r>
      <w:r>
        <w:rPr>
          <w:sz w:val="24"/>
        </w:rPr>
        <w:t xml:space="preserve"> </w:t>
      </w:r>
      <w:r>
        <w:rPr>
          <w:rFonts w:hint="eastAsia"/>
          <w:sz w:val="24"/>
        </w:rPr>
        <w:t>名词解释（</w:t>
      </w:r>
      <w:r>
        <w:rPr>
          <w:rFonts w:hint="eastAsia" w:cs="Times New Roman"/>
          <w:sz w:val="32"/>
        </w:rPr>
        <w:t>15</w:t>
      </w:r>
      <w:r>
        <w:rPr>
          <w:rFonts w:hint="eastAsia"/>
          <w:sz w:val="24"/>
        </w:rPr>
        <w:t>）</w:t>
      </w:r>
    </w:p>
    <w:p w14:paraId="26008FD3">
      <w:pPr>
        <w:pStyle w:val="12"/>
        <w:adjustRightInd w:val="0"/>
        <w:snapToGrid w:val="0"/>
        <w:spacing w:before="0" w:line="440" w:lineRule="exact"/>
        <w:jc w:val="left"/>
        <w:rPr>
          <w:rFonts w:cstheme="minorBidi"/>
          <w:sz w:val="24"/>
          <w:szCs w:val="24"/>
        </w:rPr>
      </w:pPr>
      <w:r>
        <w:rPr>
          <w:rFonts w:hint="eastAsia"/>
          <w:sz w:val="24"/>
        </w:rPr>
        <w:t>第四部分</w:t>
      </w:r>
      <w:r>
        <w:rPr>
          <w:sz w:val="24"/>
        </w:rPr>
        <w:t xml:space="preserve"> </w:t>
      </w:r>
      <w:r>
        <w:rPr>
          <w:rFonts w:hint="eastAsia"/>
          <w:sz w:val="24"/>
        </w:rPr>
        <w:t>附件（</w:t>
      </w:r>
      <w:r>
        <w:rPr>
          <w:rFonts w:hint="eastAsia" w:cs="Times New Roman"/>
          <w:sz w:val="32"/>
        </w:rPr>
        <w:t>18</w:t>
      </w:r>
      <w:r>
        <w:rPr>
          <w:rFonts w:hint="eastAsia"/>
          <w:sz w:val="24"/>
        </w:rPr>
        <w:t>）</w:t>
      </w:r>
    </w:p>
    <w:p w14:paraId="6787063B">
      <w:pPr>
        <w:pStyle w:val="12"/>
        <w:adjustRightInd w:val="0"/>
        <w:snapToGrid w:val="0"/>
        <w:spacing w:before="0" w:line="440" w:lineRule="exact"/>
        <w:jc w:val="left"/>
        <w:rPr>
          <w:rFonts w:cstheme="minorBidi"/>
          <w:sz w:val="24"/>
          <w:szCs w:val="24"/>
        </w:rPr>
      </w:pPr>
      <w:r>
        <w:rPr>
          <w:rFonts w:hint="eastAsia"/>
          <w:sz w:val="24"/>
        </w:rPr>
        <w:t>第五部分</w:t>
      </w:r>
      <w:r>
        <w:rPr>
          <w:sz w:val="24"/>
        </w:rPr>
        <w:t xml:space="preserve"> </w:t>
      </w:r>
      <w:r>
        <w:rPr>
          <w:rFonts w:hint="eastAsia"/>
          <w:sz w:val="24"/>
        </w:rPr>
        <w:t>附表（</w:t>
      </w:r>
      <w:r>
        <w:rPr>
          <w:rFonts w:hint="eastAsia" w:cs="Times New Roman"/>
          <w:sz w:val="32"/>
        </w:rPr>
        <w:t>23</w:t>
      </w:r>
      <w:r>
        <w:rPr>
          <w:rFonts w:hint="eastAsia"/>
          <w:sz w:val="24"/>
        </w:rPr>
        <w:t>）</w:t>
      </w:r>
    </w:p>
    <w:p w14:paraId="1A49D107">
      <w:pPr>
        <w:pStyle w:val="13"/>
        <w:adjustRightInd w:val="0"/>
        <w:snapToGrid w:val="0"/>
        <w:spacing w:line="440" w:lineRule="exact"/>
        <w:jc w:val="left"/>
        <w:rPr>
          <w:sz w:val="24"/>
        </w:rPr>
      </w:pPr>
      <w:r>
        <w:rPr>
          <w:rFonts w:hint="eastAsia"/>
          <w:sz w:val="24"/>
        </w:rPr>
        <w:t>一、收入支出决算总表（</w:t>
      </w:r>
      <w:r>
        <w:rPr>
          <w:rFonts w:hint="eastAsia" w:cs="Times New Roman"/>
          <w:sz w:val="32"/>
        </w:rPr>
        <w:t>24</w:t>
      </w:r>
      <w:r>
        <w:rPr>
          <w:rFonts w:hint="eastAsia"/>
          <w:sz w:val="24"/>
        </w:rPr>
        <w:t>）</w:t>
      </w:r>
    </w:p>
    <w:p w14:paraId="73B1B9A4">
      <w:pPr>
        <w:pStyle w:val="13"/>
        <w:adjustRightInd w:val="0"/>
        <w:snapToGrid w:val="0"/>
        <w:spacing w:line="440" w:lineRule="exact"/>
        <w:jc w:val="left"/>
        <w:rPr>
          <w:sz w:val="24"/>
        </w:rPr>
      </w:pPr>
      <w:r>
        <w:rPr>
          <w:rFonts w:hint="eastAsia"/>
          <w:sz w:val="24"/>
        </w:rPr>
        <w:t>二、收入决算表（</w:t>
      </w:r>
      <w:r>
        <w:rPr>
          <w:rFonts w:hint="eastAsia" w:cs="Times New Roman"/>
          <w:sz w:val="32"/>
        </w:rPr>
        <w:t>25</w:t>
      </w:r>
      <w:r>
        <w:rPr>
          <w:rFonts w:hint="eastAsia"/>
          <w:sz w:val="24"/>
        </w:rPr>
        <w:t>）</w:t>
      </w:r>
    </w:p>
    <w:p w14:paraId="567A11E4">
      <w:pPr>
        <w:pStyle w:val="13"/>
        <w:adjustRightInd w:val="0"/>
        <w:snapToGrid w:val="0"/>
        <w:spacing w:line="440" w:lineRule="exact"/>
        <w:jc w:val="left"/>
        <w:rPr>
          <w:sz w:val="24"/>
        </w:rPr>
      </w:pPr>
      <w:r>
        <w:rPr>
          <w:rFonts w:hint="eastAsia"/>
          <w:sz w:val="24"/>
        </w:rPr>
        <w:t>三、支出决算表（</w:t>
      </w:r>
      <w:r>
        <w:rPr>
          <w:rFonts w:hint="eastAsia" w:cs="Times New Roman"/>
          <w:sz w:val="32"/>
        </w:rPr>
        <w:t>25</w:t>
      </w:r>
      <w:r>
        <w:rPr>
          <w:rFonts w:hint="eastAsia"/>
          <w:sz w:val="24"/>
        </w:rPr>
        <w:t>）</w:t>
      </w:r>
    </w:p>
    <w:p w14:paraId="4CF566F1">
      <w:pPr>
        <w:pStyle w:val="13"/>
        <w:adjustRightInd w:val="0"/>
        <w:snapToGrid w:val="0"/>
        <w:spacing w:line="440" w:lineRule="exact"/>
        <w:jc w:val="left"/>
        <w:rPr>
          <w:sz w:val="24"/>
        </w:rPr>
      </w:pPr>
      <w:r>
        <w:rPr>
          <w:rFonts w:hint="eastAsia"/>
          <w:sz w:val="24"/>
        </w:rPr>
        <w:t>四、财政拨款收入支出决算总表（</w:t>
      </w:r>
      <w:r>
        <w:rPr>
          <w:rFonts w:hint="eastAsia" w:cs="Times New Roman"/>
          <w:sz w:val="32"/>
        </w:rPr>
        <w:t>26</w:t>
      </w:r>
      <w:r>
        <w:rPr>
          <w:rFonts w:hint="eastAsia"/>
          <w:sz w:val="24"/>
        </w:rPr>
        <w:t>）</w:t>
      </w:r>
    </w:p>
    <w:p w14:paraId="1ED68EAA">
      <w:pPr>
        <w:pStyle w:val="13"/>
        <w:adjustRightInd w:val="0"/>
        <w:snapToGrid w:val="0"/>
        <w:spacing w:line="440" w:lineRule="exact"/>
        <w:jc w:val="left"/>
        <w:rPr>
          <w:sz w:val="24"/>
        </w:rPr>
      </w:pPr>
      <w:r>
        <w:rPr>
          <w:rFonts w:hint="eastAsia"/>
          <w:sz w:val="24"/>
        </w:rPr>
        <w:t>五、财政拨款支出决算明细表（</w:t>
      </w:r>
      <w:r>
        <w:rPr>
          <w:rFonts w:hint="eastAsia" w:cs="Times New Roman"/>
          <w:sz w:val="32"/>
        </w:rPr>
        <w:t>27</w:t>
      </w:r>
      <w:r>
        <w:rPr>
          <w:rFonts w:hint="eastAsia"/>
          <w:sz w:val="24"/>
        </w:rPr>
        <w:t>）</w:t>
      </w:r>
    </w:p>
    <w:p w14:paraId="1D7F2030">
      <w:pPr>
        <w:pStyle w:val="13"/>
        <w:adjustRightInd w:val="0"/>
        <w:snapToGrid w:val="0"/>
        <w:spacing w:line="440" w:lineRule="exact"/>
        <w:jc w:val="left"/>
        <w:rPr>
          <w:sz w:val="24"/>
        </w:rPr>
      </w:pPr>
      <w:r>
        <w:rPr>
          <w:rFonts w:hint="eastAsia"/>
          <w:sz w:val="24"/>
        </w:rPr>
        <w:t>六、一般公共预算财政拨款支出决算表（</w:t>
      </w:r>
      <w:r>
        <w:rPr>
          <w:rFonts w:hint="eastAsia" w:cs="Times New Roman"/>
          <w:sz w:val="32"/>
        </w:rPr>
        <w:t>28</w:t>
      </w:r>
      <w:r>
        <w:rPr>
          <w:rFonts w:hint="eastAsia"/>
          <w:sz w:val="24"/>
        </w:rPr>
        <w:t>）</w:t>
      </w:r>
    </w:p>
    <w:p w14:paraId="1BC1FA8E">
      <w:pPr>
        <w:pStyle w:val="13"/>
        <w:adjustRightInd w:val="0"/>
        <w:snapToGrid w:val="0"/>
        <w:spacing w:line="440" w:lineRule="exact"/>
        <w:jc w:val="left"/>
        <w:rPr>
          <w:sz w:val="24"/>
        </w:rPr>
      </w:pPr>
      <w:r>
        <w:rPr>
          <w:rFonts w:hint="eastAsia"/>
          <w:sz w:val="24"/>
        </w:rPr>
        <w:t>七、一般公共预算财政拨款支出决算明细表（</w:t>
      </w:r>
      <w:r>
        <w:rPr>
          <w:rFonts w:hint="eastAsia" w:cs="Times New Roman"/>
          <w:sz w:val="32"/>
        </w:rPr>
        <w:t>29</w:t>
      </w:r>
      <w:r>
        <w:rPr>
          <w:rFonts w:hint="eastAsia"/>
          <w:sz w:val="24"/>
        </w:rPr>
        <w:t>）</w:t>
      </w:r>
    </w:p>
    <w:p w14:paraId="0654BC87">
      <w:pPr>
        <w:pStyle w:val="13"/>
        <w:adjustRightInd w:val="0"/>
        <w:snapToGrid w:val="0"/>
        <w:spacing w:line="440" w:lineRule="exact"/>
        <w:jc w:val="left"/>
        <w:rPr>
          <w:sz w:val="24"/>
        </w:rPr>
      </w:pPr>
      <w:r>
        <w:rPr>
          <w:rFonts w:hint="eastAsia"/>
          <w:sz w:val="24"/>
        </w:rPr>
        <w:t>八、一般公共预算财政拨款基本支出决算明细表（</w:t>
      </w:r>
      <w:r>
        <w:rPr>
          <w:rFonts w:hint="eastAsia" w:cs="Times New Roman"/>
          <w:sz w:val="32"/>
        </w:rPr>
        <w:t>29</w:t>
      </w:r>
      <w:r>
        <w:rPr>
          <w:rFonts w:hint="eastAsia"/>
          <w:sz w:val="24"/>
        </w:rPr>
        <w:t>）</w:t>
      </w:r>
    </w:p>
    <w:p w14:paraId="725BFD5C">
      <w:pPr>
        <w:pStyle w:val="13"/>
        <w:adjustRightInd w:val="0"/>
        <w:snapToGrid w:val="0"/>
        <w:spacing w:line="440" w:lineRule="exact"/>
        <w:jc w:val="left"/>
        <w:rPr>
          <w:sz w:val="24"/>
        </w:rPr>
      </w:pPr>
      <w:r>
        <w:rPr>
          <w:rFonts w:hint="eastAsia"/>
          <w:sz w:val="24"/>
        </w:rPr>
        <w:t>九、一般公共预算财政拨款项目支出决算表（</w:t>
      </w:r>
      <w:r>
        <w:rPr>
          <w:rFonts w:hint="eastAsia" w:cs="Times New Roman"/>
          <w:sz w:val="32"/>
        </w:rPr>
        <w:t>30</w:t>
      </w:r>
      <w:r>
        <w:rPr>
          <w:rFonts w:hint="eastAsia"/>
          <w:sz w:val="24"/>
        </w:rPr>
        <w:t>）</w:t>
      </w:r>
    </w:p>
    <w:p w14:paraId="2AA77A19">
      <w:pPr>
        <w:pStyle w:val="13"/>
        <w:adjustRightInd w:val="0"/>
        <w:snapToGrid w:val="0"/>
        <w:spacing w:line="440" w:lineRule="exact"/>
        <w:jc w:val="left"/>
        <w:rPr>
          <w:sz w:val="24"/>
        </w:rPr>
      </w:pPr>
      <w:r>
        <w:rPr>
          <w:rFonts w:hint="eastAsia"/>
          <w:sz w:val="24"/>
        </w:rPr>
        <w:t>十、政府性基金预算财政拨款收入支出决算表（</w:t>
      </w:r>
      <w:r>
        <w:rPr>
          <w:rFonts w:hint="eastAsia" w:cs="Times New Roman"/>
          <w:sz w:val="32"/>
        </w:rPr>
        <w:t>30</w:t>
      </w:r>
      <w:r>
        <w:rPr>
          <w:rFonts w:hint="eastAsia"/>
          <w:sz w:val="24"/>
        </w:rPr>
        <w:t>）</w:t>
      </w:r>
    </w:p>
    <w:p w14:paraId="0B624646">
      <w:pPr>
        <w:pStyle w:val="13"/>
        <w:adjustRightInd w:val="0"/>
        <w:snapToGrid w:val="0"/>
        <w:spacing w:line="440" w:lineRule="exact"/>
        <w:jc w:val="left"/>
        <w:rPr>
          <w:sz w:val="24"/>
        </w:rPr>
      </w:pPr>
      <w:r>
        <w:rPr>
          <w:rFonts w:hint="eastAsia"/>
          <w:sz w:val="24"/>
        </w:rPr>
        <w:t>十一、国有资本经营预算财政拨款收入支出决算表（</w:t>
      </w:r>
      <w:r>
        <w:rPr>
          <w:rFonts w:hint="eastAsia" w:cs="Times New Roman"/>
          <w:sz w:val="32"/>
        </w:rPr>
        <w:t>30</w:t>
      </w:r>
      <w:r>
        <w:rPr>
          <w:rFonts w:hint="eastAsia"/>
          <w:sz w:val="24"/>
        </w:rPr>
        <w:t>）</w:t>
      </w:r>
    </w:p>
    <w:p w14:paraId="661EDC95">
      <w:pPr>
        <w:pStyle w:val="13"/>
        <w:adjustRightInd w:val="0"/>
        <w:snapToGrid w:val="0"/>
        <w:spacing w:line="440" w:lineRule="exact"/>
        <w:jc w:val="left"/>
        <w:rPr>
          <w:sz w:val="24"/>
        </w:rPr>
      </w:pPr>
      <w:r>
        <w:rPr>
          <w:rFonts w:hint="eastAsia"/>
          <w:sz w:val="24"/>
        </w:rPr>
        <w:t>十二、国有资本经营预算财政拨款支出决算表（</w:t>
      </w:r>
      <w:r>
        <w:rPr>
          <w:rFonts w:hint="eastAsia" w:cs="Times New Roman"/>
          <w:sz w:val="32"/>
        </w:rPr>
        <w:t>31</w:t>
      </w:r>
      <w:r>
        <w:rPr>
          <w:rFonts w:hint="eastAsia"/>
          <w:sz w:val="24"/>
        </w:rPr>
        <w:t>）</w:t>
      </w:r>
    </w:p>
    <w:p w14:paraId="44DBA111">
      <w:pPr>
        <w:pStyle w:val="13"/>
        <w:adjustRightInd w:val="0"/>
        <w:snapToGrid w:val="0"/>
        <w:spacing w:line="440" w:lineRule="exact"/>
        <w:jc w:val="left"/>
        <w:rPr>
          <w:sz w:val="24"/>
        </w:rPr>
      </w:pPr>
      <w:r>
        <w:rPr>
          <w:rFonts w:hint="eastAsia"/>
          <w:sz w:val="24"/>
        </w:rPr>
        <w:t>十三、财政拨款“三公”经费支出决算表（</w:t>
      </w:r>
      <w:r>
        <w:rPr>
          <w:rFonts w:hint="eastAsia" w:cs="Times New Roman"/>
          <w:sz w:val="32"/>
        </w:rPr>
        <w:t>31</w:t>
      </w:r>
      <w:r>
        <w:rPr>
          <w:rFonts w:hint="eastAsia"/>
          <w:sz w:val="24"/>
        </w:rPr>
        <w:t>）</w:t>
      </w:r>
    </w:p>
    <w:p w14:paraId="5AB3E029">
      <w:pPr>
        <w:widowControl/>
        <w:spacing w:line="440" w:lineRule="exact"/>
        <w:jc w:val="left"/>
        <w:rPr>
          <w:rFonts w:ascii="仿宋" w:hAnsi="仿宋" w:eastAsia="仿宋"/>
          <w:bCs/>
          <w:kern w:val="44"/>
          <w:sz w:val="24"/>
        </w:rPr>
      </w:pPr>
      <w:bookmarkStart w:id="12" w:name="_Toc15396599"/>
      <w:bookmarkStart w:id="13" w:name="_Toc15377196"/>
      <w:r>
        <w:rPr>
          <w:rFonts w:ascii="仿宋" w:hAnsi="仿宋" w:eastAsia="仿宋"/>
          <w:b/>
          <w:sz w:val="24"/>
        </w:rPr>
        <w:br w:type="page"/>
      </w:r>
    </w:p>
    <w:p w14:paraId="7A1D98CD">
      <w:pPr>
        <w:pStyle w:val="3"/>
        <w:jc w:val="center"/>
        <w:rPr>
          <w:rStyle w:val="28"/>
          <w:rFonts w:ascii="黑体" w:hAnsi="黑体" w:eastAsia="黑体"/>
          <w:b/>
          <w:bCs w:val="0"/>
        </w:rPr>
      </w:pPr>
      <w:r>
        <w:rPr>
          <w:rFonts w:hint="eastAsia" w:ascii="黑体" w:hAnsi="黑体" w:eastAsia="黑体"/>
          <w:b w:val="0"/>
        </w:rPr>
        <w:t>第一部分 单位</w:t>
      </w:r>
      <w:r>
        <w:rPr>
          <w:rStyle w:val="28"/>
          <w:rFonts w:hint="eastAsia" w:ascii="黑体" w:hAnsi="黑体" w:eastAsia="黑体"/>
          <w:b w:val="0"/>
          <w:bCs w:val="0"/>
        </w:rPr>
        <w:t>概况</w:t>
      </w:r>
      <w:bookmarkEnd w:id="12"/>
      <w:bookmarkEnd w:id="13"/>
    </w:p>
    <w:p w14:paraId="0693ACD9">
      <w:pPr>
        <w:widowControl/>
        <w:jc w:val="left"/>
        <w:rPr>
          <w:rFonts w:ascii="黑体" w:eastAsia="黑体"/>
          <w:sz w:val="32"/>
          <w:szCs w:val="32"/>
        </w:rPr>
      </w:pPr>
    </w:p>
    <w:p w14:paraId="72C93E02">
      <w:pPr>
        <w:pStyle w:val="4"/>
        <w:numPr>
          <w:ilvl w:val="0"/>
          <w:numId w:val="1"/>
        </w:numPr>
        <w:rPr>
          <w:rStyle w:val="29"/>
          <w:rFonts w:ascii="黑体" w:hAnsi="黑体" w:eastAsia="黑体"/>
          <w:b w:val="0"/>
          <w:bCs w:val="0"/>
        </w:rPr>
      </w:pPr>
      <w:bookmarkStart w:id="14" w:name="_Toc15396600"/>
      <w:bookmarkStart w:id="15" w:name="_Toc15377197"/>
      <w:r>
        <w:rPr>
          <w:rStyle w:val="29"/>
          <w:rFonts w:hint="eastAsia" w:ascii="黑体" w:hAnsi="黑体" w:eastAsia="黑体"/>
          <w:b w:val="0"/>
          <w:bCs w:val="0"/>
        </w:rPr>
        <w:t>主要职责</w:t>
      </w:r>
    </w:p>
    <w:p w14:paraId="1D7C8153">
      <w:pPr>
        <w:pStyle w:val="4"/>
        <w:spacing w:line="415" w:lineRule="auto"/>
        <w:ind w:firstLine="640" w:firstLineChars="200"/>
        <w:rPr>
          <w:rFonts w:ascii="黑体" w:hAnsi="黑体" w:eastAsia="黑体"/>
          <w:b w:val="0"/>
          <w:bCs w:val="0"/>
        </w:rPr>
      </w:pPr>
      <w:r>
        <w:rPr>
          <w:rStyle w:val="29"/>
          <w:rFonts w:hint="eastAsia" w:ascii="仿宋_GB2312" w:hAnsi="仿宋_GB2312" w:eastAsia="仿宋_GB2312" w:cs="仿宋_GB2312"/>
          <w:b w:val="0"/>
          <w:bCs w:val="0"/>
        </w:rPr>
        <w:t>承担四川省经济和信息化厅机关服务保障工作及开展物业管理。</w:t>
      </w:r>
    </w:p>
    <w:p w14:paraId="3FF55DE4">
      <w:pPr>
        <w:pStyle w:val="4"/>
        <w:rPr>
          <w:rFonts w:ascii="黑体" w:hAnsi="黑体" w:eastAsia="黑体"/>
          <w:b w:val="0"/>
        </w:rPr>
      </w:pPr>
      <w:r>
        <w:rPr>
          <w:rFonts w:hint="eastAsia" w:ascii="黑体" w:hAnsi="黑体" w:eastAsia="黑体"/>
          <w:b w:val="0"/>
        </w:rPr>
        <w:t>二、机构设置</w:t>
      </w:r>
    </w:p>
    <w:p w14:paraId="186AD53F">
      <w:pPr>
        <w:rPr>
          <w:rFonts w:ascii="仿宋_GB2312" w:hAnsi="仿宋_GB2312" w:eastAsia="仿宋_GB2312" w:cs="仿宋_GB2312"/>
          <w:sz w:val="32"/>
          <w:szCs w:val="32"/>
        </w:rPr>
      </w:pPr>
      <w:r>
        <w:rPr>
          <w:rFonts w:hint="eastAsia" w:ascii="仿宋_GB2312" w:hAnsi="仿宋_GB2312" w:eastAsia="仿宋_GB2312" w:cs="仿宋_GB2312"/>
          <w:sz w:val="32"/>
          <w:szCs w:val="32"/>
        </w:rPr>
        <w:t>单位内设机构：办公室、人事科、物管科、财资科</w:t>
      </w:r>
    </w:p>
    <w:p w14:paraId="59254FD9"/>
    <w:bookmarkEnd w:id="14"/>
    <w:bookmarkEnd w:id="15"/>
    <w:p w14:paraId="5C73FA3C">
      <w:pPr>
        <w:widowControl/>
        <w:jc w:val="left"/>
        <w:rPr>
          <w:rFonts w:ascii="仿宋" w:hAnsi="仿宋" w:eastAsia="仿宋"/>
          <w:kern w:val="0"/>
          <w:sz w:val="32"/>
          <w:szCs w:val="32"/>
        </w:rPr>
      </w:pPr>
      <w:r>
        <w:rPr>
          <w:rFonts w:ascii="仿宋" w:hAnsi="仿宋" w:eastAsia="仿宋"/>
          <w:sz w:val="32"/>
          <w:szCs w:val="32"/>
        </w:rPr>
        <w:br w:type="page"/>
      </w:r>
    </w:p>
    <w:p w14:paraId="2BDA139A">
      <w:pPr>
        <w:pStyle w:val="3"/>
        <w:ind w:right="440"/>
        <w:jc w:val="center"/>
        <w:rPr>
          <w:rStyle w:val="28"/>
          <w:rFonts w:ascii="黑体" w:hAnsi="黑体" w:eastAsia="黑体"/>
          <w:b w:val="0"/>
          <w:bCs/>
        </w:rPr>
      </w:pPr>
      <w:bookmarkStart w:id="16" w:name="_Toc15396602"/>
      <w:bookmarkStart w:id="17" w:name="_Toc15377204"/>
      <w:r>
        <w:rPr>
          <w:rFonts w:hint="eastAsia" w:ascii="黑体" w:hAnsi="黑体" w:eastAsia="黑体"/>
          <w:b w:val="0"/>
        </w:rPr>
        <w:t xml:space="preserve">第二部分 </w:t>
      </w:r>
      <w:r>
        <w:rPr>
          <w:rFonts w:hint="eastAsia" w:ascii="黑体" w:hAnsi="黑体" w:eastAsia="黑体" w:cs="Times New Roman"/>
          <w:b w:val="0"/>
          <w:sz w:val="44"/>
          <w:szCs w:val="44"/>
        </w:rPr>
        <w:t>2023</w:t>
      </w:r>
      <w:r>
        <w:rPr>
          <w:rFonts w:hint="eastAsia" w:ascii="黑体" w:hAnsi="黑体" w:eastAsia="黑体"/>
          <w:b w:val="0"/>
        </w:rPr>
        <w:t>年度</w:t>
      </w:r>
      <w:r>
        <w:rPr>
          <w:rStyle w:val="28"/>
          <w:rFonts w:hint="eastAsia" w:ascii="黑体" w:hAnsi="黑体" w:eastAsia="黑体"/>
          <w:b w:val="0"/>
          <w:bCs/>
        </w:rPr>
        <w:t>单位决算情况说明</w:t>
      </w:r>
      <w:bookmarkEnd w:id="16"/>
      <w:bookmarkEnd w:id="17"/>
    </w:p>
    <w:p w14:paraId="3C7DFC41"/>
    <w:p w14:paraId="349C3F95">
      <w:pPr>
        <w:pStyle w:val="27"/>
        <w:numPr>
          <w:ilvl w:val="0"/>
          <w:numId w:val="2"/>
        </w:numPr>
        <w:spacing w:line="600" w:lineRule="exact"/>
        <w:ind w:firstLineChars="0"/>
        <w:outlineLvl w:val="1"/>
        <w:rPr>
          <w:rStyle w:val="29"/>
          <w:rFonts w:ascii="黑体" w:hAnsi="黑体" w:eastAsia="黑体"/>
          <w:b w:val="0"/>
        </w:rPr>
      </w:pPr>
      <w:bookmarkStart w:id="18" w:name="_Toc15396603"/>
      <w:bookmarkStart w:id="19" w:name="_Toc15377205"/>
      <w:r>
        <w:rPr>
          <w:rFonts w:hint="eastAsia" w:ascii="黑体" w:hAnsi="黑体" w:eastAsia="黑体"/>
          <w:sz w:val="32"/>
          <w:szCs w:val="32"/>
        </w:rPr>
        <w:t>收</w:t>
      </w:r>
      <w:r>
        <w:rPr>
          <w:rStyle w:val="29"/>
          <w:rFonts w:hint="eastAsia" w:ascii="黑体" w:hAnsi="黑体" w:eastAsia="黑体"/>
          <w:b w:val="0"/>
        </w:rPr>
        <w:t>入支出决算总体情况说明</w:t>
      </w:r>
      <w:bookmarkEnd w:id="18"/>
      <w:bookmarkEnd w:id="19"/>
    </w:p>
    <w:p w14:paraId="52FFE548">
      <w:pPr>
        <w:spacing w:line="600" w:lineRule="exact"/>
        <w:ind w:firstLine="640"/>
        <w:rPr>
          <w:rFonts w:ascii="仿宋" w:hAnsi="仿宋" w:eastAsia="仿宋"/>
          <w:sz w:val="32"/>
          <w:szCs w:val="32"/>
        </w:rPr>
      </w:pPr>
      <w:r>
        <w:rPr>
          <w:rFonts w:hint="eastAsia" w:ascii="仿宋" w:hAnsi="仿宋" w:eastAsia="仿宋" w:cs="Times New Roman"/>
          <w:sz w:val="32"/>
          <w:szCs w:val="32"/>
        </w:rPr>
        <w:t>2023</w:t>
      </w:r>
      <w:r>
        <w:rPr>
          <w:rFonts w:hint="eastAsia" w:ascii="仿宋" w:hAnsi="仿宋" w:eastAsia="仿宋"/>
          <w:sz w:val="32"/>
          <w:szCs w:val="32"/>
        </w:rPr>
        <w:t>年度收、支总计均为</w:t>
      </w:r>
      <w:r>
        <w:rPr>
          <w:rFonts w:hint="eastAsia" w:ascii="仿宋" w:hAnsi="仿宋" w:eastAsia="仿宋" w:cs="Times New Roman"/>
          <w:b/>
          <w:sz w:val="32"/>
          <w:szCs w:val="32"/>
        </w:rPr>
        <w:t>614</w:t>
      </w:r>
      <w:r>
        <w:rPr>
          <w:rFonts w:hint="eastAsia" w:ascii="仿宋" w:hAnsi="仿宋" w:eastAsia="仿宋"/>
          <w:b/>
          <w:sz w:val="32"/>
          <w:szCs w:val="32"/>
        </w:rPr>
        <w:t>.</w:t>
      </w:r>
      <w:r>
        <w:rPr>
          <w:rFonts w:hint="eastAsia" w:ascii="仿宋" w:hAnsi="仿宋" w:eastAsia="仿宋" w:cs="Times New Roman"/>
          <w:b/>
          <w:sz w:val="32"/>
          <w:szCs w:val="32"/>
        </w:rPr>
        <w:t>63</w:t>
      </w:r>
      <w:r>
        <w:rPr>
          <w:rFonts w:hint="eastAsia" w:ascii="仿宋" w:hAnsi="仿宋" w:eastAsia="仿宋"/>
          <w:sz w:val="32"/>
          <w:szCs w:val="32"/>
        </w:rPr>
        <w:t>万元。与</w:t>
      </w:r>
      <w:r>
        <w:rPr>
          <w:rFonts w:hint="eastAsia" w:ascii="仿宋" w:hAnsi="仿宋" w:eastAsia="仿宋" w:cs="Times New Roman"/>
          <w:sz w:val="32"/>
          <w:szCs w:val="32"/>
        </w:rPr>
        <w:t>2022</w:t>
      </w:r>
      <w:r>
        <w:rPr>
          <w:rFonts w:hint="eastAsia" w:ascii="仿宋" w:hAnsi="仿宋" w:eastAsia="仿宋"/>
          <w:sz w:val="32"/>
          <w:szCs w:val="32"/>
        </w:rPr>
        <w:t>年度相比，收、支总计各增加</w:t>
      </w:r>
      <w:r>
        <w:rPr>
          <w:rFonts w:hint="eastAsia" w:ascii="仿宋" w:hAnsi="仿宋" w:eastAsia="仿宋" w:cs="Times New Roman"/>
          <w:sz w:val="32"/>
          <w:szCs w:val="32"/>
        </w:rPr>
        <w:t>21</w:t>
      </w:r>
      <w:r>
        <w:rPr>
          <w:rFonts w:hint="eastAsia" w:ascii="仿宋" w:hAnsi="仿宋" w:eastAsia="仿宋"/>
          <w:sz w:val="32"/>
          <w:szCs w:val="32"/>
        </w:rPr>
        <w:t>.</w:t>
      </w:r>
      <w:r>
        <w:rPr>
          <w:rFonts w:hint="eastAsia" w:ascii="仿宋" w:hAnsi="仿宋" w:eastAsia="仿宋" w:cs="Times New Roman"/>
          <w:sz w:val="32"/>
          <w:szCs w:val="32"/>
        </w:rPr>
        <w:t>34</w:t>
      </w:r>
      <w:r>
        <w:rPr>
          <w:rFonts w:hint="eastAsia" w:ascii="仿宋" w:hAnsi="仿宋" w:eastAsia="仿宋"/>
          <w:sz w:val="32"/>
          <w:szCs w:val="32"/>
        </w:rPr>
        <w:t>万元，增长</w:t>
      </w:r>
      <w:r>
        <w:rPr>
          <w:rFonts w:hint="eastAsia" w:ascii="仿宋" w:hAnsi="仿宋" w:eastAsia="仿宋" w:cs="Times New Roman"/>
          <w:sz w:val="32"/>
          <w:szCs w:val="32"/>
        </w:rPr>
        <w:t>3</w:t>
      </w:r>
      <w:r>
        <w:rPr>
          <w:rFonts w:hint="eastAsia" w:ascii="仿宋" w:hAnsi="仿宋" w:eastAsia="仿宋"/>
          <w:sz w:val="32"/>
          <w:szCs w:val="32"/>
        </w:rPr>
        <w:t>.</w:t>
      </w:r>
      <w:r>
        <w:rPr>
          <w:rFonts w:hint="eastAsia" w:ascii="仿宋" w:hAnsi="仿宋" w:eastAsia="仿宋" w:cs="Times New Roman"/>
          <w:sz w:val="32"/>
          <w:szCs w:val="32"/>
        </w:rPr>
        <w:t>60</w:t>
      </w:r>
      <w:r>
        <w:rPr>
          <w:rFonts w:ascii="仿宋" w:hAnsi="仿宋" w:eastAsia="仿宋"/>
          <w:sz w:val="32"/>
          <w:szCs w:val="32"/>
        </w:rPr>
        <w:t>%</w:t>
      </w:r>
      <w:r>
        <w:rPr>
          <w:rFonts w:hint="eastAsia" w:ascii="仿宋" w:hAnsi="仿宋" w:eastAsia="仿宋"/>
          <w:sz w:val="32"/>
          <w:szCs w:val="32"/>
        </w:rPr>
        <w:t>。主要变动原因是劳务人员成本增加暨</w:t>
      </w:r>
      <w:r>
        <w:rPr>
          <w:rFonts w:hint="eastAsia" w:ascii="仿宋" w:hAnsi="仿宋" w:eastAsia="仿宋" w:cs="Times New Roman"/>
          <w:sz w:val="32"/>
          <w:szCs w:val="32"/>
        </w:rPr>
        <w:t>2023</w:t>
      </w:r>
      <w:r>
        <w:rPr>
          <w:rFonts w:hint="eastAsia" w:ascii="仿宋" w:hAnsi="仿宋" w:eastAsia="仿宋"/>
          <w:sz w:val="32"/>
          <w:szCs w:val="32"/>
        </w:rPr>
        <w:t>年度厅机关整体划拨后勤保障资金增加。</w:t>
      </w:r>
    </w:p>
    <w:p w14:paraId="4CD0A1DF">
      <w:pPr>
        <w:pStyle w:val="2"/>
      </w:pPr>
      <w:r>
        <w:drawing>
          <wp:inline distT="0" distB="0" distL="0" distR="0">
            <wp:extent cx="5274310" cy="2840990"/>
            <wp:effectExtent l="19050" t="0" r="2159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bookmarkStart w:id="70" w:name="_GoBack"/>
      <w:bookmarkEnd w:id="70"/>
    </w:p>
    <w:p w14:paraId="0E95E479">
      <w:pPr>
        <w:pStyle w:val="27"/>
        <w:numPr>
          <w:ilvl w:val="0"/>
          <w:numId w:val="2"/>
        </w:numPr>
        <w:spacing w:line="600" w:lineRule="exact"/>
        <w:ind w:firstLineChars="0"/>
        <w:outlineLvl w:val="1"/>
        <w:rPr>
          <w:rStyle w:val="29"/>
          <w:rFonts w:ascii="黑体" w:hAnsi="黑体" w:eastAsia="黑体"/>
          <w:b w:val="0"/>
        </w:rPr>
      </w:pPr>
      <w:bookmarkStart w:id="20" w:name="_Toc15377206"/>
      <w:bookmarkStart w:id="21" w:name="_Toc15396604"/>
      <w:r>
        <w:rPr>
          <w:rFonts w:hint="eastAsia" w:ascii="黑体" w:hAnsi="黑体" w:eastAsia="黑体"/>
          <w:sz w:val="32"/>
          <w:szCs w:val="32"/>
        </w:rPr>
        <w:t>收</w:t>
      </w:r>
      <w:r>
        <w:rPr>
          <w:rStyle w:val="29"/>
          <w:rFonts w:hint="eastAsia" w:ascii="黑体" w:hAnsi="黑体" w:eastAsia="黑体"/>
          <w:b w:val="0"/>
        </w:rPr>
        <w:t>入决算情况说明</w:t>
      </w:r>
      <w:bookmarkEnd w:id="20"/>
      <w:bookmarkEnd w:id="21"/>
    </w:p>
    <w:p w14:paraId="587BB4D5">
      <w:pPr>
        <w:spacing w:line="600" w:lineRule="exact"/>
        <w:ind w:firstLine="640" w:firstLineChars="200"/>
        <w:outlineLvl w:val="1"/>
        <w:rPr>
          <w:rFonts w:ascii="仿宋" w:hAnsi="仿宋" w:eastAsia="仿宋"/>
          <w:sz w:val="32"/>
          <w:szCs w:val="32"/>
        </w:rPr>
      </w:pPr>
      <w:r>
        <w:rPr>
          <w:rFonts w:hint="eastAsia" w:ascii="仿宋" w:hAnsi="仿宋" w:eastAsia="仿宋" w:cs="Times New Roman"/>
          <w:sz w:val="32"/>
          <w:szCs w:val="32"/>
        </w:rPr>
        <w:t>2023</w:t>
      </w:r>
      <w:r>
        <w:rPr>
          <w:rFonts w:hint="eastAsia" w:ascii="仿宋" w:hAnsi="仿宋" w:eastAsia="仿宋"/>
          <w:sz w:val="32"/>
          <w:szCs w:val="32"/>
        </w:rPr>
        <w:t>年度本年收入合计</w:t>
      </w:r>
      <w:r>
        <w:rPr>
          <w:rFonts w:ascii="仿宋" w:hAnsi="仿宋" w:eastAsia="仿宋" w:cs="Times New Roman"/>
          <w:b/>
          <w:sz w:val="32"/>
          <w:szCs w:val="32"/>
        </w:rPr>
        <w:t>614</w:t>
      </w:r>
      <w:r>
        <w:rPr>
          <w:rFonts w:ascii="仿宋" w:hAnsi="仿宋" w:eastAsia="仿宋"/>
          <w:b/>
          <w:sz w:val="32"/>
          <w:szCs w:val="32"/>
        </w:rPr>
        <w:t>.</w:t>
      </w:r>
      <w:r>
        <w:rPr>
          <w:rFonts w:ascii="仿宋" w:hAnsi="仿宋" w:eastAsia="仿宋" w:cs="Times New Roman"/>
          <w:b/>
          <w:sz w:val="32"/>
          <w:szCs w:val="32"/>
        </w:rPr>
        <w:t>63</w:t>
      </w:r>
      <w:r>
        <w:rPr>
          <w:rFonts w:hint="eastAsia" w:ascii="仿宋" w:hAnsi="仿宋" w:eastAsia="仿宋"/>
          <w:sz w:val="32"/>
          <w:szCs w:val="32"/>
        </w:rPr>
        <w:t>万元，其中：一般公共预算财政拨款收入</w:t>
      </w:r>
      <w:r>
        <w:rPr>
          <w:rFonts w:ascii="仿宋" w:hAnsi="仿宋" w:eastAsia="仿宋" w:cs="Times New Roman"/>
          <w:b/>
          <w:sz w:val="32"/>
          <w:szCs w:val="32"/>
        </w:rPr>
        <w:t>614</w:t>
      </w:r>
      <w:r>
        <w:rPr>
          <w:rFonts w:ascii="仿宋" w:hAnsi="仿宋" w:eastAsia="仿宋"/>
          <w:b/>
          <w:sz w:val="32"/>
          <w:szCs w:val="32"/>
        </w:rPr>
        <w:t>.</w:t>
      </w:r>
      <w:r>
        <w:rPr>
          <w:rFonts w:ascii="仿宋" w:hAnsi="仿宋" w:eastAsia="仿宋" w:cs="Times New Roman"/>
          <w:b/>
          <w:sz w:val="32"/>
          <w:szCs w:val="32"/>
        </w:rPr>
        <w:t>63</w:t>
      </w:r>
      <w:r>
        <w:rPr>
          <w:rFonts w:hint="eastAsia" w:ascii="仿宋" w:hAnsi="仿宋" w:eastAsia="仿宋"/>
          <w:sz w:val="32"/>
          <w:szCs w:val="32"/>
        </w:rPr>
        <w:t>万元，占</w:t>
      </w:r>
      <w:r>
        <w:rPr>
          <w:rFonts w:ascii="仿宋" w:hAnsi="仿宋" w:eastAsia="仿宋" w:cs="Times New Roman"/>
          <w:b/>
          <w:sz w:val="32"/>
          <w:szCs w:val="32"/>
        </w:rPr>
        <w:t>100</w:t>
      </w:r>
      <w:r>
        <w:rPr>
          <w:rFonts w:ascii="仿宋" w:hAnsi="仿宋" w:eastAsia="仿宋"/>
          <w:b/>
          <w:sz w:val="32"/>
          <w:szCs w:val="32"/>
        </w:rPr>
        <w:t>%</w:t>
      </w:r>
      <w:r>
        <w:rPr>
          <w:rFonts w:hint="eastAsia" w:ascii="仿宋" w:hAnsi="仿宋" w:eastAsia="仿宋"/>
          <w:sz w:val="32"/>
          <w:szCs w:val="32"/>
        </w:rPr>
        <w:t>。</w:t>
      </w:r>
    </w:p>
    <w:p w14:paraId="54DF7139">
      <w:pPr>
        <w:spacing w:line="600" w:lineRule="exact"/>
        <w:ind w:firstLine="640" w:firstLineChars="200"/>
        <w:rPr>
          <w:rFonts w:ascii="仿宋" w:hAnsi="仿宋" w:eastAsia="仿宋"/>
          <w:sz w:val="32"/>
          <w:szCs w:val="32"/>
        </w:rPr>
      </w:pPr>
    </w:p>
    <w:p w14:paraId="2E41B957">
      <w:pPr>
        <w:pStyle w:val="2"/>
      </w:pPr>
      <w:r>
        <w:drawing>
          <wp:inline distT="0" distB="0" distL="0" distR="0">
            <wp:extent cx="5274310" cy="3486150"/>
            <wp:effectExtent l="19050" t="0" r="2159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D9A4868">
      <w:pPr>
        <w:pStyle w:val="27"/>
        <w:numPr>
          <w:ilvl w:val="0"/>
          <w:numId w:val="2"/>
        </w:numPr>
        <w:spacing w:line="600" w:lineRule="exact"/>
        <w:ind w:firstLineChars="0"/>
        <w:outlineLvl w:val="1"/>
        <w:rPr>
          <w:rStyle w:val="29"/>
          <w:rFonts w:ascii="黑体" w:hAnsi="黑体" w:eastAsia="黑体"/>
          <w:b w:val="0"/>
        </w:rPr>
      </w:pPr>
      <w:bookmarkStart w:id="22" w:name="_Toc15377207"/>
      <w:bookmarkStart w:id="23" w:name="_Toc15396605"/>
      <w:r>
        <w:rPr>
          <w:rFonts w:hint="eastAsia" w:ascii="黑体" w:hAnsi="黑体" w:eastAsia="黑体"/>
          <w:sz w:val="32"/>
          <w:szCs w:val="32"/>
        </w:rPr>
        <w:t>支</w:t>
      </w:r>
      <w:r>
        <w:rPr>
          <w:rStyle w:val="29"/>
          <w:rFonts w:hint="eastAsia" w:ascii="黑体" w:hAnsi="黑体" w:eastAsia="黑体"/>
          <w:b w:val="0"/>
        </w:rPr>
        <w:t>出决算情况说明</w:t>
      </w:r>
      <w:bookmarkEnd w:id="22"/>
      <w:bookmarkEnd w:id="23"/>
    </w:p>
    <w:p w14:paraId="04EE0330">
      <w:pPr>
        <w:spacing w:line="600" w:lineRule="exact"/>
        <w:ind w:firstLine="640" w:firstLineChars="200"/>
        <w:outlineLvl w:val="1"/>
        <w:rPr>
          <w:rFonts w:ascii="仿宋" w:hAnsi="仿宋" w:eastAsia="仿宋"/>
          <w:sz w:val="32"/>
          <w:szCs w:val="32"/>
        </w:rPr>
      </w:pPr>
      <w:r>
        <w:rPr>
          <w:rFonts w:hint="eastAsia" w:ascii="仿宋" w:hAnsi="仿宋" w:eastAsia="仿宋" w:cs="Times New Roman"/>
          <w:sz w:val="32"/>
          <w:szCs w:val="32"/>
        </w:rPr>
        <w:t>2023</w:t>
      </w:r>
      <w:r>
        <w:rPr>
          <w:rFonts w:hint="eastAsia" w:ascii="仿宋" w:hAnsi="仿宋" w:eastAsia="仿宋"/>
          <w:sz w:val="32"/>
          <w:szCs w:val="32"/>
        </w:rPr>
        <w:t>年度本年支出合计</w:t>
      </w:r>
      <w:r>
        <w:rPr>
          <w:rFonts w:ascii="仿宋" w:hAnsi="仿宋" w:eastAsia="仿宋" w:cs="Times New Roman"/>
          <w:b/>
          <w:sz w:val="32"/>
          <w:szCs w:val="32"/>
        </w:rPr>
        <w:t>614</w:t>
      </w:r>
      <w:r>
        <w:rPr>
          <w:rFonts w:ascii="仿宋" w:hAnsi="仿宋" w:eastAsia="仿宋"/>
          <w:b/>
          <w:sz w:val="32"/>
          <w:szCs w:val="32"/>
        </w:rPr>
        <w:t>.</w:t>
      </w:r>
      <w:r>
        <w:rPr>
          <w:rFonts w:ascii="仿宋" w:hAnsi="仿宋" w:eastAsia="仿宋" w:cs="Times New Roman"/>
          <w:b/>
          <w:sz w:val="32"/>
          <w:szCs w:val="32"/>
        </w:rPr>
        <w:t>63</w:t>
      </w:r>
      <w:r>
        <w:rPr>
          <w:rFonts w:hint="eastAsia" w:ascii="仿宋" w:hAnsi="仿宋" w:eastAsia="仿宋"/>
          <w:sz w:val="32"/>
          <w:szCs w:val="32"/>
        </w:rPr>
        <w:t>万元，其中：基本支出</w:t>
      </w:r>
      <w:r>
        <w:rPr>
          <w:rFonts w:ascii="仿宋" w:hAnsi="仿宋" w:eastAsia="仿宋" w:cs="Times New Roman"/>
          <w:b/>
          <w:sz w:val="32"/>
          <w:szCs w:val="32"/>
        </w:rPr>
        <w:t>204</w:t>
      </w:r>
      <w:r>
        <w:rPr>
          <w:rFonts w:ascii="仿宋" w:hAnsi="仿宋" w:eastAsia="仿宋"/>
          <w:b/>
          <w:sz w:val="32"/>
          <w:szCs w:val="32"/>
        </w:rPr>
        <w:t>.</w:t>
      </w:r>
      <w:r>
        <w:rPr>
          <w:rFonts w:ascii="仿宋" w:hAnsi="仿宋" w:eastAsia="仿宋" w:cs="Times New Roman"/>
          <w:b/>
          <w:sz w:val="32"/>
          <w:szCs w:val="32"/>
        </w:rPr>
        <w:t>63</w:t>
      </w:r>
      <w:r>
        <w:rPr>
          <w:rFonts w:hint="eastAsia" w:ascii="仿宋" w:hAnsi="仿宋" w:eastAsia="仿宋"/>
          <w:sz w:val="32"/>
          <w:szCs w:val="32"/>
        </w:rPr>
        <w:t>万元，占</w:t>
      </w:r>
      <w:r>
        <w:rPr>
          <w:rFonts w:ascii="仿宋" w:hAnsi="仿宋" w:eastAsia="仿宋" w:cs="Times New Roman"/>
          <w:b/>
          <w:sz w:val="32"/>
          <w:szCs w:val="32"/>
        </w:rPr>
        <w:t>33</w:t>
      </w:r>
      <w:r>
        <w:rPr>
          <w:rFonts w:ascii="仿宋" w:hAnsi="仿宋" w:eastAsia="仿宋"/>
          <w:b/>
          <w:sz w:val="32"/>
          <w:szCs w:val="32"/>
        </w:rPr>
        <w:t>.</w:t>
      </w:r>
      <w:r>
        <w:rPr>
          <w:rFonts w:ascii="仿宋" w:hAnsi="仿宋" w:eastAsia="仿宋" w:cs="Times New Roman"/>
          <w:b/>
          <w:sz w:val="32"/>
          <w:szCs w:val="32"/>
        </w:rPr>
        <w:t>29</w:t>
      </w:r>
      <w:r>
        <w:rPr>
          <w:rFonts w:ascii="仿宋" w:hAnsi="仿宋" w:eastAsia="仿宋"/>
          <w:sz w:val="32"/>
          <w:szCs w:val="32"/>
        </w:rPr>
        <w:t>%</w:t>
      </w:r>
      <w:r>
        <w:rPr>
          <w:rFonts w:hint="eastAsia" w:ascii="仿宋" w:hAnsi="仿宋" w:eastAsia="仿宋"/>
          <w:sz w:val="32"/>
          <w:szCs w:val="32"/>
        </w:rPr>
        <w:t>；项目支出</w:t>
      </w:r>
      <w:r>
        <w:rPr>
          <w:rFonts w:ascii="仿宋" w:hAnsi="仿宋" w:eastAsia="仿宋" w:cs="Times New Roman"/>
          <w:b/>
          <w:sz w:val="32"/>
          <w:szCs w:val="32"/>
        </w:rPr>
        <w:t>410</w:t>
      </w:r>
      <w:r>
        <w:rPr>
          <w:rFonts w:hint="eastAsia" w:ascii="仿宋" w:hAnsi="仿宋" w:eastAsia="仿宋"/>
          <w:sz w:val="32"/>
          <w:szCs w:val="32"/>
        </w:rPr>
        <w:t>万元，占</w:t>
      </w:r>
      <w:r>
        <w:rPr>
          <w:rFonts w:ascii="仿宋" w:hAnsi="仿宋" w:eastAsia="仿宋" w:cs="Times New Roman"/>
          <w:b/>
          <w:sz w:val="32"/>
          <w:szCs w:val="32"/>
        </w:rPr>
        <w:t>66</w:t>
      </w:r>
      <w:r>
        <w:rPr>
          <w:rFonts w:ascii="仿宋" w:hAnsi="仿宋" w:eastAsia="仿宋"/>
          <w:b/>
          <w:sz w:val="32"/>
          <w:szCs w:val="32"/>
        </w:rPr>
        <w:t>.</w:t>
      </w:r>
      <w:r>
        <w:rPr>
          <w:rFonts w:ascii="仿宋" w:hAnsi="仿宋" w:eastAsia="仿宋" w:cs="Times New Roman"/>
          <w:b/>
          <w:sz w:val="32"/>
          <w:szCs w:val="32"/>
        </w:rPr>
        <w:t>7</w:t>
      </w:r>
      <w:r>
        <w:rPr>
          <w:rFonts w:ascii="仿宋" w:hAnsi="仿宋" w:eastAsia="仿宋"/>
          <w:sz w:val="32"/>
          <w:szCs w:val="32"/>
        </w:rPr>
        <w:t>%</w:t>
      </w:r>
      <w:r>
        <w:rPr>
          <w:rFonts w:hint="eastAsia" w:ascii="仿宋" w:hAnsi="仿宋" w:eastAsia="仿宋"/>
          <w:sz w:val="32"/>
          <w:szCs w:val="32"/>
        </w:rPr>
        <w:t>。</w:t>
      </w:r>
    </w:p>
    <w:p w14:paraId="25DD12A9">
      <w:pPr>
        <w:pStyle w:val="2"/>
      </w:pPr>
      <w:r>
        <w:drawing>
          <wp:inline distT="0" distB="0" distL="0" distR="0">
            <wp:extent cx="5274310" cy="3321050"/>
            <wp:effectExtent l="19050" t="0" r="21590"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69BB805">
      <w:pPr>
        <w:spacing w:line="600" w:lineRule="exact"/>
        <w:ind w:firstLine="640" w:firstLineChars="200"/>
        <w:rPr>
          <w:rFonts w:ascii="仿宋_GB2312" w:eastAsia="仿宋_GB2312"/>
          <w:sz w:val="32"/>
          <w:szCs w:val="32"/>
        </w:rPr>
      </w:pPr>
    </w:p>
    <w:p w14:paraId="3A6FD3A4">
      <w:pPr>
        <w:spacing w:line="600" w:lineRule="exact"/>
        <w:ind w:firstLine="640" w:firstLineChars="200"/>
        <w:outlineLvl w:val="1"/>
        <w:rPr>
          <w:rStyle w:val="29"/>
          <w:rFonts w:ascii="黑体" w:hAnsi="黑体" w:eastAsia="黑体"/>
          <w:b w:val="0"/>
        </w:rPr>
      </w:pPr>
      <w:bookmarkStart w:id="24" w:name="_Toc15396606"/>
      <w:bookmarkStart w:id="25" w:name="_Toc15377208"/>
      <w:r>
        <w:rPr>
          <w:rFonts w:hint="eastAsia" w:ascii="黑体" w:hAnsi="黑体" w:eastAsia="黑体"/>
          <w:sz w:val="32"/>
          <w:szCs w:val="32"/>
        </w:rPr>
        <w:t>四、财</w:t>
      </w:r>
      <w:r>
        <w:rPr>
          <w:rStyle w:val="29"/>
          <w:rFonts w:hint="eastAsia" w:ascii="黑体" w:hAnsi="黑体" w:eastAsia="黑体"/>
          <w:b w:val="0"/>
        </w:rPr>
        <w:t>政拨款收入支出决算总体情况说明</w:t>
      </w:r>
      <w:bookmarkEnd w:id="24"/>
      <w:bookmarkEnd w:id="25"/>
    </w:p>
    <w:p w14:paraId="6908F503">
      <w:pPr>
        <w:spacing w:line="600" w:lineRule="exact"/>
        <w:ind w:firstLine="640"/>
        <w:rPr>
          <w:rFonts w:ascii="仿宋" w:hAnsi="仿宋" w:eastAsia="仿宋"/>
          <w:sz w:val="32"/>
          <w:szCs w:val="32"/>
        </w:rPr>
      </w:pPr>
      <w:r>
        <w:rPr>
          <w:rFonts w:hint="eastAsia" w:ascii="仿宋" w:hAnsi="仿宋" w:eastAsia="仿宋" w:cs="Times New Roman"/>
          <w:sz w:val="32"/>
          <w:szCs w:val="32"/>
        </w:rPr>
        <w:t>2023</w:t>
      </w:r>
      <w:r>
        <w:rPr>
          <w:rFonts w:hint="eastAsia" w:ascii="仿宋" w:hAnsi="仿宋" w:eastAsia="仿宋"/>
          <w:sz w:val="32"/>
          <w:szCs w:val="32"/>
        </w:rPr>
        <w:t>年度财政拨款收、支总计均为</w:t>
      </w:r>
      <w:r>
        <w:rPr>
          <w:rFonts w:ascii="仿宋" w:hAnsi="仿宋" w:eastAsia="仿宋" w:cs="Times New Roman"/>
          <w:b/>
          <w:sz w:val="32"/>
          <w:szCs w:val="32"/>
        </w:rPr>
        <w:t>614</w:t>
      </w:r>
      <w:r>
        <w:rPr>
          <w:rFonts w:ascii="仿宋" w:hAnsi="仿宋" w:eastAsia="仿宋"/>
          <w:b/>
          <w:sz w:val="32"/>
          <w:szCs w:val="32"/>
        </w:rPr>
        <w:t>.</w:t>
      </w:r>
      <w:r>
        <w:rPr>
          <w:rFonts w:ascii="仿宋" w:hAnsi="仿宋" w:eastAsia="仿宋" w:cs="Times New Roman"/>
          <w:b/>
          <w:sz w:val="32"/>
          <w:szCs w:val="32"/>
        </w:rPr>
        <w:t>63</w:t>
      </w:r>
      <w:r>
        <w:rPr>
          <w:rFonts w:hint="eastAsia" w:ascii="仿宋" w:hAnsi="仿宋" w:eastAsia="仿宋"/>
          <w:sz w:val="32"/>
          <w:szCs w:val="32"/>
        </w:rPr>
        <w:t>万元。与</w:t>
      </w:r>
      <w:r>
        <w:rPr>
          <w:rFonts w:hint="eastAsia" w:ascii="仿宋" w:hAnsi="仿宋" w:eastAsia="仿宋" w:cs="Times New Roman"/>
          <w:sz w:val="32"/>
          <w:szCs w:val="32"/>
        </w:rPr>
        <w:t>2022</w:t>
      </w:r>
      <w:r>
        <w:rPr>
          <w:rFonts w:hint="eastAsia" w:ascii="仿宋" w:hAnsi="仿宋" w:eastAsia="仿宋"/>
          <w:sz w:val="32"/>
          <w:szCs w:val="32"/>
        </w:rPr>
        <w:t>年度相比，财政拨款收、支总计增加</w:t>
      </w:r>
      <w:r>
        <w:rPr>
          <w:rFonts w:hint="eastAsia" w:ascii="仿宋" w:hAnsi="仿宋" w:eastAsia="仿宋" w:cs="Times New Roman"/>
          <w:sz w:val="32"/>
          <w:szCs w:val="32"/>
        </w:rPr>
        <w:t>21</w:t>
      </w:r>
      <w:r>
        <w:rPr>
          <w:rFonts w:hint="eastAsia" w:ascii="仿宋" w:hAnsi="仿宋" w:eastAsia="仿宋"/>
          <w:sz w:val="32"/>
          <w:szCs w:val="32"/>
        </w:rPr>
        <w:t>.</w:t>
      </w:r>
      <w:r>
        <w:rPr>
          <w:rFonts w:hint="eastAsia" w:ascii="仿宋" w:hAnsi="仿宋" w:eastAsia="仿宋" w:cs="Times New Roman"/>
          <w:sz w:val="32"/>
          <w:szCs w:val="32"/>
        </w:rPr>
        <w:t>34</w:t>
      </w:r>
      <w:r>
        <w:rPr>
          <w:rFonts w:hint="eastAsia" w:ascii="仿宋" w:hAnsi="仿宋" w:eastAsia="仿宋"/>
          <w:sz w:val="32"/>
          <w:szCs w:val="32"/>
        </w:rPr>
        <w:t>万元，增长</w:t>
      </w:r>
      <w:r>
        <w:rPr>
          <w:rFonts w:hint="eastAsia" w:ascii="仿宋" w:hAnsi="仿宋" w:eastAsia="仿宋" w:cs="Times New Roman"/>
          <w:sz w:val="32"/>
          <w:szCs w:val="32"/>
        </w:rPr>
        <w:t>3</w:t>
      </w:r>
      <w:r>
        <w:rPr>
          <w:rFonts w:hint="eastAsia" w:ascii="仿宋" w:hAnsi="仿宋" w:eastAsia="仿宋"/>
          <w:sz w:val="32"/>
          <w:szCs w:val="32"/>
        </w:rPr>
        <w:t>.</w:t>
      </w:r>
      <w:r>
        <w:rPr>
          <w:rFonts w:hint="eastAsia" w:ascii="仿宋" w:hAnsi="仿宋" w:eastAsia="仿宋" w:cs="Times New Roman"/>
          <w:sz w:val="32"/>
          <w:szCs w:val="32"/>
        </w:rPr>
        <w:t>60</w:t>
      </w:r>
      <w:r>
        <w:rPr>
          <w:rFonts w:ascii="仿宋" w:hAnsi="仿宋" w:eastAsia="仿宋"/>
          <w:sz w:val="32"/>
          <w:szCs w:val="32"/>
        </w:rPr>
        <w:t>%</w:t>
      </w:r>
      <w:r>
        <w:rPr>
          <w:rFonts w:hint="eastAsia" w:ascii="仿宋" w:hAnsi="仿宋" w:eastAsia="仿宋"/>
          <w:sz w:val="32"/>
          <w:szCs w:val="32"/>
        </w:rPr>
        <w:t>。主要变动原因劳务人员成本增加暨</w:t>
      </w:r>
      <w:r>
        <w:rPr>
          <w:rFonts w:hint="eastAsia" w:ascii="仿宋" w:hAnsi="仿宋" w:eastAsia="仿宋" w:cs="Times New Roman"/>
          <w:sz w:val="32"/>
          <w:szCs w:val="32"/>
        </w:rPr>
        <w:t>2023</w:t>
      </w:r>
      <w:r>
        <w:rPr>
          <w:rFonts w:hint="eastAsia" w:ascii="仿宋" w:hAnsi="仿宋" w:eastAsia="仿宋"/>
          <w:sz w:val="32"/>
          <w:szCs w:val="32"/>
        </w:rPr>
        <w:t>年度厅机关整体划拨后勤保障资金增加。</w:t>
      </w:r>
    </w:p>
    <w:p w14:paraId="208E713C">
      <w:pPr>
        <w:pStyle w:val="2"/>
      </w:pPr>
      <w:r>
        <w:drawing>
          <wp:inline distT="0" distB="0" distL="0" distR="0">
            <wp:extent cx="5274310" cy="2831465"/>
            <wp:effectExtent l="19050" t="0" r="21590" b="6561"/>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495CDD4">
      <w:pPr>
        <w:spacing w:line="600" w:lineRule="exact"/>
        <w:ind w:firstLine="640" w:firstLineChars="200"/>
        <w:outlineLvl w:val="1"/>
        <w:rPr>
          <w:rStyle w:val="29"/>
          <w:rFonts w:ascii="黑体" w:hAnsi="黑体" w:eastAsia="黑体"/>
          <w:b w:val="0"/>
        </w:rPr>
      </w:pPr>
      <w:bookmarkStart w:id="26" w:name="_Toc15396607"/>
      <w:bookmarkStart w:id="27" w:name="_Toc15377209"/>
      <w:r>
        <w:rPr>
          <w:rFonts w:hint="eastAsia" w:ascii="黑体" w:hAnsi="黑体" w:eastAsia="黑体"/>
          <w:sz w:val="32"/>
          <w:szCs w:val="32"/>
        </w:rPr>
        <w:t>五、</w:t>
      </w:r>
      <w:r>
        <w:rPr>
          <w:rFonts w:hint="eastAsia" w:ascii="黑体" w:hAnsi="黑体" w:eastAsia="黑体"/>
          <w:b/>
          <w:sz w:val="32"/>
          <w:szCs w:val="32"/>
        </w:rPr>
        <w:t>一</w:t>
      </w:r>
      <w:r>
        <w:rPr>
          <w:rStyle w:val="29"/>
          <w:rFonts w:hint="eastAsia" w:ascii="黑体" w:hAnsi="黑体" w:eastAsia="黑体"/>
          <w:b w:val="0"/>
        </w:rPr>
        <w:t>般公共预算财政拨款支出决算情况说明</w:t>
      </w:r>
      <w:bookmarkEnd w:id="26"/>
      <w:bookmarkEnd w:id="27"/>
    </w:p>
    <w:p w14:paraId="0EFD146A">
      <w:pPr>
        <w:spacing w:line="600" w:lineRule="exact"/>
        <w:ind w:firstLine="643" w:firstLineChars="200"/>
        <w:outlineLvl w:val="2"/>
        <w:rPr>
          <w:rFonts w:ascii="仿宋" w:hAnsi="仿宋" w:eastAsia="仿宋"/>
          <w:b/>
          <w:sz w:val="32"/>
          <w:szCs w:val="32"/>
        </w:rPr>
      </w:pPr>
      <w:bookmarkStart w:id="28" w:name="_Toc15377210"/>
      <w:r>
        <w:rPr>
          <w:rFonts w:hint="eastAsia" w:ascii="仿宋" w:hAnsi="仿宋" w:eastAsia="仿宋"/>
          <w:b/>
          <w:sz w:val="32"/>
          <w:szCs w:val="32"/>
        </w:rPr>
        <w:t>（一）一般公共预算财政拨款支出决算总体情况</w:t>
      </w:r>
      <w:bookmarkEnd w:id="28"/>
    </w:p>
    <w:p w14:paraId="0E4C7EB7">
      <w:pPr>
        <w:spacing w:line="600" w:lineRule="exact"/>
        <w:ind w:firstLine="640"/>
        <w:rPr>
          <w:rFonts w:ascii="仿宋" w:hAnsi="仿宋" w:eastAsia="仿宋"/>
          <w:sz w:val="32"/>
          <w:szCs w:val="32"/>
        </w:rPr>
      </w:pPr>
      <w:r>
        <w:rPr>
          <w:rFonts w:hint="eastAsia" w:ascii="仿宋" w:hAnsi="仿宋" w:eastAsia="仿宋" w:cs="Times New Roman"/>
          <w:sz w:val="32"/>
          <w:szCs w:val="32"/>
        </w:rPr>
        <w:t>2023</w:t>
      </w:r>
      <w:r>
        <w:rPr>
          <w:rFonts w:hint="eastAsia" w:ascii="仿宋" w:hAnsi="仿宋" w:eastAsia="仿宋"/>
          <w:sz w:val="32"/>
          <w:szCs w:val="32"/>
        </w:rPr>
        <w:t>年度一般公共预算财政拨款支出</w:t>
      </w:r>
      <w:r>
        <w:rPr>
          <w:rFonts w:ascii="仿宋" w:hAnsi="仿宋" w:eastAsia="仿宋" w:cs="Times New Roman"/>
          <w:b/>
          <w:sz w:val="32"/>
          <w:szCs w:val="32"/>
        </w:rPr>
        <w:t>614</w:t>
      </w:r>
      <w:r>
        <w:rPr>
          <w:rFonts w:ascii="仿宋" w:hAnsi="仿宋" w:eastAsia="仿宋"/>
          <w:b/>
          <w:sz w:val="32"/>
          <w:szCs w:val="32"/>
        </w:rPr>
        <w:t>.</w:t>
      </w:r>
      <w:r>
        <w:rPr>
          <w:rFonts w:ascii="仿宋" w:hAnsi="仿宋" w:eastAsia="仿宋" w:cs="Times New Roman"/>
          <w:b/>
          <w:sz w:val="32"/>
          <w:szCs w:val="32"/>
        </w:rPr>
        <w:t>63</w:t>
      </w:r>
      <w:r>
        <w:rPr>
          <w:rFonts w:hint="eastAsia" w:ascii="仿宋" w:hAnsi="仿宋" w:eastAsia="仿宋"/>
          <w:sz w:val="32"/>
          <w:szCs w:val="32"/>
        </w:rPr>
        <w:t>万元，占本年支出合计的</w:t>
      </w:r>
      <w:r>
        <w:rPr>
          <w:rFonts w:ascii="仿宋" w:hAnsi="仿宋" w:eastAsia="仿宋" w:cs="Times New Roman"/>
          <w:b/>
          <w:sz w:val="32"/>
          <w:szCs w:val="32"/>
        </w:rPr>
        <w:t>100</w:t>
      </w:r>
      <w:r>
        <w:rPr>
          <w:rFonts w:ascii="仿宋" w:hAnsi="仿宋" w:eastAsia="仿宋"/>
          <w:sz w:val="32"/>
          <w:szCs w:val="32"/>
        </w:rPr>
        <w:t>%</w:t>
      </w:r>
      <w:r>
        <w:rPr>
          <w:rFonts w:hint="eastAsia" w:ascii="仿宋" w:hAnsi="仿宋" w:eastAsia="仿宋"/>
          <w:sz w:val="32"/>
          <w:szCs w:val="32"/>
        </w:rPr>
        <w:t>。与</w:t>
      </w:r>
      <w:r>
        <w:rPr>
          <w:rFonts w:hint="eastAsia" w:ascii="仿宋" w:hAnsi="仿宋" w:eastAsia="仿宋" w:cs="Times New Roman"/>
          <w:sz w:val="32"/>
          <w:szCs w:val="32"/>
        </w:rPr>
        <w:t>2022</w:t>
      </w:r>
      <w:r>
        <w:rPr>
          <w:rFonts w:hint="eastAsia" w:ascii="仿宋" w:hAnsi="仿宋" w:eastAsia="仿宋"/>
          <w:sz w:val="32"/>
          <w:szCs w:val="32"/>
        </w:rPr>
        <w:t>年度相比，一般公共预算财政拨款支出增加</w:t>
      </w:r>
      <w:r>
        <w:rPr>
          <w:rFonts w:hint="eastAsia" w:ascii="仿宋" w:hAnsi="仿宋" w:eastAsia="仿宋" w:cs="Times New Roman"/>
          <w:sz w:val="32"/>
          <w:szCs w:val="32"/>
        </w:rPr>
        <w:t>21</w:t>
      </w:r>
      <w:r>
        <w:rPr>
          <w:rFonts w:hint="eastAsia" w:ascii="仿宋" w:hAnsi="仿宋" w:eastAsia="仿宋"/>
          <w:sz w:val="32"/>
          <w:szCs w:val="32"/>
        </w:rPr>
        <w:t>.</w:t>
      </w:r>
      <w:r>
        <w:rPr>
          <w:rFonts w:hint="eastAsia" w:ascii="仿宋" w:hAnsi="仿宋" w:eastAsia="仿宋" w:cs="Times New Roman"/>
          <w:sz w:val="32"/>
          <w:szCs w:val="32"/>
        </w:rPr>
        <w:t>34</w:t>
      </w:r>
      <w:r>
        <w:rPr>
          <w:rFonts w:hint="eastAsia" w:ascii="仿宋" w:hAnsi="仿宋" w:eastAsia="仿宋"/>
          <w:sz w:val="32"/>
          <w:szCs w:val="32"/>
        </w:rPr>
        <w:t>万元，增长</w:t>
      </w:r>
      <w:r>
        <w:rPr>
          <w:rFonts w:hint="eastAsia" w:ascii="仿宋" w:hAnsi="仿宋" w:eastAsia="仿宋" w:cs="Times New Roman"/>
          <w:sz w:val="32"/>
          <w:szCs w:val="32"/>
        </w:rPr>
        <w:t>3</w:t>
      </w:r>
      <w:r>
        <w:rPr>
          <w:rFonts w:hint="eastAsia" w:ascii="仿宋" w:hAnsi="仿宋" w:eastAsia="仿宋"/>
          <w:sz w:val="32"/>
          <w:szCs w:val="32"/>
        </w:rPr>
        <w:t>.</w:t>
      </w:r>
      <w:r>
        <w:rPr>
          <w:rFonts w:hint="eastAsia" w:ascii="仿宋" w:hAnsi="仿宋" w:eastAsia="仿宋" w:cs="Times New Roman"/>
          <w:sz w:val="32"/>
          <w:szCs w:val="32"/>
        </w:rPr>
        <w:t>60</w:t>
      </w:r>
      <w:r>
        <w:rPr>
          <w:rFonts w:ascii="仿宋" w:hAnsi="仿宋" w:eastAsia="仿宋"/>
          <w:sz w:val="32"/>
          <w:szCs w:val="32"/>
        </w:rPr>
        <w:t>%</w:t>
      </w:r>
      <w:r>
        <w:rPr>
          <w:rFonts w:hint="eastAsia" w:ascii="仿宋" w:hAnsi="仿宋" w:eastAsia="仿宋"/>
          <w:sz w:val="32"/>
          <w:szCs w:val="32"/>
        </w:rPr>
        <w:t>。主要变动原因是是劳务人员成本增加暨</w:t>
      </w:r>
      <w:r>
        <w:rPr>
          <w:rFonts w:hint="eastAsia" w:ascii="仿宋" w:hAnsi="仿宋" w:eastAsia="仿宋" w:cs="Times New Roman"/>
          <w:sz w:val="32"/>
          <w:szCs w:val="32"/>
        </w:rPr>
        <w:t>2023</w:t>
      </w:r>
      <w:r>
        <w:rPr>
          <w:rFonts w:hint="eastAsia" w:ascii="仿宋" w:hAnsi="仿宋" w:eastAsia="仿宋"/>
          <w:sz w:val="32"/>
          <w:szCs w:val="32"/>
        </w:rPr>
        <w:t>年度厅机关整体划拨后勤保障资金增加。</w:t>
      </w:r>
    </w:p>
    <w:p w14:paraId="69FD6496">
      <w:pPr>
        <w:spacing w:line="600" w:lineRule="exact"/>
        <w:ind w:firstLine="640"/>
        <w:rPr>
          <w:rFonts w:ascii="仿宋" w:hAnsi="仿宋" w:eastAsia="仿宋"/>
          <w:sz w:val="32"/>
          <w:szCs w:val="32"/>
        </w:rPr>
      </w:pPr>
    </w:p>
    <w:p w14:paraId="75CFF0DF">
      <w:pPr>
        <w:spacing w:line="600" w:lineRule="exact"/>
        <w:rPr>
          <w:rFonts w:ascii="仿宋" w:hAnsi="仿宋" w:eastAsia="仿宋"/>
          <w:sz w:val="32"/>
          <w:szCs w:val="32"/>
        </w:rPr>
      </w:pPr>
    </w:p>
    <w:p w14:paraId="49B11B9E">
      <w:pPr>
        <w:pStyle w:val="2"/>
      </w:pPr>
      <w:r>
        <w:drawing>
          <wp:inline distT="0" distB="0" distL="0" distR="0">
            <wp:extent cx="5274310" cy="3482975"/>
            <wp:effectExtent l="19050" t="0" r="21590" b="2908"/>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E377A17">
      <w:pPr>
        <w:spacing w:line="600" w:lineRule="exact"/>
        <w:ind w:firstLine="643" w:firstLineChars="200"/>
        <w:outlineLvl w:val="2"/>
        <w:rPr>
          <w:rFonts w:ascii="仿宋" w:hAnsi="仿宋" w:eastAsia="仿宋"/>
          <w:b/>
          <w:sz w:val="32"/>
          <w:szCs w:val="32"/>
        </w:rPr>
      </w:pPr>
      <w:bookmarkStart w:id="29" w:name="_Toc15377211"/>
      <w:r>
        <w:rPr>
          <w:rFonts w:hint="eastAsia" w:ascii="仿宋" w:hAnsi="仿宋" w:eastAsia="仿宋"/>
          <w:b/>
          <w:sz w:val="32"/>
          <w:szCs w:val="32"/>
        </w:rPr>
        <w:t>（二）一般公共预算财政拨款支出决算结构情况</w:t>
      </w:r>
      <w:bookmarkEnd w:id="29"/>
    </w:p>
    <w:p w14:paraId="5BED325D">
      <w:pPr>
        <w:spacing w:line="600" w:lineRule="exact"/>
        <w:ind w:firstLine="640"/>
        <w:rPr>
          <w:rFonts w:ascii="仿宋" w:hAnsi="仿宋" w:eastAsia="仿宋"/>
          <w:sz w:val="32"/>
          <w:szCs w:val="32"/>
        </w:rPr>
      </w:pPr>
      <w:r>
        <w:rPr>
          <w:rFonts w:hint="eastAsia" w:ascii="仿宋" w:hAnsi="仿宋" w:eastAsia="仿宋" w:cs="Times New Roman"/>
          <w:sz w:val="32"/>
          <w:szCs w:val="32"/>
        </w:rPr>
        <w:t>2023</w:t>
      </w:r>
      <w:r>
        <w:rPr>
          <w:rFonts w:hint="eastAsia" w:ascii="仿宋" w:hAnsi="仿宋" w:eastAsia="仿宋"/>
          <w:sz w:val="32"/>
          <w:szCs w:val="32"/>
        </w:rPr>
        <w:t>年度一般公共预算财政拨款支出</w:t>
      </w:r>
      <w:r>
        <w:rPr>
          <w:rFonts w:ascii="仿宋" w:hAnsi="仿宋" w:eastAsia="仿宋" w:cs="Times New Roman"/>
          <w:b/>
          <w:sz w:val="32"/>
          <w:szCs w:val="32"/>
        </w:rPr>
        <w:t>614</w:t>
      </w:r>
      <w:r>
        <w:rPr>
          <w:rFonts w:ascii="仿宋" w:hAnsi="仿宋" w:eastAsia="仿宋"/>
          <w:b/>
          <w:sz w:val="32"/>
          <w:szCs w:val="32"/>
        </w:rPr>
        <w:t>.</w:t>
      </w:r>
      <w:r>
        <w:rPr>
          <w:rFonts w:ascii="仿宋" w:hAnsi="仿宋" w:eastAsia="仿宋" w:cs="Times New Roman"/>
          <w:b/>
          <w:sz w:val="32"/>
          <w:szCs w:val="32"/>
        </w:rPr>
        <w:t>63</w:t>
      </w:r>
      <w:r>
        <w:rPr>
          <w:rFonts w:hint="eastAsia" w:ascii="仿宋" w:hAnsi="仿宋" w:eastAsia="仿宋"/>
          <w:sz w:val="32"/>
          <w:szCs w:val="32"/>
        </w:rPr>
        <w:t>万元，主要用于以下方面</w:t>
      </w:r>
      <w:r>
        <w:rPr>
          <w:rFonts w:ascii="仿宋" w:hAnsi="仿宋" w:eastAsia="仿宋"/>
          <w:sz w:val="32"/>
          <w:szCs w:val="32"/>
        </w:rPr>
        <w:t>:</w:t>
      </w:r>
      <w:r>
        <w:rPr>
          <w:rFonts w:hint="eastAsia" w:ascii="仿宋" w:hAnsi="仿宋" w:eastAsia="仿宋"/>
          <w:b/>
          <w:sz w:val="32"/>
          <w:szCs w:val="32"/>
        </w:rPr>
        <w:t>教育支出</w:t>
      </w:r>
      <w:r>
        <w:rPr>
          <w:rFonts w:hint="eastAsia" w:ascii="仿宋" w:hAnsi="仿宋" w:eastAsia="仿宋" w:cs="Times New Roman"/>
          <w:sz w:val="32"/>
          <w:szCs w:val="32"/>
        </w:rPr>
        <w:t>0</w:t>
      </w:r>
      <w:r>
        <w:rPr>
          <w:rFonts w:hint="eastAsia" w:ascii="仿宋" w:hAnsi="仿宋" w:eastAsia="仿宋"/>
          <w:sz w:val="32"/>
          <w:szCs w:val="32"/>
        </w:rPr>
        <w:t>.</w:t>
      </w:r>
      <w:r>
        <w:rPr>
          <w:rFonts w:hint="eastAsia" w:ascii="仿宋" w:hAnsi="仿宋" w:eastAsia="仿宋" w:cs="Times New Roman"/>
          <w:sz w:val="32"/>
          <w:szCs w:val="32"/>
        </w:rPr>
        <w:t>05</w:t>
      </w:r>
      <w:r>
        <w:rPr>
          <w:rFonts w:hint="eastAsia" w:ascii="仿宋" w:hAnsi="仿宋" w:eastAsia="仿宋"/>
          <w:sz w:val="32"/>
          <w:szCs w:val="32"/>
        </w:rPr>
        <w:t>万元，占</w:t>
      </w:r>
      <w:r>
        <w:rPr>
          <w:rFonts w:hint="eastAsia" w:ascii="仿宋" w:hAnsi="仿宋" w:eastAsia="仿宋" w:cs="Times New Roman"/>
          <w:sz w:val="32"/>
          <w:szCs w:val="32"/>
        </w:rPr>
        <w:t>0</w:t>
      </w:r>
      <w:r>
        <w:rPr>
          <w:rFonts w:hint="eastAsia" w:ascii="仿宋" w:hAnsi="仿宋" w:eastAsia="仿宋"/>
          <w:sz w:val="32"/>
          <w:szCs w:val="32"/>
        </w:rPr>
        <w:t>.</w:t>
      </w:r>
      <w:r>
        <w:rPr>
          <w:rFonts w:hint="eastAsia" w:ascii="仿宋" w:hAnsi="仿宋" w:eastAsia="仿宋" w:cs="Times New Roman"/>
          <w:sz w:val="32"/>
          <w:szCs w:val="32"/>
        </w:rPr>
        <w:t>01</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资源勘探工业信息等支出</w:t>
      </w:r>
      <w:r>
        <w:rPr>
          <w:rFonts w:hint="eastAsia" w:ascii="仿宋" w:hAnsi="仿宋" w:eastAsia="仿宋" w:cs="Times New Roman"/>
          <w:sz w:val="32"/>
          <w:szCs w:val="32"/>
        </w:rPr>
        <w:t>569</w:t>
      </w:r>
      <w:r>
        <w:rPr>
          <w:rFonts w:hint="eastAsia" w:ascii="仿宋" w:hAnsi="仿宋" w:eastAsia="仿宋"/>
          <w:sz w:val="32"/>
          <w:szCs w:val="32"/>
        </w:rPr>
        <w:t>.</w:t>
      </w:r>
      <w:r>
        <w:rPr>
          <w:rFonts w:hint="eastAsia" w:ascii="仿宋" w:hAnsi="仿宋" w:eastAsia="仿宋" w:cs="Times New Roman"/>
          <w:sz w:val="32"/>
          <w:szCs w:val="32"/>
        </w:rPr>
        <w:t>97</w:t>
      </w:r>
      <w:r>
        <w:rPr>
          <w:rFonts w:hint="eastAsia" w:ascii="仿宋" w:hAnsi="仿宋" w:eastAsia="仿宋"/>
          <w:sz w:val="32"/>
          <w:szCs w:val="32"/>
        </w:rPr>
        <w:t>万元，占</w:t>
      </w:r>
      <w:r>
        <w:rPr>
          <w:rFonts w:hint="eastAsia" w:ascii="仿宋" w:hAnsi="仿宋" w:eastAsia="仿宋" w:cs="Times New Roman"/>
          <w:sz w:val="32"/>
          <w:szCs w:val="32"/>
        </w:rPr>
        <w:t>92</w:t>
      </w:r>
      <w:r>
        <w:rPr>
          <w:rFonts w:hint="eastAsia" w:ascii="仿宋" w:hAnsi="仿宋" w:eastAsia="仿宋"/>
          <w:sz w:val="32"/>
          <w:szCs w:val="32"/>
        </w:rPr>
        <w:t>.</w:t>
      </w:r>
      <w:r>
        <w:rPr>
          <w:rFonts w:hint="eastAsia" w:ascii="仿宋" w:hAnsi="仿宋" w:eastAsia="仿宋" w:cs="Times New Roman"/>
          <w:sz w:val="32"/>
          <w:szCs w:val="32"/>
        </w:rPr>
        <w:t>73</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社会保障和就业</w:t>
      </w:r>
      <w:r>
        <w:rPr>
          <w:rFonts w:hint="eastAsia" w:ascii="仿宋" w:hAnsi="仿宋" w:eastAsia="仿宋"/>
          <w:b/>
          <w:bCs/>
          <w:sz w:val="32"/>
          <w:szCs w:val="32"/>
        </w:rPr>
        <w:t>支出</w:t>
      </w:r>
      <w:r>
        <w:rPr>
          <w:rFonts w:hint="eastAsia" w:ascii="仿宋" w:hAnsi="仿宋" w:eastAsia="仿宋" w:cs="Times New Roman"/>
          <w:sz w:val="32"/>
          <w:szCs w:val="32"/>
        </w:rPr>
        <w:t>23</w:t>
      </w:r>
      <w:r>
        <w:rPr>
          <w:rFonts w:hint="eastAsia" w:ascii="仿宋" w:hAnsi="仿宋" w:eastAsia="仿宋"/>
          <w:sz w:val="32"/>
          <w:szCs w:val="32"/>
        </w:rPr>
        <w:t>.</w:t>
      </w:r>
      <w:r>
        <w:rPr>
          <w:rFonts w:hint="eastAsia" w:ascii="仿宋" w:hAnsi="仿宋" w:eastAsia="仿宋" w:cs="Times New Roman"/>
          <w:sz w:val="32"/>
          <w:szCs w:val="32"/>
        </w:rPr>
        <w:t>95</w:t>
      </w:r>
      <w:r>
        <w:rPr>
          <w:rFonts w:hint="eastAsia" w:ascii="仿宋" w:hAnsi="仿宋" w:eastAsia="仿宋"/>
          <w:sz w:val="32"/>
          <w:szCs w:val="32"/>
        </w:rPr>
        <w:t>万元，占</w:t>
      </w:r>
      <w:r>
        <w:rPr>
          <w:rFonts w:hint="eastAsia" w:ascii="仿宋" w:hAnsi="仿宋" w:eastAsia="仿宋" w:cs="Times New Roman"/>
          <w:sz w:val="32"/>
          <w:szCs w:val="32"/>
        </w:rPr>
        <w:t>3</w:t>
      </w:r>
      <w:r>
        <w:rPr>
          <w:rFonts w:hint="eastAsia" w:ascii="仿宋" w:hAnsi="仿宋" w:eastAsia="仿宋"/>
          <w:sz w:val="32"/>
          <w:szCs w:val="32"/>
        </w:rPr>
        <w:t>.</w:t>
      </w:r>
      <w:r>
        <w:rPr>
          <w:rFonts w:hint="eastAsia" w:ascii="仿宋" w:hAnsi="仿宋" w:eastAsia="仿宋" w:cs="Times New Roman"/>
          <w:sz w:val="32"/>
          <w:szCs w:val="32"/>
        </w:rPr>
        <w:t>90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卫生健康支出</w:t>
      </w:r>
      <w:r>
        <w:rPr>
          <w:rFonts w:hint="eastAsia" w:ascii="仿宋" w:hAnsi="仿宋" w:eastAsia="仿宋" w:cs="Times New Roman"/>
          <w:sz w:val="32"/>
          <w:szCs w:val="32"/>
        </w:rPr>
        <w:t>8</w:t>
      </w:r>
      <w:r>
        <w:rPr>
          <w:rFonts w:hint="eastAsia" w:ascii="仿宋" w:hAnsi="仿宋" w:eastAsia="仿宋"/>
          <w:sz w:val="32"/>
          <w:szCs w:val="32"/>
        </w:rPr>
        <w:t>.</w:t>
      </w:r>
      <w:r>
        <w:rPr>
          <w:rFonts w:hint="eastAsia" w:ascii="仿宋" w:hAnsi="仿宋" w:eastAsia="仿宋" w:cs="Times New Roman"/>
          <w:sz w:val="32"/>
          <w:szCs w:val="32"/>
        </w:rPr>
        <w:t>20</w:t>
      </w:r>
      <w:r>
        <w:rPr>
          <w:rFonts w:hint="eastAsia" w:ascii="仿宋" w:hAnsi="仿宋" w:eastAsia="仿宋"/>
          <w:sz w:val="32"/>
          <w:szCs w:val="32"/>
        </w:rPr>
        <w:t>万元，占</w:t>
      </w:r>
      <w:r>
        <w:rPr>
          <w:rFonts w:hint="eastAsia" w:ascii="仿宋" w:hAnsi="仿宋" w:eastAsia="仿宋" w:cs="Times New Roman"/>
          <w:sz w:val="32"/>
          <w:szCs w:val="32"/>
        </w:rPr>
        <w:t>1</w:t>
      </w:r>
      <w:r>
        <w:rPr>
          <w:rFonts w:hint="eastAsia" w:ascii="仿宋" w:hAnsi="仿宋" w:eastAsia="仿宋"/>
          <w:sz w:val="32"/>
          <w:szCs w:val="32"/>
        </w:rPr>
        <w:t>.</w:t>
      </w:r>
      <w:r>
        <w:rPr>
          <w:rFonts w:hint="eastAsia" w:ascii="仿宋" w:hAnsi="仿宋" w:eastAsia="仿宋" w:cs="Times New Roman"/>
          <w:sz w:val="32"/>
          <w:szCs w:val="32"/>
        </w:rPr>
        <w:t>33</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住房保障支出</w:t>
      </w:r>
      <w:r>
        <w:rPr>
          <w:rFonts w:hint="eastAsia" w:ascii="仿宋" w:hAnsi="仿宋" w:eastAsia="仿宋" w:cs="Times New Roman"/>
          <w:sz w:val="32"/>
          <w:szCs w:val="32"/>
        </w:rPr>
        <w:t>12</w:t>
      </w:r>
      <w:r>
        <w:rPr>
          <w:rFonts w:hint="eastAsia" w:ascii="仿宋" w:hAnsi="仿宋" w:eastAsia="仿宋"/>
          <w:sz w:val="32"/>
          <w:szCs w:val="32"/>
        </w:rPr>
        <w:t>.</w:t>
      </w:r>
      <w:r>
        <w:rPr>
          <w:rFonts w:hint="eastAsia" w:ascii="仿宋" w:hAnsi="仿宋" w:eastAsia="仿宋" w:cs="Times New Roman"/>
          <w:sz w:val="32"/>
          <w:szCs w:val="32"/>
        </w:rPr>
        <w:t>46</w:t>
      </w:r>
      <w:r>
        <w:rPr>
          <w:rFonts w:hint="eastAsia" w:ascii="仿宋" w:hAnsi="仿宋" w:eastAsia="仿宋"/>
          <w:sz w:val="32"/>
          <w:szCs w:val="32"/>
        </w:rPr>
        <w:t>万元，占</w:t>
      </w:r>
      <w:r>
        <w:rPr>
          <w:rFonts w:hint="eastAsia" w:ascii="仿宋" w:hAnsi="仿宋" w:eastAsia="仿宋" w:cs="Times New Roman"/>
          <w:sz w:val="32"/>
          <w:szCs w:val="32"/>
        </w:rPr>
        <w:t>2</w:t>
      </w:r>
      <w:r>
        <w:rPr>
          <w:rFonts w:hint="eastAsia" w:ascii="仿宋" w:hAnsi="仿宋" w:eastAsia="仿宋"/>
          <w:sz w:val="32"/>
          <w:szCs w:val="32"/>
        </w:rPr>
        <w:t>.</w:t>
      </w:r>
      <w:r>
        <w:rPr>
          <w:rFonts w:hint="eastAsia" w:ascii="仿宋" w:hAnsi="仿宋" w:eastAsia="仿宋" w:cs="Times New Roman"/>
          <w:sz w:val="32"/>
          <w:szCs w:val="32"/>
        </w:rPr>
        <w:t>03</w:t>
      </w:r>
      <w:r>
        <w:rPr>
          <w:rFonts w:ascii="仿宋" w:hAnsi="仿宋" w:eastAsia="仿宋"/>
          <w:sz w:val="32"/>
          <w:szCs w:val="32"/>
        </w:rPr>
        <w:t>%</w:t>
      </w:r>
      <w:r>
        <w:rPr>
          <w:rFonts w:hint="eastAsia" w:ascii="仿宋" w:hAnsi="仿宋" w:eastAsia="仿宋"/>
          <w:sz w:val="32"/>
          <w:szCs w:val="32"/>
        </w:rPr>
        <w:t>。</w:t>
      </w:r>
    </w:p>
    <w:p w14:paraId="006632B1">
      <w:pPr>
        <w:pStyle w:val="2"/>
      </w:pPr>
      <w:r>
        <w:drawing>
          <wp:inline distT="0" distB="0" distL="0" distR="0">
            <wp:extent cx="5274310" cy="2868930"/>
            <wp:effectExtent l="19050" t="0" r="21590" b="7423"/>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DD73C82">
      <w:pPr>
        <w:spacing w:line="600" w:lineRule="exact"/>
        <w:ind w:firstLine="643" w:firstLineChars="200"/>
        <w:outlineLvl w:val="2"/>
        <w:rPr>
          <w:rFonts w:ascii="仿宋" w:hAnsi="仿宋" w:eastAsia="仿宋"/>
          <w:b/>
          <w:sz w:val="32"/>
          <w:szCs w:val="32"/>
        </w:rPr>
      </w:pPr>
      <w:bookmarkStart w:id="30" w:name="_Toc15377212"/>
      <w:r>
        <w:rPr>
          <w:rFonts w:hint="eastAsia" w:ascii="仿宋" w:hAnsi="仿宋" w:eastAsia="仿宋"/>
          <w:b/>
          <w:sz w:val="32"/>
          <w:szCs w:val="32"/>
        </w:rPr>
        <w:t>（三）一般公共预算财政拨款支出决算具体情况</w:t>
      </w:r>
      <w:bookmarkEnd w:id="30"/>
    </w:p>
    <w:p w14:paraId="507DDCED">
      <w:pPr>
        <w:spacing w:line="600" w:lineRule="exact"/>
        <w:ind w:firstLine="643" w:firstLineChars="200"/>
        <w:outlineLvl w:val="2"/>
        <w:rPr>
          <w:rFonts w:ascii="仿宋" w:hAnsi="仿宋" w:eastAsia="仿宋"/>
          <w:sz w:val="32"/>
          <w:szCs w:val="32"/>
        </w:rPr>
      </w:pPr>
      <w:bookmarkStart w:id="31" w:name="_Toc15377444"/>
      <w:bookmarkStart w:id="32" w:name="_Toc15378460"/>
      <w:bookmarkStart w:id="33" w:name="_Toc15377213"/>
      <w:r>
        <w:rPr>
          <w:rFonts w:hint="eastAsia" w:ascii="仿宋" w:hAnsi="仿宋" w:eastAsia="仿宋" w:cs="Times New Roman"/>
          <w:b/>
          <w:sz w:val="32"/>
          <w:szCs w:val="32"/>
        </w:rPr>
        <w:t>2023</w:t>
      </w:r>
      <w:r>
        <w:rPr>
          <w:rFonts w:hint="eastAsia" w:ascii="仿宋" w:hAnsi="仿宋" w:eastAsia="仿宋"/>
          <w:b/>
          <w:sz w:val="32"/>
          <w:szCs w:val="32"/>
        </w:rPr>
        <w:t>年度一般公共预算支出决算数为</w:t>
      </w:r>
      <w:r>
        <w:rPr>
          <w:rFonts w:ascii="仿宋" w:hAnsi="仿宋" w:eastAsia="仿宋" w:cs="Times New Roman"/>
          <w:b/>
          <w:sz w:val="32"/>
          <w:szCs w:val="32"/>
        </w:rPr>
        <w:t>614</w:t>
      </w:r>
      <w:r>
        <w:rPr>
          <w:rFonts w:ascii="仿宋" w:hAnsi="仿宋" w:eastAsia="仿宋"/>
          <w:b/>
          <w:sz w:val="32"/>
          <w:szCs w:val="32"/>
        </w:rPr>
        <w:t>.</w:t>
      </w:r>
      <w:r>
        <w:rPr>
          <w:rFonts w:ascii="仿宋" w:hAnsi="仿宋" w:eastAsia="仿宋" w:cs="Times New Roman"/>
          <w:b/>
          <w:sz w:val="32"/>
          <w:szCs w:val="32"/>
        </w:rPr>
        <w:t>63</w:t>
      </w:r>
      <w:r>
        <w:rPr>
          <w:rFonts w:hint="eastAsia" w:ascii="仿宋" w:hAnsi="仿宋" w:eastAsia="仿宋"/>
          <w:sz w:val="32"/>
          <w:szCs w:val="32"/>
        </w:rPr>
        <w:t>，</w:t>
      </w:r>
      <w:r>
        <w:rPr>
          <w:rStyle w:val="18"/>
          <w:rFonts w:hint="eastAsia" w:ascii="仿宋" w:hAnsi="仿宋" w:eastAsia="仿宋"/>
          <w:bCs/>
          <w:sz w:val="32"/>
          <w:szCs w:val="32"/>
        </w:rPr>
        <w:t>完成预算</w:t>
      </w:r>
      <w:r>
        <w:rPr>
          <w:rStyle w:val="18"/>
          <w:rFonts w:hint="eastAsia" w:ascii="仿宋" w:hAnsi="仿宋" w:eastAsia="仿宋" w:cs="Times New Roman"/>
          <w:bCs/>
          <w:sz w:val="32"/>
          <w:szCs w:val="32"/>
        </w:rPr>
        <w:t>100</w:t>
      </w:r>
      <w:r>
        <w:rPr>
          <w:rStyle w:val="18"/>
          <w:rFonts w:ascii="仿宋" w:hAnsi="仿宋" w:eastAsia="仿宋"/>
          <w:bCs/>
          <w:sz w:val="32"/>
          <w:szCs w:val="32"/>
        </w:rPr>
        <w:t>%</w:t>
      </w:r>
      <w:r>
        <w:rPr>
          <w:rStyle w:val="18"/>
          <w:rFonts w:hint="eastAsia" w:ascii="仿宋" w:hAnsi="仿宋" w:eastAsia="仿宋"/>
          <w:bCs/>
          <w:sz w:val="32"/>
          <w:szCs w:val="32"/>
        </w:rPr>
        <w:t>。其中：</w:t>
      </w:r>
      <w:bookmarkEnd w:id="31"/>
      <w:bookmarkEnd w:id="32"/>
      <w:bookmarkEnd w:id="33"/>
    </w:p>
    <w:p w14:paraId="56B01F73">
      <w:pPr>
        <w:spacing w:line="600" w:lineRule="exact"/>
        <w:ind w:firstLine="643" w:firstLineChars="200"/>
        <w:rPr>
          <w:rFonts w:ascii="仿宋" w:hAnsi="仿宋" w:eastAsia="仿宋"/>
          <w:b/>
          <w:sz w:val="32"/>
          <w:szCs w:val="32"/>
        </w:rPr>
      </w:pPr>
      <w:r>
        <w:rPr>
          <w:rStyle w:val="18"/>
          <w:rFonts w:hint="eastAsia" w:ascii="仿宋" w:hAnsi="仿宋" w:eastAsia="仿宋" w:cs="Times New Roman"/>
          <w:bCs/>
          <w:sz w:val="32"/>
          <w:szCs w:val="32"/>
        </w:rPr>
        <w:t>1</w:t>
      </w:r>
      <w:r>
        <w:rPr>
          <w:rStyle w:val="18"/>
          <w:rFonts w:ascii="仿宋" w:hAnsi="仿宋" w:eastAsia="仿宋"/>
          <w:bCs/>
          <w:sz w:val="32"/>
          <w:szCs w:val="32"/>
        </w:rPr>
        <w:t>.</w:t>
      </w:r>
      <w:r>
        <w:rPr>
          <w:rFonts w:hint="eastAsia" w:ascii="仿宋" w:hAnsi="仿宋" w:eastAsia="仿宋"/>
          <w:bCs/>
          <w:sz w:val="32"/>
          <w:szCs w:val="32"/>
        </w:rPr>
        <w:t xml:space="preserve"> </w:t>
      </w:r>
      <w:r>
        <w:rPr>
          <w:rStyle w:val="18"/>
          <w:rFonts w:hint="eastAsia" w:ascii="仿宋" w:hAnsi="仿宋" w:eastAsia="仿宋"/>
          <w:bCs/>
          <w:sz w:val="32"/>
          <w:szCs w:val="32"/>
        </w:rPr>
        <w:t>教育支出（类）进修及培训（款）培训支出（项）</w:t>
      </w:r>
      <w:r>
        <w:rPr>
          <w:rStyle w:val="18"/>
          <w:rFonts w:ascii="仿宋" w:hAnsi="仿宋" w:eastAsia="仿宋"/>
          <w:bCs/>
          <w:sz w:val="32"/>
          <w:szCs w:val="32"/>
        </w:rPr>
        <w:t>:</w:t>
      </w:r>
      <w:r>
        <w:rPr>
          <w:rStyle w:val="18"/>
          <w:rFonts w:ascii="仿宋" w:hAnsi="仿宋" w:eastAsia="仿宋"/>
          <w:b w:val="0"/>
          <w:bCs/>
          <w:sz w:val="32"/>
          <w:szCs w:val="32"/>
        </w:rPr>
        <w:t xml:space="preserve"> </w:t>
      </w:r>
      <w:r>
        <w:rPr>
          <w:rStyle w:val="18"/>
          <w:rFonts w:hint="eastAsia" w:ascii="仿宋" w:hAnsi="仿宋" w:eastAsia="仿宋"/>
          <w:b w:val="0"/>
          <w:bCs/>
          <w:sz w:val="32"/>
          <w:szCs w:val="32"/>
        </w:rPr>
        <w:t>支出决算为</w:t>
      </w:r>
      <w:r>
        <w:rPr>
          <w:rStyle w:val="18"/>
          <w:rFonts w:hint="eastAsia" w:ascii="仿宋" w:hAnsi="仿宋" w:eastAsia="仿宋" w:cs="Times New Roman"/>
          <w:b w:val="0"/>
          <w:bCs/>
          <w:sz w:val="32"/>
          <w:szCs w:val="32"/>
        </w:rPr>
        <w:t>0</w:t>
      </w:r>
      <w:r>
        <w:rPr>
          <w:rStyle w:val="18"/>
          <w:rFonts w:hint="eastAsia" w:ascii="仿宋" w:hAnsi="仿宋" w:eastAsia="仿宋"/>
          <w:b w:val="0"/>
          <w:bCs/>
          <w:sz w:val="32"/>
          <w:szCs w:val="32"/>
        </w:rPr>
        <w:t>.</w:t>
      </w:r>
      <w:r>
        <w:rPr>
          <w:rStyle w:val="18"/>
          <w:rFonts w:hint="eastAsia" w:ascii="仿宋" w:hAnsi="仿宋" w:eastAsia="仿宋" w:cs="Times New Roman"/>
          <w:b w:val="0"/>
          <w:bCs/>
          <w:sz w:val="32"/>
          <w:szCs w:val="32"/>
        </w:rPr>
        <w:t>05</w:t>
      </w:r>
      <w:r>
        <w:rPr>
          <w:rStyle w:val="18"/>
          <w:rFonts w:hint="eastAsia" w:ascii="仿宋" w:hAnsi="仿宋" w:eastAsia="仿宋"/>
          <w:b w:val="0"/>
          <w:bCs/>
          <w:sz w:val="32"/>
          <w:szCs w:val="32"/>
        </w:rPr>
        <w:t>万元，完成预算</w:t>
      </w:r>
      <w:r>
        <w:rPr>
          <w:rStyle w:val="18"/>
          <w:rFonts w:hint="eastAsia" w:ascii="仿宋" w:hAnsi="仿宋" w:eastAsia="仿宋" w:cs="Times New Roman"/>
          <w:b w:val="0"/>
          <w:bCs/>
          <w:sz w:val="32"/>
          <w:szCs w:val="32"/>
        </w:rPr>
        <w:t>100</w:t>
      </w:r>
      <w:r>
        <w:rPr>
          <w:rStyle w:val="18"/>
          <w:rFonts w:ascii="仿宋" w:hAnsi="仿宋" w:eastAsia="仿宋"/>
          <w:b w:val="0"/>
          <w:bCs/>
          <w:sz w:val="32"/>
          <w:szCs w:val="32"/>
        </w:rPr>
        <w:t>%</w:t>
      </w:r>
      <w:r>
        <w:rPr>
          <w:rStyle w:val="18"/>
          <w:rFonts w:hint="eastAsia" w:ascii="仿宋" w:hAnsi="仿宋" w:eastAsia="仿宋"/>
          <w:b w:val="0"/>
          <w:bCs/>
          <w:sz w:val="32"/>
          <w:szCs w:val="32"/>
        </w:rPr>
        <w:t>，决算数等于预算数。</w:t>
      </w:r>
    </w:p>
    <w:p w14:paraId="22608C5C">
      <w:pPr>
        <w:spacing w:line="600" w:lineRule="exact"/>
        <w:ind w:firstLine="643" w:firstLineChars="200"/>
        <w:rPr>
          <w:rFonts w:ascii="仿宋" w:hAnsi="仿宋" w:eastAsia="仿宋"/>
          <w:b/>
          <w:sz w:val="32"/>
          <w:szCs w:val="32"/>
        </w:rPr>
      </w:pPr>
      <w:r>
        <w:rPr>
          <w:rStyle w:val="18"/>
          <w:rFonts w:hint="eastAsia" w:ascii="仿宋" w:hAnsi="仿宋" w:eastAsia="仿宋" w:cs="Times New Roman"/>
          <w:bCs/>
          <w:sz w:val="32"/>
          <w:szCs w:val="32"/>
        </w:rPr>
        <w:t>2</w:t>
      </w:r>
      <w:r>
        <w:rPr>
          <w:rStyle w:val="18"/>
          <w:rFonts w:ascii="仿宋" w:hAnsi="仿宋" w:eastAsia="仿宋"/>
          <w:bCs/>
          <w:sz w:val="32"/>
          <w:szCs w:val="32"/>
        </w:rPr>
        <w:t>.</w:t>
      </w:r>
      <w:r>
        <w:rPr>
          <w:rStyle w:val="18"/>
          <w:rFonts w:hint="eastAsia" w:ascii="仿宋" w:hAnsi="仿宋" w:eastAsia="仿宋"/>
          <w:bCs/>
          <w:sz w:val="32"/>
          <w:szCs w:val="32"/>
        </w:rPr>
        <w:t>社会保障和就业（类）行政事业单位养老支出（款）事业单位离退休（项）：</w:t>
      </w:r>
      <w:r>
        <w:rPr>
          <w:rStyle w:val="18"/>
          <w:rFonts w:hint="eastAsia" w:ascii="仿宋" w:hAnsi="仿宋" w:eastAsia="仿宋"/>
          <w:b w:val="0"/>
          <w:bCs/>
          <w:sz w:val="32"/>
          <w:szCs w:val="32"/>
        </w:rPr>
        <w:t>支出决算为</w:t>
      </w:r>
      <w:r>
        <w:rPr>
          <w:rStyle w:val="18"/>
          <w:rFonts w:hint="eastAsia" w:ascii="仿宋" w:hAnsi="仿宋" w:eastAsia="仿宋" w:cs="Times New Roman"/>
          <w:b w:val="0"/>
          <w:bCs/>
          <w:sz w:val="32"/>
          <w:szCs w:val="32"/>
        </w:rPr>
        <w:t>12</w:t>
      </w:r>
      <w:r>
        <w:rPr>
          <w:rStyle w:val="18"/>
          <w:rFonts w:hint="eastAsia" w:ascii="仿宋" w:hAnsi="仿宋" w:eastAsia="仿宋"/>
          <w:b w:val="0"/>
          <w:bCs/>
          <w:sz w:val="32"/>
          <w:szCs w:val="32"/>
        </w:rPr>
        <w:t>.</w:t>
      </w:r>
      <w:r>
        <w:rPr>
          <w:rStyle w:val="18"/>
          <w:rFonts w:hint="eastAsia" w:ascii="仿宋" w:hAnsi="仿宋" w:eastAsia="仿宋" w:cs="Times New Roman"/>
          <w:b w:val="0"/>
          <w:bCs/>
          <w:sz w:val="32"/>
          <w:szCs w:val="32"/>
        </w:rPr>
        <w:t>19</w:t>
      </w:r>
      <w:r>
        <w:rPr>
          <w:rStyle w:val="18"/>
          <w:rFonts w:hint="eastAsia" w:ascii="仿宋" w:hAnsi="仿宋" w:eastAsia="仿宋"/>
          <w:b w:val="0"/>
          <w:bCs/>
          <w:sz w:val="32"/>
          <w:szCs w:val="32"/>
        </w:rPr>
        <w:t>万元，完成预算</w:t>
      </w:r>
      <w:r>
        <w:rPr>
          <w:rStyle w:val="18"/>
          <w:rFonts w:hint="eastAsia" w:ascii="仿宋" w:hAnsi="仿宋" w:eastAsia="仿宋" w:cs="Times New Roman"/>
          <w:b w:val="0"/>
          <w:bCs/>
          <w:sz w:val="32"/>
          <w:szCs w:val="32"/>
        </w:rPr>
        <w:t>100</w:t>
      </w:r>
      <w:r>
        <w:rPr>
          <w:rStyle w:val="18"/>
          <w:rFonts w:ascii="仿宋" w:hAnsi="仿宋" w:eastAsia="仿宋"/>
          <w:b w:val="0"/>
          <w:bCs/>
          <w:sz w:val="32"/>
          <w:szCs w:val="32"/>
        </w:rPr>
        <w:t>%</w:t>
      </w:r>
      <w:r>
        <w:rPr>
          <w:rStyle w:val="18"/>
          <w:rFonts w:hint="eastAsia" w:ascii="仿宋" w:hAnsi="仿宋" w:eastAsia="仿宋"/>
          <w:b w:val="0"/>
          <w:bCs/>
          <w:sz w:val="32"/>
          <w:szCs w:val="32"/>
        </w:rPr>
        <w:t>，决算数等于预算数；</w:t>
      </w:r>
      <w:r>
        <w:rPr>
          <w:rStyle w:val="18"/>
          <w:rFonts w:hint="eastAsia" w:ascii="仿宋" w:hAnsi="仿宋" w:eastAsia="仿宋"/>
          <w:bCs/>
          <w:sz w:val="32"/>
          <w:szCs w:val="32"/>
        </w:rPr>
        <w:t>机关事业单位基本养老保险缴费支出（项）</w:t>
      </w:r>
      <w:r>
        <w:rPr>
          <w:rStyle w:val="18"/>
          <w:rFonts w:ascii="仿宋" w:hAnsi="仿宋" w:eastAsia="仿宋"/>
          <w:bCs/>
          <w:sz w:val="32"/>
          <w:szCs w:val="32"/>
        </w:rPr>
        <w:t xml:space="preserve">: </w:t>
      </w:r>
      <w:r>
        <w:rPr>
          <w:rStyle w:val="18"/>
          <w:rFonts w:hint="eastAsia" w:ascii="仿宋" w:hAnsi="仿宋" w:eastAsia="仿宋"/>
          <w:b w:val="0"/>
          <w:bCs/>
          <w:sz w:val="32"/>
          <w:szCs w:val="32"/>
        </w:rPr>
        <w:t>支出决算为</w:t>
      </w:r>
      <w:r>
        <w:rPr>
          <w:rStyle w:val="18"/>
          <w:rFonts w:hint="eastAsia" w:ascii="仿宋" w:hAnsi="仿宋" w:eastAsia="仿宋" w:cs="Times New Roman"/>
          <w:b w:val="0"/>
          <w:bCs/>
          <w:sz w:val="32"/>
          <w:szCs w:val="32"/>
        </w:rPr>
        <w:t>11</w:t>
      </w:r>
      <w:r>
        <w:rPr>
          <w:rStyle w:val="18"/>
          <w:rFonts w:hint="eastAsia" w:ascii="仿宋" w:hAnsi="仿宋" w:eastAsia="仿宋"/>
          <w:b w:val="0"/>
          <w:bCs/>
          <w:sz w:val="32"/>
          <w:szCs w:val="32"/>
        </w:rPr>
        <w:t>.</w:t>
      </w:r>
      <w:r>
        <w:rPr>
          <w:rStyle w:val="18"/>
          <w:rFonts w:hint="eastAsia" w:ascii="仿宋" w:hAnsi="仿宋" w:eastAsia="仿宋" w:cs="Times New Roman"/>
          <w:b w:val="0"/>
          <w:bCs/>
          <w:sz w:val="32"/>
          <w:szCs w:val="32"/>
        </w:rPr>
        <w:t>76</w:t>
      </w:r>
      <w:r>
        <w:rPr>
          <w:rStyle w:val="18"/>
          <w:rFonts w:hint="eastAsia" w:ascii="仿宋" w:hAnsi="仿宋" w:eastAsia="仿宋"/>
          <w:b w:val="0"/>
          <w:bCs/>
          <w:sz w:val="32"/>
          <w:szCs w:val="32"/>
        </w:rPr>
        <w:t>万元，完成预算</w:t>
      </w:r>
      <w:r>
        <w:rPr>
          <w:rStyle w:val="18"/>
          <w:rFonts w:hint="eastAsia" w:ascii="仿宋" w:hAnsi="仿宋" w:eastAsia="仿宋" w:cs="Times New Roman"/>
          <w:b w:val="0"/>
          <w:bCs/>
          <w:sz w:val="32"/>
          <w:szCs w:val="32"/>
        </w:rPr>
        <w:t>100</w:t>
      </w:r>
      <w:r>
        <w:rPr>
          <w:rStyle w:val="18"/>
          <w:rFonts w:ascii="仿宋" w:hAnsi="仿宋" w:eastAsia="仿宋"/>
          <w:b w:val="0"/>
          <w:bCs/>
          <w:sz w:val="32"/>
          <w:szCs w:val="32"/>
        </w:rPr>
        <w:t>%</w:t>
      </w:r>
      <w:r>
        <w:rPr>
          <w:rStyle w:val="18"/>
          <w:rFonts w:hint="eastAsia" w:ascii="仿宋" w:hAnsi="仿宋" w:eastAsia="仿宋"/>
          <w:b w:val="0"/>
          <w:bCs/>
          <w:sz w:val="32"/>
          <w:szCs w:val="32"/>
        </w:rPr>
        <w:t>，决算数等于预算数。</w:t>
      </w:r>
    </w:p>
    <w:p w14:paraId="0593FE77">
      <w:pPr>
        <w:spacing w:line="600" w:lineRule="exact"/>
        <w:ind w:firstLine="643" w:firstLineChars="200"/>
        <w:rPr>
          <w:rStyle w:val="18"/>
          <w:rFonts w:ascii="仿宋" w:hAnsi="仿宋" w:eastAsia="仿宋"/>
          <w:b w:val="0"/>
          <w:bCs/>
          <w:sz w:val="32"/>
          <w:szCs w:val="32"/>
        </w:rPr>
      </w:pPr>
      <w:r>
        <w:rPr>
          <w:rStyle w:val="18"/>
          <w:rFonts w:hint="eastAsia" w:ascii="仿宋" w:hAnsi="仿宋" w:eastAsia="仿宋" w:cs="Times New Roman"/>
          <w:bCs/>
          <w:sz w:val="32"/>
          <w:szCs w:val="32"/>
        </w:rPr>
        <w:t>3</w:t>
      </w:r>
      <w:r>
        <w:rPr>
          <w:rStyle w:val="18"/>
          <w:rFonts w:ascii="仿宋" w:hAnsi="仿宋" w:eastAsia="仿宋"/>
          <w:bCs/>
          <w:sz w:val="32"/>
          <w:szCs w:val="32"/>
        </w:rPr>
        <w:t>.</w:t>
      </w:r>
      <w:r>
        <w:rPr>
          <w:rFonts w:hint="eastAsia" w:ascii="仿宋" w:hAnsi="仿宋" w:eastAsia="仿宋"/>
          <w:b/>
          <w:bCs/>
          <w:sz w:val="32"/>
          <w:szCs w:val="32"/>
        </w:rPr>
        <w:t>卫生健康支出</w:t>
      </w:r>
      <w:r>
        <w:rPr>
          <w:rStyle w:val="18"/>
          <w:rFonts w:hint="eastAsia" w:ascii="仿宋" w:hAnsi="仿宋" w:eastAsia="仿宋"/>
          <w:bCs/>
          <w:sz w:val="32"/>
          <w:szCs w:val="32"/>
        </w:rPr>
        <w:t>（类）行政事业单位医疗（款）事业单位医疗（项）</w:t>
      </w:r>
      <w:r>
        <w:rPr>
          <w:rStyle w:val="18"/>
          <w:rFonts w:ascii="仿宋" w:hAnsi="仿宋" w:eastAsia="仿宋"/>
          <w:bCs/>
          <w:sz w:val="32"/>
          <w:szCs w:val="32"/>
        </w:rPr>
        <w:t>:</w:t>
      </w:r>
      <w:r>
        <w:rPr>
          <w:rStyle w:val="18"/>
          <w:rFonts w:hint="eastAsia" w:ascii="仿宋" w:hAnsi="仿宋" w:eastAsia="仿宋"/>
          <w:b w:val="0"/>
          <w:bCs/>
          <w:sz w:val="32"/>
          <w:szCs w:val="32"/>
        </w:rPr>
        <w:t>支出决算为</w:t>
      </w:r>
      <w:r>
        <w:rPr>
          <w:rStyle w:val="18"/>
          <w:rFonts w:hint="eastAsia" w:ascii="仿宋" w:hAnsi="仿宋" w:eastAsia="仿宋" w:cs="Times New Roman"/>
          <w:b w:val="0"/>
          <w:bCs/>
          <w:sz w:val="32"/>
          <w:szCs w:val="32"/>
        </w:rPr>
        <w:t>8</w:t>
      </w:r>
      <w:r>
        <w:rPr>
          <w:rStyle w:val="18"/>
          <w:rFonts w:hint="eastAsia" w:ascii="仿宋" w:hAnsi="仿宋" w:eastAsia="仿宋"/>
          <w:b w:val="0"/>
          <w:bCs/>
          <w:sz w:val="32"/>
          <w:szCs w:val="32"/>
        </w:rPr>
        <w:t>.</w:t>
      </w:r>
      <w:r>
        <w:rPr>
          <w:rStyle w:val="18"/>
          <w:rFonts w:hint="eastAsia" w:ascii="仿宋" w:hAnsi="仿宋" w:eastAsia="仿宋" w:cs="Times New Roman"/>
          <w:b w:val="0"/>
          <w:bCs/>
          <w:sz w:val="32"/>
          <w:szCs w:val="32"/>
        </w:rPr>
        <w:t>20</w:t>
      </w:r>
      <w:r>
        <w:rPr>
          <w:rStyle w:val="18"/>
          <w:rFonts w:hint="eastAsia" w:ascii="仿宋" w:hAnsi="仿宋" w:eastAsia="仿宋"/>
          <w:b w:val="0"/>
          <w:bCs/>
          <w:sz w:val="32"/>
          <w:szCs w:val="32"/>
        </w:rPr>
        <w:t>万元，完成预算</w:t>
      </w:r>
      <w:r>
        <w:rPr>
          <w:rStyle w:val="18"/>
          <w:rFonts w:hint="eastAsia" w:ascii="仿宋" w:hAnsi="仿宋" w:eastAsia="仿宋" w:cs="Times New Roman"/>
          <w:b w:val="0"/>
          <w:bCs/>
          <w:sz w:val="32"/>
          <w:szCs w:val="32"/>
        </w:rPr>
        <w:t>100</w:t>
      </w:r>
      <w:r>
        <w:rPr>
          <w:rStyle w:val="18"/>
          <w:rFonts w:ascii="仿宋" w:hAnsi="仿宋" w:eastAsia="仿宋"/>
          <w:b w:val="0"/>
          <w:bCs/>
          <w:sz w:val="32"/>
          <w:szCs w:val="32"/>
        </w:rPr>
        <w:t>%</w:t>
      </w:r>
      <w:r>
        <w:rPr>
          <w:rStyle w:val="18"/>
          <w:rFonts w:hint="eastAsia" w:ascii="仿宋" w:hAnsi="仿宋" w:eastAsia="仿宋"/>
          <w:b w:val="0"/>
          <w:bCs/>
          <w:sz w:val="32"/>
          <w:szCs w:val="32"/>
        </w:rPr>
        <w:t>，决算数等于预算数。</w:t>
      </w:r>
    </w:p>
    <w:p w14:paraId="24B682EE">
      <w:pPr>
        <w:pStyle w:val="2"/>
        <w:ind w:firstLine="643" w:firstLineChars="200"/>
        <w:rPr>
          <w:rStyle w:val="18"/>
          <w:rFonts w:ascii="仿宋" w:hAnsi="仿宋" w:eastAsia="仿宋"/>
          <w:b w:val="0"/>
          <w:bCs/>
          <w:sz w:val="32"/>
          <w:szCs w:val="32"/>
        </w:rPr>
      </w:pPr>
      <w:r>
        <w:rPr>
          <w:rFonts w:hint="eastAsia" w:ascii="仿宋" w:hAnsi="仿宋" w:eastAsia="仿宋" w:cs="Times New Roman"/>
          <w:bCs/>
          <w:sz w:val="32"/>
          <w:szCs w:val="32"/>
        </w:rPr>
        <w:t>4</w:t>
      </w:r>
      <w:r>
        <w:rPr>
          <w:rFonts w:hint="eastAsia" w:ascii="仿宋" w:hAnsi="仿宋" w:eastAsia="仿宋"/>
          <w:bCs/>
          <w:sz w:val="32"/>
          <w:szCs w:val="32"/>
        </w:rPr>
        <w:t>.资源勘探工业信息等支出</w:t>
      </w:r>
      <w:r>
        <w:rPr>
          <w:rStyle w:val="18"/>
          <w:rFonts w:hint="eastAsia" w:ascii="仿宋" w:hAnsi="仿宋" w:eastAsia="仿宋"/>
          <w:b/>
          <w:bCs/>
          <w:sz w:val="32"/>
          <w:szCs w:val="32"/>
        </w:rPr>
        <w:t>（类）资源勘探开发（款）一般行政管理事务（项）：</w:t>
      </w:r>
      <w:r>
        <w:rPr>
          <w:rStyle w:val="18"/>
          <w:rFonts w:hint="eastAsia" w:ascii="仿宋" w:hAnsi="仿宋" w:eastAsia="仿宋"/>
          <w:b w:val="0"/>
          <w:bCs/>
          <w:sz w:val="32"/>
          <w:szCs w:val="32"/>
        </w:rPr>
        <w:t>支出决算为</w:t>
      </w:r>
      <w:r>
        <w:rPr>
          <w:rStyle w:val="18"/>
          <w:rFonts w:hint="eastAsia" w:ascii="仿宋" w:hAnsi="仿宋" w:eastAsia="仿宋" w:cs="Times New Roman"/>
          <w:b w:val="0"/>
          <w:bCs/>
          <w:sz w:val="32"/>
          <w:szCs w:val="32"/>
        </w:rPr>
        <w:t>418</w:t>
      </w:r>
      <w:r>
        <w:rPr>
          <w:rStyle w:val="18"/>
          <w:rFonts w:hint="eastAsia" w:ascii="仿宋" w:hAnsi="仿宋" w:eastAsia="仿宋"/>
          <w:b w:val="0"/>
          <w:bCs/>
          <w:sz w:val="32"/>
          <w:szCs w:val="32"/>
        </w:rPr>
        <w:t>.</w:t>
      </w:r>
      <w:r>
        <w:rPr>
          <w:rStyle w:val="18"/>
          <w:rFonts w:hint="eastAsia" w:ascii="仿宋" w:hAnsi="仿宋" w:eastAsia="仿宋" w:cs="Times New Roman"/>
          <w:b w:val="0"/>
          <w:bCs/>
          <w:sz w:val="32"/>
          <w:szCs w:val="32"/>
        </w:rPr>
        <w:t>22</w:t>
      </w:r>
      <w:r>
        <w:rPr>
          <w:rStyle w:val="18"/>
          <w:rFonts w:hint="eastAsia" w:ascii="仿宋" w:hAnsi="仿宋" w:eastAsia="仿宋"/>
          <w:b w:val="0"/>
          <w:bCs/>
          <w:sz w:val="32"/>
          <w:szCs w:val="32"/>
        </w:rPr>
        <w:t>万元，完成预算</w:t>
      </w:r>
      <w:r>
        <w:rPr>
          <w:rStyle w:val="18"/>
          <w:rFonts w:hint="eastAsia" w:ascii="仿宋" w:hAnsi="仿宋" w:eastAsia="仿宋" w:cs="Times New Roman"/>
          <w:b w:val="0"/>
          <w:bCs/>
          <w:sz w:val="32"/>
          <w:szCs w:val="32"/>
        </w:rPr>
        <w:t>100</w:t>
      </w:r>
      <w:r>
        <w:rPr>
          <w:rStyle w:val="18"/>
          <w:rFonts w:ascii="仿宋" w:hAnsi="仿宋" w:eastAsia="仿宋"/>
          <w:b w:val="0"/>
          <w:bCs/>
          <w:sz w:val="32"/>
          <w:szCs w:val="32"/>
        </w:rPr>
        <w:t>%</w:t>
      </w:r>
      <w:r>
        <w:rPr>
          <w:rStyle w:val="18"/>
          <w:rFonts w:hint="eastAsia" w:ascii="仿宋" w:hAnsi="仿宋" w:eastAsia="仿宋"/>
          <w:b w:val="0"/>
          <w:bCs/>
          <w:sz w:val="32"/>
          <w:szCs w:val="32"/>
        </w:rPr>
        <w:t>，决算数等于预算数；</w:t>
      </w:r>
      <w:r>
        <w:rPr>
          <w:rStyle w:val="18"/>
          <w:rFonts w:hint="eastAsia" w:ascii="仿宋" w:hAnsi="仿宋" w:eastAsia="仿宋"/>
          <w:b/>
          <w:bCs/>
          <w:sz w:val="32"/>
          <w:szCs w:val="32"/>
        </w:rPr>
        <w:t>机关服务（项）：</w:t>
      </w:r>
      <w:r>
        <w:rPr>
          <w:rStyle w:val="18"/>
          <w:rFonts w:hint="eastAsia" w:ascii="仿宋" w:hAnsi="仿宋" w:eastAsia="仿宋"/>
          <w:b w:val="0"/>
          <w:bCs/>
          <w:sz w:val="32"/>
          <w:szCs w:val="32"/>
        </w:rPr>
        <w:t>支出决算为:</w:t>
      </w:r>
      <w:r>
        <w:rPr>
          <w:rStyle w:val="18"/>
          <w:rFonts w:hint="eastAsia" w:ascii="仿宋" w:hAnsi="仿宋" w:eastAsia="仿宋" w:cs="Times New Roman"/>
          <w:b w:val="0"/>
          <w:bCs/>
          <w:sz w:val="32"/>
          <w:szCs w:val="32"/>
        </w:rPr>
        <w:t>151</w:t>
      </w:r>
      <w:r>
        <w:rPr>
          <w:rStyle w:val="18"/>
          <w:rFonts w:hint="eastAsia" w:ascii="仿宋" w:hAnsi="仿宋" w:eastAsia="仿宋"/>
          <w:b w:val="0"/>
          <w:bCs/>
          <w:sz w:val="32"/>
          <w:szCs w:val="32"/>
        </w:rPr>
        <w:t>.</w:t>
      </w:r>
      <w:r>
        <w:rPr>
          <w:rStyle w:val="18"/>
          <w:rFonts w:hint="eastAsia" w:ascii="仿宋" w:hAnsi="仿宋" w:eastAsia="仿宋" w:cs="Times New Roman"/>
          <w:b w:val="0"/>
          <w:bCs/>
          <w:sz w:val="32"/>
          <w:szCs w:val="32"/>
        </w:rPr>
        <w:t>75</w:t>
      </w:r>
      <w:r>
        <w:rPr>
          <w:rStyle w:val="18"/>
          <w:rFonts w:hint="eastAsia" w:ascii="仿宋" w:hAnsi="仿宋" w:eastAsia="仿宋"/>
          <w:b w:val="0"/>
          <w:bCs/>
          <w:sz w:val="32"/>
          <w:szCs w:val="32"/>
        </w:rPr>
        <w:t>万元，完成预算</w:t>
      </w:r>
      <w:r>
        <w:rPr>
          <w:rStyle w:val="18"/>
          <w:rFonts w:hint="eastAsia" w:ascii="仿宋" w:hAnsi="仿宋" w:eastAsia="仿宋" w:cs="Times New Roman"/>
          <w:b w:val="0"/>
          <w:bCs/>
          <w:sz w:val="32"/>
          <w:szCs w:val="32"/>
        </w:rPr>
        <w:t>100</w:t>
      </w:r>
      <w:r>
        <w:rPr>
          <w:rStyle w:val="18"/>
          <w:rFonts w:ascii="仿宋" w:hAnsi="仿宋" w:eastAsia="仿宋"/>
          <w:b w:val="0"/>
          <w:bCs/>
          <w:sz w:val="32"/>
          <w:szCs w:val="32"/>
        </w:rPr>
        <w:t>%</w:t>
      </w:r>
      <w:r>
        <w:rPr>
          <w:rStyle w:val="18"/>
          <w:rFonts w:hint="eastAsia" w:ascii="仿宋" w:hAnsi="仿宋" w:eastAsia="仿宋"/>
          <w:b w:val="0"/>
          <w:bCs/>
          <w:sz w:val="32"/>
          <w:szCs w:val="32"/>
        </w:rPr>
        <w:t>，决算数等于预算数。</w:t>
      </w:r>
    </w:p>
    <w:p w14:paraId="2569A091">
      <w:pPr>
        <w:pStyle w:val="2"/>
        <w:ind w:firstLine="643" w:firstLineChars="200"/>
        <w:rPr>
          <w:rFonts w:ascii="仿宋" w:hAnsi="仿宋" w:eastAsia="仿宋"/>
          <w:b w:val="0"/>
          <w:sz w:val="32"/>
          <w:szCs w:val="32"/>
        </w:rPr>
      </w:pPr>
      <w:r>
        <w:rPr>
          <w:rStyle w:val="18"/>
          <w:rFonts w:hint="eastAsia" w:ascii="仿宋" w:hAnsi="仿宋" w:eastAsia="仿宋" w:cs="Times New Roman"/>
          <w:b/>
          <w:bCs/>
          <w:sz w:val="32"/>
          <w:szCs w:val="32"/>
        </w:rPr>
        <w:t>5</w:t>
      </w:r>
      <w:r>
        <w:rPr>
          <w:rStyle w:val="18"/>
          <w:rFonts w:ascii="仿宋" w:hAnsi="仿宋" w:eastAsia="仿宋"/>
          <w:b/>
          <w:bCs/>
          <w:sz w:val="32"/>
          <w:szCs w:val="32"/>
        </w:rPr>
        <w:t>.</w:t>
      </w:r>
      <w:r>
        <w:rPr>
          <w:rFonts w:hint="eastAsia" w:ascii="仿宋" w:hAnsi="仿宋" w:eastAsia="仿宋"/>
          <w:bCs/>
          <w:sz w:val="32"/>
          <w:szCs w:val="32"/>
        </w:rPr>
        <w:t>住房保障支出</w:t>
      </w:r>
      <w:r>
        <w:rPr>
          <w:rStyle w:val="18"/>
          <w:rFonts w:hint="eastAsia" w:ascii="仿宋" w:hAnsi="仿宋" w:eastAsia="仿宋"/>
          <w:b/>
          <w:bCs/>
          <w:sz w:val="32"/>
          <w:szCs w:val="32"/>
        </w:rPr>
        <w:t>（类）住房改革支出（款）住房公积金（项）：</w:t>
      </w:r>
      <w:r>
        <w:rPr>
          <w:rStyle w:val="18"/>
          <w:rFonts w:hint="eastAsia" w:ascii="仿宋" w:hAnsi="仿宋" w:eastAsia="仿宋"/>
          <w:b w:val="0"/>
          <w:bCs/>
          <w:sz w:val="32"/>
          <w:szCs w:val="32"/>
        </w:rPr>
        <w:t>支出决算为</w:t>
      </w:r>
      <w:r>
        <w:rPr>
          <w:rStyle w:val="18"/>
          <w:rFonts w:hint="eastAsia" w:ascii="仿宋" w:hAnsi="仿宋" w:eastAsia="仿宋" w:cs="Times New Roman"/>
          <w:b w:val="0"/>
          <w:bCs/>
          <w:sz w:val="32"/>
          <w:szCs w:val="32"/>
        </w:rPr>
        <w:t>12</w:t>
      </w:r>
      <w:r>
        <w:rPr>
          <w:rStyle w:val="18"/>
          <w:rFonts w:hint="eastAsia" w:ascii="仿宋" w:hAnsi="仿宋" w:eastAsia="仿宋"/>
          <w:b w:val="0"/>
          <w:bCs/>
          <w:sz w:val="32"/>
          <w:szCs w:val="32"/>
        </w:rPr>
        <w:t>.</w:t>
      </w:r>
      <w:r>
        <w:rPr>
          <w:rStyle w:val="18"/>
          <w:rFonts w:hint="eastAsia" w:ascii="仿宋" w:hAnsi="仿宋" w:eastAsia="仿宋" w:cs="Times New Roman"/>
          <w:b w:val="0"/>
          <w:bCs/>
          <w:sz w:val="32"/>
          <w:szCs w:val="32"/>
        </w:rPr>
        <w:t>46</w:t>
      </w:r>
      <w:r>
        <w:rPr>
          <w:rStyle w:val="18"/>
          <w:rFonts w:hint="eastAsia" w:ascii="仿宋" w:hAnsi="仿宋" w:eastAsia="仿宋"/>
          <w:b w:val="0"/>
          <w:bCs/>
          <w:sz w:val="32"/>
          <w:szCs w:val="32"/>
        </w:rPr>
        <w:t>万元，完成预算</w:t>
      </w:r>
      <w:r>
        <w:rPr>
          <w:rStyle w:val="18"/>
          <w:rFonts w:hint="eastAsia" w:ascii="仿宋" w:hAnsi="仿宋" w:eastAsia="仿宋" w:cs="Times New Roman"/>
          <w:b w:val="0"/>
          <w:bCs/>
          <w:sz w:val="32"/>
          <w:szCs w:val="32"/>
        </w:rPr>
        <w:t>100</w:t>
      </w:r>
      <w:r>
        <w:rPr>
          <w:rStyle w:val="18"/>
          <w:rFonts w:ascii="仿宋" w:hAnsi="仿宋" w:eastAsia="仿宋"/>
          <w:b w:val="0"/>
          <w:bCs/>
          <w:sz w:val="32"/>
          <w:szCs w:val="32"/>
        </w:rPr>
        <w:t>%</w:t>
      </w:r>
      <w:r>
        <w:rPr>
          <w:rStyle w:val="18"/>
          <w:rFonts w:hint="eastAsia" w:ascii="仿宋" w:hAnsi="仿宋" w:eastAsia="仿宋"/>
          <w:b w:val="0"/>
          <w:bCs/>
          <w:sz w:val="32"/>
          <w:szCs w:val="32"/>
        </w:rPr>
        <w:t>，决算数等于预算数。</w:t>
      </w:r>
    </w:p>
    <w:p w14:paraId="2F0EC7B7">
      <w:pPr>
        <w:tabs>
          <w:tab w:val="right" w:pos="8306"/>
        </w:tabs>
        <w:spacing w:line="600" w:lineRule="exact"/>
        <w:ind w:firstLine="640"/>
        <w:outlineLvl w:val="1"/>
        <w:rPr>
          <w:rStyle w:val="29"/>
        </w:rPr>
      </w:pPr>
      <w:bookmarkStart w:id="34" w:name="_Toc15396608"/>
      <w:bookmarkStart w:id="35" w:name="_Toc15377214"/>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9"/>
          <w:rFonts w:hint="eastAsia" w:ascii="黑体" w:hAnsi="黑体" w:eastAsia="黑体"/>
          <w:b w:val="0"/>
        </w:rPr>
        <w:t>般公共预算财政拨款基本支出决算情况说明</w:t>
      </w:r>
      <w:bookmarkEnd w:id="34"/>
      <w:bookmarkEnd w:id="35"/>
      <w:r>
        <w:rPr>
          <w:rStyle w:val="29"/>
          <w:rFonts w:ascii="黑体" w:hAnsi="黑体" w:eastAsia="黑体"/>
          <w:b w:val="0"/>
        </w:rPr>
        <w:tab/>
      </w:r>
    </w:p>
    <w:p w14:paraId="3D49F3D7">
      <w:pPr>
        <w:spacing w:line="600" w:lineRule="exact"/>
        <w:ind w:firstLine="645"/>
        <w:rPr>
          <w:rFonts w:ascii="仿宋" w:hAnsi="仿宋" w:eastAsia="仿宋"/>
          <w:sz w:val="32"/>
          <w:szCs w:val="32"/>
        </w:rPr>
      </w:pPr>
      <w:r>
        <w:rPr>
          <w:rFonts w:hint="eastAsia" w:ascii="仿宋" w:hAnsi="仿宋" w:eastAsia="仿宋" w:cs="Times New Roman"/>
          <w:sz w:val="32"/>
          <w:szCs w:val="32"/>
        </w:rPr>
        <w:t>2023</w:t>
      </w:r>
      <w:r>
        <w:rPr>
          <w:rFonts w:hint="eastAsia" w:ascii="仿宋" w:hAnsi="仿宋" w:eastAsia="仿宋"/>
          <w:sz w:val="32"/>
          <w:szCs w:val="32"/>
        </w:rPr>
        <w:t>年度一般公共预算财政拨款基本支出</w:t>
      </w:r>
      <w:r>
        <w:rPr>
          <w:rFonts w:ascii="仿宋" w:hAnsi="仿宋" w:eastAsia="仿宋" w:cs="Times New Roman"/>
          <w:b/>
          <w:sz w:val="32"/>
          <w:szCs w:val="32"/>
        </w:rPr>
        <w:t>204</w:t>
      </w:r>
      <w:r>
        <w:rPr>
          <w:rFonts w:ascii="仿宋" w:hAnsi="仿宋" w:eastAsia="仿宋"/>
          <w:b/>
          <w:sz w:val="32"/>
          <w:szCs w:val="32"/>
        </w:rPr>
        <w:t>.</w:t>
      </w:r>
      <w:r>
        <w:rPr>
          <w:rFonts w:ascii="仿宋" w:hAnsi="仿宋" w:eastAsia="仿宋" w:cs="Times New Roman"/>
          <w:b/>
          <w:sz w:val="32"/>
          <w:szCs w:val="32"/>
        </w:rPr>
        <w:t>63</w:t>
      </w:r>
      <w:r>
        <w:rPr>
          <w:rFonts w:hint="eastAsia" w:ascii="仿宋" w:hAnsi="仿宋" w:eastAsia="仿宋"/>
          <w:sz w:val="32"/>
          <w:szCs w:val="32"/>
        </w:rPr>
        <w:t>万元，其中：</w:t>
      </w:r>
    </w:p>
    <w:p w14:paraId="142920F9">
      <w:pPr>
        <w:spacing w:line="600" w:lineRule="exact"/>
        <w:ind w:firstLine="645"/>
        <w:rPr>
          <w:rFonts w:ascii="仿宋" w:hAnsi="仿宋" w:eastAsia="仿宋"/>
          <w:sz w:val="32"/>
          <w:szCs w:val="32"/>
        </w:rPr>
      </w:pPr>
      <w:r>
        <w:rPr>
          <w:rFonts w:hint="eastAsia" w:ascii="仿宋" w:hAnsi="仿宋" w:eastAsia="仿宋"/>
          <w:sz w:val="32"/>
          <w:szCs w:val="32"/>
        </w:rPr>
        <w:t>人员经费</w:t>
      </w:r>
      <w:r>
        <w:rPr>
          <w:rFonts w:ascii="仿宋" w:hAnsi="仿宋" w:eastAsia="仿宋" w:cs="Times New Roman"/>
          <w:b/>
          <w:sz w:val="32"/>
          <w:szCs w:val="32"/>
        </w:rPr>
        <w:t>171</w:t>
      </w:r>
      <w:r>
        <w:rPr>
          <w:rFonts w:ascii="仿宋" w:hAnsi="仿宋" w:eastAsia="仿宋"/>
          <w:b/>
          <w:sz w:val="32"/>
          <w:szCs w:val="32"/>
        </w:rPr>
        <w:t>.</w:t>
      </w:r>
      <w:r>
        <w:rPr>
          <w:rFonts w:ascii="仿宋" w:hAnsi="仿宋" w:eastAsia="仿宋" w:cs="Times New Roman"/>
          <w:b/>
          <w:sz w:val="32"/>
          <w:szCs w:val="32"/>
        </w:rPr>
        <w:t>7</w:t>
      </w:r>
      <w:r>
        <w:rPr>
          <w:rFonts w:hint="eastAsia" w:ascii="仿宋" w:hAnsi="仿宋" w:eastAsia="仿宋"/>
          <w:sz w:val="32"/>
          <w:szCs w:val="32"/>
        </w:rPr>
        <w:t>万元，主要包括：基本工资、津贴补贴、奖金、机关事业单位基本养老保险缴费、职工基本医疗保险缴费、其他社会保障缴费、生活补助、奖励金、住房公积金等。</w:t>
      </w:r>
      <w:r>
        <w:rPr>
          <w:rFonts w:ascii="仿宋" w:hAnsi="仿宋" w:eastAsia="仿宋"/>
          <w:sz w:val="32"/>
          <w:szCs w:val="32"/>
        </w:rPr>
        <w:br w:type="textWrapping"/>
      </w:r>
      <w:r>
        <w:rPr>
          <w:rFonts w:hint="eastAsia" w:ascii="仿宋" w:hAnsi="仿宋" w:eastAsia="仿宋"/>
          <w:sz w:val="32"/>
          <w:szCs w:val="32"/>
        </w:rPr>
        <w:t>　　公用经费</w:t>
      </w:r>
      <w:r>
        <w:rPr>
          <w:rFonts w:ascii="仿宋" w:hAnsi="仿宋" w:eastAsia="仿宋" w:cs="Times New Roman"/>
          <w:b/>
          <w:sz w:val="32"/>
          <w:szCs w:val="32"/>
        </w:rPr>
        <w:t>32</w:t>
      </w:r>
      <w:r>
        <w:rPr>
          <w:rFonts w:ascii="仿宋" w:hAnsi="仿宋" w:eastAsia="仿宋"/>
          <w:b/>
          <w:sz w:val="32"/>
          <w:szCs w:val="32"/>
        </w:rPr>
        <w:t>.</w:t>
      </w:r>
      <w:r>
        <w:rPr>
          <w:rFonts w:ascii="仿宋" w:hAnsi="仿宋" w:eastAsia="仿宋" w:cs="Times New Roman"/>
          <w:b/>
          <w:sz w:val="32"/>
          <w:szCs w:val="32"/>
        </w:rPr>
        <w:t>93</w:t>
      </w:r>
      <w:r>
        <w:rPr>
          <w:rFonts w:hint="eastAsia" w:ascii="仿宋" w:hAnsi="仿宋" w:eastAsia="仿宋"/>
          <w:sz w:val="32"/>
          <w:szCs w:val="32"/>
        </w:rPr>
        <w:t>万元，主要包括：办公费、水费、电费、邮电费、差旅费、维修（护）费、培训费、劳务费、工会经费、福利费、公务用车运行维护费、其他商品和服务支出等。</w:t>
      </w:r>
    </w:p>
    <w:p w14:paraId="2C157D52">
      <w:pPr>
        <w:spacing w:line="600" w:lineRule="exact"/>
        <w:ind w:firstLine="640"/>
        <w:outlineLvl w:val="1"/>
        <w:rPr>
          <w:rStyle w:val="29"/>
          <w:rFonts w:ascii="黑体" w:hAnsi="黑体" w:eastAsia="黑体"/>
          <w:b w:val="0"/>
        </w:rPr>
      </w:pPr>
      <w:bookmarkStart w:id="36" w:name="_Toc15396609"/>
      <w:bookmarkStart w:id="37" w:name="_Toc15377215"/>
      <w:r>
        <w:rPr>
          <w:rFonts w:hint="eastAsia" w:ascii="黑体" w:eastAsia="黑体"/>
          <w:sz w:val="32"/>
          <w:szCs w:val="32"/>
        </w:rPr>
        <w:t>七、</w:t>
      </w:r>
      <w:r>
        <w:rPr>
          <w:rStyle w:val="29"/>
          <w:rFonts w:hint="eastAsia" w:ascii="黑体" w:hAnsi="黑体" w:eastAsia="黑体"/>
          <w:b w:val="0"/>
        </w:rPr>
        <w:t>财政拨款</w:t>
      </w:r>
      <w:r>
        <w:rPr>
          <w:rStyle w:val="29"/>
          <w:rFonts w:hint="eastAsia" w:ascii="黑体" w:hAnsi="黑体" w:eastAsia="黑体"/>
        </w:rPr>
        <w:t>“</w:t>
      </w:r>
      <w:r>
        <w:rPr>
          <w:rStyle w:val="29"/>
          <w:rFonts w:hint="eastAsia" w:ascii="黑体" w:hAnsi="黑体" w:eastAsia="黑体"/>
          <w:b w:val="0"/>
        </w:rPr>
        <w:t>三公”经费支出决算情况说明</w:t>
      </w:r>
      <w:bookmarkEnd w:id="36"/>
      <w:bookmarkEnd w:id="37"/>
    </w:p>
    <w:p w14:paraId="0581FC0A">
      <w:pPr>
        <w:spacing w:line="600" w:lineRule="exact"/>
        <w:ind w:firstLine="640"/>
        <w:outlineLvl w:val="2"/>
        <w:rPr>
          <w:rFonts w:ascii="仿宋" w:hAnsi="仿宋" w:eastAsia="仿宋"/>
          <w:b/>
          <w:sz w:val="32"/>
          <w:szCs w:val="32"/>
        </w:rPr>
      </w:pPr>
      <w:bookmarkStart w:id="38" w:name="_Toc15377216"/>
      <w:r>
        <w:rPr>
          <w:rFonts w:hint="eastAsia" w:ascii="仿宋" w:hAnsi="仿宋" w:eastAsia="仿宋"/>
          <w:b/>
          <w:sz w:val="32"/>
          <w:szCs w:val="32"/>
        </w:rPr>
        <w:t>（一）“三公”经费财政拨款支出决算总体情况说明</w:t>
      </w:r>
      <w:bookmarkEnd w:id="38"/>
    </w:p>
    <w:p w14:paraId="42152F03">
      <w:pPr>
        <w:spacing w:line="600" w:lineRule="exact"/>
        <w:ind w:firstLine="640"/>
        <w:rPr>
          <w:rFonts w:ascii="仿宋" w:hAnsi="仿宋" w:eastAsia="仿宋"/>
          <w:sz w:val="32"/>
          <w:szCs w:val="32"/>
        </w:rPr>
      </w:pPr>
      <w:r>
        <w:rPr>
          <w:rFonts w:hint="eastAsia" w:ascii="仿宋" w:hAnsi="仿宋" w:eastAsia="仿宋" w:cs="Times New Roman"/>
          <w:sz w:val="32"/>
          <w:szCs w:val="32"/>
        </w:rPr>
        <w:t>2023</w:t>
      </w:r>
      <w:r>
        <w:rPr>
          <w:rFonts w:hint="eastAsia" w:ascii="仿宋" w:hAnsi="仿宋" w:eastAsia="仿宋"/>
          <w:sz w:val="32"/>
          <w:szCs w:val="32"/>
        </w:rPr>
        <w:t>年度“三公”经费财政拨款支出决算为</w:t>
      </w:r>
      <w:r>
        <w:rPr>
          <w:rFonts w:ascii="仿宋" w:hAnsi="仿宋" w:eastAsia="仿宋" w:cs="Times New Roman"/>
          <w:b/>
          <w:sz w:val="32"/>
          <w:szCs w:val="32"/>
        </w:rPr>
        <w:t>8</w:t>
      </w:r>
      <w:r>
        <w:rPr>
          <w:rFonts w:ascii="仿宋" w:hAnsi="仿宋" w:eastAsia="仿宋"/>
          <w:b/>
          <w:sz w:val="32"/>
          <w:szCs w:val="32"/>
        </w:rPr>
        <w:t>.</w:t>
      </w:r>
      <w:r>
        <w:rPr>
          <w:rFonts w:ascii="仿宋" w:hAnsi="仿宋" w:eastAsia="仿宋" w:cs="Times New Roman"/>
          <w:b/>
          <w:sz w:val="32"/>
          <w:szCs w:val="32"/>
        </w:rPr>
        <w:t>22</w:t>
      </w:r>
      <w:r>
        <w:rPr>
          <w:rFonts w:hint="eastAsia" w:ascii="仿宋" w:hAnsi="仿宋" w:eastAsia="仿宋"/>
          <w:sz w:val="32"/>
          <w:szCs w:val="32"/>
        </w:rPr>
        <w:t>万元，完成预算</w:t>
      </w:r>
      <w:r>
        <w:rPr>
          <w:rFonts w:ascii="仿宋" w:hAnsi="仿宋" w:eastAsia="仿宋" w:cs="Times New Roman"/>
          <w:b/>
          <w:sz w:val="32"/>
          <w:szCs w:val="32"/>
        </w:rPr>
        <w:t>84</w:t>
      </w:r>
      <w:r>
        <w:rPr>
          <w:rFonts w:ascii="仿宋" w:hAnsi="仿宋" w:eastAsia="仿宋"/>
          <w:b/>
          <w:sz w:val="32"/>
          <w:szCs w:val="32"/>
        </w:rPr>
        <w:t>.</w:t>
      </w:r>
      <w:r>
        <w:rPr>
          <w:rFonts w:ascii="仿宋" w:hAnsi="仿宋" w:eastAsia="仿宋" w:cs="Times New Roman"/>
          <w:b/>
          <w:sz w:val="32"/>
          <w:szCs w:val="32"/>
        </w:rPr>
        <w:t>78</w:t>
      </w:r>
      <w:r>
        <w:rPr>
          <w:rFonts w:ascii="仿宋" w:hAnsi="仿宋" w:eastAsia="仿宋"/>
          <w:sz w:val="32"/>
          <w:szCs w:val="32"/>
        </w:rPr>
        <w:t>%</w:t>
      </w:r>
      <w:r>
        <w:rPr>
          <w:rFonts w:hint="eastAsia" w:ascii="仿宋" w:hAnsi="仿宋" w:eastAsia="仿宋"/>
          <w:sz w:val="32"/>
          <w:szCs w:val="32"/>
        </w:rPr>
        <w:t>，较上年度减少</w:t>
      </w:r>
      <w:r>
        <w:rPr>
          <w:rFonts w:hint="eastAsia" w:ascii="仿宋" w:hAnsi="仿宋" w:eastAsia="仿宋" w:cs="Times New Roman"/>
          <w:sz w:val="32"/>
          <w:szCs w:val="32"/>
        </w:rPr>
        <w:t>0</w:t>
      </w:r>
      <w:r>
        <w:rPr>
          <w:rFonts w:hint="eastAsia" w:ascii="仿宋" w:hAnsi="仿宋" w:eastAsia="仿宋"/>
          <w:sz w:val="32"/>
          <w:szCs w:val="32"/>
        </w:rPr>
        <w:t>.</w:t>
      </w:r>
      <w:r>
        <w:rPr>
          <w:rFonts w:hint="eastAsia" w:ascii="仿宋" w:hAnsi="仿宋" w:eastAsia="仿宋" w:cs="Times New Roman"/>
          <w:sz w:val="32"/>
          <w:szCs w:val="32"/>
        </w:rPr>
        <w:t>93</w:t>
      </w:r>
      <w:r>
        <w:rPr>
          <w:rFonts w:hint="eastAsia" w:ascii="仿宋" w:hAnsi="仿宋" w:eastAsia="仿宋"/>
          <w:sz w:val="32"/>
          <w:szCs w:val="32"/>
        </w:rPr>
        <w:t>万元，下降</w:t>
      </w:r>
      <w:r>
        <w:rPr>
          <w:rFonts w:hint="eastAsia" w:ascii="仿宋" w:hAnsi="仿宋" w:eastAsia="仿宋" w:cs="Times New Roman"/>
          <w:sz w:val="32"/>
          <w:szCs w:val="32"/>
        </w:rPr>
        <w:t>10</w:t>
      </w:r>
      <w:r>
        <w:rPr>
          <w:rFonts w:hint="eastAsia" w:ascii="仿宋" w:hAnsi="仿宋" w:eastAsia="仿宋"/>
          <w:sz w:val="32"/>
          <w:szCs w:val="32"/>
        </w:rPr>
        <w:t>.</w:t>
      </w:r>
      <w:r>
        <w:rPr>
          <w:rFonts w:hint="eastAsia" w:ascii="仿宋" w:hAnsi="仿宋" w:eastAsia="仿宋" w:cs="Times New Roman"/>
          <w:sz w:val="32"/>
          <w:szCs w:val="32"/>
        </w:rPr>
        <w:t>16</w:t>
      </w:r>
      <w:r>
        <w:rPr>
          <w:rFonts w:hint="eastAsia" w:ascii="仿宋" w:hAnsi="仿宋" w:eastAsia="仿宋"/>
          <w:sz w:val="32"/>
          <w:szCs w:val="32"/>
        </w:rPr>
        <w:t>%。决算数小于预算数的主要原因是为保障车辆运行安全单位公务车</w:t>
      </w:r>
      <w:r>
        <w:rPr>
          <w:rFonts w:hint="eastAsia" w:ascii="仿宋_GB2312" w:hAnsi="Calibri" w:eastAsia="仿宋_GB2312" w:cs="Times New Roman"/>
          <w:sz w:val="32"/>
          <w:szCs w:val="32"/>
        </w:rPr>
        <w:t>2003</w:t>
      </w:r>
      <w:r>
        <w:rPr>
          <w:rFonts w:hint="eastAsia" w:ascii="仿宋_GB2312" w:hAnsi="Calibri" w:eastAsia="仿宋_GB2312"/>
          <w:sz w:val="32"/>
          <w:szCs w:val="32"/>
        </w:rPr>
        <w:t>年的川A</w:t>
      </w:r>
      <w:r>
        <w:rPr>
          <w:rFonts w:hint="eastAsia" w:ascii="仿宋_GB2312" w:hAnsi="Calibri" w:eastAsia="仿宋_GB2312" w:cs="Times New Roman"/>
          <w:sz w:val="32"/>
          <w:szCs w:val="32"/>
        </w:rPr>
        <w:t>0004</w:t>
      </w:r>
      <w:r>
        <w:rPr>
          <w:rFonts w:hint="eastAsia" w:ascii="仿宋_GB2312" w:hAnsi="Calibri" w:eastAsia="仿宋_GB2312"/>
          <w:sz w:val="32"/>
          <w:szCs w:val="32"/>
        </w:rPr>
        <w:t>C柯斯达大客车已达报废年限，于</w:t>
      </w:r>
      <w:r>
        <w:rPr>
          <w:rFonts w:hint="eastAsia" w:ascii="仿宋_GB2312" w:hAnsi="Calibri" w:eastAsia="仿宋_GB2312" w:cs="Times New Roman"/>
          <w:sz w:val="32"/>
          <w:szCs w:val="32"/>
        </w:rPr>
        <w:t>2023</w:t>
      </w:r>
      <w:r>
        <w:rPr>
          <w:rFonts w:hint="eastAsia" w:ascii="仿宋_GB2312" w:hAnsi="Calibri" w:eastAsia="仿宋_GB2312"/>
          <w:sz w:val="32"/>
          <w:szCs w:val="32"/>
        </w:rPr>
        <w:t>年</w:t>
      </w:r>
      <w:r>
        <w:rPr>
          <w:rFonts w:hint="eastAsia" w:ascii="仿宋_GB2312" w:hAnsi="Calibri" w:eastAsia="仿宋_GB2312" w:cs="Times New Roman"/>
          <w:sz w:val="32"/>
          <w:szCs w:val="32"/>
        </w:rPr>
        <w:t>4</w:t>
      </w:r>
      <w:r>
        <w:rPr>
          <w:rFonts w:hint="eastAsia" w:ascii="仿宋_GB2312" w:hAnsi="Calibri" w:eastAsia="仿宋_GB2312"/>
          <w:sz w:val="32"/>
          <w:szCs w:val="32"/>
        </w:rPr>
        <w:t>月经省机关事务管理局批准强行报废；</w:t>
      </w:r>
      <w:r>
        <w:rPr>
          <w:rFonts w:hint="eastAsia" w:ascii="仿宋_GB2312" w:hAnsi="Calibri" w:eastAsia="仿宋_GB2312" w:cs="Times New Roman"/>
          <w:sz w:val="32"/>
          <w:szCs w:val="32"/>
        </w:rPr>
        <w:t>2023</w:t>
      </w:r>
      <w:r>
        <w:rPr>
          <w:rFonts w:hint="eastAsia" w:ascii="仿宋_GB2312" w:hAnsi="Calibri" w:eastAsia="仿宋_GB2312"/>
          <w:sz w:val="32"/>
          <w:szCs w:val="32"/>
        </w:rPr>
        <w:t>年</w:t>
      </w:r>
      <w:r>
        <w:rPr>
          <w:rFonts w:hint="eastAsia" w:ascii="仿宋_GB2312" w:hAnsi="Calibri" w:eastAsia="仿宋_GB2312" w:cs="Times New Roman"/>
          <w:sz w:val="32"/>
          <w:szCs w:val="32"/>
        </w:rPr>
        <w:t>10</w:t>
      </w:r>
      <w:r>
        <w:rPr>
          <w:rFonts w:hint="eastAsia" w:ascii="仿宋_GB2312" w:hAnsi="Calibri" w:eastAsia="仿宋_GB2312"/>
          <w:sz w:val="32"/>
          <w:szCs w:val="32"/>
        </w:rPr>
        <w:t>月经管理局批准从省教育厅调拨</w:t>
      </w:r>
      <w:r>
        <w:rPr>
          <w:rFonts w:hint="eastAsia" w:ascii="仿宋_GB2312" w:hAnsi="Calibri" w:eastAsia="仿宋_GB2312" w:cs="Times New Roman"/>
          <w:sz w:val="32"/>
          <w:szCs w:val="32"/>
        </w:rPr>
        <w:t>1</w:t>
      </w:r>
      <w:r>
        <w:rPr>
          <w:rFonts w:hint="eastAsia" w:ascii="仿宋_GB2312" w:hAnsi="Calibri" w:eastAsia="仿宋_GB2312"/>
          <w:sz w:val="32"/>
          <w:szCs w:val="32"/>
        </w:rPr>
        <w:t>台康恩迪大客车（川A</w:t>
      </w:r>
      <w:r>
        <w:rPr>
          <w:rFonts w:hint="eastAsia" w:ascii="仿宋_GB2312" w:hAnsi="Calibri" w:eastAsia="仿宋_GB2312" w:cs="Times New Roman"/>
          <w:sz w:val="32"/>
          <w:szCs w:val="32"/>
        </w:rPr>
        <w:t>0025</w:t>
      </w:r>
      <w:r>
        <w:rPr>
          <w:rFonts w:hint="eastAsia" w:ascii="仿宋_GB2312" w:hAnsi="Calibri" w:eastAsia="仿宋_GB2312"/>
          <w:sz w:val="32"/>
          <w:szCs w:val="32"/>
        </w:rPr>
        <w:t>C）,因调拨的车辆已购车辆保险，则节约了车辆保险支出</w:t>
      </w:r>
      <w:r>
        <w:rPr>
          <w:rFonts w:hint="eastAsia" w:ascii="仿宋_GB2312" w:eastAsia="仿宋_GB2312"/>
          <w:sz w:val="32"/>
          <w:szCs w:val="32"/>
        </w:rPr>
        <w:t>。</w:t>
      </w:r>
    </w:p>
    <w:p w14:paraId="07C1E743">
      <w:pPr>
        <w:spacing w:line="600" w:lineRule="exact"/>
        <w:ind w:firstLine="640"/>
        <w:outlineLvl w:val="2"/>
        <w:rPr>
          <w:rFonts w:ascii="仿宋" w:hAnsi="仿宋" w:eastAsia="仿宋"/>
          <w:b/>
          <w:sz w:val="32"/>
          <w:szCs w:val="32"/>
        </w:rPr>
      </w:pPr>
      <w:bookmarkStart w:id="39" w:name="_Toc15377217"/>
      <w:r>
        <w:rPr>
          <w:rFonts w:hint="eastAsia" w:ascii="仿宋" w:hAnsi="仿宋" w:eastAsia="仿宋"/>
          <w:b/>
          <w:sz w:val="32"/>
          <w:szCs w:val="32"/>
        </w:rPr>
        <w:t>（二）“三公”经费财政拨款支出决算具体情况说明</w:t>
      </w:r>
      <w:bookmarkEnd w:id="39"/>
    </w:p>
    <w:p w14:paraId="2BE9D5C9">
      <w:pPr>
        <w:spacing w:line="600" w:lineRule="exact"/>
        <w:ind w:firstLine="640"/>
        <w:rPr>
          <w:rFonts w:ascii="仿宋" w:hAnsi="仿宋" w:eastAsia="仿宋"/>
          <w:sz w:val="32"/>
          <w:szCs w:val="32"/>
        </w:rPr>
      </w:pPr>
      <w:r>
        <w:rPr>
          <w:rFonts w:hint="eastAsia" w:ascii="仿宋" w:hAnsi="仿宋" w:eastAsia="仿宋" w:cs="Times New Roman"/>
          <w:sz w:val="32"/>
          <w:szCs w:val="32"/>
        </w:rPr>
        <w:t>2023</w:t>
      </w:r>
      <w:r>
        <w:rPr>
          <w:rFonts w:hint="eastAsia" w:ascii="仿宋" w:hAnsi="仿宋" w:eastAsia="仿宋"/>
          <w:sz w:val="32"/>
          <w:szCs w:val="32"/>
        </w:rPr>
        <w:t>年度“三公”经费财政拨款支出决算中，因公出国（境）费支出决算</w:t>
      </w:r>
      <w:r>
        <w:rPr>
          <w:rFonts w:ascii="仿宋" w:hAnsi="仿宋" w:eastAsia="仿宋" w:cs="Times New Roman"/>
          <w:b/>
          <w:sz w:val="32"/>
          <w:szCs w:val="32"/>
        </w:rPr>
        <w:t>0</w:t>
      </w:r>
      <w:r>
        <w:rPr>
          <w:rFonts w:hint="eastAsia" w:ascii="仿宋" w:hAnsi="仿宋" w:eastAsia="仿宋"/>
          <w:sz w:val="32"/>
          <w:szCs w:val="32"/>
        </w:rPr>
        <w:t>万元，占</w:t>
      </w:r>
      <w:r>
        <w:rPr>
          <w:rFonts w:ascii="仿宋" w:hAnsi="仿宋" w:eastAsia="仿宋" w:cs="Times New Roman"/>
          <w:b/>
          <w:sz w:val="32"/>
          <w:szCs w:val="32"/>
        </w:rPr>
        <w:t>0</w:t>
      </w:r>
      <w:r>
        <w:rPr>
          <w:rFonts w:ascii="仿宋" w:hAnsi="仿宋" w:eastAsia="仿宋"/>
          <w:sz w:val="32"/>
          <w:szCs w:val="32"/>
        </w:rPr>
        <w:t>%</w:t>
      </w:r>
      <w:r>
        <w:rPr>
          <w:rFonts w:hint="eastAsia" w:ascii="仿宋" w:hAnsi="仿宋" w:eastAsia="仿宋"/>
          <w:sz w:val="32"/>
          <w:szCs w:val="32"/>
        </w:rPr>
        <w:t>；公务用车购置及运行维护费支出决算</w:t>
      </w:r>
      <w:r>
        <w:rPr>
          <w:rFonts w:ascii="仿宋" w:hAnsi="仿宋" w:eastAsia="仿宋" w:cs="Times New Roman"/>
          <w:b/>
          <w:sz w:val="32"/>
          <w:szCs w:val="32"/>
        </w:rPr>
        <w:t>8</w:t>
      </w:r>
      <w:r>
        <w:rPr>
          <w:rFonts w:ascii="仿宋" w:hAnsi="仿宋" w:eastAsia="仿宋"/>
          <w:b/>
          <w:sz w:val="32"/>
          <w:szCs w:val="32"/>
        </w:rPr>
        <w:t>.</w:t>
      </w:r>
      <w:r>
        <w:rPr>
          <w:rFonts w:ascii="仿宋" w:hAnsi="仿宋" w:eastAsia="仿宋" w:cs="Times New Roman"/>
          <w:b/>
          <w:sz w:val="32"/>
          <w:szCs w:val="32"/>
        </w:rPr>
        <w:t>22</w:t>
      </w:r>
      <w:r>
        <w:rPr>
          <w:rFonts w:hint="eastAsia" w:ascii="仿宋" w:hAnsi="仿宋" w:eastAsia="仿宋"/>
          <w:sz w:val="32"/>
          <w:szCs w:val="32"/>
        </w:rPr>
        <w:t>万元，占</w:t>
      </w:r>
      <w:r>
        <w:rPr>
          <w:rFonts w:ascii="仿宋" w:hAnsi="仿宋" w:eastAsia="仿宋" w:cs="Times New Roman"/>
          <w:b/>
          <w:sz w:val="32"/>
          <w:szCs w:val="32"/>
        </w:rPr>
        <w:t>100</w:t>
      </w:r>
      <w:r>
        <w:rPr>
          <w:rFonts w:ascii="仿宋" w:hAnsi="仿宋" w:eastAsia="仿宋"/>
          <w:sz w:val="32"/>
          <w:szCs w:val="32"/>
        </w:rPr>
        <w:t>%</w:t>
      </w:r>
      <w:r>
        <w:rPr>
          <w:rFonts w:hint="eastAsia" w:ascii="仿宋" w:hAnsi="仿宋" w:eastAsia="仿宋"/>
          <w:sz w:val="32"/>
          <w:szCs w:val="32"/>
        </w:rPr>
        <w:t>；公务接待费支出决算</w:t>
      </w:r>
      <w:r>
        <w:rPr>
          <w:rFonts w:ascii="仿宋" w:hAnsi="仿宋" w:eastAsia="仿宋" w:cs="Times New Roman"/>
          <w:b/>
          <w:sz w:val="32"/>
          <w:szCs w:val="32"/>
        </w:rPr>
        <w:t>0</w:t>
      </w:r>
      <w:r>
        <w:rPr>
          <w:rFonts w:hint="eastAsia" w:ascii="仿宋" w:hAnsi="仿宋" w:eastAsia="仿宋"/>
          <w:sz w:val="32"/>
          <w:szCs w:val="32"/>
        </w:rPr>
        <w:t>万元，占</w:t>
      </w:r>
      <w:r>
        <w:rPr>
          <w:rFonts w:ascii="仿宋" w:hAnsi="仿宋" w:eastAsia="仿宋" w:cs="Times New Roman"/>
          <w:b/>
          <w:sz w:val="32"/>
          <w:szCs w:val="32"/>
        </w:rPr>
        <w:t>0</w:t>
      </w:r>
      <w:r>
        <w:rPr>
          <w:rFonts w:ascii="仿宋" w:hAnsi="仿宋" w:eastAsia="仿宋"/>
          <w:sz w:val="32"/>
          <w:szCs w:val="32"/>
        </w:rPr>
        <w:t>%</w:t>
      </w:r>
      <w:r>
        <w:rPr>
          <w:rFonts w:hint="eastAsia" w:ascii="仿宋" w:hAnsi="仿宋" w:eastAsia="仿宋"/>
          <w:sz w:val="32"/>
          <w:szCs w:val="32"/>
        </w:rPr>
        <w:t>。具体情况如下：</w:t>
      </w:r>
    </w:p>
    <w:p w14:paraId="5CFF18F3">
      <w:pPr>
        <w:pStyle w:val="2"/>
      </w:pPr>
      <w:r>
        <w:drawing>
          <wp:inline distT="0" distB="0" distL="0" distR="0">
            <wp:extent cx="5274310" cy="3554095"/>
            <wp:effectExtent l="19050" t="0" r="21590" b="8084"/>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B76E454">
      <w:pPr>
        <w:spacing w:line="600" w:lineRule="exact"/>
        <w:ind w:firstLine="640"/>
        <w:rPr>
          <w:rFonts w:ascii="仿宋_GB2312" w:eastAsia="仿宋_GB2312"/>
          <w:b/>
          <w:sz w:val="32"/>
          <w:szCs w:val="32"/>
        </w:rPr>
      </w:pPr>
      <w:bookmarkStart w:id="40" w:name="_Toc15396610"/>
      <w:bookmarkStart w:id="41" w:name="_Toc15377218"/>
      <w:r>
        <w:rPr>
          <w:rFonts w:ascii="仿宋_GB2312" w:eastAsia="仿宋_GB2312" w:cs="Times New Roman"/>
          <w:b/>
          <w:sz w:val="32"/>
          <w:szCs w:val="32"/>
        </w:rPr>
        <w:t>1</w:t>
      </w:r>
      <w:r>
        <w:rPr>
          <w:rFonts w:ascii="仿宋_GB2312" w:eastAsia="仿宋_GB2312"/>
          <w:b/>
          <w:sz w:val="32"/>
          <w:szCs w:val="32"/>
        </w:rPr>
        <w:t>.</w:t>
      </w:r>
      <w:r>
        <w:rPr>
          <w:rFonts w:hint="eastAsia" w:ascii="仿宋_GB2312" w:eastAsia="仿宋_GB2312"/>
          <w:b/>
          <w:sz w:val="32"/>
          <w:szCs w:val="32"/>
        </w:rPr>
        <w:t>因公出国（境）经费支出</w:t>
      </w:r>
      <w:r>
        <w:rPr>
          <w:rFonts w:ascii="仿宋" w:hAnsi="仿宋" w:eastAsia="仿宋" w:cs="Times New Roman"/>
          <w:b/>
          <w:sz w:val="32"/>
          <w:szCs w:val="32"/>
        </w:rPr>
        <w:t>0</w:t>
      </w:r>
      <w:r>
        <w:rPr>
          <w:rFonts w:hint="eastAsia" w:ascii="仿宋_GB2312" w:eastAsia="仿宋_GB2312"/>
          <w:sz w:val="32"/>
          <w:szCs w:val="32"/>
        </w:rPr>
        <w:t>万元，</w:t>
      </w:r>
      <w:r>
        <w:rPr>
          <w:rStyle w:val="18"/>
          <w:rFonts w:hint="eastAsia" w:ascii="仿宋" w:hAnsi="仿宋" w:eastAsia="仿宋"/>
          <w:b w:val="0"/>
          <w:bCs/>
          <w:sz w:val="32"/>
          <w:szCs w:val="32"/>
        </w:rPr>
        <w:t>完成预算</w:t>
      </w:r>
      <w:r>
        <w:rPr>
          <w:rStyle w:val="18"/>
          <w:rFonts w:ascii="仿宋" w:hAnsi="仿宋" w:eastAsia="仿宋" w:cs="Times New Roman"/>
          <w:bCs/>
          <w:sz w:val="32"/>
          <w:szCs w:val="32"/>
        </w:rPr>
        <w:t>0</w:t>
      </w:r>
      <w:r>
        <w:rPr>
          <w:rStyle w:val="18"/>
          <w:rFonts w:ascii="仿宋" w:hAnsi="仿宋" w:eastAsia="仿宋"/>
          <w:b w:val="0"/>
          <w:bCs/>
          <w:sz w:val="32"/>
          <w:szCs w:val="32"/>
        </w:rPr>
        <w:t>%</w:t>
      </w:r>
      <w:r>
        <w:rPr>
          <w:rStyle w:val="18"/>
          <w:rFonts w:hint="eastAsia" w:ascii="仿宋" w:hAnsi="仿宋" w:eastAsia="仿宋"/>
          <w:b w:val="0"/>
          <w:bCs/>
          <w:sz w:val="32"/>
          <w:szCs w:val="32"/>
        </w:rPr>
        <w:t>。</w:t>
      </w:r>
      <w:r>
        <w:rPr>
          <w:rFonts w:hint="eastAsia" w:ascii="仿宋_GB2312" w:eastAsia="仿宋_GB2312"/>
          <w:sz w:val="32"/>
          <w:szCs w:val="32"/>
        </w:rPr>
        <w:t>全年安排因公出国（境）团组</w:t>
      </w:r>
      <w:r>
        <w:rPr>
          <w:rFonts w:ascii="仿宋_GB2312" w:eastAsia="仿宋_GB2312" w:cs="Times New Roman"/>
          <w:b/>
          <w:sz w:val="32"/>
          <w:szCs w:val="32"/>
        </w:rPr>
        <w:t>0</w:t>
      </w:r>
      <w:r>
        <w:rPr>
          <w:rFonts w:hint="eastAsia" w:ascii="仿宋_GB2312" w:eastAsia="仿宋_GB2312"/>
          <w:sz w:val="32"/>
          <w:szCs w:val="32"/>
        </w:rPr>
        <w:t>次，出国（境）</w:t>
      </w:r>
      <w:r>
        <w:rPr>
          <w:rFonts w:ascii="仿宋_GB2312" w:eastAsia="仿宋_GB2312" w:cs="Times New Roman"/>
          <w:b/>
          <w:sz w:val="32"/>
          <w:szCs w:val="32"/>
        </w:rPr>
        <w:t>0</w:t>
      </w:r>
      <w:r>
        <w:rPr>
          <w:rFonts w:hint="eastAsia" w:ascii="仿宋_GB2312" w:eastAsia="仿宋_GB2312"/>
          <w:sz w:val="32"/>
          <w:szCs w:val="32"/>
        </w:rPr>
        <w:t>人。</w:t>
      </w:r>
      <w:bookmarkStart w:id="42" w:name="OLE_LINK1"/>
      <w:r>
        <w:rPr>
          <w:rFonts w:hint="eastAsia" w:ascii="仿宋_GB2312" w:eastAsia="仿宋_GB2312"/>
          <w:sz w:val="32"/>
          <w:szCs w:val="32"/>
        </w:rPr>
        <w:t>因公出国（境）支出决算</w:t>
      </w:r>
      <w:bookmarkStart w:id="43" w:name="OLE_LINK4"/>
      <w:r>
        <w:rPr>
          <w:rFonts w:hint="eastAsia" w:ascii="仿宋_GB2312" w:eastAsia="仿宋_GB2312"/>
          <w:sz w:val="32"/>
          <w:szCs w:val="32"/>
          <w:lang w:eastAsia="zh-CN"/>
        </w:rPr>
        <w:t>与</w:t>
      </w:r>
      <w:r>
        <w:rPr>
          <w:rFonts w:ascii="仿宋_GB2312" w:eastAsia="仿宋_GB2312" w:cs="Times New Roman"/>
          <w:sz w:val="32"/>
          <w:szCs w:val="32"/>
        </w:rPr>
        <w:t>20</w:t>
      </w:r>
      <w:r>
        <w:rPr>
          <w:rFonts w:hint="eastAsia" w:ascii="仿宋_GB2312" w:eastAsia="仿宋_GB2312" w:cs="Times New Roman"/>
          <w:sz w:val="32"/>
          <w:szCs w:val="32"/>
        </w:rPr>
        <w:t>22</w:t>
      </w:r>
      <w:r>
        <w:rPr>
          <w:rFonts w:hint="eastAsia" w:ascii="仿宋_GB2312" w:eastAsia="仿宋_GB2312"/>
          <w:sz w:val="32"/>
          <w:szCs w:val="32"/>
        </w:rPr>
        <w:t>年</w:t>
      </w:r>
      <w:r>
        <w:rPr>
          <w:rFonts w:hint="eastAsia" w:ascii="仿宋_GB2312" w:eastAsia="仿宋_GB2312"/>
          <w:sz w:val="32"/>
          <w:szCs w:val="32"/>
          <w:lang w:eastAsia="zh-CN"/>
        </w:rPr>
        <w:t>决算持平</w:t>
      </w:r>
      <w:r>
        <w:rPr>
          <w:rFonts w:hint="eastAsia" w:ascii="仿宋_GB2312" w:eastAsia="仿宋_GB2312"/>
          <w:sz w:val="32"/>
          <w:szCs w:val="32"/>
        </w:rPr>
        <w:t>。</w:t>
      </w:r>
    </w:p>
    <w:bookmarkEnd w:id="42"/>
    <w:bookmarkEnd w:id="43"/>
    <w:p w14:paraId="76A772B0">
      <w:pPr>
        <w:spacing w:line="600" w:lineRule="exact"/>
        <w:ind w:firstLine="640"/>
        <w:rPr>
          <w:rFonts w:ascii="仿宋_GB2312" w:eastAsia="仿宋_GB2312"/>
          <w:b/>
          <w:sz w:val="32"/>
          <w:szCs w:val="32"/>
        </w:rPr>
      </w:pPr>
      <w:r>
        <w:rPr>
          <w:rFonts w:ascii="仿宋_GB2312" w:eastAsia="仿宋_GB2312" w:cs="Times New Roman"/>
          <w:b/>
          <w:sz w:val="32"/>
          <w:szCs w:val="32"/>
        </w:rPr>
        <w:t>2</w:t>
      </w:r>
      <w:r>
        <w:rPr>
          <w:rFonts w:ascii="仿宋_GB2312" w:eastAsia="仿宋_GB2312"/>
          <w:b/>
          <w:sz w:val="32"/>
          <w:szCs w:val="32"/>
        </w:rPr>
        <w:t>.</w:t>
      </w:r>
      <w:r>
        <w:rPr>
          <w:rFonts w:hint="eastAsia" w:ascii="仿宋_GB2312" w:eastAsia="仿宋_GB2312"/>
          <w:b/>
          <w:sz w:val="32"/>
          <w:szCs w:val="32"/>
        </w:rPr>
        <w:t>公务用车购置及运行维护费支出</w:t>
      </w:r>
      <w:r>
        <w:rPr>
          <w:rFonts w:ascii="仿宋" w:hAnsi="仿宋" w:eastAsia="仿宋" w:cs="Times New Roman"/>
          <w:b/>
          <w:sz w:val="32"/>
          <w:szCs w:val="32"/>
        </w:rPr>
        <w:t>8</w:t>
      </w:r>
      <w:r>
        <w:rPr>
          <w:rFonts w:ascii="仿宋" w:hAnsi="仿宋" w:eastAsia="仿宋"/>
          <w:b/>
          <w:sz w:val="32"/>
          <w:szCs w:val="32"/>
        </w:rPr>
        <w:t>.</w:t>
      </w:r>
      <w:r>
        <w:rPr>
          <w:rFonts w:ascii="仿宋" w:hAnsi="仿宋" w:eastAsia="仿宋" w:cs="Times New Roman"/>
          <w:b/>
          <w:sz w:val="32"/>
          <w:szCs w:val="32"/>
        </w:rPr>
        <w:t>22</w:t>
      </w:r>
      <w:r>
        <w:rPr>
          <w:rFonts w:hint="eastAsia" w:ascii="仿宋_GB2312" w:eastAsia="仿宋_GB2312"/>
          <w:sz w:val="32"/>
          <w:szCs w:val="32"/>
        </w:rPr>
        <w:t>万元,</w:t>
      </w:r>
      <w:r>
        <w:rPr>
          <w:rStyle w:val="18"/>
          <w:rFonts w:hint="eastAsia" w:ascii="仿宋" w:hAnsi="仿宋" w:eastAsia="仿宋"/>
          <w:b w:val="0"/>
          <w:bCs/>
          <w:sz w:val="32"/>
          <w:szCs w:val="32"/>
        </w:rPr>
        <w:t>完成预算</w:t>
      </w:r>
      <w:r>
        <w:rPr>
          <w:rStyle w:val="18"/>
          <w:rFonts w:ascii="仿宋" w:hAnsi="仿宋" w:eastAsia="仿宋" w:cs="Times New Roman"/>
          <w:bCs/>
          <w:sz w:val="32"/>
          <w:szCs w:val="32"/>
        </w:rPr>
        <w:t>84</w:t>
      </w:r>
      <w:r>
        <w:rPr>
          <w:rStyle w:val="18"/>
          <w:rFonts w:ascii="仿宋" w:hAnsi="仿宋" w:eastAsia="仿宋"/>
          <w:bCs/>
          <w:sz w:val="32"/>
          <w:szCs w:val="32"/>
        </w:rPr>
        <w:t>.</w:t>
      </w:r>
      <w:r>
        <w:rPr>
          <w:rStyle w:val="18"/>
          <w:rFonts w:ascii="仿宋" w:hAnsi="仿宋" w:eastAsia="仿宋" w:cs="Times New Roman"/>
          <w:bCs/>
          <w:sz w:val="32"/>
          <w:szCs w:val="32"/>
        </w:rPr>
        <w:t>78</w:t>
      </w:r>
      <w:r>
        <w:rPr>
          <w:rStyle w:val="18"/>
          <w:rFonts w:ascii="仿宋" w:hAnsi="仿宋" w:eastAsia="仿宋"/>
          <w:b w:val="0"/>
          <w:bCs/>
          <w:sz w:val="32"/>
          <w:szCs w:val="32"/>
        </w:rPr>
        <w:t>%</w:t>
      </w:r>
      <w:r>
        <w:rPr>
          <w:rStyle w:val="18"/>
          <w:rFonts w:hint="eastAsia" w:ascii="仿宋" w:hAnsi="仿宋" w:eastAsia="仿宋"/>
          <w:b w:val="0"/>
          <w:bCs/>
          <w:sz w:val="32"/>
          <w:szCs w:val="32"/>
        </w:rPr>
        <w:t>。</w:t>
      </w:r>
      <w:r>
        <w:rPr>
          <w:rFonts w:hint="eastAsia" w:ascii="仿宋_GB2312" w:eastAsia="仿宋_GB2312"/>
          <w:sz w:val="32"/>
          <w:szCs w:val="32"/>
        </w:rPr>
        <w:t>公务用车购置及运行维护费支出决算</w:t>
      </w:r>
      <w:r>
        <w:rPr>
          <w:rFonts w:hint="eastAsia" w:ascii="仿宋_GB2312" w:eastAsia="仿宋_GB2312"/>
          <w:sz w:val="32"/>
          <w:szCs w:val="32"/>
          <w:lang w:eastAsia="zh-CN"/>
        </w:rPr>
        <w:t>较</w:t>
      </w:r>
      <w:r>
        <w:rPr>
          <w:rFonts w:hint="eastAsia" w:ascii="仿宋_GB2312" w:eastAsia="仿宋_GB2312" w:cs="Times New Roman"/>
          <w:sz w:val="32"/>
          <w:szCs w:val="32"/>
        </w:rPr>
        <w:t>2022</w:t>
      </w:r>
      <w:r>
        <w:rPr>
          <w:rFonts w:hint="eastAsia" w:ascii="仿宋_GB2312" w:eastAsia="仿宋_GB2312"/>
          <w:sz w:val="32"/>
          <w:szCs w:val="32"/>
        </w:rPr>
        <w:t>年度减少</w:t>
      </w:r>
      <w:r>
        <w:rPr>
          <w:rFonts w:hint="eastAsia" w:ascii="仿宋_GB2312" w:eastAsia="仿宋_GB2312" w:cs="Times New Roman"/>
          <w:sz w:val="32"/>
          <w:szCs w:val="32"/>
        </w:rPr>
        <w:t>0</w:t>
      </w:r>
      <w:r>
        <w:rPr>
          <w:rFonts w:hint="eastAsia" w:ascii="仿宋_GB2312" w:eastAsia="仿宋_GB2312"/>
          <w:sz w:val="32"/>
          <w:szCs w:val="32"/>
        </w:rPr>
        <w:t>.</w:t>
      </w:r>
      <w:r>
        <w:rPr>
          <w:rFonts w:hint="eastAsia" w:ascii="仿宋_GB2312" w:eastAsia="仿宋_GB2312" w:cs="Times New Roman"/>
          <w:sz w:val="32"/>
          <w:szCs w:val="32"/>
        </w:rPr>
        <w:t>93</w:t>
      </w:r>
      <w:r>
        <w:rPr>
          <w:rFonts w:hint="eastAsia" w:ascii="仿宋_GB2312" w:eastAsia="仿宋_GB2312"/>
          <w:sz w:val="32"/>
          <w:szCs w:val="32"/>
        </w:rPr>
        <w:t>万元，</w:t>
      </w:r>
      <w:r>
        <w:rPr>
          <w:rFonts w:hint="eastAsia" w:ascii="仿宋" w:hAnsi="仿宋" w:eastAsia="仿宋"/>
          <w:sz w:val="32"/>
          <w:szCs w:val="32"/>
        </w:rPr>
        <w:t>下降</w:t>
      </w:r>
      <w:r>
        <w:rPr>
          <w:rFonts w:hint="eastAsia" w:ascii="仿宋" w:hAnsi="仿宋" w:eastAsia="仿宋" w:cs="Times New Roman"/>
          <w:sz w:val="32"/>
          <w:szCs w:val="32"/>
        </w:rPr>
        <w:t>10</w:t>
      </w:r>
      <w:r>
        <w:rPr>
          <w:rFonts w:hint="eastAsia" w:ascii="仿宋" w:hAnsi="仿宋" w:eastAsia="仿宋"/>
          <w:sz w:val="32"/>
          <w:szCs w:val="32"/>
        </w:rPr>
        <w:t>.</w:t>
      </w:r>
      <w:r>
        <w:rPr>
          <w:rFonts w:hint="eastAsia" w:ascii="仿宋" w:hAnsi="仿宋" w:eastAsia="仿宋" w:cs="Times New Roman"/>
          <w:sz w:val="32"/>
          <w:szCs w:val="32"/>
        </w:rPr>
        <w:t>16</w:t>
      </w:r>
      <w:r>
        <w:rPr>
          <w:rFonts w:hint="eastAsia" w:ascii="仿宋" w:hAnsi="仿宋" w:eastAsia="仿宋"/>
          <w:sz w:val="32"/>
          <w:szCs w:val="32"/>
        </w:rPr>
        <w:t>%。</w:t>
      </w:r>
      <w:r>
        <w:rPr>
          <w:rFonts w:hint="eastAsia" w:ascii="仿宋_GB2312" w:eastAsia="仿宋_GB2312"/>
          <w:sz w:val="32"/>
          <w:szCs w:val="32"/>
        </w:rPr>
        <w:t>主要原因</w:t>
      </w:r>
      <w:r>
        <w:rPr>
          <w:rFonts w:hint="eastAsia" w:ascii="仿宋" w:hAnsi="仿宋" w:eastAsia="仿宋"/>
          <w:sz w:val="32"/>
          <w:szCs w:val="32"/>
        </w:rPr>
        <w:t>是</w:t>
      </w:r>
      <w:r>
        <w:rPr>
          <w:rFonts w:hint="eastAsia" w:ascii="仿宋_GB2312" w:eastAsia="仿宋_GB2312"/>
          <w:sz w:val="32"/>
          <w:szCs w:val="32"/>
        </w:rPr>
        <w:t>为保障车辆运行安全单位公务车</w:t>
      </w:r>
      <w:r>
        <w:rPr>
          <w:rFonts w:hint="eastAsia" w:ascii="仿宋_GB2312" w:hAnsi="Calibri" w:eastAsia="仿宋_GB2312" w:cs="Times New Roman"/>
          <w:sz w:val="32"/>
          <w:szCs w:val="32"/>
        </w:rPr>
        <w:t>2003</w:t>
      </w:r>
      <w:r>
        <w:rPr>
          <w:rFonts w:hint="eastAsia" w:ascii="仿宋_GB2312" w:hAnsi="Calibri" w:eastAsia="仿宋_GB2312"/>
          <w:sz w:val="32"/>
          <w:szCs w:val="32"/>
        </w:rPr>
        <w:t>年的川A</w:t>
      </w:r>
      <w:r>
        <w:rPr>
          <w:rFonts w:hint="eastAsia" w:ascii="仿宋_GB2312" w:hAnsi="Calibri" w:eastAsia="仿宋_GB2312" w:cs="Times New Roman"/>
          <w:sz w:val="32"/>
          <w:szCs w:val="32"/>
        </w:rPr>
        <w:t>0004</w:t>
      </w:r>
      <w:r>
        <w:rPr>
          <w:rFonts w:hint="eastAsia" w:ascii="仿宋_GB2312" w:hAnsi="Calibri" w:eastAsia="仿宋_GB2312"/>
          <w:sz w:val="32"/>
          <w:szCs w:val="32"/>
        </w:rPr>
        <w:t>C柯斯达大客车已达报废年限，于</w:t>
      </w:r>
      <w:r>
        <w:rPr>
          <w:rFonts w:hint="eastAsia" w:ascii="仿宋_GB2312" w:hAnsi="Calibri" w:eastAsia="仿宋_GB2312" w:cs="Times New Roman"/>
          <w:sz w:val="32"/>
          <w:szCs w:val="32"/>
        </w:rPr>
        <w:t>2023</w:t>
      </w:r>
      <w:r>
        <w:rPr>
          <w:rFonts w:hint="eastAsia" w:ascii="仿宋_GB2312" w:hAnsi="Calibri" w:eastAsia="仿宋_GB2312"/>
          <w:sz w:val="32"/>
          <w:szCs w:val="32"/>
        </w:rPr>
        <w:t>年</w:t>
      </w:r>
      <w:r>
        <w:rPr>
          <w:rFonts w:hint="eastAsia" w:ascii="仿宋_GB2312" w:hAnsi="Calibri" w:eastAsia="仿宋_GB2312" w:cs="Times New Roman"/>
          <w:sz w:val="32"/>
          <w:szCs w:val="32"/>
        </w:rPr>
        <w:t>4</w:t>
      </w:r>
      <w:r>
        <w:rPr>
          <w:rFonts w:hint="eastAsia" w:ascii="仿宋_GB2312" w:hAnsi="Calibri" w:eastAsia="仿宋_GB2312"/>
          <w:sz w:val="32"/>
          <w:szCs w:val="32"/>
        </w:rPr>
        <w:t>月经省机关事务管理局批准强行报废；</w:t>
      </w:r>
      <w:r>
        <w:rPr>
          <w:rFonts w:hint="eastAsia" w:ascii="仿宋_GB2312" w:hAnsi="Calibri" w:eastAsia="仿宋_GB2312" w:cs="Times New Roman"/>
          <w:sz w:val="32"/>
          <w:szCs w:val="32"/>
        </w:rPr>
        <w:t>2023</w:t>
      </w:r>
      <w:r>
        <w:rPr>
          <w:rFonts w:hint="eastAsia" w:ascii="仿宋_GB2312" w:hAnsi="Calibri" w:eastAsia="仿宋_GB2312"/>
          <w:sz w:val="32"/>
          <w:szCs w:val="32"/>
        </w:rPr>
        <w:t>年</w:t>
      </w:r>
      <w:r>
        <w:rPr>
          <w:rFonts w:hint="eastAsia" w:ascii="仿宋_GB2312" w:hAnsi="Calibri" w:eastAsia="仿宋_GB2312" w:cs="Times New Roman"/>
          <w:sz w:val="32"/>
          <w:szCs w:val="32"/>
        </w:rPr>
        <w:t>10</w:t>
      </w:r>
      <w:r>
        <w:rPr>
          <w:rFonts w:hint="eastAsia" w:ascii="仿宋_GB2312" w:hAnsi="Calibri" w:eastAsia="仿宋_GB2312"/>
          <w:sz w:val="32"/>
          <w:szCs w:val="32"/>
        </w:rPr>
        <w:t>月经管理局批准从省教育厅调拨</w:t>
      </w:r>
      <w:r>
        <w:rPr>
          <w:rFonts w:hint="eastAsia" w:ascii="仿宋_GB2312" w:hAnsi="Calibri" w:eastAsia="仿宋_GB2312" w:cs="Times New Roman"/>
          <w:sz w:val="32"/>
          <w:szCs w:val="32"/>
        </w:rPr>
        <w:t>1</w:t>
      </w:r>
      <w:r>
        <w:rPr>
          <w:rFonts w:hint="eastAsia" w:ascii="仿宋_GB2312" w:hAnsi="Calibri" w:eastAsia="仿宋_GB2312"/>
          <w:sz w:val="32"/>
          <w:szCs w:val="32"/>
        </w:rPr>
        <w:t>台康恩迪大客车（川A</w:t>
      </w:r>
      <w:r>
        <w:rPr>
          <w:rFonts w:hint="eastAsia" w:ascii="仿宋_GB2312" w:hAnsi="Calibri" w:eastAsia="仿宋_GB2312" w:cs="Times New Roman"/>
          <w:sz w:val="32"/>
          <w:szCs w:val="32"/>
        </w:rPr>
        <w:t>0025</w:t>
      </w:r>
      <w:r>
        <w:rPr>
          <w:rFonts w:hint="eastAsia" w:ascii="仿宋_GB2312" w:hAnsi="Calibri" w:eastAsia="仿宋_GB2312"/>
          <w:sz w:val="32"/>
          <w:szCs w:val="32"/>
        </w:rPr>
        <w:t>C）,因调拨的车辆已购车辆保险，则节约了车辆保险支出</w:t>
      </w:r>
      <w:r>
        <w:rPr>
          <w:rFonts w:hint="eastAsia" w:ascii="仿宋_GB2312" w:eastAsia="仿宋_GB2312"/>
          <w:sz w:val="32"/>
          <w:szCs w:val="32"/>
        </w:rPr>
        <w:t>。</w:t>
      </w:r>
    </w:p>
    <w:p w14:paraId="4F8966EB">
      <w:pPr>
        <w:spacing w:line="600" w:lineRule="exact"/>
        <w:ind w:firstLine="640" w:firstLineChars="200"/>
        <w:rPr>
          <w:rFonts w:ascii="仿宋_GB2312" w:eastAsia="仿宋_GB2312"/>
          <w:b/>
          <w:sz w:val="32"/>
          <w:szCs w:val="32"/>
        </w:rPr>
      </w:pPr>
      <w:r>
        <w:rPr>
          <w:rFonts w:hint="eastAsia" w:ascii="仿宋_GB2312" w:eastAsia="仿宋_GB2312"/>
          <w:sz w:val="32"/>
          <w:szCs w:val="32"/>
        </w:rPr>
        <w:t>其中：</w:t>
      </w:r>
      <w:r>
        <w:rPr>
          <w:rFonts w:hint="eastAsia" w:ascii="仿宋_GB2312" w:eastAsia="仿宋_GB2312"/>
          <w:b/>
          <w:sz w:val="32"/>
          <w:szCs w:val="32"/>
        </w:rPr>
        <w:t>公务用车购置支出</w:t>
      </w:r>
      <w:r>
        <w:rPr>
          <w:rFonts w:ascii="仿宋" w:hAnsi="仿宋" w:eastAsia="仿宋" w:cs="Times New Roman"/>
          <w:b/>
          <w:sz w:val="32"/>
          <w:szCs w:val="32"/>
        </w:rPr>
        <w:t>0</w:t>
      </w:r>
      <w:r>
        <w:rPr>
          <w:rFonts w:hint="eastAsia" w:ascii="仿宋_GB2312" w:eastAsia="仿宋_GB2312"/>
          <w:sz w:val="32"/>
          <w:szCs w:val="32"/>
        </w:rPr>
        <w:t>万元。全年按规定更新购置公务用车</w:t>
      </w:r>
      <w:r>
        <w:rPr>
          <w:rFonts w:hint="eastAsia" w:ascii="仿宋_GB2312" w:eastAsia="仿宋_GB2312" w:cs="Times New Roman"/>
          <w:sz w:val="32"/>
          <w:szCs w:val="32"/>
        </w:rPr>
        <w:t>0</w:t>
      </w:r>
      <w:r>
        <w:rPr>
          <w:rFonts w:hint="eastAsia" w:ascii="仿宋_GB2312" w:eastAsia="仿宋_GB2312"/>
          <w:sz w:val="32"/>
          <w:szCs w:val="32"/>
        </w:rPr>
        <w:t>辆，其中：轿车</w:t>
      </w:r>
      <w:r>
        <w:rPr>
          <w:rFonts w:hint="eastAsia" w:ascii="仿宋_GB2312" w:eastAsia="仿宋_GB2312" w:cs="Times New Roman"/>
          <w:sz w:val="32"/>
          <w:szCs w:val="32"/>
        </w:rPr>
        <w:t>0</w:t>
      </w:r>
      <w:r>
        <w:rPr>
          <w:rFonts w:hint="eastAsia" w:ascii="仿宋_GB2312" w:eastAsia="仿宋_GB2312"/>
          <w:sz w:val="32"/>
          <w:szCs w:val="32"/>
        </w:rPr>
        <w:t>辆、金额</w:t>
      </w:r>
      <w:r>
        <w:rPr>
          <w:rFonts w:hint="eastAsia" w:ascii="仿宋_GB2312" w:eastAsia="仿宋_GB2312" w:cs="Times New Roman"/>
          <w:sz w:val="32"/>
          <w:szCs w:val="32"/>
        </w:rPr>
        <w:t>0</w:t>
      </w:r>
      <w:r>
        <w:rPr>
          <w:rFonts w:hint="eastAsia" w:ascii="仿宋_GB2312" w:eastAsia="仿宋_GB2312"/>
          <w:sz w:val="32"/>
          <w:szCs w:val="32"/>
        </w:rPr>
        <w:t>万元，越野车</w:t>
      </w:r>
      <w:r>
        <w:rPr>
          <w:rFonts w:hint="eastAsia" w:ascii="仿宋_GB2312" w:eastAsia="仿宋_GB2312" w:cs="Times New Roman"/>
          <w:sz w:val="32"/>
          <w:szCs w:val="32"/>
        </w:rPr>
        <w:t>0</w:t>
      </w:r>
      <w:r>
        <w:rPr>
          <w:rFonts w:hint="eastAsia" w:ascii="仿宋_GB2312" w:eastAsia="仿宋_GB2312"/>
          <w:sz w:val="32"/>
          <w:szCs w:val="32"/>
        </w:rPr>
        <w:t>辆、金额</w:t>
      </w:r>
      <w:r>
        <w:rPr>
          <w:rFonts w:hint="eastAsia" w:ascii="仿宋_GB2312" w:eastAsia="仿宋_GB2312" w:cs="Times New Roman"/>
          <w:sz w:val="32"/>
          <w:szCs w:val="32"/>
        </w:rPr>
        <w:t>0</w:t>
      </w:r>
      <w:r>
        <w:rPr>
          <w:rFonts w:hint="eastAsia" w:ascii="仿宋_GB2312" w:eastAsia="仿宋_GB2312"/>
          <w:sz w:val="32"/>
          <w:szCs w:val="32"/>
        </w:rPr>
        <w:t>万元，载客汽车</w:t>
      </w:r>
      <w:r>
        <w:rPr>
          <w:rFonts w:hint="eastAsia" w:ascii="仿宋_GB2312" w:eastAsia="仿宋_GB2312" w:cs="Times New Roman"/>
          <w:sz w:val="32"/>
          <w:szCs w:val="32"/>
        </w:rPr>
        <w:t>0</w:t>
      </w:r>
      <w:r>
        <w:rPr>
          <w:rFonts w:hint="eastAsia" w:ascii="仿宋_GB2312" w:eastAsia="仿宋_GB2312"/>
          <w:sz w:val="32"/>
          <w:szCs w:val="32"/>
        </w:rPr>
        <w:t>辆、金额</w:t>
      </w:r>
      <w:r>
        <w:rPr>
          <w:rFonts w:hint="eastAsia" w:ascii="仿宋_GB2312" w:eastAsia="仿宋_GB2312" w:cs="Times New Roman"/>
          <w:sz w:val="32"/>
          <w:szCs w:val="32"/>
        </w:rPr>
        <w:t>0</w:t>
      </w:r>
      <w:r>
        <w:rPr>
          <w:rFonts w:hint="eastAsia" w:ascii="仿宋_GB2312" w:eastAsia="仿宋_GB2312"/>
          <w:sz w:val="32"/>
          <w:szCs w:val="32"/>
        </w:rPr>
        <w:t>万元。截至</w:t>
      </w:r>
      <w:r>
        <w:rPr>
          <w:rFonts w:hint="eastAsia" w:ascii="仿宋_GB2312" w:eastAsia="仿宋_GB2312" w:cs="Times New Roman"/>
          <w:sz w:val="32"/>
          <w:szCs w:val="32"/>
        </w:rPr>
        <w:t>2023</w:t>
      </w:r>
      <w:r>
        <w:rPr>
          <w:rFonts w:hint="eastAsia" w:ascii="仿宋_GB2312" w:eastAsia="仿宋_GB2312"/>
          <w:sz w:val="32"/>
          <w:szCs w:val="32"/>
        </w:rPr>
        <w:t>年</w:t>
      </w:r>
      <w:r>
        <w:rPr>
          <w:rFonts w:ascii="仿宋_GB2312" w:eastAsia="仿宋_GB2312" w:cs="Times New Roman"/>
          <w:sz w:val="32"/>
          <w:szCs w:val="32"/>
        </w:rPr>
        <w:t>12</w:t>
      </w:r>
      <w:r>
        <w:rPr>
          <w:rFonts w:hint="eastAsia" w:ascii="仿宋_GB2312" w:eastAsia="仿宋_GB2312"/>
          <w:sz w:val="32"/>
          <w:szCs w:val="32"/>
        </w:rPr>
        <w:t>月</w:t>
      </w:r>
      <w:r>
        <w:rPr>
          <w:rFonts w:hint="eastAsia" w:ascii="仿宋_GB2312" w:eastAsia="仿宋_GB2312" w:cs="Times New Roman"/>
          <w:sz w:val="32"/>
          <w:szCs w:val="32"/>
        </w:rPr>
        <w:t>31</w:t>
      </w:r>
      <w:r>
        <w:rPr>
          <w:rFonts w:hint="eastAsia" w:ascii="仿宋_GB2312" w:eastAsia="仿宋_GB2312"/>
          <w:sz w:val="32"/>
          <w:szCs w:val="32"/>
        </w:rPr>
        <w:t>日，单位共有公务用车</w:t>
      </w:r>
      <w:r>
        <w:rPr>
          <w:rFonts w:hint="eastAsia" w:ascii="仿宋_GB2312" w:eastAsia="仿宋_GB2312" w:cs="Times New Roman"/>
          <w:sz w:val="32"/>
          <w:szCs w:val="32"/>
        </w:rPr>
        <w:t>2</w:t>
      </w:r>
      <w:r>
        <w:rPr>
          <w:rFonts w:hint="eastAsia" w:ascii="仿宋_GB2312" w:eastAsia="仿宋_GB2312"/>
          <w:sz w:val="32"/>
          <w:szCs w:val="32"/>
        </w:rPr>
        <w:t>辆，其中：轿车</w:t>
      </w:r>
      <w:r>
        <w:rPr>
          <w:rFonts w:hint="eastAsia" w:ascii="仿宋_GB2312" w:eastAsia="仿宋_GB2312" w:cs="Times New Roman"/>
          <w:sz w:val="32"/>
          <w:szCs w:val="32"/>
        </w:rPr>
        <w:t>0</w:t>
      </w:r>
      <w:r>
        <w:rPr>
          <w:rFonts w:hint="eastAsia" w:ascii="仿宋_GB2312" w:eastAsia="仿宋_GB2312"/>
          <w:sz w:val="32"/>
          <w:szCs w:val="32"/>
        </w:rPr>
        <w:t>辆、越野车</w:t>
      </w:r>
      <w:r>
        <w:rPr>
          <w:rFonts w:hint="eastAsia" w:ascii="仿宋_GB2312" w:eastAsia="仿宋_GB2312" w:cs="Times New Roman"/>
          <w:sz w:val="32"/>
          <w:szCs w:val="32"/>
        </w:rPr>
        <w:t>1</w:t>
      </w:r>
      <w:r>
        <w:rPr>
          <w:rFonts w:hint="eastAsia" w:ascii="仿宋_GB2312" w:eastAsia="仿宋_GB2312"/>
          <w:sz w:val="32"/>
          <w:szCs w:val="32"/>
        </w:rPr>
        <w:t>辆、载客汽车</w:t>
      </w:r>
      <w:r>
        <w:rPr>
          <w:rFonts w:hint="eastAsia" w:ascii="仿宋_GB2312" w:eastAsia="仿宋_GB2312" w:cs="Times New Roman"/>
          <w:sz w:val="32"/>
          <w:szCs w:val="32"/>
        </w:rPr>
        <w:t>1</w:t>
      </w:r>
      <w:r>
        <w:rPr>
          <w:rFonts w:hint="eastAsia" w:ascii="仿宋_GB2312" w:eastAsia="仿宋_GB2312"/>
          <w:sz w:val="32"/>
          <w:szCs w:val="32"/>
        </w:rPr>
        <w:t>辆。</w:t>
      </w:r>
    </w:p>
    <w:p w14:paraId="5FC48143">
      <w:pPr>
        <w:spacing w:line="600" w:lineRule="exact"/>
        <w:ind w:firstLine="640"/>
        <w:rPr>
          <w:rFonts w:ascii="仿宋_GB2312" w:eastAsia="仿宋_GB2312"/>
          <w:sz w:val="32"/>
          <w:szCs w:val="32"/>
        </w:rPr>
      </w:pPr>
      <w:r>
        <w:rPr>
          <w:rFonts w:hint="eastAsia" w:ascii="仿宋_GB2312" w:eastAsia="仿宋_GB2312"/>
          <w:b/>
          <w:sz w:val="32"/>
          <w:szCs w:val="32"/>
        </w:rPr>
        <w:t>公务用车运行维护费支出</w:t>
      </w:r>
      <w:r>
        <w:rPr>
          <w:rFonts w:ascii="仿宋" w:hAnsi="仿宋" w:eastAsia="仿宋" w:cs="Times New Roman"/>
          <w:b/>
          <w:sz w:val="32"/>
          <w:szCs w:val="32"/>
        </w:rPr>
        <w:t>8</w:t>
      </w:r>
      <w:r>
        <w:rPr>
          <w:rFonts w:ascii="仿宋" w:hAnsi="仿宋" w:eastAsia="仿宋"/>
          <w:b/>
          <w:sz w:val="32"/>
          <w:szCs w:val="32"/>
        </w:rPr>
        <w:t>.</w:t>
      </w:r>
      <w:r>
        <w:rPr>
          <w:rFonts w:ascii="仿宋" w:hAnsi="仿宋" w:eastAsia="仿宋" w:cs="Times New Roman"/>
          <w:b/>
          <w:sz w:val="32"/>
          <w:szCs w:val="32"/>
        </w:rPr>
        <w:t>22</w:t>
      </w:r>
      <w:r>
        <w:rPr>
          <w:rFonts w:hint="eastAsia" w:ascii="仿宋_GB2312" w:eastAsia="仿宋_GB2312"/>
          <w:sz w:val="32"/>
          <w:szCs w:val="32"/>
        </w:rPr>
        <w:t>万元。主要用于机关正常运行所需后勤保障，以及厅机关</w:t>
      </w:r>
      <w:r>
        <w:rPr>
          <w:rFonts w:hint="eastAsia" w:ascii="仿宋_GB2312" w:eastAsia="仿宋_GB2312" w:cs="Times New Roman"/>
          <w:sz w:val="32"/>
          <w:szCs w:val="32"/>
        </w:rPr>
        <w:t>29</w:t>
      </w:r>
      <w:r>
        <w:rPr>
          <w:rFonts w:hint="eastAsia" w:ascii="仿宋_GB2312" w:eastAsia="仿宋_GB2312"/>
          <w:sz w:val="32"/>
          <w:szCs w:val="32"/>
        </w:rPr>
        <w:t>个老旧家属区疫情防控、维修维护抢险、老干部活动、周转房日常管理、机关后勤应急服务等所需的公务用车燃料费、维修费、过路过桥费、保险费等支出。</w:t>
      </w:r>
    </w:p>
    <w:p w14:paraId="75E57FA2">
      <w:pPr>
        <w:spacing w:line="600" w:lineRule="exact"/>
        <w:ind w:firstLine="640"/>
        <w:rPr>
          <w:rFonts w:ascii="仿宋_GB2312" w:eastAsia="仿宋_GB2312"/>
          <w:sz w:val="32"/>
          <w:szCs w:val="32"/>
        </w:rPr>
      </w:pPr>
      <w:r>
        <w:rPr>
          <w:rFonts w:ascii="仿宋_GB2312" w:eastAsia="仿宋_GB2312" w:cs="Times New Roman"/>
          <w:b/>
          <w:sz w:val="32"/>
          <w:szCs w:val="32"/>
        </w:rPr>
        <w:t>3</w:t>
      </w:r>
      <w:r>
        <w:rPr>
          <w:rFonts w:ascii="仿宋_GB2312" w:eastAsia="仿宋_GB2312"/>
          <w:b/>
          <w:sz w:val="32"/>
          <w:szCs w:val="32"/>
        </w:rPr>
        <w:t>.</w:t>
      </w:r>
      <w:r>
        <w:rPr>
          <w:rFonts w:hint="eastAsia" w:ascii="仿宋_GB2312" w:eastAsia="仿宋_GB2312"/>
          <w:b/>
          <w:sz w:val="32"/>
          <w:szCs w:val="32"/>
        </w:rPr>
        <w:t>公务接待费支出</w:t>
      </w:r>
      <w:r>
        <w:rPr>
          <w:rFonts w:ascii="仿宋" w:hAnsi="仿宋" w:eastAsia="仿宋" w:cs="Times New Roman"/>
          <w:b/>
          <w:sz w:val="32"/>
          <w:szCs w:val="32"/>
        </w:rPr>
        <w:t>0</w:t>
      </w:r>
      <w:r>
        <w:rPr>
          <w:rFonts w:hint="eastAsia" w:ascii="仿宋_GB2312" w:eastAsia="仿宋_GB2312"/>
          <w:sz w:val="32"/>
          <w:szCs w:val="32"/>
        </w:rPr>
        <w:t>万元，</w:t>
      </w:r>
      <w:r>
        <w:rPr>
          <w:rStyle w:val="18"/>
          <w:rFonts w:hint="eastAsia" w:ascii="仿宋" w:hAnsi="仿宋" w:eastAsia="仿宋"/>
          <w:b w:val="0"/>
          <w:bCs/>
          <w:sz w:val="32"/>
          <w:szCs w:val="32"/>
        </w:rPr>
        <w:t>完成预算</w:t>
      </w:r>
      <w:r>
        <w:rPr>
          <w:rStyle w:val="18"/>
          <w:rFonts w:ascii="仿宋" w:hAnsi="仿宋" w:eastAsia="仿宋" w:cs="Times New Roman"/>
          <w:b w:val="0"/>
          <w:bCs/>
          <w:sz w:val="32"/>
          <w:szCs w:val="32"/>
        </w:rPr>
        <w:t>0</w:t>
      </w:r>
      <w:r>
        <w:rPr>
          <w:rStyle w:val="18"/>
          <w:rFonts w:ascii="仿宋" w:hAnsi="仿宋" w:eastAsia="仿宋"/>
          <w:b w:val="0"/>
          <w:bCs/>
          <w:sz w:val="32"/>
          <w:szCs w:val="32"/>
        </w:rPr>
        <w:t>%</w:t>
      </w:r>
      <w:r>
        <w:rPr>
          <w:rStyle w:val="18"/>
          <w:rFonts w:hint="eastAsia" w:ascii="仿宋" w:hAnsi="仿宋" w:eastAsia="仿宋"/>
          <w:b w:val="0"/>
          <w:bCs/>
          <w:sz w:val="32"/>
          <w:szCs w:val="32"/>
        </w:rPr>
        <w:t>。</w:t>
      </w:r>
      <w:r>
        <w:rPr>
          <w:rFonts w:hint="eastAsia" w:ascii="仿宋_GB2312" w:eastAsia="仿宋_GB2312"/>
          <w:sz w:val="32"/>
          <w:szCs w:val="32"/>
        </w:rPr>
        <w:t>公务接待费支出决算</w:t>
      </w:r>
      <w:bookmarkStart w:id="44" w:name="OLE_LINK2"/>
      <w:r>
        <w:rPr>
          <w:rFonts w:hint="eastAsia" w:ascii="仿宋_GB2312" w:eastAsia="仿宋_GB2312"/>
          <w:sz w:val="32"/>
          <w:szCs w:val="32"/>
          <w:lang w:eastAsia="zh-CN"/>
        </w:rPr>
        <w:t>与</w:t>
      </w:r>
      <w:r>
        <w:rPr>
          <w:rFonts w:ascii="仿宋_GB2312" w:eastAsia="仿宋_GB2312" w:cs="Times New Roman"/>
          <w:sz w:val="32"/>
          <w:szCs w:val="32"/>
        </w:rPr>
        <w:t>20</w:t>
      </w:r>
      <w:r>
        <w:rPr>
          <w:rFonts w:hint="eastAsia" w:ascii="仿宋_GB2312" w:eastAsia="仿宋_GB2312" w:cs="Times New Roman"/>
          <w:sz w:val="32"/>
          <w:szCs w:val="32"/>
        </w:rPr>
        <w:t>22</w:t>
      </w:r>
      <w:r>
        <w:rPr>
          <w:rFonts w:hint="eastAsia" w:ascii="仿宋_GB2312" w:eastAsia="仿宋_GB2312"/>
          <w:sz w:val="32"/>
          <w:szCs w:val="32"/>
        </w:rPr>
        <w:t>年</w:t>
      </w:r>
      <w:r>
        <w:rPr>
          <w:rFonts w:hint="eastAsia" w:ascii="仿宋_GB2312" w:eastAsia="仿宋_GB2312"/>
          <w:sz w:val="32"/>
          <w:szCs w:val="32"/>
          <w:lang w:eastAsia="zh-CN"/>
        </w:rPr>
        <w:t>决算持平</w:t>
      </w:r>
      <w:bookmarkEnd w:id="44"/>
      <w:r>
        <w:rPr>
          <w:rFonts w:hint="eastAsia" w:ascii="仿宋_GB2312" w:eastAsia="仿宋_GB2312"/>
          <w:sz w:val="32"/>
          <w:szCs w:val="32"/>
          <w:lang w:eastAsia="zh-CN"/>
        </w:rPr>
        <w:t>，</w:t>
      </w:r>
      <w:r>
        <w:rPr>
          <w:rFonts w:hint="eastAsia" w:ascii="仿宋_GB2312" w:eastAsia="仿宋_GB2312"/>
          <w:sz w:val="32"/>
          <w:szCs w:val="32"/>
        </w:rPr>
        <w:t>其中：</w:t>
      </w:r>
    </w:p>
    <w:p w14:paraId="1274D423">
      <w:pPr>
        <w:spacing w:line="600" w:lineRule="exact"/>
        <w:ind w:firstLine="640"/>
        <w:rPr>
          <w:rFonts w:ascii="仿宋_GB2312" w:eastAsia="仿宋_GB2312"/>
          <w:sz w:val="32"/>
          <w:szCs w:val="32"/>
        </w:rPr>
      </w:pPr>
      <w:r>
        <w:rPr>
          <w:rFonts w:hint="eastAsia" w:ascii="仿宋" w:hAnsi="仿宋" w:eastAsia="仿宋"/>
          <w:b/>
          <w:sz w:val="32"/>
          <w:szCs w:val="32"/>
        </w:rPr>
        <w:t>国内公务接待支出</w:t>
      </w:r>
      <w:r>
        <w:rPr>
          <w:rFonts w:ascii="仿宋" w:hAnsi="仿宋" w:eastAsia="仿宋" w:cs="Times New Roman"/>
          <w:b/>
          <w:sz w:val="32"/>
          <w:szCs w:val="32"/>
        </w:rPr>
        <w:t>0</w:t>
      </w:r>
      <w:r>
        <w:rPr>
          <w:rFonts w:hint="eastAsia" w:ascii="仿宋_GB2312" w:eastAsia="仿宋_GB2312"/>
          <w:sz w:val="32"/>
          <w:szCs w:val="32"/>
        </w:rPr>
        <w:t>万元。</w:t>
      </w:r>
    </w:p>
    <w:p w14:paraId="26A5A235">
      <w:pPr>
        <w:spacing w:line="600" w:lineRule="exact"/>
        <w:ind w:firstLine="643" w:firstLineChars="200"/>
      </w:pPr>
      <w:r>
        <w:rPr>
          <w:rFonts w:hint="eastAsia" w:ascii="仿宋" w:hAnsi="仿宋" w:eastAsia="仿宋"/>
          <w:b/>
          <w:sz w:val="32"/>
          <w:szCs w:val="32"/>
        </w:rPr>
        <w:t>外事接待支出</w:t>
      </w:r>
      <w:r>
        <w:rPr>
          <w:rFonts w:ascii="仿宋" w:hAnsi="仿宋" w:eastAsia="仿宋" w:cs="Times New Roman"/>
          <w:b/>
          <w:sz w:val="32"/>
          <w:szCs w:val="32"/>
        </w:rPr>
        <w:t>0</w:t>
      </w:r>
      <w:r>
        <w:rPr>
          <w:rFonts w:hint="eastAsia" w:ascii="仿宋_GB2312" w:eastAsia="仿宋_GB2312"/>
          <w:sz w:val="32"/>
          <w:szCs w:val="32"/>
        </w:rPr>
        <w:t>万元。</w:t>
      </w:r>
    </w:p>
    <w:p w14:paraId="4CE2A543">
      <w:pPr>
        <w:spacing w:line="600" w:lineRule="exact"/>
        <w:ind w:firstLine="640"/>
        <w:outlineLvl w:val="1"/>
        <w:rPr>
          <w:rStyle w:val="29"/>
          <w:rFonts w:ascii="黑体" w:hAnsi="黑体" w:eastAsia="黑体"/>
        </w:rPr>
      </w:pPr>
      <w:r>
        <w:rPr>
          <w:rFonts w:hint="eastAsia" w:ascii="黑体" w:eastAsia="黑体"/>
          <w:sz w:val="32"/>
          <w:szCs w:val="32"/>
        </w:rPr>
        <w:t>八、</w:t>
      </w:r>
      <w:r>
        <w:rPr>
          <w:rStyle w:val="29"/>
          <w:rFonts w:hint="eastAsia" w:ascii="黑体" w:hAnsi="黑体" w:eastAsia="黑体"/>
          <w:b w:val="0"/>
        </w:rPr>
        <w:t>政府性基金预算支出决算情况说明</w:t>
      </w:r>
      <w:bookmarkEnd w:id="40"/>
      <w:bookmarkEnd w:id="41"/>
    </w:p>
    <w:p w14:paraId="11D62D28">
      <w:pPr>
        <w:spacing w:line="600" w:lineRule="exact"/>
        <w:ind w:firstLine="640"/>
        <w:rPr>
          <w:rFonts w:ascii="仿宋_GB2312" w:eastAsia="仿宋_GB2312"/>
          <w:sz w:val="32"/>
          <w:szCs w:val="32"/>
        </w:rPr>
      </w:pPr>
      <w:r>
        <w:rPr>
          <w:rFonts w:hint="eastAsia" w:ascii="仿宋_GB2312" w:eastAsia="仿宋_GB2312" w:cs="Times New Roman"/>
          <w:sz w:val="32"/>
          <w:szCs w:val="32"/>
        </w:rPr>
        <w:t>2023</w:t>
      </w:r>
      <w:r>
        <w:rPr>
          <w:rFonts w:hint="eastAsia" w:ascii="仿宋_GB2312" w:eastAsia="仿宋_GB2312"/>
          <w:sz w:val="32"/>
          <w:szCs w:val="32"/>
        </w:rPr>
        <w:t>年度政府性基金预算财政拨款支出</w:t>
      </w:r>
      <w:r>
        <w:rPr>
          <w:rFonts w:ascii="仿宋" w:hAnsi="仿宋" w:eastAsia="仿宋" w:cs="Times New Roman"/>
          <w:b/>
          <w:sz w:val="32"/>
          <w:szCs w:val="32"/>
        </w:rPr>
        <w:t>0</w:t>
      </w:r>
      <w:r>
        <w:rPr>
          <w:rFonts w:hint="eastAsia" w:ascii="仿宋_GB2312" w:eastAsia="仿宋_GB2312"/>
          <w:sz w:val="32"/>
          <w:szCs w:val="32"/>
        </w:rPr>
        <w:t>万元</w:t>
      </w:r>
      <w:r>
        <w:rPr>
          <w:rFonts w:hint="eastAsia" w:ascii="仿宋_GB2312" w:eastAsia="仿宋_GB2312"/>
          <w:sz w:val="32"/>
          <w:szCs w:val="32"/>
          <w:lang w:eastAsia="zh-CN"/>
        </w:rPr>
        <w:t>，与</w:t>
      </w:r>
      <w:r>
        <w:rPr>
          <w:rFonts w:hint="default" w:ascii="Times New Roman" w:hAnsi="Times New Roman" w:eastAsia="仿宋_GB2312" w:cs="Times New Roman"/>
          <w:sz w:val="32"/>
          <w:szCs w:val="32"/>
        </w:rPr>
        <w:t>2022</w:t>
      </w:r>
      <w:r>
        <w:rPr>
          <w:rFonts w:hint="eastAsia" w:ascii="仿宋_GB2312" w:eastAsia="仿宋_GB2312"/>
          <w:sz w:val="32"/>
          <w:szCs w:val="32"/>
        </w:rPr>
        <w:t>年</w:t>
      </w:r>
      <w:r>
        <w:rPr>
          <w:rFonts w:hint="eastAsia" w:ascii="仿宋_GB2312" w:eastAsia="仿宋_GB2312"/>
          <w:sz w:val="32"/>
          <w:szCs w:val="32"/>
          <w:lang w:eastAsia="zh-CN"/>
        </w:rPr>
        <w:t>决算持平</w:t>
      </w:r>
      <w:r>
        <w:rPr>
          <w:rFonts w:hint="eastAsia" w:ascii="仿宋_GB2312" w:eastAsia="仿宋_GB2312"/>
          <w:sz w:val="32"/>
          <w:szCs w:val="32"/>
        </w:rPr>
        <w:t>。</w:t>
      </w:r>
    </w:p>
    <w:p w14:paraId="3C149BCE">
      <w:pPr>
        <w:numPr>
          <w:ilvl w:val="0"/>
          <w:numId w:val="3"/>
        </w:numPr>
        <w:spacing w:line="600" w:lineRule="exact"/>
        <w:ind w:firstLine="640"/>
        <w:outlineLvl w:val="1"/>
        <w:rPr>
          <w:rStyle w:val="29"/>
          <w:rFonts w:ascii="黑体" w:hAnsi="黑体" w:eastAsia="黑体"/>
          <w:b w:val="0"/>
        </w:rPr>
      </w:pPr>
      <w:bookmarkStart w:id="45" w:name="_Toc15377219"/>
      <w:bookmarkStart w:id="46" w:name="_Toc15396611"/>
      <w:r>
        <w:rPr>
          <w:rStyle w:val="29"/>
          <w:rFonts w:hint="eastAsia" w:ascii="黑体" w:hAnsi="黑体" w:eastAsia="黑体"/>
          <w:b w:val="0"/>
        </w:rPr>
        <w:t>国有资本经营预算支出决算情况说明</w:t>
      </w:r>
      <w:bookmarkEnd w:id="45"/>
      <w:bookmarkEnd w:id="46"/>
    </w:p>
    <w:p w14:paraId="42EDF926">
      <w:pPr>
        <w:spacing w:line="600" w:lineRule="exact"/>
        <w:ind w:firstLine="640"/>
        <w:rPr>
          <w:rFonts w:ascii="仿宋_GB2312" w:eastAsia="仿宋_GB2312"/>
          <w:b/>
          <w:sz w:val="32"/>
          <w:szCs w:val="32"/>
        </w:rPr>
      </w:pPr>
      <w:r>
        <w:rPr>
          <w:rFonts w:hint="eastAsia" w:ascii="仿宋_GB2312" w:eastAsia="仿宋_GB2312" w:cs="Times New Roman"/>
          <w:sz w:val="32"/>
          <w:szCs w:val="32"/>
        </w:rPr>
        <w:t>2023</w:t>
      </w:r>
      <w:r>
        <w:rPr>
          <w:rFonts w:hint="eastAsia" w:ascii="仿宋_GB2312" w:eastAsia="仿宋_GB2312"/>
          <w:sz w:val="32"/>
          <w:szCs w:val="32"/>
        </w:rPr>
        <w:t>年度国有资本经营预算财政拨款支出</w:t>
      </w:r>
      <w:r>
        <w:rPr>
          <w:rFonts w:ascii="仿宋" w:hAnsi="仿宋" w:eastAsia="仿宋" w:cs="Times New Roman"/>
          <w:b/>
          <w:sz w:val="32"/>
          <w:szCs w:val="32"/>
        </w:rPr>
        <w:t>0</w:t>
      </w:r>
      <w:r>
        <w:rPr>
          <w:rFonts w:hint="eastAsia" w:ascii="仿宋_GB2312" w:eastAsia="仿宋_GB2312"/>
          <w:sz w:val="32"/>
          <w:szCs w:val="32"/>
        </w:rPr>
        <w:t>万元。</w:t>
      </w:r>
      <w:r>
        <w:rPr>
          <w:rFonts w:hint="eastAsia" w:ascii="仿宋_GB2312" w:eastAsia="仿宋_GB2312"/>
          <w:sz w:val="32"/>
          <w:szCs w:val="32"/>
          <w:lang w:eastAsia="zh-CN"/>
        </w:rPr>
        <w:t>与</w:t>
      </w:r>
      <w:r>
        <w:rPr>
          <w:rFonts w:hint="default" w:ascii="Times New Roman" w:hAnsi="Times New Roman" w:eastAsia="仿宋_GB2312" w:cs="Times New Roman"/>
          <w:sz w:val="32"/>
          <w:szCs w:val="32"/>
        </w:rPr>
        <w:t>2022</w:t>
      </w:r>
      <w:r>
        <w:rPr>
          <w:rFonts w:hint="eastAsia" w:ascii="仿宋_GB2312" w:eastAsia="仿宋_GB2312"/>
          <w:sz w:val="32"/>
          <w:szCs w:val="32"/>
        </w:rPr>
        <w:t>年</w:t>
      </w:r>
      <w:r>
        <w:rPr>
          <w:rFonts w:hint="eastAsia" w:ascii="仿宋_GB2312" w:eastAsia="仿宋_GB2312"/>
          <w:sz w:val="32"/>
          <w:szCs w:val="32"/>
          <w:lang w:eastAsia="zh-CN"/>
        </w:rPr>
        <w:t>决算持平</w:t>
      </w:r>
      <w:r>
        <w:rPr>
          <w:rFonts w:hint="eastAsia" w:ascii="仿宋_GB2312" w:eastAsia="仿宋_GB2312"/>
          <w:sz w:val="32"/>
          <w:szCs w:val="32"/>
        </w:rPr>
        <w:t>。</w:t>
      </w:r>
    </w:p>
    <w:p w14:paraId="1F18AA63">
      <w:pPr>
        <w:spacing w:line="580" w:lineRule="exact"/>
        <w:jc w:val="both"/>
        <w:rPr>
          <w:rFonts w:ascii="方正小标宋简体" w:hAnsi="方正小标宋简体" w:eastAsia="方正小标宋简体" w:cs="方正小标宋简体"/>
          <w:sz w:val="44"/>
          <w:szCs w:val="44"/>
        </w:rPr>
      </w:pPr>
    </w:p>
    <w:p w14:paraId="2FEB811C">
      <w:pPr>
        <w:numPr>
          <w:ilvl w:val="0"/>
          <w:numId w:val="3"/>
        </w:numPr>
        <w:spacing w:line="600" w:lineRule="exact"/>
        <w:ind w:firstLine="640"/>
        <w:outlineLvl w:val="1"/>
        <w:rPr>
          <w:rStyle w:val="29"/>
          <w:rFonts w:ascii="黑体" w:hAnsi="黑体" w:eastAsia="黑体"/>
          <w:b w:val="0"/>
        </w:rPr>
      </w:pPr>
      <w:bookmarkStart w:id="47" w:name="_Toc15396612"/>
      <w:bookmarkStart w:id="48" w:name="_Toc15377221"/>
      <w:r>
        <w:rPr>
          <w:rStyle w:val="29"/>
          <w:rFonts w:hint="eastAsia" w:ascii="黑体" w:hAnsi="黑体" w:eastAsia="黑体"/>
          <w:b w:val="0"/>
        </w:rPr>
        <w:t>其他重要事项的情况说明</w:t>
      </w:r>
      <w:bookmarkEnd w:id="47"/>
      <w:bookmarkEnd w:id="48"/>
    </w:p>
    <w:p w14:paraId="1163C7FA">
      <w:pPr>
        <w:spacing w:line="600" w:lineRule="exact"/>
        <w:ind w:firstLine="643" w:firstLineChars="200"/>
        <w:outlineLvl w:val="2"/>
        <w:rPr>
          <w:rFonts w:ascii="仿宋" w:hAnsi="仿宋" w:eastAsia="仿宋"/>
          <w:sz w:val="32"/>
          <w:szCs w:val="32"/>
        </w:rPr>
      </w:pPr>
      <w:bookmarkStart w:id="49" w:name="_Toc15377222"/>
      <w:r>
        <w:rPr>
          <w:rFonts w:hint="eastAsia" w:ascii="仿宋" w:hAnsi="仿宋" w:eastAsia="仿宋"/>
          <w:b/>
          <w:sz w:val="32"/>
          <w:szCs w:val="32"/>
        </w:rPr>
        <w:t>（一）机关运行经费支出情况</w:t>
      </w:r>
      <w:bookmarkEnd w:id="49"/>
    </w:p>
    <w:p w14:paraId="4B6BBF10">
      <w:pPr>
        <w:spacing w:line="600" w:lineRule="exact"/>
        <w:ind w:firstLine="640" w:firstLineChars="200"/>
        <w:rPr>
          <w:rFonts w:ascii="仿宋_GB2312" w:eastAsia="仿宋_GB2312"/>
          <w:sz w:val="32"/>
          <w:szCs w:val="32"/>
        </w:rPr>
      </w:pPr>
      <w:r>
        <w:rPr>
          <w:rFonts w:hint="eastAsia" w:ascii="仿宋_GB2312" w:eastAsia="仿宋_GB2312" w:cs="Times New Roman"/>
          <w:sz w:val="32"/>
          <w:szCs w:val="32"/>
        </w:rPr>
        <w:t>2023</w:t>
      </w:r>
      <w:r>
        <w:rPr>
          <w:rFonts w:hint="eastAsia" w:ascii="仿宋_GB2312" w:eastAsia="仿宋_GB2312"/>
          <w:sz w:val="32"/>
          <w:szCs w:val="32"/>
        </w:rPr>
        <w:t>年度，</w:t>
      </w:r>
      <w:r>
        <w:rPr>
          <w:rFonts w:ascii="仿宋_GB2312" w:eastAsia="仿宋_GB2312"/>
          <w:b/>
          <w:sz w:val="32"/>
          <w:szCs w:val="32"/>
        </w:rPr>
        <w:t>四川省经济和信息化厅机关服务中心</w:t>
      </w:r>
      <w:r>
        <w:rPr>
          <w:rFonts w:hint="eastAsia" w:ascii="仿宋_GB2312" w:eastAsia="仿宋_GB2312"/>
          <w:sz w:val="32"/>
          <w:szCs w:val="32"/>
        </w:rPr>
        <w:t>机关运行经费支出</w:t>
      </w:r>
      <w:r>
        <w:rPr>
          <w:rFonts w:ascii="仿宋" w:hAnsi="仿宋" w:eastAsia="仿宋" w:cs="Times New Roman"/>
          <w:b/>
          <w:sz w:val="32"/>
          <w:szCs w:val="32"/>
        </w:rPr>
        <w:t>0</w:t>
      </w:r>
      <w:r>
        <w:rPr>
          <w:rFonts w:hint="eastAsia" w:ascii="仿宋_GB2312" w:eastAsia="仿宋_GB2312"/>
          <w:sz w:val="32"/>
          <w:szCs w:val="32"/>
        </w:rPr>
        <w:t>万元，与</w:t>
      </w:r>
      <w:r>
        <w:rPr>
          <w:rFonts w:ascii="仿宋_GB2312" w:eastAsia="仿宋_GB2312" w:cs="Times New Roman"/>
          <w:sz w:val="32"/>
          <w:szCs w:val="32"/>
        </w:rPr>
        <w:t>20</w:t>
      </w:r>
      <w:r>
        <w:rPr>
          <w:rFonts w:hint="eastAsia" w:ascii="仿宋_GB2312" w:eastAsia="仿宋_GB2312" w:cs="Times New Roman"/>
          <w:sz w:val="32"/>
          <w:szCs w:val="32"/>
        </w:rPr>
        <w:t>22</w:t>
      </w:r>
      <w:r>
        <w:rPr>
          <w:rFonts w:hint="eastAsia" w:ascii="仿宋_GB2312" w:eastAsia="仿宋_GB2312"/>
          <w:sz w:val="32"/>
          <w:szCs w:val="32"/>
        </w:rPr>
        <w:t>年决算数持平。</w:t>
      </w:r>
    </w:p>
    <w:p w14:paraId="2F2272AF">
      <w:pPr>
        <w:autoSpaceDE w:val="0"/>
        <w:autoSpaceDN w:val="0"/>
        <w:adjustRightInd w:val="0"/>
        <w:spacing w:line="600" w:lineRule="exact"/>
        <w:ind w:firstLine="643" w:firstLineChars="200"/>
        <w:jc w:val="left"/>
        <w:outlineLvl w:val="2"/>
        <w:rPr>
          <w:rFonts w:ascii="仿宋" w:hAnsi="仿宋" w:eastAsia="仿宋"/>
          <w:b/>
          <w:sz w:val="32"/>
          <w:szCs w:val="32"/>
        </w:rPr>
      </w:pPr>
      <w:bookmarkStart w:id="50" w:name="_Toc15377223"/>
      <w:r>
        <w:rPr>
          <w:rFonts w:hint="eastAsia" w:ascii="仿宋" w:hAnsi="仿宋" w:eastAsia="仿宋"/>
          <w:b/>
          <w:sz w:val="32"/>
          <w:szCs w:val="32"/>
        </w:rPr>
        <w:t>（二）政府采购支出情况</w:t>
      </w:r>
      <w:bookmarkEnd w:id="50"/>
    </w:p>
    <w:p w14:paraId="0A8AA2E0">
      <w:pPr>
        <w:spacing w:line="600" w:lineRule="exact"/>
        <w:ind w:firstLine="640" w:firstLineChars="200"/>
        <w:rPr>
          <w:rFonts w:ascii="仿宋_GB2312" w:eastAsia="仿宋_GB2312"/>
          <w:sz w:val="32"/>
          <w:szCs w:val="32"/>
        </w:rPr>
      </w:pPr>
      <w:r>
        <w:rPr>
          <w:rFonts w:hint="eastAsia" w:ascii="仿宋_GB2312" w:eastAsia="仿宋_GB2312" w:cs="Times New Roman"/>
          <w:sz w:val="32"/>
          <w:szCs w:val="32"/>
        </w:rPr>
        <w:t>2023</w:t>
      </w:r>
      <w:r>
        <w:rPr>
          <w:rFonts w:hint="eastAsia" w:ascii="仿宋_GB2312" w:eastAsia="仿宋_GB2312"/>
          <w:sz w:val="32"/>
          <w:szCs w:val="32"/>
        </w:rPr>
        <w:t>年度，</w:t>
      </w:r>
      <w:r>
        <w:rPr>
          <w:rFonts w:ascii="仿宋_GB2312" w:eastAsia="仿宋_GB2312"/>
          <w:b/>
          <w:sz w:val="32"/>
          <w:szCs w:val="32"/>
        </w:rPr>
        <w:t>四川省经济和信息化厅机关服务中心</w:t>
      </w:r>
      <w:r>
        <w:rPr>
          <w:rFonts w:hint="eastAsia" w:ascii="仿宋_GB2312" w:eastAsia="仿宋_GB2312"/>
          <w:sz w:val="32"/>
          <w:szCs w:val="32"/>
        </w:rPr>
        <w:t>政府采购支出总额</w:t>
      </w:r>
      <w:r>
        <w:rPr>
          <w:rFonts w:ascii="仿宋" w:hAnsi="仿宋" w:eastAsia="仿宋" w:cs="Times New Roman"/>
          <w:b/>
          <w:sz w:val="32"/>
          <w:szCs w:val="32"/>
        </w:rPr>
        <w:t>6</w:t>
      </w:r>
      <w:r>
        <w:rPr>
          <w:rFonts w:ascii="仿宋" w:hAnsi="仿宋" w:eastAsia="仿宋"/>
          <w:b/>
          <w:sz w:val="32"/>
          <w:szCs w:val="32"/>
        </w:rPr>
        <w:t>.</w:t>
      </w:r>
      <w:r>
        <w:rPr>
          <w:rFonts w:ascii="仿宋" w:hAnsi="仿宋" w:eastAsia="仿宋" w:cs="Times New Roman"/>
          <w:b/>
          <w:sz w:val="32"/>
          <w:szCs w:val="32"/>
        </w:rPr>
        <w:t>06</w:t>
      </w:r>
      <w:r>
        <w:rPr>
          <w:rFonts w:hint="eastAsia" w:ascii="仿宋_GB2312" w:eastAsia="仿宋_GB2312"/>
          <w:sz w:val="32"/>
          <w:szCs w:val="32"/>
        </w:rPr>
        <w:t>万元，其中：政府采购货物支出</w:t>
      </w:r>
      <w:r>
        <w:rPr>
          <w:rFonts w:ascii="仿宋" w:hAnsi="仿宋" w:eastAsia="仿宋" w:cs="Times New Roman"/>
          <w:b/>
          <w:sz w:val="32"/>
          <w:szCs w:val="32"/>
        </w:rPr>
        <w:t>0</w:t>
      </w:r>
      <w:r>
        <w:rPr>
          <w:rFonts w:hint="eastAsia" w:ascii="仿宋_GB2312" w:eastAsia="仿宋_GB2312"/>
          <w:sz w:val="32"/>
          <w:szCs w:val="32"/>
        </w:rPr>
        <w:t>万元、政府采购工程支出</w:t>
      </w:r>
      <w:r>
        <w:rPr>
          <w:rFonts w:ascii="仿宋" w:hAnsi="仿宋" w:eastAsia="仿宋" w:cs="Times New Roman"/>
          <w:b/>
          <w:sz w:val="32"/>
          <w:szCs w:val="32"/>
        </w:rPr>
        <w:t>0</w:t>
      </w:r>
      <w:r>
        <w:rPr>
          <w:rFonts w:hint="eastAsia" w:ascii="仿宋_GB2312" w:eastAsia="仿宋_GB2312"/>
          <w:sz w:val="32"/>
          <w:szCs w:val="32"/>
        </w:rPr>
        <w:t>万元、政府采购服务支出</w:t>
      </w:r>
      <w:r>
        <w:rPr>
          <w:rFonts w:ascii="仿宋" w:hAnsi="仿宋" w:eastAsia="仿宋" w:cs="Times New Roman"/>
          <w:b/>
          <w:sz w:val="32"/>
          <w:szCs w:val="32"/>
        </w:rPr>
        <w:t>6</w:t>
      </w:r>
      <w:r>
        <w:rPr>
          <w:rFonts w:ascii="仿宋" w:hAnsi="仿宋" w:eastAsia="仿宋"/>
          <w:b/>
          <w:sz w:val="32"/>
          <w:szCs w:val="32"/>
        </w:rPr>
        <w:t>.</w:t>
      </w:r>
      <w:r>
        <w:rPr>
          <w:rFonts w:ascii="仿宋" w:hAnsi="仿宋" w:eastAsia="仿宋" w:cs="Times New Roman"/>
          <w:b/>
          <w:sz w:val="32"/>
          <w:szCs w:val="32"/>
        </w:rPr>
        <w:t>06</w:t>
      </w:r>
      <w:r>
        <w:rPr>
          <w:rFonts w:hint="eastAsia" w:ascii="仿宋_GB2312" w:eastAsia="仿宋_GB2312"/>
          <w:sz w:val="32"/>
          <w:szCs w:val="32"/>
        </w:rPr>
        <w:t>万元。主要用于本单位</w:t>
      </w:r>
      <w:r>
        <w:rPr>
          <w:rFonts w:hint="eastAsia" w:ascii="仿宋_GB2312" w:eastAsia="仿宋_GB2312" w:cs="Times New Roman"/>
          <w:sz w:val="32"/>
          <w:szCs w:val="32"/>
        </w:rPr>
        <w:t>2</w:t>
      </w:r>
      <w:r>
        <w:rPr>
          <w:rFonts w:hint="eastAsia" w:ascii="仿宋_GB2312" w:eastAsia="仿宋_GB2312"/>
          <w:sz w:val="32"/>
          <w:szCs w:val="32"/>
        </w:rPr>
        <w:t>台公务用车车辆加油服务、财产保险服务、维修和保养服务。授予中小企业合同金额</w:t>
      </w:r>
      <w:r>
        <w:rPr>
          <w:rFonts w:ascii="仿宋" w:hAnsi="仿宋" w:eastAsia="仿宋" w:cs="Times New Roman"/>
          <w:b/>
          <w:sz w:val="32"/>
          <w:szCs w:val="32"/>
        </w:rPr>
        <w:t>0</w:t>
      </w:r>
      <w:r>
        <w:rPr>
          <w:rFonts w:hint="eastAsia" w:ascii="仿宋_GB2312" w:eastAsia="仿宋_GB2312"/>
          <w:sz w:val="32"/>
          <w:szCs w:val="32"/>
        </w:rPr>
        <w:t>万元，占政府采购支出总额的</w:t>
      </w:r>
      <w:r>
        <w:rPr>
          <w:rFonts w:ascii="仿宋_GB2312" w:eastAsia="仿宋_GB2312" w:cs="Times New Roman"/>
          <w:sz w:val="32"/>
          <w:szCs w:val="32"/>
        </w:rPr>
        <w:t>0</w:t>
      </w:r>
      <w:r>
        <w:rPr>
          <w:rFonts w:ascii="仿宋_GB2312" w:eastAsia="仿宋_GB2312"/>
          <w:sz w:val="32"/>
          <w:szCs w:val="32"/>
        </w:rPr>
        <w:t>%</w:t>
      </w:r>
      <w:r>
        <w:rPr>
          <w:rFonts w:hint="eastAsia" w:ascii="仿宋_GB2312" w:eastAsia="仿宋_GB2312"/>
          <w:sz w:val="32"/>
          <w:szCs w:val="32"/>
        </w:rPr>
        <w:t>，其中：授予小微企业合同金额</w:t>
      </w:r>
      <w:r>
        <w:rPr>
          <w:rFonts w:ascii="仿宋" w:hAnsi="仿宋" w:eastAsia="仿宋" w:cs="Times New Roman"/>
          <w:b/>
          <w:sz w:val="32"/>
          <w:szCs w:val="32"/>
        </w:rPr>
        <w:t>0</w:t>
      </w:r>
      <w:r>
        <w:rPr>
          <w:rFonts w:hint="eastAsia" w:ascii="仿宋_GB2312" w:eastAsia="仿宋_GB2312"/>
          <w:sz w:val="32"/>
          <w:szCs w:val="32"/>
        </w:rPr>
        <w:t>万元，占政府采购支出总额的</w:t>
      </w:r>
      <w:r>
        <w:rPr>
          <w:rFonts w:ascii="仿宋_GB2312" w:eastAsia="仿宋_GB2312" w:cs="Times New Roman"/>
          <w:b/>
          <w:sz w:val="32"/>
          <w:szCs w:val="32"/>
        </w:rPr>
        <w:t>0</w:t>
      </w:r>
      <w:r>
        <w:rPr>
          <w:rFonts w:ascii="仿宋_GB2312" w:eastAsia="仿宋_GB2312"/>
          <w:sz w:val="32"/>
          <w:szCs w:val="32"/>
        </w:rPr>
        <w:t>%</w:t>
      </w:r>
      <w:r>
        <w:rPr>
          <w:rFonts w:hint="eastAsia" w:ascii="仿宋_GB2312" w:eastAsia="仿宋_GB2312"/>
          <w:sz w:val="32"/>
          <w:szCs w:val="32"/>
        </w:rPr>
        <w:t>。</w:t>
      </w:r>
    </w:p>
    <w:p w14:paraId="56E07DEB">
      <w:pPr>
        <w:autoSpaceDE w:val="0"/>
        <w:autoSpaceDN w:val="0"/>
        <w:adjustRightInd w:val="0"/>
        <w:spacing w:line="600" w:lineRule="exact"/>
        <w:ind w:firstLine="643" w:firstLineChars="200"/>
        <w:jc w:val="left"/>
        <w:outlineLvl w:val="2"/>
        <w:rPr>
          <w:rFonts w:ascii="仿宋" w:hAnsi="仿宋" w:eastAsia="仿宋"/>
          <w:b/>
          <w:sz w:val="32"/>
          <w:szCs w:val="32"/>
        </w:rPr>
      </w:pPr>
      <w:bookmarkStart w:id="51" w:name="_Toc15377224"/>
      <w:r>
        <w:rPr>
          <w:rFonts w:hint="eastAsia" w:ascii="仿宋" w:hAnsi="仿宋" w:eastAsia="仿宋"/>
          <w:b/>
          <w:sz w:val="32"/>
          <w:szCs w:val="32"/>
        </w:rPr>
        <w:t>（三）国有资产占有使用情况</w:t>
      </w:r>
      <w:bookmarkEnd w:id="51"/>
    </w:p>
    <w:p w14:paraId="65AE055B">
      <w:pPr>
        <w:autoSpaceDE w:val="0"/>
        <w:autoSpaceDN w:val="0"/>
        <w:adjustRightInd w:val="0"/>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截至</w:t>
      </w:r>
      <w:r>
        <w:rPr>
          <w:rFonts w:hint="eastAsia" w:ascii="仿宋_GB2312" w:eastAsia="仿宋_GB2312" w:cs="Times New Roman"/>
          <w:sz w:val="32"/>
          <w:szCs w:val="32"/>
        </w:rPr>
        <w:t>2023</w:t>
      </w:r>
      <w:r>
        <w:rPr>
          <w:rFonts w:hint="eastAsia" w:ascii="仿宋_GB2312" w:eastAsia="仿宋_GB2312"/>
          <w:sz w:val="32"/>
          <w:szCs w:val="32"/>
        </w:rPr>
        <w:t>年</w:t>
      </w:r>
      <w:r>
        <w:rPr>
          <w:rFonts w:ascii="仿宋_GB2312" w:eastAsia="仿宋_GB2312" w:cs="Times New Roman"/>
          <w:sz w:val="32"/>
          <w:szCs w:val="32"/>
        </w:rPr>
        <w:t>12</w:t>
      </w:r>
      <w:r>
        <w:rPr>
          <w:rFonts w:hint="eastAsia" w:ascii="仿宋_GB2312" w:eastAsia="仿宋_GB2312"/>
          <w:sz w:val="32"/>
          <w:szCs w:val="32"/>
        </w:rPr>
        <w:t>月</w:t>
      </w:r>
      <w:r>
        <w:rPr>
          <w:rFonts w:ascii="仿宋_GB2312" w:eastAsia="仿宋_GB2312" w:cs="Times New Roman"/>
          <w:sz w:val="32"/>
          <w:szCs w:val="32"/>
        </w:rPr>
        <w:t>31</w:t>
      </w:r>
      <w:r>
        <w:rPr>
          <w:rFonts w:hint="eastAsia" w:ascii="仿宋_GB2312" w:eastAsia="仿宋_GB2312"/>
          <w:sz w:val="32"/>
          <w:szCs w:val="32"/>
        </w:rPr>
        <w:t>日，</w:t>
      </w:r>
      <w:r>
        <w:rPr>
          <w:rFonts w:ascii="仿宋_GB2312" w:eastAsia="仿宋_GB2312"/>
          <w:b/>
          <w:sz w:val="32"/>
          <w:szCs w:val="32"/>
        </w:rPr>
        <w:t>四川省经济和信息化厅机关服务中心</w:t>
      </w:r>
      <w:r>
        <w:rPr>
          <w:rFonts w:hint="eastAsia" w:ascii="仿宋_GB2312" w:eastAsia="仿宋_GB2312"/>
          <w:sz w:val="32"/>
          <w:szCs w:val="32"/>
        </w:rPr>
        <w:t>共有车辆</w:t>
      </w:r>
      <w:r>
        <w:rPr>
          <w:rFonts w:hint="eastAsia" w:ascii="仿宋_GB2312" w:eastAsia="仿宋_GB2312" w:cs="Times New Roman"/>
          <w:b/>
          <w:sz w:val="32"/>
          <w:szCs w:val="32"/>
        </w:rPr>
        <w:t>2</w:t>
      </w:r>
      <w:r>
        <w:rPr>
          <w:rFonts w:hint="eastAsia" w:ascii="仿宋_GB2312" w:eastAsia="仿宋_GB2312"/>
          <w:sz w:val="32"/>
          <w:szCs w:val="32"/>
        </w:rPr>
        <w:t>辆，其中：主要领导干部用车</w:t>
      </w:r>
      <w:r>
        <w:rPr>
          <w:rFonts w:hint="eastAsia" w:ascii="仿宋_GB2312" w:eastAsia="仿宋_GB2312" w:cs="Times New Roman"/>
          <w:sz w:val="32"/>
          <w:szCs w:val="32"/>
        </w:rPr>
        <w:t>0</w:t>
      </w:r>
      <w:r>
        <w:rPr>
          <w:rFonts w:hint="eastAsia" w:ascii="仿宋_GB2312" w:eastAsia="仿宋_GB2312"/>
          <w:sz w:val="32"/>
          <w:szCs w:val="32"/>
        </w:rPr>
        <w:t>辆、机要通信用车</w:t>
      </w:r>
      <w:r>
        <w:rPr>
          <w:rFonts w:hint="eastAsia" w:ascii="仿宋_GB2312" w:eastAsia="仿宋_GB2312" w:cs="Times New Roman"/>
          <w:sz w:val="32"/>
          <w:szCs w:val="32"/>
        </w:rPr>
        <w:t>0</w:t>
      </w:r>
      <w:r>
        <w:rPr>
          <w:rFonts w:hint="eastAsia" w:ascii="仿宋_GB2312" w:eastAsia="仿宋_GB2312"/>
          <w:sz w:val="32"/>
          <w:szCs w:val="32"/>
        </w:rPr>
        <w:t>辆、应急保障用车</w:t>
      </w:r>
      <w:r>
        <w:rPr>
          <w:rFonts w:hint="eastAsia" w:ascii="仿宋_GB2312" w:eastAsia="仿宋_GB2312" w:cs="Times New Roman"/>
          <w:sz w:val="32"/>
          <w:szCs w:val="32"/>
        </w:rPr>
        <w:t>0</w:t>
      </w:r>
      <w:r>
        <w:rPr>
          <w:rFonts w:hint="eastAsia" w:ascii="仿宋_GB2312" w:eastAsia="仿宋_GB2312"/>
          <w:sz w:val="32"/>
          <w:szCs w:val="32"/>
        </w:rPr>
        <w:t>辆、其他用车</w:t>
      </w:r>
      <w:r>
        <w:rPr>
          <w:rFonts w:hint="eastAsia" w:ascii="仿宋_GB2312" w:eastAsia="仿宋_GB2312" w:cs="Times New Roman"/>
          <w:sz w:val="32"/>
          <w:szCs w:val="32"/>
        </w:rPr>
        <w:t>2</w:t>
      </w:r>
      <w:r>
        <w:rPr>
          <w:rFonts w:hint="eastAsia" w:ascii="仿宋_GB2312" w:eastAsia="仿宋_GB2312"/>
          <w:sz w:val="32"/>
          <w:szCs w:val="32"/>
        </w:rPr>
        <w:t>辆，其他用车主要是用于机关后勤保障。单价</w:t>
      </w:r>
      <w:r>
        <w:rPr>
          <w:rFonts w:ascii="仿宋_GB2312" w:eastAsia="仿宋_GB2312" w:cs="Times New Roman"/>
          <w:sz w:val="32"/>
          <w:szCs w:val="32"/>
        </w:rPr>
        <w:t>100</w:t>
      </w:r>
      <w:r>
        <w:rPr>
          <w:rFonts w:hint="eastAsia" w:ascii="仿宋_GB2312" w:eastAsia="仿宋_GB2312"/>
          <w:sz w:val="32"/>
          <w:szCs w:val="32"/>
        </w:rPr>
        <w:t>万元以上设备（不含车辆）</w:t>
      </w:r>
      <w:r>
        <w:rPr>
          <w:rFonts w:ascii="仿宋_GB2312" w:eastAsia="仿宋_GB2312" w:cs="Times New Roman"/>
          <w:b/>
          <w:sz w:val="32"/>
          <w:szCs w:val="32"/>
        </w:rPr>
        <w:t>0</w:t>
      </w:r>
      <w:r>
        <w:rPr>
          <w:rFonts w:hint="eastAsia" w:ascii="仿宋_GB2312" w:eastAsia="仿宋_GB2312"/>
          <w:sz w:val="32"/>
          <w:szCs w:val="32"/>
        </w:rPr>
        <w:t>台（套）。</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1417"/>
        <w:gridCol w:w="992"/>
        <w:gridCol w:w="1336"/>
        <w:gridCol w:w="2366"/>
        <w:gridCol w:w="1241"/>
        <w:gridCol w:w="1218"/>
      </w:tblGrid>
      <w:tr w14:paraId="35974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44ABA324">
            <w:pPr>
              <w:pStyle w:val="6"/>
              <w:spacing w:before="93"/>
              <w:jc w:val="center"/>
              <w:rPr>
                <w:sz w:val="13"/>
                <w:szCs w:val="13"/>
              </w:rPr>
            </w:pPr>
            <w:r>
              <w:rPr>
                <w:rFonts w:hint="eastAsia"/>
                <w:sz w:val="13"/>
                <w:szCs w:val="13"/>
              </w:rPr>
              <w:t>序号</w:t>
            </w:r>
          </w:p>
        </w:tc>
        <w:tc>
          <w:tcPr>
            <w:tcW w:w="1417" w:type="dxa"/>
          </w:tcPr>
          <w:p w14:paraId="510C7DA1">
            <w:pPr>
              <w:pStyle w:val="6"/>
              <w:spacing w:before="93"/>
              <w:jc w:val="center"/>
              <w:rPr>
                <w:sz w:val="13"/>
                <w:szCs w:val="13"/>
              </w:rPr>
            </w:pPr>
            <w:r>
              <w:rPr>
                <w:rFonts w:hint="eastAsia"/>
                <w:sz w:val="13"/>
                <w:szCs w:val="13"/>
              </w:rPr>
              <w:t>车型</w:t>
            </w:r>
          </w:p>
        </w:tc>
        <w:tc>
          <w:tcPr>
            <w:tcW w:w="992" w:type="dxa"/>
          </w:tcPr>
          <w:p w14:paraId="67C39FFE">
            <w:pPr>
              <w:pStyle w:val="6"/>
              <w:spacing w:before="93"/>
              <w:jc w:val="center"/>
              <w:rPr>
                <w:sz w:val="13"/>
                <w:szCs w:val="13"/>
              </w:rPr>
            </w:pPr>
            <w:r>
              <w:rPr>
                <w:rFonts w:hint="eastAsia"/>
                <w:sz w:val="13"/>
                <w:szCs w:val="13"/>
              </w:rPr>
              <w:t>车牌号</w:t>
            </w:r>
          </w:p>
        </w:tc>
        <w:tc>
          <w:tcPr>
            <w:tcW w:w="851" w:type="dxa"/>
          </w:tcPr>
          <w:p w14:paraId="47CA6E20">
            <w:pPr>
              <w:pStyle w:val="6"/>
              <w:spacing w:before="93"/>
              <w:jc w:val="center"/>
              <w:rPr>
                <w:sz w:val="13"/>
                <w:szCs w:val="13"/>
              </w:rPr>
            </w:pPr>
            <w:r>
              <w:rPr>
                <w:rFonts w:hint="eastAsia"/>
                <w:sz w:val="13"/>
                <w:szCs w:val="13"/>
              </w:rPr>
              <w:t>发动机号</w:t>
            </w:r>
          </w:p>
        </w:tc>
        <w:tc>
          <w:tcPr>
            <w:tcW w:w="2292" w:type="dxa"/>
          </w:tcPr>
          <w:p w14:paraId="16687323">
            <w:pPr>
              <w:pStyle w:val="6"/>
              <w:spacing w:before="93"/>
              <w:jc w:val="center"/>
              <w:rPr>
                <w:sz w:val="13"/>
                <w:szCs w:val="13"/>
              </w:rPr>
            </w:pPr>
            <w:r>
              <w:rPr>
                <w:rFonts w:hint="eastAsia"/>
                <w:sz w:val="13"/>
                <w:szCs w:val="13"/>
              </w:rPr>
              <w:t>车架（识别）号</w:t>
            </w:r>
          </w:p>
        </w:tc>
        <w:tc>
          <w:tcPr>
            <w:tcW w:w="1218" w:type="dxa"/>
          </w:tcPr>
          <w:p w14:paraId="2CDDED0A">
            <w:pPr>
              <w:pStyle w:val="6"/>
              <w:spacing w:before="93"/>
              <w:jc w:val="center"/>
              <w:rPr>
                <w:sz w:val="13"/>
                <w:szCs w:val="13"/>
              </w:rPr>
            </w:pPr>
            <w:r>
              <w:rPr>
                <w:rFonts w:hint="eastAsia"/>
                <w:sz w:val="13"/>
                <w:szCs w:val="13"/>
              </w:rPr>
              <w:t>注册时间</w:t>
            </w:r>
          </w:p>
        </w:tc>
        <w:tc>
          <w:tcPr>
            <w:tcW w:w="1218" w:type="dxa"/>
          </w:tcPr>
          <w:p w14:paraId="20B456D0">
            <w:pPr>
              <w:pStyle w:val="6"/>
              <w:spacing w:before="93"/>
              <w:jc w:val="center"/>
              <w:rPr>
                <w:sz w:val="13"/>
                <w:szCs w:val="13"/>
              </w:rPr>
            </w:pPr>
            <w:r>
              <w:rPr>
                <w:rFonts w:hint="eastAsia"/>
                <w:sz w:val="13"/>
                <w:szCs w:val="13"/>
              </w:rPr>
              <w:t>资产原值(万元)</w:t>
            </w:r>
          </w:p>
        </w:tc>
      </w:tr>
      <w:tr w14:paraId="5A126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27C89CCC">
            <w:pPr>
              <w:pStyle w:val="6"/>
              <w:spacing w:before="93"/>
              <w:jc w:val="center"/>
              <w:rPr>
                <w:sz w:val="13"/>
                <w:szCs w:val="13"/>
              </w:rPr>
            </w:pPr>
            <w:r>
              <w:rPr>
                <w:rFonts w:hint="eastAsia" w:cs="Times New Roman"/>
                <w:sz w:val="32"/>
                <w:szCs w:val="13"/>
              </w:rPr>
              <w:t>1</w:t>
            </w:r>
          </w:p>
        </w:tc>
        <w:tc>
          <w:tcPr>
            <w:tcW w:w="1417" w:type="dxa"/>
          </w:tcPr>
          <w:p w14:paraId="49698140">
            <w:pPr>
              <w:pStyle w:val="6"/>
              <w:spacing w:before="93"/>
              <w:jc w:val="center"/>
              <w:rPr>
                <w:sz w:val="13"/>
                <w:szCs w:val="13"/>
              </w:rPr>
            </w:pPr>
            <w:r>
              <w:rPr>
                <w:rFonts w:hint="eastAsia"/>
                <w:sz w:val="13"/>
                <w:szCs w:val="13"/>
              </w:rPr>
              <w:t>康恩迪客车</w:t>
            </w:r>
          </w:p>
        </w:tc>
        <w:tc>
          <w:tcPr>
            <w:tcW w:w="992" w:type="dxa"/>
          </w:tcPr>
          <w:p w14:paraId="161F3992">
            <w:pPr>
              <w:pStyle w:val="6"/>
              <w:spacing w:before="93"/>
              <w:jc w:val="center"/>
              <w:rPr>
                <w:sz w:val="13"/>
                <w:szCs w:val="13"/>
              </w:rPr>
            </w:pPr>
            <w:r>
              <w:rPr>
                <w:rFonts w:hint="eastAsia"/>
                <w:sz w:val="13"/>
                <w:szCs w:val="13"/>
              </w:rPr>
              <w:t>川A</w:t>
            </w:r>
            <w:r>
              <w:rPr>
                <w:rFonts w:hint="eastAsia" w:cs="Times New Roman"/>
                <w:sz w:val="32"/>
                <w:szCs w:val="13"/>
              </w:rPr>
              <w:t>0025</w:t>
            </w:r>
            <w:r>
              <w:rPr>
                <w:rFonts w:hint="eastAsia"/>
                <w:sz w:val="13"/>
                <w:szCs w:val="13"/>
              </w:rPr>
              <w:t>C</w:t>
            </w:r>
          </w:p>
        </w:tc>
        <w:tc>
          <w:tcPr>
            <w:tcW w:w="851" w:type="dxa"/>
          </w:tcPr>
          <w:p w14:paraId="7613E694">
            <w:pPr>
              <w:pStyle w:val="6"/>
              <w:spacing w:before="93"/>
              <w:jc w:val="center"/>
              <w:rPr>
                <w:sz w:val="13"/>
                <w:szCs w:val="13"/>
              </w:rPr>
            </w:pPr>
            <w:r>
              <w:rPr>
                <w:rFonts w:hint="eastAsia"/>
                <w:sz w:val="13"/>
                <w:szCs w:val="13"/>
              </w:rPr>
              <w:t>HJ</w:t>
            </w:r>
            <w:r>
              <w:rPr>
                <w:rFonts w:hint="eastAsia" w:cs="Times New Roman"/>
                <w:sz w:val="32"/>
                <w:szCs w:val="13"/>
              </w:rPr>
              <w:t>225545</w:t>
            </w:r>
          </w:p>
        </w:tc>
        <w:tc>
          <w:tcPr>
            <w:tcW w:w="2292" w:type="dxa"/>
          </w:tcPr>
          <w:p w14:paraId="3EA77F91">
            <w:pPr>
              <w:pStyle w:val="6"/>
              <w:spacing w:before="93"/>
              <w:jc w:val="center"/>
              <w:rPr>
                <w:sz w:val="13"/>
                <w:szCs w:val="13"/>
              </w:rPr>
            </w:pPr>
            <w:r>
              <w:rPr>
                <w:rFonts w:hint="eastAsia"/>
                <w:sz w:val="13"/>
                <w:szCs w:val="13"/>
              </w:rPr>
              <w:t>LC</w:t>
            </w:r>
            <w:r>
              <w:rPr>
                <w:rFonts w:hint="eastAsia" w:cs="Times New Roman"/>
                <w:sz w:val="32"/>
                <w:szCs w:val="13"/>
              </w:rPr>
              <w:t>1</w:t>
            </w:r>
            <w:r>
              <w:rPr>
                <w:rFonts w:hint="eastAsia"/>
                <w:sz w:val="13"/>
                <w:szCs w:val="13"/>
              </w:rPr>
              <w:t>A</w:t>
            </w:r>
            <w:r>
              <w:rPr>
                <w:rFonts w:hint="eastAsia" w:cs="Times New Roman"/>
                <w:sz w:val="32"/>
                <w:szCs w:val="13"/>
              </w:rPr>
              <w:t>221</w:t>
            </w:r>
            <w:r>
              <w:rPr>
                <w:rFonts w:hint="eastAsia"/>
                <w:sz w:val="13"/>
                <w:szCs w:val="13"/>
              </w:rPr>
              <w:t>B</w:t>
            </w:r>
            <w:r>
              <w:rPr>
                <w:rFonts w:hint="eastAsia" w:cs="Times New Roman"/>
                <w:sz w:val="32"/>
                <w:szCs w:val="13"/>
              </w:rPr>
              <w:t>3</w:t>
            </w:r>
            <w:r>
              <w:rPr>
                <w:rFonts w:hint="eastAsia"/>
                <w:sz w:val="13"/>
                <w:szCs w:val="13"/>
              </w:rPr>
              <w:t>JA</w:t>
            </w:r>
            <w:r>
              <w:rPr>
                <w:rFonts w:hint="eastAsia" w:cs="Times New Roman"/>
                <w:sz w:val="32"/>
                <w:szCs w:val="13"/>
              </w:rPr>
              <w:t>001437</w:t>
            </w:r>
          </w:p>
        </w:tc>
        <w:tc>
          <w:tcPr>
            <w:tcW w:w="1218" w:type="dxa"/>
          </w:tcPr>
          <w:p w14:paraId="6384E145">
            <w:pPr>
              <w:pStyle w:val="6"/>
              <w:spacing w:before="93"/>
              <w:jc w:val="center"/>
              <w:rPr>
                <w:sz w:val="13"/>
                <w:szCs w:val="13"/>
              </w:rPr>
            </w:pPr>
            <w:r>
              <w:rPr>
                <w:rFonts w:hint="eastAsia" w:cs="Times New Roman"/>
                <w:sz w:val="32"/>
                <w:szCs w:val="13"/>
              </w:rPr>
              <w:t>2018</w:t>
            </w:r>
            <w:r>
              <w:rPr>
                <w:rFonts w:hint="eastAsia"/>
                <w:sz w:val="13"/>
                <w:szCs w:val="13"/>
              </w:rPr>
              <w:t>.</w:t>
            </w:r>
            <w:r>
              <w:rPr>
                <w:rFonts w:hint="eastAsia" w:cs="Times New Roman"/>
                <w:sz w:val="32"/>
                <w:szCs w:val="13"/>
              </w:rPr>
              <w:t>04</w:t>
            </w:r>
          </w:p>
        </w:tc>
        <w:tc>
          <w:tcPr>
            <w:tcW w:w="1218" w:type="dxa"/>
          </w:tcPr>
          <w:p w14:paraId="57727F90">
            <w:pPr>
              <w:pStyle w:val="6"/>
              <w:spacing w:before="93"/>
              <w:jc w:val="center"/>
              <w:rPr>
                <w:sz w:val="13"/>
                <w:szCs w:val="13"/>
              </w:rPr>
            </w:pPr>
            <w:r>
              <w:rPr>
                <w:rFonts w:hint="eastAsia" w:cs="Times New Roman"/>
                <w:sz w:val="32"/>
                <w:szCs w:val="13"/>
              </w:rPr>
              <w:t>12</w:t>
            </w:r>
            <w:r>
              <w:rPr>
                <w:rFonts w:hint="eastAsia"/>
                <w:sz w:val="13"/>
                <w:szCs w:val="13"/>
              </w:rPr>
              <w:t>.</w:t>
            </w:r>
            <w:r>
              <w:rPr>
                <w:rFonts w:hint="eastAsia" w:cs="Times New Roman"/>
                <w:sz w:val="32"/>
                <w:szCs w:val="13"/>
              </w:rPr>
              <w:t>19</w:t>
            </w:r>
          </w:p>
        </w:tc>
      </w:tr>
      <w:tr w14:paraId="0D845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Pr>
          <w:p w14:paraId="05597929">
            <w:pPr>
              <w:pStyle w:val="6"/>
              <w:spacing w:before="93"/>
              <w:jc w:val="center"/>
              <w:rPr>
                <w:sz w:val="13"/>
                <w:szCs w:val="13"/>
              </w:rPr>
            </w:pPr>
            <w:r>
              <w:rPr>
                <w:rFonts w:hint="eastAsia" w:cs="Times New Roman"/>
                <w:sz w:val="32"/>
                <w:szCs w:val="13"/>
              </w:rPr>
              <w:t>2</w:t>
            </w:r>
          </w:p>
        </w:tc>
        <w:tc>
          <w:tcPr>
            <w:tcW w:w="1417" w:type="dxa"/>
          </w:tcPr>
          <w:p w14:paraId="4AAE7EE4">
            <w:pPr>
              <w:pStyle w:val="6"/>
              <w:spacing w:before="93"/>
              <w:jc w:val="center"/>
              <w:rPr>
                <w:sz w:val="13"/>
                <w:szCs w:val="13"/>
              </w:rPr>
            </w:pPr>
            <w:r>
              <w:rPr>
                <w:rFonts w:hint="eastAsia"/>
                <w:sz w:val="13"/>
                <w:szCs w:val="13"/>
              </w:rPr>
              <w:t>丰田普拉多越野车</w:t>
            </w:r>
          </w:p>
        </w:tc>
        <w:tc>
          <w:tcPr>
            <w:tcW w:w="992" w:type="dxa"/>
          </w:tcPr>
          <w:p w14:paraId="5B924715">
            <w:pPr>
              <w:pStyle w:val="6"/>
              <w:spacing w:before="93"/>
              <w:jc w:val="center"/>
              <w:rPr>
                <w:sz w:val="13"/>
                <w:szCs w:val="13"/>
              </w:rPr>
            </w:pPr>
            <w:r>
              <w:rPr>
                <w:rFonts w:hint="eastAsia"/>
                <w:sz w:val="13"/>
                <w:szCs w:val="13"/>
              </w:rPr>
              <w:t>川A</w:t>
            </w:r>
            <w:r>
              <w:rPr>
                <w:rFonts w:hint="eastAsia" w:cs="Times New Roman"/>
                <w:sz w:val="32"/>
                <w:szCs w:val="13"/>
              </w:rPr>
              <w:t>1632</w:t>
            </w:r>
            <w:r>
              <w:rPr>
                <w:rFonts w:hint="eastAsia"/>
                <w:sz w:val="13"/>
                <w:szCs w:val="13"/>
              </w:rPr>
              <w:t>C</w:t>
            </w:r>
          </w:p>
        </w:tc>
        <w:tc>
          <w:tcPr>
            <w:tcW w:w="851" w:type="dxa"/>
          </w:tcPr>
          <w:p w14:paraId="0F06E042">
            <w:pPr>
              <w:pStyle w:val="6"/>
              <w:spacing w:before="93"/>
              <w:jc w:val="center"/>
              <w:rPr>
                <w:sz w:val="13"/>
                <w:szCs w:val="13"/>
              </w:rPr>
            </w:pPr>
            <w:r>
              <w:rPr>
                <w:rFonts w:hint="eastAsia" w:cs="Times New Roman"/>
                <w:sz w:val="32"/>
                <w:szCs w:val="13"/>
              </w:rPr>
              <w:t>5696281</w:t>
            </w:r>
          </w:p>
        </w:tc>
        <w:tc>
          <w:tcPr>
            <w:tcW w:w="2292" w:type="dxa"/>
          </w:tcPr>
          <w:p w14:paraId="49E2606C">
            <w:pPr>
              <w:pStyle w:val="6"/>
              <w:spacing w:before="93"/>
              <w:jc w:val="center"/>
              <w:rPr>
                <w:sz w:val="13"/>
                <w:szCs w:val="13"/>
              </w:rPr>
            </w:pPr>
            <w:r>
              <w:rPr>
                <w:rFonts w:hint="eastAsia"/>
                <w:sz w:val="13"/>
                <w:szCs w:val="13"/>
              </w:rPr>
              <w:t>LFMGJ</w:t>
            </w:r>
            <w:r>
              <w:rPr>
                <w:rFonts w:hint="eastAsia" w:cs="Times New Roman"/>
                <w:sz w:val="32"/>
                <w:szCs w:val="13"/>
              </w:rPr>
              <w:t>27218</w:t>
            </w:r>
            <w:r>
              <w:rPr>
                <w:rFonts w:hint="eastAsia"/>
                <w:sz w:val="13"/>
                <w:szCs w:val="13"/>
              </w:rPr>
              <w:t>S</w:t>
            </w:r>
            <w:r>
              <w:rPr>
                <w:rFonts w:hint="eastAsia" w:cs="Times New Roman"/>
                <w:sz w:val="32"/>
                <w:szCs w:val="13"/>
              </w:rPr>
              <w:t>212255</w:t>
            </w:r>
          </w:p>
        </w:tc>
        <w:tc>
          <w:tcPr>
            <w:tcW w:w="1218" w:type="dxa"/>
          </w:tcPr>
          <w:p w14:paraId="4BB3E1FF">
            <w:pPr>
              <w:pStyle w:val="6"/>
              <w:spacing w:before="93"/>
              <w:jc w:val="center"/>
              <w:rPr>
                <w:sz w:val="13"/>
                <w:szCs w:val="13"/>
              </w:rPr>
            </w:pPr>
            <w:r>
              <w:rPr>
                <w:rFonts w:hint="eastAsia" w:cs="Times New Roman"/>
                <w:sz w:val="32"/>
                <w:szCs w:val="13"/>
              </w:rPr>
              <w:t>2009</w:t>
            </w:r>
            <w:r>
              <w:rPr>
                <w:rFonts w:hint="eastAsia"/>
                <w:sz w:val="13"/>
                <w:szCs w:val="13"/>
              </w:rPr>
              <w:t>.</w:t>
            </w:r>
            <w:r>
              <w:rPr>
                <w:rFonts w:hint="eastAsia" w:cs="Times New Roman"/>
                <w:sz w:val="32"/>
                <w:szCs w:val="13"/>
              </w:rPr>
              <w:t>01</w:t>
            </w:r>
          </w:p>
        </w:tc>
        <w:tc>
          <w:tcPr>
            <w:tcW w:w="1218" w:type="dxa"/>
          </w:tcPr>
          <w:p w14:paraId="3E3A9655">
            <w:pPr>
              <w:pStyle w:val="6"/>
              <w:spacing w:before="93"/>
              <w:jc w:val="center"/>
              <w:rPr>
                <w:sz w:val="13"/>
                <w:szCs w:val="13"/>
              </w:rPr>
            </w:pPr>
            <w:r>
              <w:rPr>
                <w:rFonts w:hint="eastAsia" w:cs="Times New Roman"/>
                <w:sz w:val="32"/>
                <w:szCs w:val="13"/>
              </w:rPr>
              <w:t>70</w:t>
            </w:r>
            <w:r>
              <w:rPr>
                <w:rFonts w:hint="eastAsia"/>
                <w:sz w:val="13"/>
                <w:szCs w:val="13"/>
              </w:rPr>
              <w:t>.</w:t>
            </w:r>
            <w:r>
              <w:rPr>
                <w:rFonts w:hint="eastAsia" w:cs="Times New Roman"/>
                <w:sz w:val="32"/>
                <w:szCs w:val="13"/>
              </w:rPr>
              <w:t>23</w:t>
            </w:r>
          </w:p>
        </w:tc>
      </w:tr>
    </w:tbl>
    <w:p w14:paraId="29E84E81">
      <w:pPr>
        <w:autoSpaceDE w:val="0"/>
        <w:autoSpaceDN w:val="0"/>
        <w:adjustRightInd w:val="0"/>
        <w:spacing w:line="600" w:lineRule="exact"/>
        <w:jc w:val="left"/>
        <w:outlineLvl w:val="2"/>
        <w:rPr>
          <w:rFonts w:ascii="仿宋" w:hAnsi="仿宋" w:eastAsia="仿宋"/>
          <w:sz w:val="32"/>
          <w:szCs w:val="32"/>
        </w:rPr>
      </w:pPr>
    </w:p>
    <w:p w14:paraId="075D9276">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rPr>
        <w:t>（四）预算绩效管理情况</w:t>
      </w:r>
    </w:p>
    <w:p w14:paraId="650DE779">
      <w:pPr>
        <w:spacing w:line="600" w:lineRule="exact"/>
        <w:ind w:firstLine="640" w:firstLineChars="200"/>
        <w:rPr>
          <w:rFonts w:ascii="仿宋_GB2312" w:eastAsia="仿宋_GB2312"/>
          <w:sz w:val="32"/>
          <w:szCs w:val="32"/>
        </w:rPr>
      </w:pPr>
      <w:r>
        <w:rPr>
          <w:rFonts w:hint="eastAsia" w:ascii="仿宋_GB2312" w:eastAsia="仿宋_GB2312"/>
          <w:sz w:val="32"/>
          <w:szCs w:val="32"/>
        </w:rPr>
        <w:t>根据预算绩效管理要求，本单位在</w:t>
      </w:r>
      <w:r>
        <w:rPr>
          <w:rFonts w:hint="eastAsia" w:ascii="仿宋_GB2312" w:eastAsia="仿宋_GB2312" w:cs="Times New Roman"/>
          <w:sz w:val="32"/>
          <w:szCs w:val="32"/>
        </w:rPr>
        <w:t>2023</w:t>
      </w:r>
      <w:r>
        <w:rPr>
          <w:rFonts w:hint="eastAsia" w:ascii="仿宋_GB2312" w:eastAsia="仿宋_GB2312"/>
          <w:sz w:val="32"/>
          <w:szCs w:val="32"/>
        </w:rPr>
        <w:t>年度预算编制阶段，组织对</w:t>
      </w:r>
      <w:r>
        <w:rPr>
          <w:rFonts w:hint="eastAsia" w:ascii="仿宋_GB2312" w:eastAsia="仿宋_GB2312" w:cs="Times New Roman"/>
          <w:sz w:val="32"/>
          <w:szCs w:val="32"/>
        </w:rPr>
        <w:t>2</w:t>
      </w:r>
      <w:r>
        <w:rPr>
          <w:rFonts w:hint="eastAsia" w:ascii="仿宋_GB2312" w:eastAsia="仿宋_GB2312"/>
          <w:sz w:val="32"/>
          <w:szCs w:val="32"/>
        </w:rPr>
        <w:t>项目（</w:t>
      </w:r>
      <w:r>
        <w:rPr>
          <w:rFonts w:hint="eastAsia" w:ascii="仿宋_GB2312" w:hAnsi="仿宋_GB2312" w:eastAsia="仿宋_GB2312" w:cs="仿宋_GB2312"/>
          <w:sz w:val="32"/>
          <w:szCs w:val="32"/>
        </w:rPr>
        <w:t>特定目标类项目-</w:t>
      </w:r>
      <w:r>
        <w:rPr>
          <w:rFonts w:hint="eastAsia" w:ascii="仿宋_GB2312" w:hAnsi="仿宋_GB2312" w:eastAsia="仿宋_GB2312" w:cs="Times New Roman"/>
          <w:sz w:val="32"/>
          <w:szCs w:val="32"/>
        </w:rPr>
        <w:t>51000023</w:t>
      </w:r>
      <w:r>
        <w:rPr>
          <w:rFonts w:hint="eastAsia" w:ascii="仿宋_GB2312" w:hAnsi="仿宋_GB2312" w:eastAsia="仿宋_GB2312" w:cs="仿宋_GB2312"/>
          <w:sz w:val="32"/>
          <w:szCs w:val="32"/>
        </w:rPr>
        <w:t>T</w:t>
      </w:r>
      <w:r>
        <w:rPr>
          <w:rFonts w:hint="eastAsia" w:ascii="仿宋_GB2312" w:hAnsi="仿宋_GB2312" w:eastAsia="仿宋_GB2312" w:cs="Times New Roman"/>
          <w:sz w:val="32"/>
          <w:szCs w:val="32"/>
        </w:rPr>
        <w:t>000007611436</w:t>
      </w:r>
      <w:r>
        <w:rPr>
          <w:rFonts w:hint="eastAsia" w:ascii="仿宋_GB2312" w:hAnsi="仿宋_GB2312" w:eastAsia="仿宋_GB2312" w:cs="仿宋_GB2312"/>
          <w:sz w:val="32"/>
          <w:szCs w:val="32"/>
        </w:rPr>
        <w:t>机关后勤运行保障（机关整体划机关服务中心）、</w:t>
      </w:r>
      <w:r>
        <w:rPr>
          <w:rFonts w:hint="eastAsia" w:ascii="仿宋_GB2312" w:hAnsi="仿宋_GB2312" w:eastAsia="仿宋_GB2312" w:cs="Times New Roman"/>
          <w:sz w:val="32"/>
          <w:szCs w:val="32"/>
        </w:rPr>
        <w:t>51000023</w:t>
      </w:r>
      <w:r>
        <w:rPr>
          <w:rFonts w:hint="eastAsia" w:ascii="仿宋_GB2312" w:hAnsi="仿宋_GB2312" w:eastAsia="仿宋_GB2312" w:cs="仿宋_GB2312"/>
          <w:sz w:val="32"/>
          <w:szCs w:val="32"/>
        </w:rPr>
        <w:t>T</w:t>
      </w:r>
      <w:r>
        <w:rPr>
          <w:rFonts w:hint="eastAsia" w:ascii="仿宋_GB2312" w:hAnsi="仿宋_GB2312" w:eastAsia="仿宋_GB2312" w:cs="Times New Roman"/>
          <w:sz w:val="32"/>
          <w:szCs w:val="32"/>
        </w:rPr>
        <w:t>000007611519</w:t>
      </w:r>
      <w:r>
        <w:rPr>
          <w:rFonts w:hint="eastAsia" w:ascii="仿宋_GB2312" w:hAnsi="仿宋_GB2312" w:eastAsia="仿宋_GB2312" w:cs="仿宋_GB2312"/>
          <w:sz w:val="32"/>
          <w:szCs w:val="32"/>
        </w:rPr>
        <w:t>保障服务厅机关老干部经费补助项目等</w:t>
      </w:r>
      <w:r>
        <w:rPr>
          <w:rFonts w:hint="eastAsia" w:ascii="仿宋_GB2312" w:eastAsia="仿宋_GB2312"/>
          <w:sz w:val="32"/>
          <w:szCs w:val="32"/>
        </w:rPr>
        <w:t>）等</w:t>
      </w:r>
      <w:r>
        <w:rPr>
          <w:rFonts w:hint="eastAsia" w:ascii="仿宋_GB2312" w:eastAsia="仿宋_GB2312" w:cs="Times New Roman"/>
          <w:sz w:val="32"/>
          <w:szCs w:val="32"/>
        </w:rPr>
        <w:t>2</w:t>
      </w:r>
      <w:r>
        <w:rPr>
          <w:rFonts w:hint="eastAsia" w:ascii="仿宋_GB2312" w:eastAsia="仿宋_GB2312"/>
          <w:sz w:val="32"/>
          <w:szCs w:val="32"/>
        </w:rPr>
        <w:t>个项目开展了预算事前绩效评估，对</w:t>
      </w:r>
      <w:r>
        <w:rPr>
          <w:rFonts w:hint="eastAsia" w:ascii="仿宋_GB2312" w:eastAsia="仿宋_GB2312" w:cs="Times New Roman"/>
          <w:sz w:val="32"/>
          <w:szCs w:val="32"/>
        </w:rPr>
        <w:t>5</w:t>
      </w:r>
      <w:r>
        <w:rPr>
          <w:rFonts w:hint="eastAsia" w:ascii="仿宋_GB2312" w:eastAsia="仿宋_GB2312"/>
          <w:sz w:val="32"/>
          <w:szCs w:val="32"/>
        </w:rPr>
        <w:t>个项目编制了绩效目标，预算执行过程中，选取</w:t>
      </w:r>
      <w:r>
        <w:rPr>
          <w:rFonts w:hint="eastAsia" w:ascii="仿宋_GB2312" w:eastAsia="仿宋_GB2312" w:cs="Times New Roman"/>
          <w:sz w:val="32"/>
          <w:szCs w:val="32"/>
        </w:rPr>
        <w:t>7</w:t>
      </w:r>
      <w:r>
        <w:rPr>
          <w:rFonts w:hint="eastAsia" w:ascii="仿宋_GB2312" w:eastAsia="仿宋_GB2312"/>
          <w:sz w:val="32"/>
          <w:szCs w:val="32"/>
        </w:rPr>
        <w:t>个项目开展绩效监控，组织对</w:t>
      </w:r>
      <w:r>
        <w:rPr>
          <w:rFonts w:hint="eastAsia" w:ascii="仿宋_GB2312" w:eastAsia="仿宋_GB2312" w:cs="Times New Roman"/>
          <w:sz w:val="32"/>
          <w:szCs w:val="32"/>
        </w:rPr>
        <w:t>7</w:t>
      </w:r>
      <w:r>
        <w:rPr>
          <w:rFonts w:hint="eastAsia" w:ascii="仿宋_GB2312" w:eastAsia="仿宋_GB2312"/>
          <w:sz w:val="32"/>
          <w:szCs w:val="32"/>
        </w:rPr>
        <w:t>个项目开展绩效自评，绩效自评表详见第四部分附件。</w:t>
      </w:r>
    </w:p>
    <w:p w14:paraId="34432A2F">
      <w:pPr>
        <w:spacing w:line="600" w:lineRule="exact"/>
        <w:ind w:firstLine="640" w:firstLineChars="200"/>
        <w:rPr>
          <w:rFonts w:ascii="仿宋_GB2312" w:eastAsia="仿宋_GB2312"/>
          <w:sz w:val="32"/>
          <w:szCs w:val="32"/>
        </w:rPr>
      </w:pPr>
      <w:r>
        <w:rPr>
          <w:rFonts w:hint="eastAsia" w:ascii="仿宋_GB2312" w:eastAsia="仿宋_GB2312"/>
          <w:sz w:val="32"/>
          <w:szCs w:val="32"/>
        </w:rPr>
        <w:br w:type="page"/>
      </w:r>
    </w:p>
    <w:p w14:paraId="279D7B96">
      <w:pPr>
        <w:numPr>
          <w:ilvl w:val="0"/>
          <w:numId w:val="4"/>
        </w:numPr>
        <w:spacing w:line="600" w:lineRule="exact"/>
        <w:ind w:firstLine="660" w:firstLineChars="150"/>
        <w:jc w:val="center"/>
        <w:outlineLvl w:val="0"/>
        <w:rPr>
          <w:rStyle w:val="28"/>
          <w:rFonts w:ascii="黑体" w:hAnsi="黑体" w:eastAsia="黑体"/>
          <w:b w:val="0"/>
        </w:rPr>
      </w:pPr>
      <w:bookmarkStart w:id="52" w:name="_Toc15377225"/>
      <w:bookmarkStart w:id="53" w:name="_Toc15396613"/>
      <w:r>
        <w:rPr>
          <w:rFonts w:hint="eastAsia" w:ascii="黑体" w:hAnsi="黑体" w:eastAsia="黑体"/>
          <w:sz w:val="44"/>
          <w:szCs w:val="44"/>
        </w:rPr>
        <w:t>名</w:t>
      </w:r>
      <w:r>
        <w:rPr>
          <w:rStyle w:val="28"/>
          <w:rFonts w:hint="eastAsia" w:ascii="黑体" w:hAnsi="黑体" w:eastAsia="黑体"/>
          <w:b w:val="0"/>
        </w:rPr>
        <w:t>词解释</w:t>
      </w:r>
      <w:bookmarkEnd w:id="52"/>
      <w:bookmarkEnd w:id="53"/>
    </w:p>
    <w:p w14:paraId="29EDDC0B">
      <w:pPr>
        <w:spacing w:line="600" w:lineRule="exact"/>
        <w:jc w:val="left"/>
        <w:rPr>
          <w:rFonts w:ascii="宋体"/>
          <w:b/>
          <w:sz w:val="44"/>
          <w:szCs w:val="44"/>
        </w:rPr>
      </w:pPr>
    </w:p>
    <w:p w14:paraId="2D83B4E5">
      <w:pPr>
        <w:pStyle w:val="26"/>
        <w:spacing w:line="560" w:lineRule="exact"/>
        <w:ind w:firstLine="640" w:firstLineChars="200"/>
        <w:rPr>
          <w:rFonts w:ascii="仿宋_GB2312" w:eastAsia="仿宋_GB2312"/>
          <w:color w:val="auto"/>
          <w:sz w:val="32"/>
          <w:szCs w:val="32"/>
        </w:rPr>
      </w:pPr>
      <w:r>
        <w:rPr>
          <w:rFonts w:ascii="仿宋_GB2312" w:eastAsia="仿宋_GB2312" w:cs="Times New Roman"/>
          <w:color w:val="auto"/>
          <w:sz w:val="32"/>
          <w:szCs w:val="32"/>
        </w:rPr>
        <w:t>1</w:t>
      </w:r>
      <w:r>
        <w:rPr>
          <w:rFonts w:ascii="仿宋_GB2312" w:eastAsia="仿宋_GB2312"/>
          <w:color w:val="auto"/>
          <w:sz w:val="32"/>
          <w:szCs w:val="32"/>
        </w:rPr>
        <w:t>.</w:t>
      </w:r>
      <w:r>
        <w:rPr>
          <w:rFonts w:hint="eastAsia" w:ascii="仿宋_GB2312" w:eastAsia="仿宋_GB2312"/>
          <w:color w:val="auto"/>
          <w:sz w:val="32"/>
          <w:szCs w:val="32"/>
        </w:rPr>
        <w:t>财政拨款收入：指单位从同级财政部门取得的财政预算资金。</w:t>
      </w:r>
    </w:p>
    <w:p w14:paraId="708795F6">
      <w:pPr>
        <w:pStyle w:val="26"/>
        <w:spacing w:line="560" w:lineRule="exact"/>
        <w:ind w:firstLine="640" w:firstLineChars="200"/>
        <w:rPr>
          <w:rFonts w:ascii="仿宋_GB2312" w:eastAsia="仿宋_GB2312"/>
          <w:color w:val="auto"/>
          <w:sz w:val="32"/>
          <w:szCs w:val="32"/>
        </w:rPr>
      </w:pPr>
      <w:r>
        <w:rPr>
          <w:rFonts w:ascii="仿宋_GB2312" w:eastAsia="仿宋_GB2312" w:cs="Times New Roman"/>
          <w:color w:val="auto"/>
          <w:sz w:val="32"/>
          <w:szCs w:val="32"/>
        </w:rPr>
        <w:t>2</w:t>
      </w:r>
      <w:r>
        <w:rPr>
          <w:rFonts w:ascii="仿宋_GB2312" w:eastAsia="仿宋_GB2312"/>
          <w:color w:val="auto"/>
          <w:sz w:val="32"/>
          <w:szCs w:val="32"/>
        </w:rPr>
        <w:t>.</w:t>
      </w:r>
      <w:r>
        <w:rPr>
          <w:rFonts w:hint="eastAsia" w:ascii="仿宋_GB2312" w:eastAsia="仿宋_GB2312"/>
          <w:color w:val="auto"/>
          <w:sz w:val="32"/>
          <w:szCs w:val="32"/>
        </w:rPr>
        <w:t>事业收入：指事业单位开展专业业务活动及辅助活动取得的收入。</w:t>
      </w:r>
    </w:p>
    <w:p w14:paraId="3DCA4D2E">
      <w:pPr>
        <w:pStyle w:val="26"/>
        <w:spacing w:line="560" w:lineRule="exact"/>
        <w:ind w:firstLine="640" w:firstLineChars="200"/>
        <w:rPr>
          <w:rFonts w:ascii="仿宋_GB2312" w:eastAsia="仿宋_GB2312"/>
          <w:color w:val="auto"/>
          <w:sz w:val="32"/>
          <w:szCs w:val="32"/>
        </w:rPr>
      </w:pPr>
      <w:r>
        <w:rPr>
          <w:rFonts w:ascii="仿宋_GB2312" w:eastAsia="仿宋_GB2312" w:cs="Times New Roman"/>
          <w:color w:val="auto"/>
          <w:sz w:val="32"/>
          <w:szCs w:val="32"/>
        </w:rPr>
        <w:t>3</w:t>
      </w:r>
      <w:r>
        <w:rPr>
          <w:rFonts w:ascii="仿宋_GB2312" w:eastAsia="仿宋_GB2312"/>
          <w:color w:val="auto"/>
          <w:sz w:val="32"/>
          <w:szCs w:val="32"/>
        </w:rPr>
        <w:t>.</w:t>
      </w:r>
      <w:r>
        <w:rPr>
          <w:rFonts w:hint="eastAsia" w:ascii="仿宋_GB2312" w:eastAsia="仿宋_GB2312"/>
          <w:color w:val="auto"/>
          <w:sz w:val="32"/>
          <w:szCs w:val="32"/>
        </w:rPr>
        <w:t>经营收入：指事业单位在专业业务活动及其辅助活动之外开展非独立核算经营活动取得的收入。</w:t>
      </w:r>
    </w:p>
    <w:p w14:paraId="0A46A9A2">
      <w:pPr>
        <w:pStyle w:val="26"/>
        <w:spacing w:line="560" w:lineRule="exact"/>
        <w:ind w:firstLine="640" w:firstLineChars="200"/>
        <w:rPr>
          <w:rFonts w:ascii="仿宋_GB2312" w:eastAsia="仿宋_GB2312"/>
          <w:color w:val="auto"/>
          <w:sz w:val="32"/>
          <w:szCs w:val="32"/>
        </w:rPr>
      </w:pPr>
      <w:r>
        <w:rPr>
          <w:rFonts w:ascii="仿宋_GB2312" w:eastAsia="仿宋_GB2312" w:cs="Times New Roman"/>
          <w:color w:val="auto"/>
          <w:sz w:val="32"/>
          <w:szCs w:val="32"/>
        </w:rPr>
        <w:t>4</w:t>
      </w:r>
      <w:r>
        <w:rPr>
          <w:rFonts w:ascii="仿宋_GB2312" w:eastAsia="仿宋_GB2312"/>
          <w:color w:val="auto"/>
          <w:sz w:val="32"/>
          <w:szCs w:val="32"/>
        </w:rPr>
        <w:t>.</w:t>
      </w:r>
      <w:r>
        <w:rPr>
          <w:rFonts w:hint="eastAsia" w:ascii="仿宋_GB2312" w:eastAsia="仿宋_GB2312"/>
          <w:color w:val="auto"/>
          <w:sz w:val="32"/>
          <w:szCs w:val="32"/>
        </w:rPr>
        <w:t>其他收入：指单位取得的除上述收入以外的各项收入。</w:t>
      </w:r>
      <w:r>
        <w:rPr>
          <w:rFonts w:ascii="仿宋_GB2312" w:eastAsia="仿宋_GB2312"/>
          <w:color w:val="auto"/>
          <w:sz w:val="32"/>
          <w:szCs w:val="32"/>
        </w:rPr>
        <w:t xml:space="preserve"> </w:t>
      </w:r>
    </w:p>
    <w:p w14:paraId="4B0F6038">
      <w:pPr>
        <w:pStyle w:val="26"/>
        <w:spacing w:line="560" w:lineRule="exact"/>
        <w:ind w:firstLine="640" w:firstLineChars="200"/>
        <w:rPr>
          <w:rFonts w:ascii="仿宋_GB2312" w:eastAsia="仿宋_GB2312"/>
          <w:color w:val="auto"/>
          <w:sz w:val="32"/>
          <w:szCs w:val="32"/>
        </w:rPr>
      </w:pPr>
      <w:bookmarkStart w:id="54" w:name="_Toc15377226"/>
      <w:r>
        <w:rPr>
          <w:rFonts w:ascii="仿宋_GB2312" w:eastAsia="仿宋_GB2312" w:cs="Times New Roman"/>
          <w:color w:val="auto"/>
          <w:sz w:val="32"/>
          <w:szCs w:val="32"/>
        </w:rPr>
        <w:t>5</w:t>
      </w:r>
      <w:r>
        <w:rPr>
          <w:rFonts w:ascii="仿宋_GB2312" w:eastAsia="仿宋_GB2312"/>
          <w:color w:val="auto"/>
          <w:sz w:val="32"/>
          <w:szCs w:val="32"/>
        </w:rPr>
        <w:t>.</w:t>
      </w:r>
      <w:r>
        <w:rPr>
          <w:rFonts w:hint="eastAsia" w:ascii="仿宋_GB2312" w:eastAsia="仿宋_GB2312"/>
          <w:color w:val="auto"/>
          <w:sz w:val="32"/>
          <w:szCs w:val="32"/>
        </w:rPr>
        <w:t>使用非财政拨款结余：指事业单位使用以前年度积累的非财政拨款结余弥补当年收支差额的金额。</w:t>
      </w:r>
      <w:r>
        <w:rPr>
          <w:rFonts w:ascii="仿宋_GB2312" w:eastAsia="仿宋_GB2312"/>
          <w:color w:val="auto"/>
          <w:sz w:val="32"/>
          <w:szCs w:val="32"/>
        </w:rPr>
        <w:t xml:space="preserve"> </w:t>
      </w:r>
    </w:p>
    <w:p w14:paraId="6721C83F">
      <w:pPr>
        <w:pStyle w:val="26"/>
        <w:spacing w:line="560" w:lineRule="exact"/>
        <w:ind w:firstLine="640" w:firstLineChars="200"/>
        <w:rPr>
          <w:rFonts w:ascii="仿宋_GB2312" w:eastAsia="仿宋_GB2312"/>
          <w:color w:val="auto"/>
          <w:sz w:val="32"/>
          <w:szCs w:val="32"/>
        </w:rPr>
      </w:pPr>
      <w:r>
        <w:rPr>
          <w:rFonts w:ascii="仿宋_GB2312" w:eastAsia="仿宋_GB2312" w:cs="Times New Roman"/>
          <w:color w:val="auto"/>
          <w:sz w:val="32"/>
          <w:szCs w:val="32"/>
        </w:rPr>
        <w:t>6</w:t>
      </w:r>
      <w:r>
        <w:rPr>
          <w:rFonts w:ascii="仿宋_GB2312" w:eastAsia="仿宋_GB2312"/>
          <w:color w:val="auto"/>
          <w:sz w:val="32"/>
          <w:szCs w:val="32"/>
        </w:rPr>
        <w:t>.</w:t>
      </w:r>
      <w:r>
        <w:rPr>
          <w:rFonts w:hint="eastAsia" w:ascii="仿宋_GB2312" w:eastAsia="仿宋_GB2312"/>
          <w:color w:val="auto"/>
          <w:sz w:val="32"/>
          <w:szCs w:val="32"/>
        </w:rPr>
        <w:t>年初结转和结余：指以前年度尚未完成、结转到本年按有关规定继续使用的资金。</w:t>
      </w:r>
      <w:r>
        <w:rPr>
          <w:rFonts w:ascii="仿宋_GB2312" w:eastAsia="仿宋_GB2312"/>
          <w:color w:val="auto"/>
          <w:sz w:val="32"/>
          <w:szCs w:val="32"/>
        </w:rPr>
        <w:t xml:space="preserve"> </w:t>
      </w:r>
    </w:p>
    <w:p w14:paraId="09EB0C58">
      <w:pPr>
        <w:pStyle w:val="26"/>
        <w:spacing w:line="560" w:lineRule="exact"/>
        <w:ind w:firstLine="640" w:firstLineChars="200"/>
        <w:rPr>
          <w:rFonts w:ascii="仿宋_GB2312" w:eastAsia="仿宋_GB2312"/>
          <w:color w:val="auto"/>
          <w:sz w:val="32"/>
          <w:szCs w:val="32"/>
        </w:rPr>
      </w:pPr>
      <w:r>
        <w:rPr>
          <w:rFonts w:ascii="仿宋_GB2312" w:eastAsia="仿宋_GB2312" w:cs="Times New Roman"/>
          <w:color w:val="auto"/>
          <w:sz w:val="32"/>
          <w:szCs w:val="32"/>
        </w:rPr>
        <w:t>7</w:t>
      </w:r>
      <w:r>
        <w:rPr>
          <w:rFonts w:ascii="仿宋_GB2312" w:eastAsia="仿宋_GB2312"/>
          <w:color w:val="auto"/>
          <w:sz w:val="32"/>
          <w:szCs w:val="32"/>
        </w:rPr>
        <w:t>.</w:t>
      </w:r>
      <w:r>
        <w:rPr>
          <w:rFonts w:hint="eastAsia" w:ascii="仿宋_GB2312" w:eastAsia="仿宋_GB2312"/>
          <w:color w:val="auto"/>
          <w:sz w:val="32"/>
          <w:szCs w:val="32"/>
        </w:rPr>
        <w:t>结余分配：指事业单位按照会计制度规定缴纳的所得税、提取的专用结余以及转入非财政拨款结余的金额等。</w:t>
      </w:r>
    </w:p>
    <w:p w14:paraId="6572E88E">
      <w:pPr>
        <w:pStyle w:val="26"/>
        <w:spacing w:line="560" w:lineRule="exact"/>
        <w:ind w:firstLine="640" w:firstLineChars="200"/>
        <w:rPr>
          <w:rFonts w:ascii="仿宋_GB2312" w:eastAsia="仿宋_GB2312"/>
          <w:color w:val="auto"/>
          <w:sz w:val="32"/>
          <w:szCs w:val="32"/>
        </w:rPr>
      </w:pPr>
      <w:r>
        <w:rPr>
          <w:rFonts w:ascii="仿宋_GB2312" w:eastAsia="仿宋_GB2312" w:cs="Times New Roman"/>
          <w:color w:val="auto"/>
          <w:sz w:val="32"/>
          <w:szCs w:val="32"/>
        </w:rPr>
        <w:t>8</w:t>
      </w:r>
      <w:r>
        <w:rPr>
          <w:rFonts w:hint="eastAsia" w:ascii="仿宋_GB2312" w:eastAsia="仿宋_GB2312"/>
          <w:color w:val="auto"/>
          <w:sz w:val="32"/>
          <w:szCs w:val="32"/>
        </w:rPr>
        <w:t>、年末结转和结余：指单位按有关规定结转到下年或以后年度继续使用的资金。</w:t>
      </w:r>
    </w:p>
    <w:p w14:paraId="7031DC4E">
      <w:pPr>
        <w:ind w:firstLine="640" w:firstLineChars="200"/>
        <w:rPr>
          <w:rFonts w:ascii="仿宋_GB2312" w:eastAsia="仿宋_GB2312"/>
          <w:sz w:val="32"/>
          <w:szCs w:val="32"/>
        </w:rPr>
      </w:pPr>
      <w:r>
        <w:rPr>
          <w:rFonts w:hint="eastAsia" w:ascii="仿宋_GB2312" w:eastAsia="仿宋_GB2312" w:cs="Times New Roman"/>
          <w:sz w:val="32"/>
          <w:szCs w:val="32"/>
        </w:rPr>
        <w:t>9</w:t>
      </w:r>
      <w:r>
        <w:rPr>
          <w:rFonts w:ascii="仿宋_GB2312" w:eastAsia="仿宋_GB2312"/>
          <w:sz w:val="32"/>
          <w:szCs w:val="32"/>
        </w:rPr>
        <w:t>.</w:t>
      </w:r>
      <w:r>
        <w:rPr>
          <w:rFonts w:hint="eastAsia" w:ascii="仿宋_GB2312" w:eastAsia="仿宋_GB2312"/>
          <w:sz w:val="32"/>
          <w:szCs w:val="32"/>
        </w:rPr>
        <w:t>教育（类）进修及培训（款）培训支出（项）：指单位安排的用于培训的支出。</w:t>
      </w:r>
    </w:p>
    <w:p w14:paraId="20AE4A59">
      <w:pPr>
        <w:ind w:firstLine="640" w:firstLineChars="200"/>
        <w:rPr>
          <w:rFonts w:ascii="仿宋_GB2312" w:eastAsia="仿宋_GB2312"/>
          <w:sz w:val="32"/>
          <w:szCs w:val="32"/>
        </w:rPr>
      </w:pPr>
      <w:r>
        <w:rPr>
          <w:rFonts w:ascii="仿宋_GB2312" w:eastAsia="仿宋_GB2312" w:cs="Times New Roman"/>
          <w:sz w:val="32"/>
          <w:szCs w:val="32"/>
        </w:rPr>
        <w:t>1</w:t>
      </w:r>
      <w:r>
        <w:rPr>
          <w:rFonts w:hint="eastAsia" w:ascii="仿宋_GB2312" w:eastAsia="仿宋_GB2312" w:cs="Times New Roman"/>
          <w:sz w:val="32"/>
          <w:szCs w:val="32"/>
        </w:rPr>
        <w:t>0</w:t>
      </w:r>
      <w:r>
        <w:rPr>
          <w:rFonts w:ascii="仿宋_GB2312" w:eastAsia="仿宋_GB2312"/>
          <w:sz w:val="32"/>
          <w:szCs w:val="32"/>
        </w:rPr>
        <w:t>.</w:t>
      </w:r>
      <w:r>
        <w:rPr>
          <w:rFonts w:hint="eastAsia" w:ascii="仿宋_GB2312" w:eastAsia="仿宋_GB2312"/>
          <w:sz w:val="32"/>
          <w:szCs w:val="32"/>
        </w:rPr>
        <w:t>社会保障和就业（类）行政事业单位养老支出（款）事业单位离退休（项）：指事业单位开支的离退休经费；机关事业单位基本养老保险缴费支出（项）：指机关事业单位实施养老保险制度由单位缴纳的基本养老保险费支出。机关事业单位职业年金缴费支出（项）：指机关事业单位实施养老保险制度由单位实际缴纳的职业年金支出。</w:t>
      </w:r>
    </w:p>
    <w:p w14:paraId="0059689B">
      <w:pPr>
        <w:ind w:firstLine="640" w:firstLineChars="200"/>
        <w:rPr>
          <w:rFonts w:ascii="仿宋_GB2312" w:eastAsia="仿宋_GB2312"/>
          <w:sz w:val="32"/>
          <w:szCs w:val="32"/>
        </w:rPr>
      </w:pPr>
      <w:r>
        <w:rPr>
          <w:rFonts w:ascii="仿宋_GB2312" w:eastAsia="仿宋_GB2312" w:cs="Times New Roman"/>
          <w:sz w:val="32"/>
          <w:szCs w:val="32"/>
        </w:rPr>
        <w:t>1</w:t>
      </w:r>
      <w:r>
        <w:rPr>
          <w:rFonts w:hint="eastAsia" w:ascii="仿宋_GB2312" w:eastAsia="仿宋_GB2312" w:cs="Times New Roman"/>
          <w:sz w:val="32"/>
          <w:szCs w:val="32"/>
        </w:rPr>
        <w:t>1</w:t>
      </w:r>
      <w:r>
        <w:rPr>
          <w:rFonts w:ascii="仿宋_GB2312" w:eastAsia="仿宋_GB2312"/>
          <w:sz w:val="32"/>
          <w:szCs w:val="32"/>
        </w:rPr>
        <w:t>.</w:t>
      </w:r>
      <w:r>
        <w:rPr>
          <w:rFonts w:hint="eastAsia" w:ascii="仿宋_GB2312" w:eastAsia="仿宋_GB2312"/>
          <w:sz w:val="32"/>
          <w:szCs w:val="32"/>
        </w:rPr>
        <w:t>医疗卫生与计划生育（类）行政事业单位医疗（款）事业单位医疗（项）：指事业单位基本医疗保险缴费经费，未参加医疗保险的事业单位的公费医疗经费，按国家规定享受离退休人员待遇的医疗经费。</w:t>
      </w:r>
    </w:p>
    <w:p w14:paraId="4B26C220">
      <w:pPr>
        <w:ind w:firstLine="640" w:firstLineChars="200"/>
        <w:rPr>
          <w:rFonts w:ascii="仿宋_GB2312" w:eastAsia="仿宋_GB2312"/>
          <w:sz w:val="32"/>
          <w:szCs w:val="32"/>
        </w:rPr>
      </w:pPr>
      <w:r>
        <w:rPr>
          <w:rFonts w:hint="eastAsia" w:ascii="仿宋_GB2312" w:eastAsia="仿宋_GB2312" w:cs="Times New Roman"/>
          <w:sz w:val="32"/>
          <w:szCs w:val="32"/>
        </w:rPr>
        <w:t>12</w:t>
      </w:r>
      <w:r>
        <w:rPr>
          <w:rFonts w:ascii="仿宋_GB2312" w:eastAsia="仿宋_GB2312"/>
          <w:sz w:val="32"/>
          <w:szCs w:val="32"/>
        </w:rPr>
        <w:t>.</w:t>
      </w:r>
      <w:r>
        <w:rPr>
          <w:rFonts w:hint="eastAsia" w:ascii="仿宋_GB2312" w:eastAsia="仿宋_GB2312"/>
          <w:sz w:val="32"/>
          <w:szCs w:val="32"/>
        </w:rPr>
        <w:t>资源勘探工业信息等支出（类）·资源勘探开发（款）机关服务（项）：指行政单位（包括实行公务员管理的事业单位）提供后勤服务的各类后勤服务中心、医务室等附属事业单位的支出。制造业（款）行政运行（项）：指行政单位（包括实行公务员管理的事业单位）的基本支出。机关服务（项）：指行政单位（包括实行公务员管理的事业单位）提供后勤服务的各类后勤服务中心、医务室等附属事业单位的支出。；工业和信息产业监管（款）一般行政管理事务（项）：指：行政单位（包括实行公务员管理的事业单位）未单独设置项级科目的其他项目支出；机关服务（项）：行政单位（包括实行公务员管理的事业单位）提供后勤服务的各类后勤服务中心、医务室等附属事业单位的支出。</w:t>
      </w:r>
    </w:p>
    <w:p w14:paraId="4562137A">
      <w:pPr>
        <w:ind w:firstLine="640" w:firstLineChars="200"/>
        <w:rPr>
          <w:rFonts w:ascii="仿宋_GB2312" w:eastAsia="仿宋_GB2312"/>
          <w:sz w:val="32"/>
          <w:szCs w:val="32"/>
        </w:rPr>
      </w:pPr>
      <w:r>
        <w:rPr>
          <w:rFonts w:hint="eastAsia" w:ascii="仿宋_GB2312" w:eastAsia="仿宋_GB2312" w:cs="Times New Roman"/>
          <w:sz w:val="32"/>
          <w:szCs w:val="32"/>
        </w:rPr>
        <w:t>13</w:t>
      </w:r>
      <w:r>
        <w:rPr>
          <w:rFonts w:ascii="仿宋_GB2312" w:eastAsia="仿宋_GB2312"/>
          <w:sz w:val="32"/>
          <w:szCs w:val="32"/>
        </w:rPr>
        <w:t>.</w:t>
      </w:r>
      <w:r>
        <w:rPr>
          <w:rFonts w:hint="eastAsia" w:ascii="仿宋_GB2312" w:eastAsia="仿宋_GB2312"/>
          <w:sz w:val="32"/>
          <w:szCs w:val="32"/>
        </w:rPr>
        <w:t>住房保障（类）住房改革支出（款）住房公积金（项）：指行政事业单位按人力资源和社会保障部、财政部规定的基本工资和津贴补贴以及规定比例为职工缴纳的住房公积金；购房补贴（项）：指按房改政策规定，行政事业单位向符合条件职工（含离退休人员）、军队（含武警）向转役复员离退休人员发放的用于购买住房的补贴。</w:t>
      </w:r>
    </w:p>
    <w:p w14:paraId="67A4778F">
      <w:pPr>
        <w:ind w:firstLine="640" w:firstLineChars="200"/>
        <w:rPr>
          <w:rFonts w:ascii="仿宋_GB2312" w:eastAsia="仿宋_GB2312"/>
          <w:sz w:val="32"/>
          <w:szCs w:val="32"/>
        </w:rPr>
      </w:pPr>
      <w:r>
        <w:rPr>
          <w:rFonts w:hint="eastAsia" w:ascii="仿宋_GB2312" w:eastAsia="仿宋_GB2312" w:cs="Times New Roman"/>
          <w:sz w:val="32"/>
          <w:szCs w:val="32"/>
        </w:rPr>
        <w:t>14</w:t>
      </w:r>
      <w:r>
        <w:rPr>
          <w:rFonts w:ascii="仿宋_GB2312" w:eastAsia="仿宋_GB2312"/>
          <w:sz w:val="32"/>
          <w:szCs w:val="32"/>
        </w:rPr>
        <w:t>.</w:t>
      </w:r>
      <w:r>
        <w:rPr>
          <w:rFonts w:hint="eastAsia" w:ascii="仿宋_GB2312" w:eastAsia="仿宋_GB2312"/>
          <w:sz w:val="32"/>
          <w:szCs w:val="32"/>
        </w:rPr>
        <w:t>基本支出：指为保障机构正常运转、完成日常工作任务而发生的人员支出和公用支出。</w:t>
      </w:r>
    </w:p>
    <w:p w14:paraId="1C72D432">
      <w:pPr>
        <w:ind w:firstLine="640" w:firstLineChars="200"/>
        <w:rPr>
          <w:rFonts w:ascii="仿宋_GB2312" w:eastAsia="仿宋_GB2312"/>
          <w:sz w:val="32"/>
          <w:szCs w:val="32"/>
        </w:rPr>
      </w:pPr>
      <w:r>
        <w:rPr>
          <w:rFonts w:hint="eastAsia" w:ascii="仿宋_GB2312" w:eastAsia="仿宋_GB2312" w:cs="Times New Roman"/>
          <w:sz w:val="32"/>
          <w:szCs w:val="32"/>
        </w:rPr>
        <w:t>15</w:t>
      </w:r>
      <w:r>
        <w:rPr>
          <w:rFonts w:ascii="仿宋_GB2312" w:eastAsia="仿宋_GB2312"/>
          <w:sz w:val="32"/>
          <w:szCs w:val="32"/>
        </w:rPr>
        <w:t>.</w:t>
      </w:r>
      <w:r>
        <w:rPr>
          <w:rFonts w:hint="eastAsia" w:ascii="仿宋_GB2312" w:eastAsia="仿宋_GB2312"/>
          <w:sz w:val="32"/>
          <w:szCs w:val="32"/>
        </w:rPr>
        <w:t>项目支出：指在基本支出之外为完成特定行政任务和事业发展目标所发生的支出。</w:t>
      </w:r>
      <w:r>
        <w:rPr>
          <w:rFonts w:ascii="仿宋_GB2312" w:eastAsia="仿宋_GB2312"/>
          <w:sz w:val="32"/>
          <w:szCs w:val="32"/>
        </w:rPr>
        <w:t xml:space="preserve"> </w:t>
      </w:r>
    </w:p>
    <w:p w14:paraId="64DBF2E8">
      <w:pPr>
        <w:ind w:firstLine="640" w:firstLineChars="200"/>
        <w:rPr>
          <w:rFonts w:ascii="仿宋_GB2312" w:eastAsia="仿宋_GB2312"/>
          <w:sz w:val="32"/>
          <w:szCs w:val="32"/>
        </w:rPr>
      </w:pPr>
      <w:r>
        <w:rPr>
          <w:rFonts w:hint="eastAsia" w:ascii="仿宋_GB2312" w:eastAsia="仿宋_GB2312" w:cs="Times New Roman"/>
          <w:sz w:val="32"/>
          <w:szCs w:val="32"/>
        </w:rPr>
        <w:t>16</w:t>
      </w:r>
      <w:r>
        <w:rPr>
          <w:rFonts w:ascii="仿宋_GB2312" w:eastAsia="仿宋_GB2312"/>
          <w:sz w:val="32"/>
          <w:szCs w:val="32"/>
        </w:rPr>
        <w:t>.</w:t>
      </w:r>
      <w:r>
        <w:rPr>
          <w:rFonts w:hint="eastAsia" w:ascii="仿宋_GB2312" w:eastAsia="仿宋_GB2312"/>
          <w:sz w:val="32"/>
          <w:szCs w:val="32"/>
        </w:rPr>
        <w:t>经营支出：指事业单位在专业业务活动及其辅助活动之外开展非独立核算经营活动发生的支出。</w:t>
      </w:r>
    </w:p>
    <w:p w14:paraId="4F4488E0">
      <w:pPr>
        <w:pStyle w:val="26"/>
        <w:spacing w:line="560" w:lineRule="exact"/>
        <w:ind w:firstLine="640" w:firstLineChars="200"/>
        <w:rPr>
          <w:rFonts w:ascii="仿宋_GB2312" w:eastAsia="仿宋_GB2312"/>
          <w:color w:val="auto"/>
          <w:sz w:val="32"/>
          <w:szCs w:val="32"/>
        </w:rPr>
      </w:pPr>
      <w:r>
        <w:rPr>
          <w:rFonts w:hint="eastAsia" w:ascii="仿宋_GB2312" w:eastAsia="仿宋_GB2312" w:cs="Times New Roman"/>
          <w:color w:val="auto"/>
          <w:sz w:val="32"/>
          <w:szCs w:val="32"/>
        </w:rPr>
        <w:t>17</w:t>
      </w:r>
      <w:r>
        <w:rPr>
          <w:rFonts w:ascii="仿宋_GB2312" w:eastAsia="仿宋_GB2312"/>
          <w:color w:val="auto"/>
          <w:sz w:val="32"/>
          <w:szCs w:val="32"/>
        </w:rPr>
        <w:t>.</w:t>
      </w:r>
      <w:r>
        <w:rPr>
          <w:rFonts w:hint="eastAsia" w:ascii="仿宋_GB2312" w:eastAsia="仿宋_GB2312"/>
          <w:color w:val="auto"/>
          <w:sz w:val="32"/>
          <w:szCs w:val="32"/>
        </w:rPr>
        <w:t>“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14:paraId="24BEDBE6">
      <w:pPr>
        <w:pStyle w:val="26"/>
        <w:spacing w:line="560" w:lineRule="exact"/>
        <w:ind w:firstLine="640" w:firstLineChars="200"/>
        <w:rPr>
          <w:rFonts w:ascii="仿宋_GB2312" w:eastAsia="仿宋_GB2312"/>
          <w:color w:val="auto"/>
          <w:sz w:val="32"/>
          <w:szCs w:val="32"/>
        </w:rPr>
      </w:pPr>
      <w:r>
        <w:rPr>
          <w:rFonts w:hint="eastAsia" w:ascii="仿宋_GB2312" w:eastAsia="仿宋_GB2312" w:cs="Times New Roman"/>
          <w:color w:val="auto"/>
          <w:sz w:val="32"/>
          <w:szCs w:val="32"/>
        </w:rPr>
        <w:t>18</w:t>
      </w:r>
      <w:r>
        <w:rPr>
          <w:rFonts w:ascii="仿宋_GB2312" w:eastAsia="仿宋_GB2312"/>
          <w:color w:val="auto"/>
          <w:sz w:val="32"/>
          <w:szCs w:val="32"/>
        </w:rPr>
        <w:t>.</w:t>
      </w:r>
      <w:r>
        <w:rPr>
          <w:rFonts w:hint="eastAsia" w:ascii="仿宋_GB2312" w:eastAsia="仿宋_GB2312"/>
          <w:color w:val="auto"/>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9D02677">
      <w:pPr>
        <w:spacing w:line="600" w:lineRule="exact"/>
        <w:jc w:val="center"/>
        <w:outlineLvl w:val="0"/>
        <w:rPr>
          <w:rFonts w:hint="eastAsia" w:ascii="宋体"/>
          <w:b/>
          <w:sz w:val="44"/>
          <w:szCs w:val="44"/>
        </w:rPr>
      </w:pPr>
      <w:r>
        <w:rPr>
          <w:rFonts w:ascii="宋体"/>
          <w:b/>
          <w:sz w:val="44"/>
          <w:szCs w:val="44"/>
        </w:rPr>
        <w:br w:type="page"/>
      </w:r>
      <w:bookmarkStart w:id="55" w:name="_Toc15396614"/>
    </w:p>
    <w:p w14:paraId="5BBA08C6">
      <w:pPr>
        <w:spacing w:line="600" w:lineRule="exact"/>
        <w:jc w:val="center"/>
        <w:outlineLvl w:val="0"/>
        <w:rPr>
          <w:rFonts w:hint="eastAsia" w:ascii="宋体"/>
          <w:b/>
          <w:sz w:val="44"/>
          <w:szCs w:val="44"/>
        </w:rPr>
      </w:pPr>
    </w:p>
    <w:p w14:paraId="4555C098">
      <w:pPr>
        <w:spacing w:line="600" w:lineRule="exact"/>
        <w:jc w:val="center"/>
        <w:outlineLvl w:val="0"/>
        <w:rPr>
          <w:rFonts w:hint="eastAsia" w:ascii="宋体"/>
          <w:b/>
          <w:sz w:val="44"/>
          <w:szCs w:val="44"/>
        </w:rPr>
      </w:pPr>
    </w:p>
    <w:p w14:paraId="333ED402">
      <w:pPr>
        <w:spacing w:line="600" w:lineRule="exact"/>
        <w:jc w:val="center"/>
        <w:outlineLvl w:val="0"/>
        <w:rPr>
          <w:rFonts w:hint="eastAsia" w:ascii="宋体"/>
          <w:b/>
          <w:sz w:val="44"/>
          <w:szCs w:val="44"/>
        </w:rPr>
      </w:pPr>
    </w:p>
    <w:p w14:paraId="04AF7128">
      <w:pPr>
        <w:spacing w:line="600" w:lineRule="exact"/>
        <w:jc w:val="center"/>
        <w:outlineLvl w:val="0"/>
        <w:rPr>
          <w:rFonts w:ascii="黑体" w:hAnsi="黑体" w:eastAsia="黑体"/>
          <w:bCs/>
          <w:kern w:val="44"/>
          <w:sz w:val="44"/>
          <w:szCs w:val="44"/>
        </w:rPr>
      </w:pPr>
      <w:r>
        <w:rPr>
          <w:rFonts w:hint="eastAsia" w:ascii="黑体" w:hAnsi="黑体" w:eastAsia="黑体"/>
          <w:sz w:val="44"/>
          <w:szCs w:val="44"/>
        </w:rPr>
        <w:t>第</w:t>
      </w:r>
      <w:r>
        <w:rPr>
          <w:rStyle w:val="28"/>
          <w:rFonts w:hint="eastAsia" w:ascii="黑体" w:hAnsi="黑体" w:eastAsia="黑体"/>
          <w:b w:val="0"/>
        </w:rPr>
        <w:t>四部分 附件</w:t>
      </w:r>
      <w:bookmarkEnd w:id="55"/>
    </w:p>
    <w:p w14:paraId="195AC8B1">
      <w:pPr>
        <w:spacing w:line="600" w:lineRule="exact"/>
        <w:jc w:val="center"/>
        <w:outlineLvl w:val="0"/>
        <w:rPr>
          <w:sz w:val="32"/>
          <w:szCs w:val="32"/>
        </w:rPr>
      </w:pPr>
      <w:bookmarkStart w:id="56" w:name="_Toc15396618"/>
    </w:p>
    <w:p w14:paraId="62630EC0">
      <w:pPr>
        <w:spacing w:line="600" w:lineRule="exact"/>
        <w:jc w:val="center"/>
        <w:outlineLvl w:val="0"/>
        <w:rPr>
          <w:sz w:val="32"/>
          <w:szCs w:val="32"/>
        </w:rPr>
      </w:pPr>
    </w:p>
    <w:p w14:paraId="0FC1E13D">
      <w:pPr>
        <w:spacing w:line="600" w:lineRule="exact"/>
        <w:jc w:val="center"/>
        <w:outlineLvl w:val="0"/>
        <w:rPr>
          <w:sz w:val="32"/>
          <w:szCs w:val="32"/>
        </w:rPr>
      </w:pPr>
    </w:p>
    <w:p w14:paraId="4189C061">
      <w:pPr>
        <w:spacing w:line="600" w:lineRule="exact"/>
        <w:jc w:val="center"/>
        <w:outlineLvl w:val="0"/>
        <w:rPr>
          <w:sz w:val="32"/>
          <w:szCs w:val="32"/>
        </w:rPr>
      </w:pPr>
    </w:p>
    <w:p w14:paraId="5C683CAD">
      <w:pPr>
        <w:spacing w:line="600" w:lineRule="exact"/>
        <w:outlineLvl w:val="0"/>
        <w:rPr>
          <w:sz w:val="32"/>
          <w:szCs w:val="32"/>
        </w:rPr>
      </w:pPr>
    </w:p>
    <w:p w14:paraId="2562017F">
      <w:pPr>
        <w:spacing w:line="600" w:lineRule="exact"/>
        <w:jc w:val="center"/>
        <w:outlineLvl w:val="0"/>
        <w:rPr>
          <w:rFonts w:ascii="黑体" w:hAnsi="黑体" w:eastAsia="黑体"/>
          <w:color w:val="FF0000"/>
          <w:sz w:val="44"/>
          <w:szCs w:val="44"/>
        </w:rPr>
      </w:pPr>
      <w:r>
        <w:rPr>
          <w:rFonts w:hint="eastAsia"/>
          <w:sz w:val="32"/>
          <w:szCs w:val="32"/>
        </w:rPr>
        <w:t>部门预算项目支出绩效自评表（</w:t>
      </w:r>
      <w:r>
        <w:rPr>
          <w:rFonts w:hint="eastAsia" w:cs="Times New Roman"/>
          <w:sz w:val="32"/>
          <w:szCs w:val="32"/>
        </w:rPr>
        <w:t>2023</w:t>
      </w:r>
      <w:r>
        <w:rPr>
          <w:rFonts w:hint="eastAsia"/>
          <w:sz w:val="32"/>
          <w:szCs w:val="32"/>
        </w:rPr>
        <w:t>年度）</w:t>
      </w:r>
    </w:p>
    <w:p w14:paraId="796F1186">
      <w:pPr>
        <w:pStyle w:val="6"/>
        <w:spacing w:before="93"/>
        <w:rPr>
          <w:rFonts w:hAnsi="Calibri" w:cs="仿宋"/>
          <w:sz w:val="32"/>
          <w:szCs w:val="32"/>
        </w:rPr>
      </w:pPr>
    </w:p>
    <w:p w14:paraId="7FBC605F">
      <w:pPr>
        <w:pStyle w:val="6"/>
        <w:spacing w:before="93"/>
        <w:rPr>
          <w:rFonts w:hAnsi="Calibri" w:cs="仿宋"/>
          <w:sz w:val="32"/>
          <w:szCs w:val="32"/>
        </w:rPr>
      </w:pPr>
    </w:p>
    <w:p w14:paraId="5D5D53D4">
      <w:pPr>
        <w:pStyle w:val="6"/>
        <w:spacing w:before="93"/>
        <w:rPr>
          <w:rFonts w:hAnsi="Calibri" w:cs="仿宋"/>
          <w:sz w:val="32"/>
          <w:szCs w:val="32"/>
        </w:rPr>
      </w:pPr>
    </w:p>
    <w:p w14:paraId="124CDA4E">
      <w:pPr>
        <w:pStyle w:val="6"/>
        <w:spacing w:before="93"/>
        <w:rPr>
          <w:rFonts w:hAnsi="Calibri" w:cs="仿宋"/>
          <w:sz w:val="32"/>
          <w:szCs w:val="32"/>
        </w:rPr>
      </w:pPr>
    </w:p>
    <w:p w14:paraId="03A654AD">
      <w:pPr>
        <w:pStyle w:val="6"/>
        <w:spacing w:before="93"/>
        <w:rPr>
          <w:rFonts w:hAnsi="Calibri" w:cs="仿宋"/>
          <w:sz w:val="32"/>
          <w:szCs w:val="32"/>
        </w:rPr>
      </w:pPr>
    </w:p>
    <w:p w14:paraId="19C2D34E">
      <w:pPr>
        <w:pStyle w:val="6"/>
        <w:spacing w:before="93"/>
        <w:rPr>
          <w:rFonts w:hAnsi="Calibri" w:cs="仿宋"/>
          <w:sz w:val="32"/>
          <w:szCs w:val="32"/>
        </w:rPr>
      </w:pPr>
    </w:p>
    <w:p w14:paraId="18EC0331">
      <w:pPr>
        <w:pStyle w:val="6"/>
        <w:spacing w:before="93"/>
        <w:rPr>
          <w:rFonts w:hAnsi="Calibri" w:cs="仿宋"/>
          <w:sz w:val="32"/>
          <w:szCs w:val="32"/>
        </w:rPr>
      </w:pPr>
    </w:p>
    <w:p w14:paraId="173B0AE9">
      <w:pPr>
        <w:pStyle w:val="6"/>
        <w:spacing w:before="93"/>
        <w:rPr>
          <w:rFonts w:hAnsi="Calibri" w:cs="仿宋"/>
          <w:sz w:val="32"/>
          <w:szCs w:val="32"/>
        </w:rPr>
      </w:pPr>
    </w:p>
    <w:p w14:paraId="74671259">
      <w:pPr>
        <w:pStyle w:val="6"/>
        <w:spacing w:before="93"/>
        <w:rPr>
          <w:rFonts w:hAnsi="Calibri" w:cs="仿宋"/>
          <w:sz w:val="32"/>
          <w:szCs w:val="32"/>
        </w:rPr>
      </w:pPr>
    </w:p>
    <w:p w14:paraId="1DF9A0B9">
      <w:pPr>
        <w:pStyle w:val="6"/>
        <w:spacing w:before="93"/>
        <w:rPr>
          <w:rFonts w:hAnsi="Calibri" w:cs="仿宋"/>
          <w:sz w:val="32"/>
          <w:szCs w:val="32"/>
        </w:rPr>
      </w:pPr>
    </w:p>
    <w:p w14:paraId="3C4B0E20">
      <w:pPr>
        <w:pStyle w:val="6"/>
        <w:spacing w:before="93"/>
        <w:rPr>
          <w:rFonts w:hAnsi="Calibri" w:cs="仿宋"/>
          <w:sz w:val="32"/>
          <w:szCs w:val="32"/>
        </w:rPr>
      </w:pPr>
    </w:p>
    <w:p w14:paraId="4264ABF4">
      <w:pPr>
        <w:pStyle w:val="6"/>
        <w:spacing w:before="93"/>
        <w:rPr>
          <w:rFonts w:hAnsi="Calibri" w:cs="仿宋"/>
          <w:sz w:val="32"/>
          <w:szCs w:val="32"/>
        </w:rPr>
      </w:pPr>
    </w:p>
    <w:p w14:paraId="490D330C">
      <w:pPr>
        <w:pStyle w:val="6"/>
        <w:spacing w:before="93"/>
        <w:rPr>
          <w:rFonts w:hAnsi="Calibri" w:cs="仿宋"/>
          <w:sz w:val="32"/>
          <w:szCs w:val="32"/>
        </w:rPr>
      </w:pPr>
      <w:r>
        <w:rPr>
          <w:rFonts w:hint="eastAsia"/>
          <w:szCs w:val="32"/>
        </w:rPr>
        <w:drawing>
          <wp:inline distT="0" distB="0" distL="0" distR="0">
            <wp:extent cx="5274310" cy="3004820"/>
            <wp:effectExtent l="19050" t="0" r="2540" b="0"/>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noChangeArrowheads="1"/>
                    </pic:cNvPicPr>
                  </pic:nvPicPr>
                  <pic:blipFill>
                    <a:blip r:embed="rId13"/>
                    <a:srcRect/>
                    <a:stretch>
                      <a:fillRect/>
                    </a:stretch>
                  </pic:blipFill>
                  <pic:spPr>
                    <a:xfrm>
                      <a:off x="0" y="0"/>
                      <a:ext cx="5274310" cy="3005258"/>
                    </a:xfrm>
                    <a:prstGeom prst="rect">
                      <a:avLst/>
                    </a:prstGeom>
                    <a:noFill/>
                    <a:ln w="9525">
                      <a:noFill/>
                      <a:miter lim="800000"/>
                      <a:headEnd/>
                      <a:tailEnd/>
                    </a:ln>
                  </pic:spPr>
                </pic:pic>
              </a:graphicData>
            </a:graphic>
          </wp:inline>
        </w:drawing>
      </w:r>
    </w:p>
    <w:p w14:paraId="4379F6E1">
      <w:pPr>
        <w:pStyle w:val="6"/>
        <w:spacing w:before="93"/>
        <w:rPr>
          <w:rFonts w:hAnsi="Calibri" w:cs="仿宋"/>
          <w:sz w:val="32"/>
          <w:szCs w:val="32"/>
        </w:rPr>
      </w:pPr>
      <w:r>
        <w:rPr>
          <w:rFonts w:hint="eastAsia"/>
          <w:szCs w:val="32"/>
        </w:rPr>
        <w:drawing>
          <wp:inline distT="0" distB="0" distL="0" distR="0">
            <wp:extent cx="5274310" cy="3048635"/>
            <wp:effectExtent l="19050" t="0" r="2540" b="0"/>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noChangeArrowheads="1"/>
                    </pic:cNvPicPr>
                  </pic:nvPicPr>
                  <pic:blipFill>
                    <a:blip r:embed="rId14"/>
                    <a:srcRect/>
                    <a:stretch>
                      <a:fillRect/>
                    </a:stretch>
                  </pic:blipFill>
                  <pic:spPr>
                    <a:xfrm>
                      <a:off x="0" y="0"/>
                      <a:ext cx="5274310" cy="3049210"/>
                    </a:xfrm>
                    <a:prstGeom prst="rect">
                      <a:avLst/>
                    </a:prstGeom>
                    <a:noFill/>
                    <a:ln w="9525">
                      <a:noFill/>
                      <a:miter lim="800000"/>
                      <a:headEnd/>
                      <a:tailEnd/>
                    </a:ln>
                  </pic:spPr>
                </pic:pic>
              </a:graphicData>
            </a:graphic>
          </wp:inline>
        </w:drawing>
      </w:r>
    </w:p>
    <w:p w14:paraId="731B56B7">
      <w:pPr>
        <w:pStyle w:val="6"/>
        <w:spacing w:before="93"/>
        <w:rPr>
          <w:rFonts w:hAnsi="Calibri" w:cs="仿宋"/>
          <w:sz w:val="32"/>
          <w:szCs w:val="32"/>
        </w:rPr>
      </w:pPr>
    </w:p>
    <w:p w14:paraId="5D3A7EF5">
      <w:pPr>
        <w:pStyle w:val="6"/>
        <w:spacing w:before="93"/>
        <w:rPr>
          <w:rFonts w:hAnsi="Calibri" w:cs="仿宋"/>
          <w:sz w:val="32"/>
          <w:szCs w:val="32"/>
        </w:rPr>
      </w:pPr>
    </w:p>
    <w:p w14:paraId="0C78C1BD">
      <w:pPr>
        <w:pStyle w:val="6"/>
        <w:spacing w:before="93"/>
        <w:rPr>
          <w:rFonts w:hAnsi="Calibri" w:cs="仿宋"/>
          <w:sz w:val="32"/>
          <w:szCs w:val="32"/>
        </w:rPr>
      </w:pPr>
    </w:p>
    <w:p w14:paraId="745A9BF7">
      <w:pPr>
        <w:pStyle w:val="6"/>
        <w:spacing w:before="93"/>
        <w:rPr>
          <w:rFonts w:hAnsi="Calibri" w:cs="仿宋"/>
          <w:sz w:val="32"/>
          <w:szCs w:val="32"/>
        </w:rPr>
      </w:pPr>
    </w:p>
    <w:p w14:paraId="42ABF072">
      <w:pPr>
        <w:pStyle w:val="6"/>
        <w:spacing w:before="93"/>
        <w:rPr>
          <w:rFonts w:hAnsi="Calibri" w:cs="仿宋"/>
          <w:sz w:val="32"/>
          <w:szCs w:val="32"/>
        </w:rPr>
      </w:pPr>
    </w:p>
    <w:p w14:paraId="7B6354C1">
      <w:pPr>
        <w:pStyle w:val="6"/>
        <w:spacing w:before="93"/>
        <w:rPr>
          <w:rFonts w:hAnsi="Calibri" w:cs="仿宋"/>
          <w:sz w:val="32"/>
          <w:szCs w:val="32"/>
        </w:rPr>
      </w:pPr>
      <w:r>
        <w:rPr>
          <w:rFonts w:hint="eastAsia"/>
          <w:szCs w:val="32"/>
        </w:rPr>
        <w:drawing>
          <wp:inline distT="0" distB="0" distL="0" distR="0">
            <wp:extent cx="5274310" cy="3048635"/>
            <wp:effectExtent l="19050" t="0" r="2540" b="0"/>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noChangeArrowheads="1"/>
                    </pic:cNvPicPr>
                  </pic:nvPicPr>
                  <pic:blipFill>
                    <a:blip r:embed="rId15"/>
                    <a:srcRect/>
                    <a:stretch>
                      <a:fillRect/>
                    </a:stretch>
                  </pic:blipFill>
                  <pic:spPr>
                    <a:xfrm>
                      <a:off x="0" y="0"/>
                      <a:ext cx="5274310" cy="3049210"/>
                    </a:xfrm>
                    <a:prstGeom prst="rect">
                      <a:avLst/>
                    </a:prstGeom>
                    <a:noFill/>
                    <a:ln w="9525">
                      <a:noFill/>
                      <a:miter lim="800000"/>
                      <a:headEnd/>
                      <a:tailEnd/>
                    </a:ln>
                  </pic:spPr>
                </pic:pic>
              </a:graphicData>
            </a:graphic>
          </wp:inline>
        </w:drawing>
      </w:r>
    </w:p>
    <w:p w14:paraId="0DFD40DA">
      <w:pPr>
        <w:pStyle w:val="6"/>
        <w:spacing w:before="93"/>
        <w:rPr>
          <w:rFonts w:hAnsi="Calibri" w:cs="仿宋"/>
          <w:sz w:val="32"/>
          <w:szCs w:val="32"/>
        </w:rPr>
      </w:pPr>
      <w:r>
        <w:rPr>
          <w:rFonts w:hint="eastAsia"/>
          <w:szCs w:val="32"/>
        </w:rPr>
        <w:drawing>
          <wp:inline distT="0" distB="0" distL="0" distR="0">
            <wp:extent cx="5274310" cy="3773805"/>
            <wp:effectExtent l="19050" t="0" r="2540" b="0"/>
            <wp:docPr id="1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pic:cNvPicPr>
                      <a:picLocks noChangeAspect="1" noChangeArrowheads="1"/>
                    </pic:cNvPicPr>
                  </pic:nvPicPr>
                  <pic:blipFill>
                    <a:blip r:embed="rId16"/>
                    <a:srcRect/>
                    <a:stretch>
                      <a:fillRect/>
                    </a:stretch>
                  </pic:blipFill>
                  <pic:spPr>
                    <a:xfrm>
                      <a:off x="0" y="0"/>
                      <a:ext cx="5274310" cy="3774428"/>
                    </a:xfrm>
                    <a:prstGeom prst="rect">
                      <a:avLst/>
                    </a:prstGeom>
                    <a:noFill/>
                    <a:ln w="9525">
                      <a:noFill/>
                      <a:miter lim="800000"/>
                      <a:headEnd/>
                      <a:tailEnd/>
                    </a:ln>
                  </pic:spPr>
                </pic:pic>
              </a:graphicData>
            </a:graphic>
          </wp:inline>
        </w:drawing>
      </w:r>
    </w:p>
    <w:p w14:paraId="6E59CA69">
      <w:pPr>
        <w:pStyle w:val="6"/>
        <w:spacing w:before="93"/>
        <w:rPr>
          <w:rFonts w:hAnsi="Calibri" w:cs="仿宋"/>
          <w:sz w:val="32"/>
          <w:szCs w:val="32"/>
        </w:rPr>
      </w:pPr>
    </w:p>
    <w:p w14:paraId="2C51EDA0">
      <w:pPr>
        <w:pStyle w:val="6"/>
        <w:spacing w:before="93"/>
        <w:rPr>
          <w:rFonts w:hAnsi="Calibri" w:cs="仿宋"/>
          <w:sz w:val="32"/>
          <w:szCs w:val="32"/>
        </w:rPr>
      </w:pPr>
    </w:p>
    <w:p w14:paraId="3C8562EC">
      <w:pPr>
        <w:pStyle w:val="6"/>
        <w:spacing w:before="93"/>
        <w:rPr>
          <w:rFonts w:hAnsi="Calibri" w:cs="仿宋"/>
          <w:sz w:val="32"/>
          <w:szCs w:val="32"/>
        </w:rPr>
      </w:pPr>
    </w:p>
    <w:p w14:paraId="1FC551AA">
      <w:pPr>
        <w:pStyle w:val="6"/>
        <w:spacing w:before="93"/>
        <w:rPr>
          <w:rFonts w:hAnsi="Calibri" w:cs="仿宋"/>
          <w:sz w:val="32"/>
          <w:szCs w:val="32"/>
        </w:rPr>
      </w:pPr>
      <w:r>
        <w:rPr>
          <w:rFonts w:hint="eastAsia"/>
          <w:szCs w:val="32"/>
        </w:rPr>
        <w:drawing>
          <wp:inline distT="0" distB="0" distL="0" distR="0">
            <wp:extent cx="5274310" cy="3702685"/>
            <wp:effectExtent l="19050" t="0" r="2540" b="0"/>
            <wp:docPr id="1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
                    <pic:cNvPicPr>
                      <a:picLocks noChangeAspect="1" noChangeArrowheads="1"/>
                    </pic:cNvPicPr>
                  </pic:nvPicPr>
                  <pic:blipFill>
                    <a:blip r:embed="rId17"/>
                    <a:srcRect/>
                    <a:stretch>
                      <a:fillRect/>
                    </a:stretch>
                  </pic:blipFill>
                  <pic:spPr>
                    <a:xfrm>
                      <a:off x="0" y="0"/>
                      <a:ext cx="5274310" cy="3703005"/>
                    </a:xfrm>
                    <a:prstGeom prst="rect">
                      <a:avLst/>
                    </a:prstGeom>
                    <a:noFill/>
                    <a:ln w="9525">
                      <a:noFill/>
                      <a:miter lim="800000"/>
                      <a:headEnd/>
                      <a:tailEnd/>
                    </a:ln>
                  </pic:spPr>
                </pic:pic>
              </a:graphicData>
            </a:graphic>
          </wp:inline>
        </w:drawing>
      </w:r>
    </w:p>
    <w:p w14:paraId="489A16E9">
      <w:pPr>
        <w:pStyle w:val="6"/>
        <w:spacing w:before="93"/>
        <w:rPr>
          <w:rFonts w:hAnsi="Calibri" w:cs="仿宋"/>
          <w:sz w:val="32"/>
          <w:szCs w:val="32"/>
        </w:rPr>
      </w:pPr>
      <w:r>
        <w:rPr>
          <w:rFonts w:hint="eastAsia"/>
          <w:szCs w:val="32"/>
        </w:rPr>
        <w:drawing>
          <wp:inline distT="0" distB="0" distL="0" distR="0">
            <wp:extent cx="5274310" cy="3741420"/>
            <wp:effectExtent l="19050" t="0" r="2540" b="0"/>
            <wp:docPr id="1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
                    <pic:cNvPicPr>
                      <a:picLocks noChangeAspect="1" noChangeArrowheads="1"/>
                    </pic:cNvPicPr>
                  </pic:nvPicPr>
                  <pic:blipFill>
                    <a:blip r:embed="rId18"/>
                    <a:srcRect/>
                    <a:stretch>
                      <a:fillRect/>
                    </a:stretch>
                  </pic:blipFill>
                  <pic:spPr>
                    <a:xfrm>
                      <a:off x="0" y="0"/>
                      <a:ext cx="5274310" cy="3741464"/>
                    </a:xfrm>
                    <a:prstGeom prst="rect">
                      <a:avLst/>
                    </a:prstGeom>
                    <a:noFill/>
                    <a:ln w="9525">
                      <a:noFill/>
                      <a:miter lim="800000"/>
                      <a:headEnd/>
                      <a:tailEnd/>
                    </a:ln>
                  </pic:spPr>
                </pic:pic>
              </a:graphicData>
            </a:graphic>
          </wp:inline>
        </w:drawing>
      </w:r>
    </w:p>
    <w:p w14:paraId="587B8CDD">
      <w:pPr>
        <w:pStyle w:val="6"/>
        <w:spacing w:before="93"/>
        <w:rPr>
          <w:rFonts w:hAnsi="Calibri" w:cs="仿宋"/>
          <w:sz w:val="32"/>
          <w:szCs w:val="32"/>
        </w:rPr>
      </w:pPr>
    </w:p>
    <w:p w14:paraId="26CEB273">
      <w:pPr>
        <w:pStyle w:val="6"/>
        <w:spacing w:before="93"/>
        <w:rPr>
          <w:rFonts w:hAnsi="Calibri" w:cs="仿宋"/>
          <w:sz w:val="32"/>
          <w:szCs w:val="32"/>
        </w:rPr>
      </w:pPr>
    </w:p>
    <w:p w14:paraId="6F6A9DFF">
      <w:pPr>
        <w:pStyle w:val="6"/>
        <w:spacing w:before="93"/>
        <w:rPr>
          <w:rFonts w:hAnsi="Calibri" w:cs="仿宋"/>
          <w:sz w:val="32"/>
          <w:szCs w:val="32"/>
        </w:rPr>
      </w:pPr>
      <w:r>
        <w:rPr>
          <w:rFonts w:hint="eastAsia"/>
          <w:szCs w:val="32"/>
        </w:rPr>
        <w:drawing>
          <wp:inline distT="0" distB="0" distL="0" distR="0">
            <wp:extent cx="5274310" cy="3724910"/>
            <wp:effectExtent l="19050" t="0" r="2540" b="0"/>
            <wp:docPr id="1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
                    <pic:cNvPicPr>
                      <a:picLocks noChangeAspect="1" noChangeArrowheads="1"/>
                    </pic:cNvPicPr>
                  </pic:nvPicPr>
                  <pic:blipFill>
                    <a:blip r:embed="rId19"/>
                    <a:srcRect/>
                    <a:stretch>
                      <a:fillRect/>
                    </a:stretch>
                  </pic:blipFill>
                  <pic:spPr>
                    <a:xfrm>
                      <a:off x="0" y="0"/>
                      <a:ext cx="5274310" cy="3724981"/>
                    </a:xfrm>
                    <a:prstGeom prst="rect">
                      <a:avLst/>
                    </a:prstGeom>
                    <a:noFill/>
                    <a:ln w="9525">
                      <a:noFill/>
                      <a:miter lim="800000"/>
                      <a:headEnd/>
                      <a:tailEnd/>
                    </a:ln>
                  </pic:spPr>
                </pic:pic>
              </a:graphicData>
            </a:graphic>
          </wp:inline>
        </w:drawing>
      </w:r>
    </w:p>
    <w:p w14:paraId="1A3AC389">
      <w:pPr>
        <w:pStyle w:val="6"/>
        <w:spacing w:before="93"/>
        <w:rPr>
          <w:rFonts w:hAnsi="Calibri" w:cs="仿宋"/>
          <w:sz w:val="32"/>
          <w:szCs w:val="32"/>
        </w:rPr>
      </w:pPr>
    </w:p>
    <w:p w14:paraId="5627F2E8">
      <w:pPr>
        <w:pStyle w:val="6"/>
        <w:spacing w:before="93"/>
        <w:rPr>
          <w:rFonts w:hAnsi="Calibri" w:cs="仿宋"/>
          <w:sz w:val="32"/>
          <w:szCs w:val="32"/>
        </w:rPr>
      </w:pPr>
    </w:p>
    <w:p w14:paraId="1EAB50BC">
      <w:pPr>
        <w:pStyle w:val="6"/>
        <w:spacing w:before="93"/>
        <w:rPr>
          <w:rFonts w:hAnsi="Calibri" w:cs="仿宋"/>
          <w:sz w:val="32"/>
          <w:szCs w:val="32"/>
        </w:rPr>
      </w:pPr>
    </w:p>
    <w:p w14:paraId="0295A5FF">
      <w:pPr>
        <w:pStyle w:val="6"/>
        <w:spacing w:before="93"/>
        <w:rPr>
          <w:rFonts w:hAnsi="Calibri" w:cs="仿宋"/>
          <w:sz w:val="32"/>
          <w:szCs w:val="32"/>
        </w:rPr>
      </w:pPr>
    </w:p>
    <w:p w14:paraId="52CA2CC2">
      <w:pPr>
        <w:pStyle w:val="6"/>
        <w:spacing w:before="93"/>
        <w:rPr>
          <w:rFonts w:hAnsi="Calibri" w:cs="仿宋"/>
          <w:sz w:val="32"/>
          <w:szCs w:val="32"/>
        </w:rPr>
      </w:pPr>
    </w:p>
    <w:p w14:paraId="605BECDF">
      <w:pPr>
        <w:pStyle w:val="6"/>
        <w:spacing w:before="93"/>
        <w:rPr>
          <w:rFonts w:hAnsi="Calibri" w:cs="仿宋"/>
          <w:sz w:val="32"/>
          <w:szCs w:val="32"/>
        </w:rPr>
      </w:pPr>
    </w:p>
    <w:p w14:paraId="7324823B">
      <w:pPr>
        <w:pStyle w:val="6"/>
        <w:spacing w:before="93"/>
        <w:rPr>
          <w:rFonts w:hAnsi="Calibri" w:cs="仿宋"/>
          <w:sz w:val="32"/>
          <w:szCs w:val="32"/>
        </w:rPr>
      </w:pPr>
    </w:p>
    <w:p w14:paraId="02BC93CF">
      <w:pPr>
        <w:pStyle w:val="6"/>
        <w:spacing w:before="93"/>
        <w:rPr>
          <w:rFonts w:hAnsi="Calibri" w:cs="仿宋"/>
          <w:sz w:val="32"/>
          <w:szCs w:val="32"/>
        </w:rPr>
      </w:pPr>
    </w:p>
    <w:p w14:paraId="3908FE1C">
      <w:pPr>
        <w:pStyle w:val="6"/>
        <w:spacing w:before="93"/>
        <w:rPr>
          <w:rFonts w:hAnsi="Calibri" w:cs="仿宋"/>
          <w:sz w:val="32"/>
          <w:szCs w:val="32"/>
        </w:rPr>
      </w:pPr>
    </w:p>
    <w:p w14:paraId="4969E907">
      <w:pPr>
        <w:pStyle w:val="6"/>
        <w:spacing w:before="93"/>
        <w:rPr>
          <w:rFonts w:hAnsi="Calibri" w:cs="仿宋"/>
          <w:sz w:val="32"/>
          <w:szCs w:val="32"/>
        </w:rPr>
      </w:pPr>
    </w:p>
    <w:p w14:paraId="6CE6A8E5">
      <w:pPr>
        <w:pStyle w:val="6"/>
        <w:spacing w:before="93"/>
        <w:rPr>
          <w:rFonts w:hAnsi="Calibri" w:cs="仿宋"/>
          <w:sz w:val="32"/>
          <w:szCs w:val="32"/>
        </w:rPr>
      </w:pPr>
    </w:p>
    <w:p w14:paraId="001229DF">
      <w:pPr>
        <w:pStyle w:val="6"/>
        <w:spacing w:before="93"/>
        <w:rPr>
          <w:rFonts w:hAnsi="Calibri" w:cs="仿宋"/>
          <w:sz w:val="32"/>
          <w:szCs w:val="32"/>
        </w:rPr>
      </w:pPr>
    </w:p>
    <w:p w14:paraId="0687D937">
      <w:pPr>
        <w:pStyle w:val="6"/>
        <w:spacing w:before="93"/>
        <w:rPr>
          <w:rFonts w:hAnsi="Calibri" w:cs="仿宋"/>
          <w:sz w:val="32"/>
          <w:szCs w:val="32"/>
        </w:rPr>
      </w:pPr>
    </w:p>
    <w:p w14:paraId="3DD7F35C">
      <w:pPr>
        <w:pStyle w:val="6"/>
        <w:spacing w:before="93"/>
        <w:rPr>
          <w:rFonts w:hAnsi="Calibri" w:cs="仿宋"/>
          <w:sz w:val="32"/>
          <w:szCs w:val="32"/>
        </w:rPr>
      </w:pPr>
    </w:p>
    <w:p w14:paraId="242B302D">
      <w:pPr>
        <w:pStyle w:val="6"/>
        <w:spacing w:before="93"/>
        <w:rPr>
          <w:rFonts w:hAnsi="Calibri" w:cs="仿宋"/>
          <w:sz w:val="32"/>
          <w:szCs w:val="32"/>
        </w:rPr>
      </w:pPr>
    </w:p>
    <w:p w14:paraId="38D2DAAF">
      <w:pPr>
        <w:pStyle w:val="6"/>
        <w:spacing w:before="93"/>
        <w:rPr>
          <w:rFonts w:hAnsi="Calibri" w:cs="仿宋"/>
          <w:sz w:val="32"/>
          <w:szCs w:val="32"/>
        </w:rPr>
      </w:pPr>
    </w:p>
    <w:p w14:paraId="30FF23B1">
      <w:pPr>
        <w:pStyle w:val="6"/>
        <w:spacing w:before="93"/>
        <w:rPr>
          <w:rFonts w:hAnsi="Calibri" w:cs="仿宋"/>
          <w:sz w:val="32"/>
          <w:szCs w:val="32"/>
        </w:rPr>
      </w:pPr>
    </w:p>
    <w:p w14:paraId="43BDF983">
      <w:pPr>
        <w:pStyle w:val="6"/>
        <w:spacing w:before="93"/>
        <w:rPr>
          <w:rFonts w:hAnsi="Calibri" w:cs="仿宋"/>
          <w:sz w:val="32"/>
          <w:szCs w:val="32"/>
        </w:rPr>
      </w:pPr>
    </w:p>
    <w:p w14:paraId="7A771A4C">
      <w:pPr>
        <w:pStyle w:val="6"/>
        <w:spacing w:before="93"/>
        <w:rPr>
          <w:rFonts w:hAnsi="Calibri" w:cs="仿宋"/>
          <w:sz w:val="32"/>
          <w:szCs w:val="32"/>
        </w:rPr>
      </w:pPr>
    </w:p>
    <w:p w14:paraId="2E2CDF9C">
      <w:pPr>
        <w:spacing w:line="600" w:lineRule="exact"/>
        <w:jc w:val="center"/>
        <w:outlineLvl w:val="0"/>
        <w:rPr>
          <w:rFonts w:ascii="仿宋" w:hAnsi="仿宋" w:eastAsia="仿宋"/>
        </w:rPr>
      </w:pPr>
      <w:r>
        <w:rPr>
          <w:rFonts w:hint="eastAsia" w:ascii="黑体" w:hAnsi="黑体" w:eastAsia="黑体"/>
          <w:sz w:val="44"/>
          <w:szCs w:val="44"/>
        </w:rPr>
        <w:t>第</w:t>
      </w:r>
      <w:r>
        <w:rPr>
          <w:rStyle w:val="28"/>
          <w:rFonts w:hint="eastAsia" w:ascii="黑体" w:hAnsi="黑体" w:eastAsia="黑体"/>
          <w:b w:val="0"/>
        </w:rPr>
        <w:t>五部分 附表</w:t>
      </w:r>
      <w:bookmarkEnd w:id="54"/>
      <w:bookmarkEnd w:id="56"/>
      <w:bookmarkStart w:id="57" w:name="_Toc15396619"/>
    </w:p>
    <w:p w14:paraId="7975B9AF">
      <w:pPr>
        <w:pStyle w:val="4"/>
        <w:rPr>
          <w:rFonts w:ascii="仿宋" w:hAnsi="仿宋" w:eastAsia="仿宋"/>
          <w:b w:val="0"/>
        </w:rPr>
      </w:pPr>
    </w:p>
    <w:p w14:paraId="7BCB5333">
      <w:pPr>
        <w:pStyle w:val="4"/>
        <w:rPr>
          <w:rFonts w:ascii="仿宋" w:hAnsi="仿宋" w:eastAsia="仿宋"/>
          <w:b w:val="0"/>
        </w:rPr>
      </w:pPr>
    </w:p>
    <w:p w14:paraId="47EC7421">
      <w:pPr>
        <w:pStyle w:val="4"/>
        <w:rPr>
          <w:rFonts w:ascii="仿宋" w:hAnsi="仿宋" w:eastAsia="仿宋"/>
          <w:b w:val="0"/>
        </w:rPr>
      </w:pPr>
    </w:p>
    <w:p w14:paraId="27888867">
      <w:pPr>
        <w:pStyle w:val="4"/>
        <w:rPr>
          <w:rFonts w:ascii="仿宋" w:hAnsi="仿宋" w:eastAsia="仿宋"/>
          <w:b w:val="0"/>
        </w:rPr>
      </w:pPr>
    </w:p>
    <w:p w14:paraId="22191A0B">
      <w:pPr>
        <w:pStyle w:val="4"/>
        <w:rPr>
          <w:rFonts w:ascii="仿宋" w:hAnsi="仿宋" w:eastAsia="仿宋"/>
          <w:b w:val="0"/>
        </w:rPr>
      </w:pPr>
    </w:p>
    <w:p w14:paraId="27ED3D4B">
      <w:pPr>
        <w:pStyle w:val="4"/>
        <w:rPr>
          <w:rFonts w:ascii="仿宋" w:hAnsi="仿宋" w:eastAsia="仿宋"/>
          <w:b w:val="0"/>
        </w:rPr>
      </w:pPr>
    </w:p>
    <w:p w14:paraId="346FC2AA">
      <w:pPr>
        <w:pStyle w:val="4"/>
        <w:rPr>
          <w:rFonts w:ascii="仿宋" w:hAnsi="仿宋" w:eastAsia="仿宋"/>
          <w:b w:val="0"/>
        </w:rPr>
      </w:pPr>
    </w:p>
    <w:p w14:paraId="3996B1FD"/>
    <w:p w14:paraId="0399DB50">
      <w:pPr>
        <w:pStyle w:val="4"/>
        <w:rPr>
          <w:rStyle w:val="29"/>
          <w:rFonts w:ascii="仿宋" w:hAnsi="仿宋" w:eastAsia="仿宋"/>
          <w:b w:val="0"/>
          <w:bCs w:val="0"/>
        </w:rPr>
      </w:pPr>
      <w:r>
        <w:rPr>
          <w:rFonts w:hint="eastAsia" w:ascii="仿宋" w:hAnsi="仿宋" w:eastAsia="仿宋"/>
          <w:b w:val="0"/>
        </w:rPr>
        <w:t>一、收</w:t>
      </w:r>
      <w:r>
        <w:rPr>
          <w:rStyle w:val="29"/>
          <w:rFonts w:hint="eastAsia" w:ascii="仿宋" w:hAnsi="仿宋" w:eastAsia="仿宋"/>
          <w:b w:val="0"/>
          <w:bCs w:val="0"/>
        </w:rPr>
        <w:t>入支出决算总表</w:t>
      </w:r>
      <w:bookmarkEnd w:id="57"/>
    </w:p>
    <w:p w14:paraId="77F768B3">
      <w:pPr>
        <w:rPr>
          <w:rFonts w:hint="eastAsia"/>
        </w:rPr>
      </w:pPr>
      <w:r>
        <w:rPr>
          <w:rFonts w:hint="eastAsia"/>
        </w:rPr>
        <w:drawing>
          <wp:inline distT="0" distB="0" distL="0" distR="0">
            <wp:extent cx="6120130" cy="4493895"/>
            <wp:effectExtent l="1905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noChangeArrowheads="1"/>
                    </pic:cNvPicPr>
                  </pic:nvPicPr>
                  <pic:blipFill>
                    <a:blip r:embed="rId20"/>
                    <a:srcRect/>
                    <a:stretch>
                      <a:fillRect/>
                    </a:stretch>
                  </pic:blipFill>
                  <pic:spPr>
                    <a:xfrm>
                      <a:off x="0" y="0"/>
                      <a:ext cx="6120130" cy="4494034"/>
                    </a:xfrm>
                    <a:prstGeom prst="rect">
                      <a:avLst/>
                    </a:prstGeom>
                    <a:noFill/>
                    <a:ln w="9525">
                      <a:noFill/>
                      <a:miter lim="800000"/>
                      <a:headEnd/>
                      <a:tailEnd/>
                    </a:ln>
                  </pic:spPr>
                </pic:pic>
              </a:graphicData>
            </a:graphic>
          </wp:inline>
        </w:drawing>
      </w:r>
    </w:p>
    <w:p w14:paraId="02993FB0"/>
    <w:p w14:paraId="53D8DE6E">
      <w:pPr>
        <w:pStyle w:val="4"/>
        <w:rPr>
          <w:rFonts w:hint="eastAsia" w:ascii="仿宋" w:hAnsi="仿宋" w:eastAsia="仿宋"/>
          <w:b w:val="0"/>
        </w:rPr>
      </w:pPr>
      <w:bookmarkStart w:id="58" w:name="_Toc15396620"/>
    </w:p>
    <w:p w14:paraId="02C02A86">
      <w:pPr>
        <w:pStyle w:val="4"/>
        <w:rPr>
          <w:rStyle w:val="29"/>
          <w:rFonts w:hint="eastAsia" w:ascii="仿宋" w:hAnsi="仿宋" w:eastAsia="仿宋"/>
          <w:b w:val="0"/>
          <w:bCs w:val="0"/>
        </w:rPr>
      </w:pPr>
      <w:r>
        <w:rPr>
          <w:rFonts w:hint="eastAsia" w:ascii="仿宋" w:hAnsi="仿宋" w:eastAsia="仿宋"/>
          <w:b w:val="0"/>
        </w:rPr>
        <w:t>二、收</w:t>
      </w:r>
      <w:r>
        <w:rPr>
          <w:rStyle w:val="29"/>
          <w:rFonts w:hint="eastAsia" w:ascii="仿宋" w:hAnsi="仿宋" w:eastAsia="仿宋"/>
          <w:b w:val="0"/>
          <w:bCs w:val="0"/>
        </w:rPr>
        <w:t>入决算表</w:t>
      </w:r>
      <w:bookmarkEnd w:id="58"/>
    </w:p>
    <w:p w14:paraId="647D0118">
      <w:r>
        <w:drawing>
          <wp:inline distT="0" distB="0" distL="0" distR="0">
            <wp:extent cx="6120130" cy="2590165"/>
            <wp:effectExtent l="1905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noChangeArrowheads="1"/>
                    </pic:cNvPicPr>
                  </pic:nvPicPr>
                  <pic:blipFill>
                    <a:blip r:embed="rId21"/>
                    <a:srcRect/>
                    <a:stretch>
                      <a:fillRect/>
                    </a:stretch>
                  </pic:blipFill>
                  <pic:spPr>
                    <a:xfrm>
                      <a:off x="0" y="0"/>
                      <a:ext cx="6120130" cy="2590371"/>
                    </a:xfrm>
                    <a:prstGeom prst="rect">
                      <a:avLst/>
                    </a:prstGeom>
                    <a:noFill/>
                    <a:ln w="9525">
                      <a:noFill/>
                      <a:miter lim="800000"/>
                      <a:headEnd/>
                      <a:tailEnd/>
                    </a:ln>
                  </pic:spPr>
                </pic:pic>
              </a:graphicData>
            </a:graphic>
          </wp:inline>
        </w:drawing>
      </w:r>
    </w:p>
    <w:p w14:paraId="49132CCA">
      <w:pPr>
        <w:rPr>
          <w:rFonts w:hint="eastAsia"/>
        </w:rPr>
      </w:pPr>
    </w:p>
    <w:p w14:paraId="507CA684">
      <w:pPr>
        <w:pStyle w:val="2"/>
        <w:rPr>
          <w:rFonts w:hint="eastAsia"/>
        </w:rPr>
      </w:pPr>
    </w:p>
    <w:p w14:paraId="76B20959">
      <w:pPr>
        <w:pStyle w:val="4"/>
        <w:rPr>
          <w:rStyle w:val="29"/>
          <w:rFonts w:hint="eastAsia" w:ascii="仿宋" w:hAnsi="仿宋" w:eastAsia="仿宋"/>
          <w:b w:val="0"/>
          <w:bCs w:val="0"/>
        </w:rPr>
      </w:pPr>
      <w:r>
        <w:rPr>
          <w:rStyle w:val="29"/>
          <w:rFonts w:hint="eastAsia" w:ascii="仿宋" w:hAnsi="仿宋" w:eastAsia="仿宋"/>
          <w:b w:val="0"/>
          <w:bCs w:val="0"/>
        </w:rPr>
        <w:t>三、</w:t>
      </w:r>
      <w:bookmarkStart w:id="59" w:name="_Toc15396621"/>
      <w:r>
        <w:rPr>
          <w:rFonts w:hint="eastAsia" w:ascii="仿宋" w:hAnsi="仿宋" w:eastAsia="仿宋"/>
          <w:b w:val="0"/>
        </w:rPr>
        <w:t>支</w:t>
      </w:r>
      <w:r>
        <w:rPr>
          <w:rStyle w:val="29"/>
          <w:rFonts w:hint="eastAsia" w:ascii="仿宋" w:hAnsi="仿宋" w:eastAsia="仿宋"/>
          <w:b w:val="0"/>
          <w:bCs w:val="0"/>
        </w:rPr>
        <w:t>出决算表</w:t>
      </w:r>
      <w:bookmarkEnd w:id="59"/>
    </w:p>
    <w:p w14:paraId="2D726B34">
      <w:pPr>
        <w:rPr>
          <w:rFonts w:hint="eastAsia"/>
        </w:rPr>
      </w:pPr>
      <w:r>
        <w:rPr>
          <w:rFonts w:hint="eastAsia"/>
        </w:rPr>
        <w:drawing>
          <wp:inline distT="0" distB="0" distL="0" distR="0">
            <wp:extent cx="6120130" cy="2794000"/>
            <wp:effectExtent l="1905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noChangeArrowheads="1"/>
                    </pic:cNvPicPr>
                  </pic:nvPicPr>
                  <pic:blipFill>
                    <a:blip r:embed="rId22"/>
                    <a:srcRect/>
                    <a:stretch>
                      <a:fillRect/>
                    </a:stretch>
                  </pic:blipFill>
                  <pic:spPr>
                    <a:xfrm>
                      <a:off x="0" y="0"/>
                      <a:ext cx="6120130" cy="2794380"/>
                    </a:xfrm>
                    <a:prstGeom prst="rect">
                      <a:avLst/>
                    </a:prstGeom>
                    <a:noFill/>
                    <a:ln w="9525">
                      <a:noFill/>
                      <a:miter lim="800000"/>
                      <a:headEnd/>
                      <a:tailEnd/>
                    </a:ln>
                  </pic:spPr>
                </pic:pic>
              </a:graphicData>
            </a:graphic>
          </wp:inline>
        </w:drawing>
      </w:r>
    </w:p>
    <w:p w14:paraId="6E12E610">
      <w:pPr>
        <w:pStyle w:val="4"/>
        <w:rPr>
          <w:rStyle w:val="29"/>
          <w:rFonts w:hint="eastAsia" w:ascii="仿宋" w:hAnsi="仿宋" w:eastAsia="仿宋"/>
          <w:b w:val="0"/>
          <w:bCs w:val="0"/>
        </w:rPr>
      </w:pPr>
      <w:r>
        <w:rPr>
          <w:rStyle w:val="29"/>
          <w:rFonts w:hint="eastAsia" w:ascii="仿宋" w:hAnsi="仿宋" w:eastAsia="仿宋"/>
          <w:b w:val="0"/>
          <w:bCs w:val="0"/>
        </w:rPr>
        <w:t>四、</w:t>
      </w:r>
      <w:bookmarkStart w:id="60" w:name="_Toc15396622"/>
      <w:r>
        <w:rPr>
          <w:rFonts w:hint="eastAsia" w:ascii="仿宋" w:hAnsi="仿宋" w:eastAsia="仿宋"/>
          <w:b w:val="0"/>
        </w:rPr>
        <w:t>财</w:t>
      </w:r>
      <w:r>
        <w:rPr>
          <w:rStyle w:val="29"/>
          <w:rFonts w:hint="eastAsia" w:ascii="仿宋" w:hAnsi="仿宋" w:eastAsia="仿宋"/>
          <w:b w:val="0"/>
          <w:bCs w:val="0"/>
        </w:rPr>
        <w:t>政拨款收入支出决算总表</w:t>
      </w:r>
      <w:bookmarkEnd w:id="60"/>
    </w:p>
    <w:p w14:paraId="0668FEE0">
      <w:pPr>
        <w:rPr>
          <w:rStyle w:val="29"/>
          <w:rFonts w:hint="eastAsia" w:ascii="Times New Roman" w:hAnsi="Times New Roman" w:eastAsia="宋体" w:cs="Times New Roman"/>
          <w:b w:val="0"/>
          <w:bCs w:val="0"/>
          <w:sz w:val="21"/>
          <w:szCs w:val="24"/>
        </w:rPr>
      </w:pPr>
      <w:r>
        <w:rPr>
          <w:rFonts w:hint="eastAsia"/>
        </w:rPr>
        <w:drawing>
          <wp:inline distT="0" distB="0" distL="0" distR="0">
            <wp:extent cx="6120130" cy="3770630"/>
            <wp:effectExtent l="1905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noChangeArrowheads="1"/>
                    </pic:cNvPicPr>
                  </pic:nvPicPr>
                  <pic:blipFill>
                    <a:blip r:embed="rId23"/>
                    <a:srcRect/>
                    <a:stretch>
                      <a:fillRect/>
                    </a:stretch>
                  </pic:blipFill>
                  <pic:spPr>
                    <a:xfrm>
                      <a:off x="0" y="0"/>
                      <a:ext cx="6120130" cy="3771204"/>
                    </a:xfrm>
                    <a:prstGeom prst="rect">
                      <a:avLst/>
                    </a:prstGeom>
                    <a:noFill/>
                    <a:ln w="9525">
                      <a:noFill/>
                      <a:miter lim="800000"/>
                      <a:headEnd/>
                      <a:tailEnd/>
                    </a:ln>
                  </pic:spPr>
                </pic:pic>
              </a:graphicData>
            </a:graphic>
          </wp:inline>
        </w:drawing>
      </w:r>
    </w:p>
    <w:p w14:paraId="09802337">
      <w:pPr>
        <w:pStyle w:val="4"/>
        <w:rPr>
          <w:rStyle w:val="29"/>
          <w:rFonts w:hint="eastAsia" w:ascii="仿宋" w:hAnsi="仿宋" w:eastAsia="仿宋"/>
          <w:b w:val="0"/>
          <w:bCs w:val="0"/>
        </w:rPr>
      </w:pPr>
      <w:r>
        <w:rPr>
          <w:rStyle w:val="29"/>
          <w:rFonts w:hint="eastAsia" w:ascii="仿宋" w:hAnsi="仿宋" w:eastAsia="仿宋"/>
          <w:b w:val="0"/>
          <w:bCs w:val="0"/>
        </w:rPr>
        <w:t>五、</w:t>
      </w:r>
      <w:bookmarkStart w:id="61" w:name="_Toc15396623"/>
      <w:r>
        <w:rPr>
          <w:rFonts w:hint="eastAsia" w:ascii="仿宋" w:hAnsi="仿宋" w:eastAsia="仿宋"/>
          <w:b w:val="0"/>
        </w:rPr>
        <w:t>财</w:t>
      </w:r>
      <w:r>
        <w:rPr>
          <w:rStyle w:val="29"/>
          <w:rFonts w:hint="eastAsia" w:ascii="仿宋" w:hAnsi="仿宋" w:eastAsia="仿宋"/>
          <w:b w:val="0"/>
          <w:bCs w:val="0"/>
        </w:rPr>
        <w:t>政拨款支出决算明细表</w:t>
      </w:r>
      <w:bookmarkEnd w:id="61"/>
      <w:bookmarkStart w:id="62" w:name="_Toc15396624"/>
    </w:p>
    <w:p w14:paraId="3CD7E065">
      <w:pPr>
        <w:rPr>
          <w:rStyle w:val="29"/>
          <w:rFonts w:hint="eastAsia" w:ascii="Times New Roman" w:hAnsi="Times New Roman" w:eastAsia="宋体" w:cs="Times New Roman"/>
          <w:b w:val="0"/>
          <w:bCs w:val="0"/>
          <w:sz w:val="21"/>
          <w:szCs w:val="24"/>
        </w:rPr>
      </w:pPr>
      <w:r>
        <w:drawing>
          <wp:inline distT="0" distB="0" distL="0" distR="0">
            <wp:extent cx="6120130" cy="8053070"/>
            <wp:effectExtent l="1905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noChangeArrowheads="1"/>
                    </pic:cNvPicPr>
                  </pic:nvPicPr>
                  <pic:blipFill>
                    <a:blip r:embed="rId24"/>
                    <a:srcRect/>
                    <a:stretch>
                      <a:fillRect/>
                    </a:stretch>
                  </pic:blipFill>
                  <pic:spPr>
                    <a:xfrm>
                      <a:off x="0" y="0"/>
                      <a:ext cx="6120130" cy="8053640"/>
                    </a:xfrm>
                    <a:prstGeom prst="rect">
                      <a:avLst/>
                    </a:prstGeom>
                    <a:noFill/>
                    <a:ln w="9525">
                      <a:noFill/>
                      <a:miter lim="800000"/>
                      <a:headEnd/>
                      <a:tailEnd/>
                    </a:ln>
                  </pic:spPr>
                </pic:pic>
              </a:graphicData>
            </a:graphic>
          </wp:inline>
        </w:drawing>
      </w:r>
    </w:p>
    <w:p w14:paraId="5AB80778">
      <w:pPr>
        <w:rPr>
          <w:rFonts w:hint="eastAsia"/>
        </w:rPr>
      </w:pPr>
    </w:p>
    <w:p w14:paraId="3C23F934">
      <w:pPr>
        <w:pStyle w:val="4"/>
        <w:rPr>
          <w:rStyle w:val="29"/>
          <w:rFonts w:hint="eastAsia" w:ascii="仿宋" w:hAnsi="仿宋" w:eastAsia="仿宋"/>
          <w:b w:val="0"/>
          <w:bCs w:val="0"/>
        </w:rPr>
      </w:pPr>
      <w:r>
        <w:rPr>
          <w:rStyle w:val="29"/>
          <w:rFonts w:hint="eastAsia" w:ascii="仿宋" w:hAnsi="仿宋" w:eastAsia="仿宋"/>
          <w:b w:val="0"/>
          <w:bCs w:val="0"/>
        </w:rPr>
        <w:t>六、</w:t>
      </w:r>
      <w:r>
        <w:rPr>
          <w:rFonts w:hint="eastAsia" w:ascii="仿宋" w:hAnsi="仿宋" w:eastAsia="仿宋"/>
          <w:b w:val="0"/>
        </w:rPr>
        <w:t>一</w:t>
      </w:r>
      <w:r>
        <w:rPr>
          <w:rStyle w:val="29"/>
          <w:rFonts w:hint="eastAsia" w:ascii="仿宋" w:hAnsi="仿宋" w:eastAsia="仿宋"/>
          <w:b w:val="0"/>
          <w:bCs w:val="0"/>
        </w:rPr>
        <w:t>般公共预算财政拨款支出决算表</w:t>
      </w:r>
      <w:bookmarkEnd w:id="62"/>
    </w:p>
    <w:p w14:paraId="231EBC1C">
      <w:r>
        <w:drawing>
          <wp:inline distT="0" distB="0" distL="0" distR="0">
            <wp:extent cx="6120130" cy="4049395"/>
            <wp:effectExtent l="19050" t="0" r="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noChangeArrowheads="1"/>
                    </pic:cNvPicPr>
                  </pic:nvPicPr>
                  <pic:blipFill>
                    <a:blip r:embed="rId25"/>
                    <a:srcRect/>
                    <a:stretch>
                      <a:fillRect/>
                    </a:stretch>
                  </pic:blipFill>
                  <pic:spPr>
                    <a:xfrm>
                      <a:off x="0" y="0"/>
                      <a:ext cx="6120130" cy="4049751"/>
                    </a:xfrm>
                    <a:prstGeom prst="rect">
                      <a:avLst/>
                    </a:prstGeom>
                    <a:noFill/>
                    <a:ln w="9525">
                      <a:noFill/>
                      <a:miter lim="800000"/>
                      <a:headEnd/>
                      <a:tailEnd/>
                    </a:ln>
                  </pic:spPr>
                </pic:pic>
              </a:graphicData>
            </a:graphic>
          </wp:inline>
        </w:drawing>
      </w:r>
    </w:p>
    <w:p w14:paraId="3134D86A">
      <w:pPr>
        <w:pStyle w:val="4"/>
        <w:rPr>
          <w:rStyle w:val="29"/>
          <w:rFonts w:hint="eastAsia" w:ascii="仿宋" w:hAnsi="仿宋" w:eastAsia="仿宋"/>
          <w:b w:val="0"/>
          <w:bCs w:val="0"/>
        </w:rPr>
      </w:pPr>
      <w:bookmarkStart w:id="63" w:name="_Toc15396625"/>
    </w:p>
    <w:p w14:paraId="7CF3A30D">
      <w:pPr>
        <w:pStyle w:val="4"/>
        <w:rPr>
          <w:rStyle w:val="29"/>
          <w:rFonts w:hint="eastAsia" w:ascii="仿宋" w:hAnsi="仿宋" w:eastAsia="仿宋"/>
          <w:b w:val="0"/>
          <w:bCs w:val="0"/>
        </w:rPr>
      </w:pPr>
    </w:p>
    <w:p w14:paraId="0F265CFB">
      <w:pPr>
        <w:rPr>
          <w:rFonts w:hint="eastAsia"/>
        </w:rPr>
      </w:pPr>
    </w:p>
    <w:p w14:paraId="4F51B4CF">
      <w:pPr>
        <w:pStyle w:val="4"/>
        <w:rPr>
          <w:rStyle w:val="29"/>
          <w:rFonts w:hint="eastAsia" w:ascii="仿宋" w:hAnsi="仿宋" w:eastAsia="仿宋"/>
          <w:b w:val="0"/>
          <w:bCs w:val="0"/>
        </w:rPr>
      </w:pPr>
    </w:p>
    <w:p w14:paraId="2984EE81">
      <w:pPr>
        <w:pStyle w:val="4"/>
        <w:rPr>
          <w:rStyle w:val="29"/>
          <w:rFonts w:hint="eastAsia" w:ascii="仿宋" w:hAnsi="仿宋" w:eastAsia="仿宋"/>
          <w:b w:val="0"/>
          <w:bCs w:val="0"/>
        </w:rPr>
      </w:pPr>
    </w:p>
    <w:p w14:paraId="1BA0E790">
      <w:pPr>
        <w:pStyle w:val="4"/>
        <w:rPr>
          <w:rStyle w:val="29"/>
          <w:rFonts w:hint="eastAsia" w:ascii="仿宋" w:hAnsi="仿宋" w:eastAsia="仿宋"/>
          <w:b w:val="0"/>
          <w:bCs w:val="0"/>
        </w:rPr>
      </w:pPr>
    </w:p>
    <w:p w14:paraId="5177E95E">
      <w:pPr>
        <w:pStyle w:val="4"/>
        <w:rPr>
          <w:rStyle w:val="29"/>
          <w:rFonts w:hint="eastAsia" w:ascii="仿宋" w:hAnsi="仿宋" w:eastAsia="仿宋"/>
          <w:b w:val="0"/>
          <w:bCs w:val="0"/>
        </w:rPr>
      </w:pPr>
    </w:p>
    <w:p w14:paraId="1B7F5593">
      <w:pPr>
        <w:rPr>
          <w:rFonts w:hint="eastAsia"/>
        </w:rPr>
      </w:pPr>
    </w:p>
    <w:p w14:paraId="72A10F20">
      <w:pPr>
        <w:pStyle w:val="4"/>
        <w:rPr>
          <w:rStyle w:val="29"/>
          <w:rFonts w:hint="eastAsia" w:ascii="仿宋" w:hAnsi="仿宋" w:eastAsia="仿宋"/>
          <w:b w:val="0"/>
          <w:bCs w:val="0"/>
        </w:rPr>
      </w:pPr>
      <w:r>
        <w:rPr>
          <w:rStyle w:val="29"/>
          <w:rFonts w:hint="eastAsia" w:ascii="仿宋" w:hAnsi="仿宋" w:eastAsia="仿宋"/>
          <w:b w:val="0"/>
          <w:bCs w:val="0"/>
        </w:rPr>
        <w:t>七、</w:t>
      </w:r>
      <w:r>
        <w:rPr>
          <w:rFonts w:hint="eastAsia" w:ascii="仿宋" w:hAnsi="仿宋" w:eastAsia="仿宋"/>
          <w:b w:val="0"/>
        </w:rPr>
        <w:t>一</w:t>
      </w:r>
      <w:r>
        <w:rPr>
          <w:rStyle w:val="29"/>
          <w:rFonts w:hint="eastAsia" w:ascii="仿宋" w:hAnsi="仿宋" w:eastAsia="仿宋"/>
          <w:b w:val="0"/>
          <w:bCs w:val="0"/>
        </w:rPr>
        <w:t>般公共预算财政拨款支出决算明细表</w:t>
      </w:r>
      <w:bookmarkEnd w:id="63"/>
    </w:p>
    <w:p w14:paraId="13E6C5F1">
      <w:r>
        <w:drawing>
          <wp:inline distT="0" distB="0" distL="0" distR="0">
            <wp:extent cx="6120130" cy="732155"/>
            <wp:effectExtent l="19050" t="0" r="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noChangeArrowheads="1"/>
                    </pic:cNvPicPr>
                  </pic:nvPicPr>
                  <pic:blipFill>
                    <a:blip r:embed="rId26"/>
                    <a:srcRect/>
                    <a:stretch>
                      <a:fillRect/>
                    </a:stretch>
                  </pic:blipFill>
                  <pic:spPr>
                    <a:xfrm>
                      <a:off x="0" y="0"/>
                      <a:ext cx="6120130" cy="732590"/>
                    </a:xfrm>
                    <a:prstGeom prst="rect">
                      <a:avLst/>
                    </a:prstGeom>
                    <a:noFill/>
                    <a:ln w="9525">
                      <a:noFill/>
                      <a:miter lim="800000"/>
                      <a:headEnd/>
                      <a:tailEnd/>
                    </a:ln>
                  </pic:spPr>
                </pic:pic>
              </a:graphicData>
            </a:graphic>
          </wp:inline>
        </w:drawing>
      </w:r>
    </w:p>
    <w:p w14:paraId="3ADA53AA">
      <w:pPr>
        <w:pStyle w:val="4"/>
        <w:rPr>
          <w:rStyle w:val="29"/>
          <w:rFonts w:hint="eastAsia" w:ascii="仿宋" w:hAnsi="仿宋" w:eastAsia="仿宋"/>
          <w:b w:val="0"/>
          <w:bCs w:val="0"/>
        </w:rPr>
      </w:pPr>
      <w:bookmarkStart w:id="64" w:name="_Toc15396626"/>
      <w:r>
        <w:rPr>
          <w:rStyle w:val="29"/>
          <w:rFonts w:hint="eastAsia" w:ascii="仿宋" w:hAnsi="仿宋" w:eastAsia="仿宋"/>
          <w:b w:val="0"/>
          <w:bCs w:val="0"/>
        </w:rPr>
        <w:t>八、</w:t>
      </w:r>
      <w:r>
        <w:rPr>
          <w:rFonts w:hint="eastAsia" w:ascii="仿宋" w:hAnsi="仿宋" w:eastAsia="仿宋"/>
          <w:b w:val="0"/>
        </w:rPr>
        <w:t>一</w:t>
      </w:r>
      <w:r>
        <w:rPr>
          <w:rStyle w:val="29"/>
          <w:rFonts w:hint="eastAsia" w:ascii="仿宋" w:hAnsi="仿宋" w:eastAsia="仿宋"/>
          <w:b w:val="0"/>
          <w:bCs w:val="0"/>
        </w:rPr>
        <w:t>般公共预算财政拨款基本支出决算表</w:t>
      </w:r>
      <w:bookmarkEnd w:id="64"/>
    </w:p>
    <w:p w14:paraId="7CACA114">
      <w:r>
        <w:drawing>
          <wp:inline distT="0" distB="0" distL="0" distR="0">
            <wp:extent cx="6120130" cy="3859530"/>
            <wp:effectExtent l="1905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noChangeArrowheads="1"/>
                    </pic:cNvPicPr>
                  </pic:nvPicPr>
                  <pic:blipFill>
                    <a:blip r:embed="rId27"/>
                    <a:srcRect/>
                    <a:stretch>
                      <a:fillRect/>
                    </a:stretch>
                  </pic:blipFill>
                  <pic:spPr>
                    <a:xfrm>
                      <a:off x="0" y="0"/>
                      <a:ext cx="6120130" cy="3859886"/>
                    </a:xfrm>
                    <a:prstGeom prst="rect">
                      <a:avLst/>
                    </a:prstGeom>
                    <a:noFill/>
                    <a:ln w="9525">
                      <a:noFill/>
                      <a:miter lim="800000"/>
                      <a:headEnd/>
                      <a:tailEnd/>
                    </a:ln>
                  </pic:spPr>
                </pic:pic>
              </a:graphicData>
            </a:graphic>
          </wp:inline>
        </w:drawing>
      </w:r>
    </w:p>
    <w:p w14:paraId="49187B3F">
      <w:pPr>
        <w:pStyle w:val="4"/>
        <w:rPr>
          <w:rStyle w:val="29"/>
          <w:rFonts w:hint="eastAsia" w:ascii="仿宋" w:hAnsi="仿宋" w:eastAsia="仿宋"/>
          <w:b w:val="0"/>
          <w:bCs w:val="0"/>
        </w:rPr>
      </w:pPr>
      <w:bookmarkStart w:id="65" w:name="_Toc15396627"/>
      <w:r>
        <w:rPr>
          <w:rStyle w:val="29"/>
          <w:rFonts w:hint="eastAsia" w:ascii="仿宋" w:hAnsi="仿宋" w:eastAsia="仿宋"/>
          <w:b w:val="0"/>
          <w:bCs w:val="0"/>
        </w:rPr>
        <w:t>九、</w:t>
      </w:r>
      <w:r>
        <w:rPr>
          <w:rFonts w:hint="eastAsia" w:ascii="仿宋" w:hAnsi="仿宋" w:eastAsia="仿宋"/>
          <w:b w:val="0"/>
        </w:rPr>
        <w:t>一</w:t>
      </w:r>
      <w:r>
        <w:rPr>
          <w:rStyle w:val="29"/>
          <w:rFonts w:hint="eastAsia" w:ascii="仿宋" w:hAnsi="仿宋" w:eastAsia="仿宋"/>
          <w:b w:val="0"/>
          <w:bCs w:val="0"/>
        </w:rPr>
        <w:t>般公共预算财政拨款项目支出决算表</w:t>
      </w:r>
      <w:bookmarkEnd w:id="65"/>
    </w:p>
    <w:p w14:paraId="732E47E3">
      <w:r>
        <w:drawing>
          <wp:inline distT="0" distB="0" distL="0" distR="0">
            <wp:extent cx="6120130" cy="2068830"/>
            <wp:effectExtent l="19050" t="0" r="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noChangeArrowheads="1"/>
                    </pic:cNvPicPr>
                  </pic:nvPicPr>
                  <pic:blipFill>
                    <a:blip r:embed="rId28"/>
                    <a:srcRect/>
                    <a:stretch>
                      <a:fillRect/>
                    </a:stretch>
                  </pic:blipFill>
                  <pic:spPr>
                    <a:xfrm>
                      <a:off x="0" y="0"/>
                      <a:ext cx="6120130" cy="2068894"/>
                    </a:xfrm>
                    <a:prstGeom prst="rect">
                      <a:avLst/>
                    </a:prstGeom>
                    <a:noFill/>
                    <a:ln w="9525">
                      <a:noFill/>
                      <a:miter lim="800000"/>
                      <a:headEnd/>
                      <a:tailEnd/>
                    </a:ln>
                  </pic:spPr>
                </pic:pic>
              </a:graphicData>
            </a:graphic>
          </wp:inline>
        </w:drawing>
      </w:r>
    </w:p>
    <w:p w14:paraId="65305569">
      <w:pPr>
        <w:pStyle w:val="4"/>
        <w:rPr>
          <w:rStyle w:val="29"/>
          <w:rFonts w:hint="eastAsia" w:ascii="仿宋" w:hAnsi="仿宋" w:eastAsia="仿宋"/>
          <w:b w:val="0"/>
          <w:bCs w:val="0"/>
        </w:rPr>
      </w:pPr>
      <w:bookmarkStart w:id="66" w:name="_Toc15396628"/>
      <w:r>
        <w:rPr>
          <w:rStyle w:val="29"/>
          <w:rFonts w:hint="eastAsia" w:ascii="仿宋" w:hAnsi="仿宋" w:eastAsia="仿宋"/>
          <w:b w:val="0"/>
          <w:bCs w:val="0"/>
        </w:rPr>
        <w:t>十、</w:t>
      </w:r>
      <w:bookmarkEnd w:id="66"/>
      <w:r>
        <w:rPr>
          <w:rFonts w:hint="eastAsia" w:ascii="仿宋" w:hAnsi="仿宋" w:eastAsia="仿宋"/>
          <w:b w:val="0"/>
        </w:rPr>
        <w:t>政</w:t>
      </w:r>
      <w:r>
        <w:rPr>
          <w:rStyle w:val="29"/>
          <w:rFonts w:hint="eastAsia" w:ascii="仿宋" w:hAnsi="仿宋" w:eastAsia="仿宋"/>
          <w:b w:val="0"/>
          <w:bCs w:val="0"/>
        </w:rPr>
        <w:t>府性基金预算财政拨款收入支出决算表</w:t>
      </w:r>
    </w:p>
    <w:p w14:paraId="76864DB3">
      <w:r>
        <w:drawing>
          <wp:inline distT="0" distB="0" distL="0" distR="0">
            <wp:extent cx="6120130" cy="1028065"/>
            <wp:effectExtent l="19050" t="0" r="0"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noChangeArrowheads="1"/>
                    </pic:cNvPicPr>
                  </pic:nvPicPr>
                  <pic:blipFill>
                    <a:blip r:embed="rId29"/>
                    <a:srcRect/>
                    <a:stretch>
                      <a:fillRect/>
                    </a:stretch>
                  </pic:blipFill>
                  <pic:spPr>
                    <a:xfrm>
                      <a:off x="0" y="0"/>
                      <a:ext cx="6120130" cy="1028196"/>
                    </a:xfrm>
                    <a:prstGeom prst="rect">
                      <a:avLst/>
                    </a:prstGeom>
                    <a:noFill/>
                    <a:ln w="9525">
                      <a:noFill/>
                      <a:miter lim="800000"/>
                      <a:headEnd/>
                      <a:tailEnd/>
                    </a:ln>
                  </pic:spPr>
                </pic:pic>
              </a:graphicData>
            </a:graphic>
          </wp:inline>
        </w:drawing>
      </w:r>
    </w:p>
    <w:p w14:paraId="669A9280">
      <w:pPr>
        <w:pStyle w:val="4"/>
        <w:rPr>
          <w:rStyle w:val="29"/>
          <w:rFonts w:hint="eastAsia" w:ascii="仿宋" w:hAnsi="仿宋" w:eastAsia="仿宋"/>
          <w:b w:val="0"/>
          <w:bCs w:val="0"/>
        </w:rPr>
      </w:pPr>
      <w:bookmarkStart w:id="67" w:name="_Toc15396629"/>
      <w:r>
        <w:rPr>
          <w:rStyle w:val="29"/>
          <w:rFonts w:hint="eastAsia" w:ascii="仿宋" w:hAnsi="仿宋" w:eastAsia="仿宋"/>
          <w:b w:val="0"/>
          <w:bCs w:val="0"/>
        </w:rPr>
        <w:t>十一、</w:t>
      </w:r>
      <w:bookmarkEnd w:id="67"/>
      <w:r>
        <w:rPr>
          <w:rFonts w:hint="eastAsia" w:ascii="仿宋" w:hAnsi="仿宋" w:eastAsia="仿宋"/>
          <w:b w:val="0"/>
        </w:rPr>
        <w:t>国</w:t>
      </w:r>
      <w:r>
        <w:rPr>
          <w:rStyle w:val="29"/>
          <w:rFonts w:hint="eastAsia" w:ascii="仿宋" w:hAnsi="仿宋" w:eastAsia="仿宋"/>
          <w:b w:val="0"/>
          <w:bCs w:val="0"/>
        </w:rPr>
        <w:t>有资本经营预算财政拨款收入支出决算表</w:t>
      </w:r>
    </w:p>
    <w:p w14:paraId="006013C7">
      <w:r>
        <w:drawing>
          <wp:inline distT="0" distB="0" distL="0" distR="0">
            <wp:extent cx="6120130" cy="1604010"/>
            <wp:effectExtent l="19050" t="0" r="0"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noChangeArrowheads="1"/>
                    </pic:cNvPicPr>
                  </pic:nvPicPr>
                  <pic:blipFill>
                    <a:blip r:embed="rId30"/>
                    <a:srcRect/>
                    <a:stretch>
                      <a:fillRect/>
                    </a:stretch>
                  </pic:blipFill>
                  <pic:spPr>
                    <a:xfrm>
                      <a:off x="0" y="0"/>
                      <a:ext cx="6120130" cy="1604583"/>
                    </a:xfrm>
                    <a:prstGeom prst="rect">
                      <a:avLst/>
                    </a:prstGeom>
                    <a:noFill/>
                    <a:ln w="9525">
                      <a:noFill/>
                      <a:miter lim="800000"/>
                      <a:headEnd/>
                      <a:tailEnd/>
                    </a:ln>
                  </pic:spPr>
                </pic:pic>
              </a:graphicData>
            </a:graphic>
          </wp:inline>
        </w:drawing>
      </w:r>
    </w:p>
    <w:p w14:paraId="7BFB65F6">
      <w:pPr>
        <w:pStyle w:val="4"/>
        <w:rPr>
          <w:rStyle w:val="29"/>
          <w:rFonts w:hint="eastAsia" w:ascii="仿宋" w:hAnsi="仿宋" w:eastAsia="仿宋"/>
          <w:b w:val="0"/>
          <w:bCs w:val="0"/>
        </w:rPr>
      </w:pPr>
      <w:bookmarkStart w:id="68" w:name="_Toc15396630"/>
      <w:r>
        <w:rPr>
          <w:rStyle w:val="29"/>
          <w:rFonts w:hint="eastAsia" w:ascii="仿宋" w:hAnsi="仿宋" w:eastAsia="仿宋"/>
          <w:b w:val="0"/>
          <w:bCs w:val="0"/>
        </w:rPr>
        <w:t>十二、</w:t>
      </w:r>
      <w:bookmarkEnd w:id="68"/>
      <w:r>
        <w:rPr>
          <w:rStyle w:val="29"/>
          <w:rFonts w:hint="eastAsia" w:ascii="仿宋" w:hAnsi="仿宋" w:eastAsia="仿宋"/>
          <w:b w:val="0"/>
          <w:bCs w:val="0"/>
        </w:rPr>
        <w:t>国有资本经营预算财政拨款支出决算表</w:t>
      </w:r>
    </w:p>
    <w:p w14:paraId="638EA4FD">
      <w:r>
        <w:drawing>
          <wp:inline distT="0" distB="0" distL="0" distR="0">
            <wp:extent cx="6120130" cy="1596390"/>
            <wp:effectExtent l="19050" t="0" r="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noChangeArrowheads="1"/>
                    </pic:cNvPicPr>
                  </pic:nvPicPr>
                  <pic:blipFill>
                    <a:blip r:embed="rId31"/>
                    <a:srcRect/>
                    <a:stretch>
                      <a:fillRect/>
                    </a:stretch>
                  </pic:blipFill>
                  <pic:spPr>
                    <a:xfrm>
                      <a:off x="0" y="0"/>
                      <a:ext cx="6120130" cy="1596862"/>
                    </a:xfrm>
                    <a:prstGeom prst="rect">
                      <a:avLst/>
                    </a:prstGeom>
                    <a:noFill/>
                    <a:ln w="9525">
                      <a:noFill/>
                      <a:miter lim="800000"/>
                      <a:headEnd/>
                      <a:tailEnd/>
                    </a:ln>
                  </pic:spPr>
                </pic:pic>
              </a:graphicData>
            </a:graphic>
          </wp:inline>
        </w:drawing>
      </w:r>
    </w:p>
    <w:p w14:paraId="32EDC6B2">
      <w:pPr>
        <w:pStyle w:val="4"/>
        <w:rPr>
          <w:rStyle w:val="29"/>
          <w:rFonts w:ascii="仿宋" w:hAnsi="仿宋" w:eastAsia="仿宋"/>
          <w:b w:val="0"/>
          <w:bCs w:val="0"/>
        </w:rPr>
      </w:pPr>
      <w:bookmarkStart w:id="69" w:name="_Toc15396631"/>
      <w:r>
        <w:rPr>
          <w:rStyle w:val="29"/>
          <w:rFonts w:hint="eastAsia" w:ascii="仿宋" w:hAnsi="仿宋" w:eastAsia="仿宋"/>
          <w:b w:val="0"/>
          <w:bCs w:val="0"/>
        </w:rPr>
        <w:t>十三、</w:t>
      </w:r>
      <w:bookmarkEnd w:id="69"/>
      <w:r>
        <w:rPr>
          <w:rStyle w:val="29"/>
          <w:rFonts w:hint="eastAsia" w:ascii="仿宋" w:hAnsi="仿宋" w:eastAsia="仿宋"/>
          <w:b w:val="0"/>
          <w:bCs w:val="0"/>
        </w:rPr>
        <w:t>财政拨款“三公”经费支出决算表</w:t>
      </w:r>
    </w:p>
    <w:p w14:paraId="0E557E55">
      <w:r>
        <w:drawing>
          <wp:inline distT="0" distB="0" distL="0" distR="0">
            <wp:extent cx="6120130" cy="468630"/>
            <wp:effectExtent l="19050" t="0" r="0"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noChangeArrowheads="1"/>
                    </pic:cNvPicPr>
                  </pic:nvPicPr>
                  <pic:blipFill>
                    <a:blip r:embed="rId32"/>
                    <a:srcRect/>
                    <a:stretch>
                      <a:fillRect/>
                    </a:stretch>
                  </pic:blipFill>
                  <pic:spPr>
                    <a:xfrm>
                      <a:off x="0" y="0"/>
                      <a:ext cx="6120130" cy="469127"/>
                    </a:xfrm>
                    <a:prstGeom prst="rect">
                      <a:avLst/>
                    </a:prstGeom>
                    <a:noFill/>
                    <a:ln w="9525">
                      <a:noFill/>
                      <a:miter lim="800000"/>
                      <a:headEnd/>
                      <a:tailEnd/>
                    </a:ln>
                  </pic:spPr>
                </pic:pic>
              </a:graphicData>
            </a:graphic>
          </wp:inline>
        </w:drawing>
      </w:r>
    </w:p>
    <w:p w14:paraId="27D8157E">
      <w:pPr>
        <w:pStyle w:val="2"/>
      </w:pPr>
    </w:p>
    <w:p w14:paraId="1265DABF"/>
    <w:p w14:paraId="458FEB13">
      <w:pPr>
        <w:pStyle w:val="2"/>
      </w:pPr>
    </w:p>
    <w:p w14:paraId="25F1CFC2"/>
    <w:sectPr>
      <w:headerReference r:id="rId3" w:type="default"/>
      <w:footerReference r:id="rId4" w:type="default"/>
      <w:pgSz w:w="11906" w:h="16838"/>
      <w:pgMar w:top="1440" w:right="1134" w:bottom="1440" w:left="1134"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14:paraId="66006CAE">
        <w:pPr>
          <w:pStyle w:val="10"/>
          <w:jc w:val="center"/>
        </w:pPr>
        <w:r>
          <w:fldChar w:fldCharType="begin"/>
        </w:r>
        <w:r>
          <w:instrText xml:space="preserve">PAGE   \* MERGEFORMAT</w:instrText>
        </w:r>
        <w:r>
          <w:fldChar w:fldCharType="separate"/>
        </w:r>
        <w:r>
          <w:rPr>
            <w:lang w:val="zh-CN"/>
          </w:rPr>
          <w:t>3</w:t>
        </w:r>
        <w:r>
          <w:fldChar w:fldCharType="end"/>
        </w:r>
      </w:p>
    </w:sdtContent>
  </w:sdt>
  <w:p w14:paraId="51FD7828">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E9B2B">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18A09A"/>
    <w:multiLevelType w:val="singleLevel"/>
    <w:tmpl w:val="3818A09A"/>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c1ZGFlZGIyZDhkODFmZDFiOGM5MmRkMTg0MjIxNDIifQ=="/>
  </w:docVars>
  <w:rsids>
    <w:rsidRoot w:val="00F1361C"/>
    <w:rsid w:val="000222C6"/>
    <w:rsid w:val="0002549F"/>
    <w:rsid w:val="00043454"/>
    <w:rsid w:val="000468DB"/>
    <w:rsid w:val="0006487A"/>
    <w:rsid w:val="00065F8F"/>
    <w:rsid w:val="00070A43"/>
    <w:rsid w:val="000768F2"/>
    <w:rsid w:val="0009184B"/>
    <w:rsid w:val="00094236"/>
    <w:rsid w:val="0009593C"/>
    <w:rsid w:val="00097322"/>
    <w:rsid w:val="000A2DB2"/>
    <w:rsid w:val="000A6A92"/>
    <w:rsid w:val="000B047F"/>
    <w:rsid w:val="000B2999"/>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4549"/>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529"/>
    <w:rsid w:val="002355CD"/>
    <w:rsid w:val="00235629"/>
    <w:rsid w:val="00260C38"/>
    <w:rsid w:val="002616C0"/>
    <w:rsid w:val="00265372"/>
    <w:rsid w:val="002662AA"/>
    <w:rsid w:val="00277DF1"/>
    <w:rsid w:val="00280496"/>
    <w:rsid w:val="00294DC9"/>
    <w:rsid w:val="00295495"/>
    <w:rsid w:val="002A31DE"/>
    <w:rsid w:val="002B2613"/>
    <w:rsid w:val="002C5004"/>
    <w:rsid w:val="002D6D05"/>
    <w:rsid w:val="002F1818"/>
    <w:rsid w:val="002F1E6C"/>
    <w:rsid w:val="002F567B"/>
    <w:rsid w:val="0031044E"/>
    <w:rsid w:val="003216A9"/>
    <w:rsid w:val="003324D7"/>
    <w:rsid w:val="00335A74"/>
    <w:rsid w:val="0036561B"/>
    <w:rsid w:val="0037013F"/>
    <w:rsid w:val="00380C92"/>
    <w:rsid w:val="003945F8"/>
    <w:rsid w:val="003A484F"/>
    <w:rsid w:val="003A4883"/>
    <w:rsid w:val="003B0BE0"/>
    <w:rsid w:val="003B0C1B"/>
    <w:rsid w:val="003B688C"/>
    <w:rsid w:val="003C0291"/>
    <w:rsid w:val="003C39AE"/>
    <w:rsid w:val="003C7B60"/>
    <w:rsid w:val="003D0C0F"/>
    <w:rsid w:val="003D1FB2"/>
    <w:rsid w:val="003D66DA"/>
    <w:rsid w:val="003E1310"/>
    <w:rsid w:val="003E6F55"/>
    <w:rsid w:val="004024CC"/>
    <w:rsid w:val="0040283C"/>
    <w:rsid w:val="00406254"/>
    <w:rsid w:val="004223DE"/>
    <w:rsid w:val="00425C50"/>
    <w:rsid w:val="0043177C"/>
    <w:rsid w:val="00434489"/>
    <w:rsid w:val="00437085"/>
    <w:rsid w:val="00443880"/>
    <w:rsid w:val="004464F4"/>
    <w:rsid w:val="0044770B"/>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42B31"/>
    <w:rsid w:val="005533CF"/>
    <w:rsid w:val="005664BB"/>
    <w:rsid w:val="00566FFA"/>
    <w:rsid w:val="00572A4D"/>
    <w:rsid w:val="0057481D"/>
    <w:rsid w:val="0058486E"/>
    <w:rsid w:val="00585B33"/>
    <w:rsid w:val="0059014D"/>
    <w:rsid w:val="005B5C64"/>
    <w:rsid w:val="005B6E8A"/>
    <w:rsid w:val="005C5337"/>
    <w:rsid w:val="005C6BD0"/>
    <w:rsid w:val="005D1C8B"/>
    <w:rsid w:val="005D468D"/>
    <w:rsid w:val="005D4870"/>
    <w:rsid w:val="005D5CED"/>
    <w:rsid w:val="005F10BC"/>
    <w:rsid w:val="005F1A4C"/>
    <w:rsid w:val="00605688"/>
    <w:rsid w:val="006070AF"/>
    <w:rsid w:val="00607E6C"/>
    <w:rsid w:val="006101B1"/>
    <w:rsid w:val="006131C8"/>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964DF"/>
    <w:rsid w:val="006A3141"/>
    <w:rsid w:val="006A5E34"/>
    <w:rsid w:val="006B2422"/>
    <w:rsid w:val="006B2565"/>
    <w:rsid w:val="006B2B9A"/>
    <w:rsid w:val="006C1937"/>
    <w:rsid w:val="006F020C"/>
    <w:rsid w:val="006F68E4"/>
    <w:rsid w:val="0071021A"/>
    <w:rsid w:val="007127B7"/>
    <w:rsid w:val="0071798E"/>
    <w:rsid w:val="00736A29"/>
    <w:rsid w:val="007416B6"/>
    <w:rsid w:val="00746F48"/>
    <w:rsid w:val="0075404D"/>
    <w:rsid w:val="0076182A"/>
    <w:rsid w:val="00767B7E"/>
    <w:rsid w:val="00770BC4"/>
    <w:rsid w:val="007770C3"/>
    <w:rsid w:val="00784D24"/>
    <w:rsid w:val="00785FBA"/>
    <w:rsid w:val="00786E4A"/>
    <w:rsid w:val="007875EB"/>
    <w:rsid w:val="007930A2"/>
    <w:rsid w:val="0079426B"/>
    <w:rsid w:val="007A479E"/>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A3EED"/>
    <w:rsid w:val="008B768C"/>
    <w:rsid w:val="008C4DB1"/>
    <w:rsid w:val="008C4EAF"/>
    <w:rsid w:val="008C5176"/>
    <w:rsid w:val="008C7FD0"/>
    <w:rsid w:val="008C7FD8"/>
    <w:rsid w:val="008D402A"/>
    <w:rsid w:val="008E1DE7"/>
    <w:rsid w:val="008E707C"/>
    <w:rsid w:val="00900451"/>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5AA8"/>
    <w:rsid w:val="009B7573"/>
    <w:rsid w:val="009C22F4"/>
    <w:rsid w:val="009C2A4B"/>
    <w:rsid w:val="009C2E98"/>
    <w:rsid w:val="009D3447"/>
    <w:rsid w:val="009D4711"/>
    <w:rsid w:val="009F1185"/>
    <w:rsid w:val="009F18CD"/>
    <w:rsid w:val="009F2A13"/>
    <w:rsid w:val="009F407B"/>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1231"/>
    <w:rsid w:val="00A733B2"/>
    <w:rsid w:val="00A741C2"/>
    <w:rsid w:val="00A82079"/>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69C9"/>
    <w:rsid w:val="00B57DAF"/>
    <w:rsid w:val="00B70C35"/>
    <w:rsid w:val="00B77EA6"/>
    <w:rsid w:val="00B81598"/>
    <w:rsid w:val="00B841F1"/>
    <w:rsid w:val="00B9100B"/>
    <w:rsid w:val="00B9275E"/>
    <w:rsid w:val="00B944D6"/>
    <w:rsid w:val="00BA3708"/>
    <w:rsid w:val="00BB4DF0"/>
    <w:rsid w:val="00BC289F"/>
    <w:rsid w:val="00BC2D50"/>
    <w:rsid w:val="00BC5361"/>
    <w:rsid w:val="00BC5460"/>
    <w:rsid w:val="00BC6B50"/>
    <w:rsid w:val="00BD0E25"/>
    <w:rsid w:val="00BE6FFD"/>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C6E39"/>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45111"/>
    <w:rsid w:val="00D51276"/>
    <w:rsid w:val="00D5639E"/>
    <w:rsid w:val="00D7035F"/>
    <w:rsid w:val="00D803C2"/>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5940"/>
    <w:rsid w:val="00E867B6"/>
    <w:rsid w:val="00EA010F"/>
    <w:rsid w:val="00EA292C"/>
    <w:rsid w:val="00EA5226"/>
    <w:rsid w:val="00EB4CB7"/>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B1673"/>
    <w:rsid w:val="00FD3CC1"/>
    <w:rsid w:val="00FE06E4"/>
    <w:rsid w:val="00FF1E02"/>
    <w:rsid w:val="00FF30B4"/>
    <w:rsid w:val="03DC2831"/>
    <w:rsid w:val="081B5E94"/>
    <w:rsid w:val="0A2032A3"/>
    <w:rsid w:val="0B8A37D8"/>
    <w:rsid w:val="0F5FFB2F"/>
    <w:rsid w:val="0FFFCF60"/>
    <w:rsid w:val="10C055FF"/>
    <w:rsid w:val="118107EC"/>
    <w:rsid w:val="11DD6519"/>
    <w:rsid w:val="16BB723D"/>
    <w:rsid w:val="18015F3F"/>
    <w:rsid w:val="1BE8440E"/>
    <w:rsid w:val="1D155CEE"/>
    <w:rsid w:val="1FDBBF84"/>
    <w:rsid w:val="206A51C4"/>
    <w:rsid w:val="20F57F95"/>
    <w:rsid w:val="240371BF"/>
    <w:rsid w:val="25711CC6"/>
    <w:rsid w:val="25C741E6"/>
    <w:rsid w:val="276F80C0"/>
    <w:rsid w:val="27842671"/>
    <w:rsid w:val="29FD04D3"/>
    <w:rsid w:val="2ABE7A3E"/>
    <w:rsid w:val="2AFF09B6"/>
    <w:rsid w:val="2C2E269D"/>
    <w:rsid w:val="2CA234A8"/>
    <w:rsid w:val="2EFA178C"/>
    <w:rsid w:val="2EFDF86C"/>
    <w:rsid w:val="2F9D17E1"/>
    <w:rsid w:val="30B46D73"/>
    <w:rsid w:val="319F7F4E"/>
    <w:rsid w:val="356A28F1"/>
    <w:rsid w:val="357C035A"/>
    <w:rsid w:val="368E000D"/>
    <w:rsid w:val="383D272C"/>
    <w:rsid w:val="39AE70AB"/>
    <w:rsid w:val="3A4DCE41"/>
    <w:rsid w:val="3BCB56FA"/>
    <w:rsid w:val="3C0C0783"/>
    <w:rsid w:val="3EE7C2F4"/>
    <w:rsid w:val="3F371B56"/>
    <w:rsid w:val="3F792ED8"/>
    <w:rsid w:val="3F9F3A96"/>
    <w:rsid w:val="3FECA4B2"/>
    <w:rsid w:val="3FF58C48"/>
    <w:rsid w:val="42FF6694"/>
    <w:rsid w:val="48BF60AB"/>
    <w:rsid w:val="493C27E9"/>
    <w:rsid w:val="496F39ED"/>
    <w:rsid w:val="49FF41D3"/>
    <w:rsid w:val="4BE068DB"/>
    <w:rsid w:val="4BF6002B"/>
    <w:rsid w:val="4BFFC6BE"/>
    <w:rsid w:val="4ECE2238"/>
    <w:rsid w:val="51DB4B86"/>
    <w:rsid w:val="51F64DB0"/>
    <w:rsid w:val="55333C3E"/>
    <w:rsid w:val="5DDA1077"/>
    <w:rsid w:val="5F67802D"/>
    <w:rsid w:val="5F7DC4F2"/>
    <w:rsid w:val="5FB36814"/>
    <w:rsid w:val="5FBB8E56"/>
    <w:rsid w:val="5FFB5535"/>
    <w:rsid w:val="64CA39A1"/>
    <w:rsid w:val="69630ADE"/>
    <w:rsid w:val="69BD5F13"/>
    <w:rsid w:val="69FB0B4B"/>
    <w:rsid w:val="6BFFE1FB"/>
    <w:rsid w:val="6C4A05C8"/>
    <w:rsid w:val="6D3B1A89"/>
    <w:rsid w:val="6DB7D8A3"/>
    <w:rsid w:val="6EC78701"/>
    <w:rsid w:val="6F7A5481"/>
    <w:rsid w:val="6FFE07A9"/>
    <w:rsid w:val="71BF4EC2"/>
    <w:rsid w:val="72734D90"/>
    <w:rsid w:val="73E75B71"/>
    <w:rsid w:val="7412278C"/>
    <w:rsid w:val="75DDCDA9"/>
    <w:rsid w:val="75FF44B1"/>
    <w:rsid w:val="77670518"/>
    <w:rsid w:val="777FA627"/>
    <w:rsid w:val="77DF1B5F"/>
    <w:rsid w:val="77EF2D9D"/>
    <w:rsid w:val="79E7B28D"/>
    <w:rsid w:val="7ACFF0C2"/>
    <w:rsid w:val="7AFB9108"/>
    <w:rsid w:val="7BD5340C"/>
    <w:rsid w:val="7BFB19D2"/>
    <w:rsid w:val="7BFD1750"/>
    <w:rsid w:val="7BFDAA1B"/>
    <w:rsid w:val="7CDF9A82"/>
    <w:rsid w:val="7CFFA1BD"/>
    <w:rsid w:val="7D2E3F7A"/>
    <w:rsid w:val="7DED9490"/>
    <w:rsid w:val="7DFF4872"/>
    <w:rsid w:val="7E7487E6"/>
    <w:rsid w:val="7E7C2A54"/>
    <w:rsid w:val="7EEEFD72"/>
    <w:rsid w:val="7F1D517C"/>
    <w:rsid w:val="7F5DA057"/>
    <w:rsid w:val="7F6C2237"/>
    <w:rsid w:val="7F7F319B"/>
    <w:rsid w:val="7F9F20EE"/>
    <w:rsid w:val="7FBBE890"/>
    <w:rsid w:val="7FBC2ABD"/>
    <w:rsid w:val="7FBF5D48"/>
    <w:rsid w:val="7FCCFC01"/>
    <w:rsid w:val="7FDD1748"/>
    <w:rsid w:val="7FE769C6"/>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2"/>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paragraph" w:styleId="6">
    <w:name w:val="Body Text"/>
    <w:basedOn w:val="1"/>
    <w:link w:val="25"/>
    <w:qFormat/>
    <w:uiPriority w:val="99"/>
    <w:pPr>
      <w:spacing w:beforeLines="30"/>
    </w:pPr>
    <w:rPr>
      <w:rFonts w:ascii="仿宋_GB2312" w:eastAsia="仿宋_GB2312"/>
      <w:kern w:val="0"/>
      <w:sz w:val="30"/>
    </w:rPr>
  </w:style>
  <w:style w:type="paragraph" w:styleId="7">
    <w:name w:val="Body Text Indent"/>
    <w:basedOn w:val="1"/>
    <w:qFormat/>
    <w:uiPriority w:val="0"/>
    <w:pPr>
      <w:spacing w:after="120"/>
      <w:ind w:left="200" w:leftChars="200"/>
    </w:pPr>
    <w:rPr>
      <w:rFonts w:ascii="仿宋_GB2312"/>
      <w:szCs w:val="32"/>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1"/>
    <w:semiHidden/>
    <w:unhideWhenUsed/>
    <w:qFormat/>
    <w:uiPriority w:val="99"/>
    <w:rPr>
      <w:sz w:val="18"/>
      <w:szCs w:val="18"/>
    </w:rPr>
  </w:style>
  <w:style w:type="paragraph" w:styleId="10">
    <w:name w:val="footer"/>
    <w:basedOn w:val="1"/>
    <w:link w:val="23"/>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1"/>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toc 2"/>
    <w:basedOn w:val="1"/>
    <w:next w:val="1"/>
    <w:unhideWhenUsed/>
    <w:qFormat/>
    <w:uiPriority w:val="39"/>
    <w:pPr>
      <w:tabs>
        <w:tab w:val="right" w:leader="dot" w:pos="8296"/>
      </w:tabs>
      <w:ind w:left="420" w:leftChars="200"/>
    </w:pPr>
  </w:style>
  <w:style w:type="paragraph" w:styleId="14">
    <w:name w:val="Body Text First Indent 2"/>
    <w:basedOn w:val="7"/>
    <w:unhideWhenUsed/>
    <w:qFormat/>
    <w:uiPriority w:val="99"/>
    <w:pPr>
      <w:ind w:firstLine="420" w:firstLineChars="200"/>
    </w:p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99"/>
    <w:rPr>
      <w:b/>
    </w:rPr>
  </w:style>
  <w:style w:type="character" w:styleId="19">
    <w:name w:val="Hyperlink"/>
    <w:basedOn w:val="17"/>
    <w:unhideWhenUsed/>
    <w:qFormat/>
    <w:uiPriority w:val="99"/>
    <w:rPr>
      <w:color w:val="0000FF" w:themeColor="hyperlink"/>
      <w:u w:val="single"/>
    </w:rPr>
  </w:style>
  <w:style w:type="character" w:customStyle="1" w:styleId="20">
    <w:name w:val="Header Char"/>
    <w:basedOn w:val="17"/>
    <w:semiHidden/>
    <w:qFormat/>
    <w:uiPriority w:val="99"/>
    <w:rPr>
      <w:rFonts w:ascii="Times New Roman" w:hAnsi="Times New Roman"/>
      <w:sz w:val="18"/>
      <w:szCs w:val="18"/>
    </w:rPr>
  </w:style>
  <w:style w:type="character" w:customStyle="1" w:styleId="21">
    <w:name w:val="页眉 Char"/>
    <w:link w:val="11"/>
    <w:semiHidden/>
    <w:qFormat/>
    <w:locked/>
    <w:uiPriority w:val="99"/>
    <w:rPr>
      <w:sz w:val="18"/>
    </w:rPr>
  </w:style>
  <w:style w:type="character" w:customStyle="1" w:styleId="22">
    <w:name w:val="Footer Char"/>
    <w:basedOn w:val="17"/>
    <w:semiHidden/>
    <w:qFormat/>
    <w:uiPriority w:val="99"/>
    <w:rPr>
      <w:rFonts w:ascii="Times New Roman" w:hAnsi="Times New Roman"/>
      <w:sz w:val="18"/>
      <w:szCs w:val="18"/>
    </w:rPr>
  </w:style>
  <w:style w:type="character" w:customStyle="1" w:styleId="23">
    <w:name w:val="页脚 Char"/>
    <w:link w:val="10"/>
    <w:qFormat/>
    <w:locked/>
    <w:uiPriority w:val="99"/>
    <w:rPr>
      <w:sz w:val="18"/>
    </w:rPr>
  </w:style>
  <w:style w:type="character" w:customStyle="1" w:styleId="24">
    <w:name w:val="Body Text Char"/>
    <w:basedOn w:val="17"/>
    <w:semiHidden/>
    <w:qFormat/>
    <w:uiPriority w:val="99"/>
    <w:rPr>
      <w:rFonts w:ascii="Times New Roman" w:hAnsi="Times New Roman"/>
      <w:szCs w:val="24"/>
    </w:rPr>
  </w:style>
  <w:style w:type="character" w:customStyle="1" w:styleId="25">
    <w:name w:val="正文文本 Char"/>
    <w:link w:val="6"/>
    <w:qFormat/>
    <w:locked/>
    <w:uiPriority w:val="99"/>
    <w:rPr>
      <w:rFonts w:ascii="仿宋_GB2312" w:hAnsi="Times New Roman" w:eastAsia="仿宋_GB2312"/>
      <w:sz w:val="24"/>
    </w:rPr>
  </w:style>
  <w:style w:type="paragraph" w:customStyle="1" w:styleId="2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7">
    <w:name w:val="List Paragraph"/>
    <w:basedOn w:val="1"/>
    <w:qFormat/>
    <w:uiPriority w:val="34"/>
    <w:pPr>
      <w:ind w:firstLine="420" w:firstLineChars="200"/>
    </w:pPr>
  </w:style>
  <w:style w:type="character" w:customStyle="1" w:styleId="28">
    <w:name w:val="标题 1 Char"/>
    <w:basedOn w:val="17"/>
    <w:link w:val="3"/>
    <w:qFormat/>
    <w:uiPriority w:val="9"/>
    <w:rPr>
      <w:rFonts w:ascii="Times New Roman" w:hAnsi="Times New Roman"/>
      <w:b/>
      <w:bCs/>
      <w:kern w:val="44"/>
      <w:sz w:val="44"/>
      <w:szCs w:val="44"/>
    </w:rPr>
  </w:style>
  <w:style w:type="character" w:customStyle="1" w:styleId="29">
    <w:name w:val="标题 2 Char"/>
    <w:basedOn w:val="17"/>
    <w:link w:val="4"/>
    <w:qFormat/>
    <w:uiPriority w:val="9"/>
    <w:rPr>
      <w:rFonts w:asciiTheme="majorHAnsi" w:hAnsiTheme="majorHAnsi" w:eastAsiaTheme="majorEastAsia" w:cstheme="majorBidi"/>
      <w:b/>
      <w:bCs/>
      <w:kern w:val="2"/>
      <w:sz w:val="32"/>
      <w:szCs w:val="32"/>
    </w:rPr>
  </w:style>
  <w:style w:type="paragraph" w:customStyle="1" w:styleId="30">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31">
    <w:name w:val="批注框文本 Char"/>
    <w:basedOn w:val="17"/>
    <w:link w:val="9"/>
    <w:semiHidden/>
    <w:qFormat/>
    <w:uiPriority w:val="99"/>
    <w:rPr>
      <w:rFonts w:ascii="Times New Roman" w:hAnsi="Times New Roman"/>
      <w:kern w:val="2"/>
      <w:sz w:val="18"/>
      <w:szCs w:val="18"/>
    </w:rPr>
  </w:style>
  <w:style w:type="character" w:customStyle="1" w:styleId="32">
    <w:name w:val="标题 3 Char"/>
    <w:basedOn w:val="17"/>
    <w:link w:val="5"/>
    <w:qFormat/>
    <w:uiPriority w:val="9"/>
    <w:rPr>
      <w:rFonts w:ascii="Times New Roman" w:hAnsi="Times New Roman"/>
      <w:b/>
      <w:bCs/>
      <w:kern w:val="2"/>
      <w:sz w:val="32"/>
      <w:szCs w:val="32"/>
    </w:rPr>
  </w:style>
  <w:style w:type="paragraph" w:customStyle="1" w:styleId="33">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5" Type="http://schemas.openxmlformats.org/officeDocument/2006/relationships/fontTable" Target="fontTable.xml"/><Relationship Id="rId34" Type="http://schemas.openxmlformats.org/officeDocument/2006/relationships/customXml" Target="../customXml/item1.xml"/><Relationship Id="rId33" Type="http://schemas.openxmlformats.org/officeDocument/2006/relationships/numbering" Target="numbering.xml"/><Relationship Id="rId32" Type="http://schemas.openxmlformats.org/officeDocument/2006/relationships/image" Target="media/image20.emf"/><Relationship Id="rId31" Type="http://schemas.openxmlformats.org/officeDocument/2006/relationships/image" Target="media/image19.emf"/><Relationship Id="rId30" Type="http://schemas.openxmlformats.org/officeDocument/2006/relationships/image" Target="media/image18.emf"/><Relationship Id="rId3" Type="http://schemas.openxmlformats.org/officeDocument/2006/relationships/header" Target="header1.xml"/><Relationship Id="rId29" Type="http://schemas.openxmlformats.org/officeDocument/2006/relationships/image" Target="media/image17.emf"/><Relationship Id="rId28" Type="http://schemas.openxmlformats.org/officeDocument/2006/relationships/image" Target="media/image16.emf"/><Relationship Id="rId27" Type="http://schemas.openxmlformats.org/officeDocument/2006/relationships/image" Target="media/image15.emf"/><Relationship Id="rId26" Type="http://schemas.openxmlformats.org/officeDocument/2006/relationships/image" Target="media/image14.emf"/><Relationship Id="rId25" Type="http://schemas.openxmlformats.org/officeDocument/2006/relationships/image" Target="media/image13.emf"/><Relationship Id="rId24" Type="http://schemas.openxmlformats.org/officeDocument/2006/relationships/image" Target="media/image12.emf"/><Relationship Id="rId23" Type="http://schemas.openxmlformats.org/officeDocument/2006/relationships/image" Target="media/image11.emf"/><Relationship Id="rId22" Type="http://schemas.openxmlformats.org/officeDocument/2006/relationships/image" Target="media/image10.emf"/><Relationship Id="rId21" Type="http://schemas.openxmlformats.org/officeDocument/2006/relationships/image" Target="media/image9.emf"/><Relationship Id="rId20" Type="http://schemas.openxmlformats.org/officeDocument/2006/relationships/image" Target="media/image8.emf"/><Relationship Id="rId2" Type="http://schemas.openxmlformats.org/officeDocument/2006/relationships/settings" Target="settings.xml"/><Relationship Id="rId19" Type="http://schemas.openxmlformats.org/officeDocument/2006/relationships/image" Target="media/image7.emf"/><Relationship Id="rId18" Type="http://schemas.openxmlformats.org/officeDocument/2006/relationships/image" Target="media/image6.emf"/><Relationship Id="rId17" Type="http://schemas.openxmlformats.org/officeDocument/2006/relationships/image" Target="media/image5.emf"/><Relationship Id="rId16" Type="http://schemas.openxmlformats.org/officeDocument/2006/relationships/image" Target="media/image4.emf"/><Relationship Id="rId15" Type="http://schemas.openxmlformats.org/officeDocument/2006/relationships/image" Target="media/image3.emf"/><Relationship Id="rId14" Type="http://schemas.openxmlformats.org/officeDocument/2006/relationships/image" Target="media/image2.emf"/><Relationship Id="rId13" Type="http://schemas.openxmlformats.org/officeDocument/2006/relationships/image" Target="media/image1.emf"/><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E:\2022&#20915;&#31639;&#12289;&#25919;&#24220;&#25253;&#21578;&#32534;&#25253;\2022&#24180;&#24230;&#37096;&#38376;&#20915;&#31639;&#25253;&#34920;&#35828;&#26126;&#65288;302602&#65289;\2022&#20915;&#31639;&#20844;&#24320;&#22270;&#34920;(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2022&#20915;&#31639;&#12289;&#25919;&#24220;&#25253;&#21578;&#32534;&#25253;\2022&#24180;&#24230;&#37096;&#38376;&#20915;&#31639;&#25253;&#34920;&#35828;&#26126;&#65288;302602&#65289;\2022&#20915;&#31639;&#20844;&#24320;&#22270;&#34920;(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2022&#20915;&#31639;&#12289;&#25919;&#24220;&#25253;&#21578;&#32534;&#25253;\2022&#24180;&#24230;&#37096;&#38376;&#20915;&#31639;&#25253;&#34920;&#35828;&#26126;&#65288;302602&#65289;\2022&#20915;&#31639;&#20844;&#24320;&#22270;&#34920;(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2022&#20915;&#31639;&#12289;&#25919;&#24220;&#25253;&#21578;&#32534;&#25253;\2022&#24180;&#24230;&#37096;&#38376;&#20915;&#31639;&#25253;&#34920;&#35828;&#26126;&#65288;302602&#65289;\2022&#20915;&#31639;&#20844;&#24320;&#22270;&#34920;(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2022&#20915;&#31639;&#12289;&#25919;&#24220;&#25253;&#21578;&#32534;&#25253;\2022&#24180;&#24230;&#37096;&#38376;&#20915;&#31639;&#25253;&#34920;&#35828;&#26126;&#65288;302602&#65289;\2022&#20915;&#31639;&#20844;&#24320;&#22270;&#34920;(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2023&#24180;&#32489;&#25928;&#30446;&#26631;&#12289;&#20915;&#31639;&#25253;&#34920;\2023&#20915;&#31639;&#20844;&#24320;&#22270;&#34920;(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2023&#24180;&#32489;&#25928;&#30446;&#26631;&#12289;&#20915;&#31639;&#25253;&#34920;\2023&#20915;&#31639;&#20844;&#24320;&#22270;&#349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600" b="0" i="0" u="none" strike="noStrike" kern="1200" spc="0" baseline="0">
                <a:solidFill>
                  <a:schemeClr val="tx1">
                    <a:lumMod val="65000"/>
                    <a:lumOff val="35000"/>
                  </a:schemeClr>
                </a:solidFill>
                <a:latin typeface="+mn-lt"/>
                <a:ea typeface="+mn-ea"/>
                <a:cs typeface="+mn-cs"/>
              </a:defRPr>
            </a:pPr>
            <a:r>
              <a:rPr lang="zh-CN" altLang="zh-CN" sz="1600" b="0" i="0" u="none" strike="noStrike" baseline="0">
                <a:effectLst/>
              </a:rPr>
              <a:t>收、支决算总计变动情况</a:t>
            </a:r>
            <a:r>
              <a:rPr lang="zh-CN" altLang="en-US" sz="1600" b="0" i="0" u="none" strike="noStrike" baseline="0">
                <a:effectLst/>
              </a:rPr>
              <a:t>图</a:t>
            </a:r>
            <a:endParaRPr lang="zh-CN" altLang="en-US" sz="1600"/>
          </a:p>
        </c:rich>
      </c:tx>
      <c:layout/>
      <c:overlay val="0"/>
      <c:spPr>
        <a:noFill/>
        <a:ln>
          <a:noFill/>
        </a:ln>
        <a:effectLst/>
      </c:spPr>
    </c:title>
    <c:autoTitleDeleted val="0"/>
    <c:plotArea>
      <c:layout/>
      <c:barChart>
        <c:barDir val="col"/>
        <c:grouping val="clustered"/>
        <c:varyColors val="0"/>
        <c:ser>
          <c:idx val="0"/>
          <c:order val="0"/>
          <c:tx>
            <c:strRef>
              <c:f>收、支决算总计变动情况图!$A$2</c:f>
              <c:strCache>
                <c:ptCount val="1"/>
                <c:pt idx="0">
                  <c:v>2023年度</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收、支决算总计变动情况图!$B$1:$C$1</c:f>
              <c:strCache>
                <c:ptCount val="2"/>
                <c:pt idx="0">
                  <c:v>收入总计</c:v>
                </c:pt>
                <c:pt idx="1">
                  <c:v>支出总计</c:v>
                </c:pt>
              </c:strCache>
            </c:strRef>
          </c:cat>
          <c:val>
            <c:numRef>
              <c:f>收、支决算总计变动情况图!$B$2:$C$2</c:f>
              <c:numCache>
                <c:formatCode>0.00_ </c:formatCode>
                <c:ptCount val="2"/>
                <c:pt idx="0">
                  <c:v>614.63</c:v>
                </c:pt>
                <c:pt idx="1">
                  <c:v>614.63</c:v>
                </c:pt>
              </c:numCache>
            </c:numRef>
          </c:val>
        </c:ser>
        <c:ser>
          <c:idx val="1"/>
          <c:order val="1"/>
          <c:tx>
            <c:strRef>
              <c:f>收、支决算总计变动情况图!$A$3</c:f>
              <c:strCache>
                <c:ptCount val="1"/>
                <c:pt idx="0">
                  <c:v>2022年度</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收、支决算总计变动情况图!$B$1:$C$1</c:f>
              <c:strCache>
                <c:ptCount val="2"/>
                <c:pt idx="0">
                  <c:v>收入总计</c:v>
                </c:pt>
                <c:pt idx="1">
                  <c:v>支出总计</c:v>
                </c:pt>
              </c:strCache>
            </c:strRef>
          </c:cat>
          <c:val>
            <c:numRef>
              <c:f>收、支决算总计变动情况图!$B$3:$C$3</c:f>
              <c:numCache>
                <c:formatCode>0.00_ </c:formatCode>
                <c:ptCount val="2"/>
                <c:pt idx="0">
                  <c:v>593.290000000001</c:v>
                </c:pt>
                <c:pt idx="1">
                  <c:v>593.290000000001</c:v>
                </c:pt>
              </c:numCache>
            </c:numRef>
          </c:val>
        </c:ser>
        <c:dLbls>
          <c:showLegendKey val="0"/>
          <c:showVal val="1"/>
          <c:showCatName val="0"/>
          <c:showSerName val="0"/>
          <c:showPercent val="0"/>
          <c:showBubbleSize val="0"/>
        </c:dLbls>
        <c:gapWidth val="150"/>
        <c:axId val="164985472"/>
        <c:axId val="165288960"/>
      </c:barChart>
      <c:catAx>
        <c:axId val="164985472"/>
        <c:scaling>
          <c:orientation val="minMax"/>
        </c:scaling>
        <c:delete val="0"/>
        <c:axPos val="b"/>
        <c:numFmt formatCode="General"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65288960"/>
        <c:crosses val="autoZero"/>
        <c:auto val="1"/>
        <c:lblAlgn val="ctr"/>
        <c:lblOffset val="100"/>
        <c:noMultiLvlLbl val="0"/>
      </c:catAx>
      <c:valAx>
        <c:axId val="165288960"/>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0.00_ "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649854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600" b="0" i="0" u="none" strike="noStrike" kern="1200" spc="0" baseline="0">
                <a:solidFill>
                  <a:schemeClr val="tx1">
                    <a:lumMod val="65000"/>
                    <a:lumOff val="35000"/>
                  </a:schemeClr>
                </a:solidFill>
                <a:latin typeface="+mn-lt"/>
                <a:ea typeface="+mn-ea"/>
                <a:cs typeface="+mn-cs"/>
              </a:defRPr>
            </a:pPr>
            <a:r>
              <a:rPr lang="zh-CN" altLang="zh-CN" sz="1600" b="0" i="0" u="none" strike="noStrike" baseline="0">
                <a:effectLst/>
              </a:rPr>
              <a:t>收入决算结构</a:t>
            </a:r>
            <a:endParaRPr lang="en-US" altLang="zh-CN" sz="1600" b="0" i="0" u="none" strike="noStrike" baseline="0">
              <a:effectLst/>
            </a:endParaRPr>
          </a:p>
        </c:rich>
      </c:tx>
      <c:layout/>
      <c:overlay val="0"/>
      <c:spPr>
        <a:noFill/>
        <a:ln>
          <a:noFill/>
        </a:ln>
        <a:effectLst/>
      </c:spPr>
    </c:title>
    <c:autoTitleDeleted val="0"/>
    <c:view3D>
      <c:rotX val="30"/>
      <c:rotY val="0"/>
      <c:depthPercent val="100"/>
      <c:rAngAx val="0"/>
      <c:perspective val="30"/>
    </c:view3D>
    <c:floor>
      <c:thickness val="0"/>
      <c:spPr>
        <a:noFill/>
        <a:ln>
          <a:noFill/>
        </a:ln>
        <a:effectLst/>
      </c:spPr>
    </c:floor>
    <c:sideWall>
      <c:thickness val="0"/>
      <c:spPr>
        <a:noFill/>
        <a:ln>
          <a:noFill/>
        </a:ln>
        <a:effectLst/>
      </c:spPr>
    </c:sideWall>
    <c:backWall>
      <c:thickness val="0"/>
      <c:spPr>
        <a:noFill/>
        <a:ln>
          <a:noFill/>
        </a:ln>
        <a:effectLst/>
      </c:spPr>
    </c:backWall>
    <c:plotArea>
      <c:layout/>
      <c:pie3DChart>
        <c:varyColors val="1"/>
        <c:ser>
          <c:idx val="0"/>
          <c:order val="0"/>
          <c:explosion val="0"/>
          <c:dPt>
            <c:idx val="0"/>
            <c:bubble3D val="0"/>
            <c:spPr>
              <a:solidFill>
                <a:schemeClr val="accent1"/>
              </a:solidFill>
              <a:ln w="25400">
                <a:solidFill>
                  <a:schemeClr val="lt1"/>
                </a:solidFill>
              </a:ln>
              <a:effectLst/>
              <a:scene3d>
                <a:camera prst="orthographicFront"/>
                <a:lightRig rig="threePt" dir="t"/>
              </a:scene3d>
              <a:sp3d contourW="25400">
                <a:contourClr>
                  <a:schemeClr val="lt1"/>
                </a:contourClr>
              </a:sp3d>
            </c:spPr>
          </c:dPt>
          <c:dPt>
            <c:idx val="1"/>
            <c:bubble3D val="0"/>
            <c:spPr>
              <a:solidFill>
                <a:schemeClr val="accent2"/>
              </a:solidFill>
              <a:ln w="25400">
                <a:solidFill>
                  <a:schemeClr val="lt1"/>
                </a:solidFill>
              </a:ln>
              <a:effectLst/>
              <a:scene3d>
                <a:camera prst="orthographicFront"/>
                <a:lightRig rig="threePt" dir="t"/>
              </a:scene3d>
              <a:sp3d contourW="25400">
                <a:contourClr>
                  <a:schemeClr val="lt1"/>
                </a:contourClr>
              </a:sp3d>
            </c:spPr>
          </c:dPt>
          <c:dPt>
            <c:idx val="2"/>
            <c:bubble3D val="0"/>
            <c:spPr>
              <a:solidFill>
                <a:schemeClr val="accent3"/>
              </a:solidFill>
              <a:ln w="2540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收入决算结构图!$A$3:$A$5</c:f>
              <c:strCache>
                <c:ptCount val="3"/>
                <c:pt idx="0">
                  <c:v>一般公共预算财政拨款收入</c:v>
                </c:pt>
                <c:pt idx="1">
                  <c:v>事业收入</c:v>
                </c:pt>
                <c:pt idx="2">
                  <c:v>其他收入</c:v>
                </c:pt>
              </c:strCache>
            </c:strRef>
          </c:cat>
          <c:val>
            <c:numRef>
              <c:f>收入决算结构图!$B$3:$B$5</c:f>
              <c:numCache>
                <c:formatCode>0.00_ </c:formatCode>
                <c:ptCount val="3"/>
                <c:pt idx="0">
                  <c:v>614.63</c:v>
                </c:pt>
                <c:pt idx="1">
                  <c:v>0</c:v>
                </c:pt>
                <c:pt idx="2">
                  <c:v>0</c:v>
                </c:pt>
              </c:numCache>
            </c:numRef>
          </c:val>
        </c:ser>
        <c:dLbls>
          <c:showLegendKey val="0"/>
          <c:showVal val="1"/>
          <c:showCatName val="0"/>
          <c:showSerName val="0"/>
          <c:showPercent val="1"/>
          <c:showBubbleSize val="0"/>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zh-CN" sz="1600" b="0" i="0" u="none" strike="noStrike" baseline="0">
                <a:effectLst/>
              </a:rPr>
              <a:t>支出决算结构图</a:t>
            </a:r>
            <a:endParaRPr lang="en-US" altLang="zh-CN" sz="1600" b="0" i="0" u="none" strike="noStrike" baseline="0">
              <a:effectLst/>
            </a:endParaRPr>
          </a:p>
        </c:rich>
      </c:tx>
      <c:layout>
        <c:manualLayout>
          <c:xMode val="edge"/>
          <c:yMode val="edge"/>
          <c:x val="0.353070175438596"/>
          <c:y val="0.0235452404978138"/>
        </c:manualLayout>
      </c:layout>
      <c:overlay val="0"/>
      <c:spPr>
        <a:noFill/>
        <a:ln>
          <a:noFill/>
        </a:ln>
        <a:effectLst/>
      </c:spPr>
    </c:title>
    <c:autoTitleDeleted val="0"/>
    <c:view3D>
      <c:rotX val="30"/>
      <c:rotY val="0"/>
      <c:depthPercent val="100"/>
      <c:rAngAx val="0"/>
      <c:perspective val="30"/>
    </c:view3D>
    <c:floor>
      <c:thickness val="0"/>
      <c:spPr>
        <a:noFill/>
        <a:ln>
          <a:noFill/>
        </a:ln>
        <a:effectLst/>
      </c:spPr>
    </c:floor>
    <c:sideWall>
      <c:thickness val="0"/>
      <c:spPr>
        <a:noFill/>
        <a:ln>
          <a:noFill/>
        </a:ln>
        <a:effectLst/>
      </c:spPr>
    </c:sideWall>
    <c:backWall>
      <c:thickness val="0"/>
      <c:spPr>
        <a:noFill/>
        <a:ln>
          <a:noFill/>
        </a:ln>
        <a:effectLst/>
      </c:spPr>
    </c:backWall>
    <c:plotArea>
      <c:layout/>
      <c:pie3DChart>
        <c:varyColors val="1"/>
        <c:ser>
          <c:idx val="0"/>
          <c:order val="0"/>
          <c:explosion val="0"/>
          <c:dPt>
            <c:idx val="0"/>
            <c:bubble3D val="0"/>
            <c:spPr>
              <a:solidFill>
                <a:schemeClr val="accent1"/>
              </a:solidFill>
              <a:ln w="25400">
                <a:solidFill>
                  <a:schemeClr val="lt1"/>
                </a:solidFill>
              </a:ln>
              <a:effectLst/>
              <a:scene3d>
                <a:camera prst="orthographicFront"/>
                <a:lightRig rig="threePt" dir="t"/>
              </a:scene3d>
              <a:sp3d contourW="25400">
                <a:contourClr>
                  <a:schemeClr val="lt1"/>
                </a:contourClr>
              </a:sp3d>
            </c:spPr>
          </c:dPt>
          <c:dPt>
            <c:idx val="1"/>
            <c:bubble3D val="0"/>
            <c:spPr>
              <a:solidFill>
                <a:schemeClr val="accent2"/>
              </a:solidFill>
              <a:ln w="25400">
                <a:solidFill>
                  <a:schemeClr val="lt1"/>
                </a:solidFill>
              </a:ln>
              <a:effectLst/>
              <a:scene3d>
                <a:camera prst="orthographicFront"/>
                <a:lightRig rig="threePt" dir="t"/>
              </a:scene3d>
              <a:sp3d contourW="25400">
                <a:contourClr>
                  <a:schemeClr val="lt1"/>
                </a:contourClr>
              </a:sp3d>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'支出决算结构图基本支出 项目支出基本支出 项目支出'!$A$2:$A$3</c:f>
              <c:strCache>
                <c:ptCount val="2"/>
                <c:pt idx="0">
                  <c:v>基本支出</c:v>
                </c:pt>
                <c:pt idx="1">
                  <c:v>项目支出</c:v>
                </c:pt>
              </c:strCache>
            </c:strRef>
          </c:cat>
          <c:val>
            <c:numRef>
              <c:f>'支出决算结构图基本支出 项目支出基本支出 项目支出'!$B$2:$B$3</c:f>
              <c:numCache>
                <c:formatCode>0.00_ </c:formatCode>
                <c:ptCount val="2"/>
                <c:pt idx="0">
                  <c:v>204.63</c:v>
                </c:pt>
                <c:pt idx="1">
                  <c:v>410</c:v>
                </c:pt>
              </c:numCache>
            </c:numRef>
          </c:val>
        </c:ser>
        <c:dLbls>
          <c:showLegendKey val="0"/>
          <c:showVal val="1"/>
          <c:showCatName val="0"/>
          <c:showSerName val="0"/>
          <c:showPercent val="0"/>
          <c:showBubbleSize val="0"/>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600" b="0" i="0" u="none" strike="noStrike" kern="1200" spc="0" baseline="0">
                <a:solidFill>
                  <a:schemeClr val="tx1">
                    <a:lumMod val="65000"/>
                    <a:lumOff val="35000"/>
                  </a:schemeClr>
                </a:solidFill>
                <a:latin typeface="+mn-lt"/>
                <a:ea typeface="+mn-ea"/>
                <a:cs typeface="+mn-cs"/>
              </a:defRPr>
            </a:pPr>
            <a:r>
              <a:rPr lang="zh-CN" sz="1600"/>
              <a:t>财政拨款收、支决算总计变动情况</a:t>
            </a:r>
            <a:endParaRPr lang="zh-CN" sz="1600"/>
          </a:p>
        </c:rich>
      </c:tx>
      <c:layout/>
      <c:overlay val="0"/>
      <c:spPr>
        <a:noFill/>
        <a:ln>
          <a:noFill/>
        </a:ln>
        <a:effectLst/>
      </c:spPr>
    </c:title>
    <c:autoTitleDeleted val="0"/>
    <c:plotArea>
      <c:layout/>
      <c:barChart>
        <c:barDir val="col"/>
        <c:grouping val="clustered"/>
        <c:varyColors val="0"/>
        <c:ser>
          <c:idx val="0"/>
          <c:order val="0"/>
          <c:tx>
            <c:strRef>
              <c:f>财政拨款收、支决算总计变动情况!$A$2</c:f>
              <c:strCache>
                <c:ptCount val="1"/>
                <c:pt idx="0">
                  <c:v>2023年度</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财政拨款收、支决算总计变动情况!$B$1:$C$1</c:f>
              <c:strCache>
                <c:ptCount val="2"/>
                <c:pt idx="0">
                  <c:v>财政拨款收入总计</c:v>
                </c:pt>
                <c:pt idx="1">
                  <c:v>财政拨款支出总计</c:v>
                </c:pt>
              </c:strCache>
            </c:strRef>
          </c:cat>
          <c:val>
            <c:numRef>
              <c:f>财政拨款收、支决算总计变动情况!$B$2:$C$2</c:f>
              <c:numCache>
                <c:formatCode>0.00_ </c:formatCode>
                <c:ptCount val="2"/>
                <c:pt idx="0">
                  <c:v>614.63</c:v>
                </c:pt>
                <c:pt idx="1">
                  <c:v>614.63</c:v>
                </c:pt>
              </c:numCache>
            </c:numRef>
          </c:val>
        </c:ser>
        <c:ser>
          <c:idx val="1"/>
          <c:order val="1"/>
          <c:tx>
            <c:strRef>
              <c:f>财政拨款收、支决算总计变动情况!$A$3</c:f>
              <c:strCache>
                <c:ptCount val="1"/>
                <c:pt idx="0">
                  <c:v>2022年度</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财政拨款收、支决算总计变动情况!$B$1:$C$1</c:f>
              <c:strCache>
                <c:ptCount val="2"/>
                <c:pt idx="0">
                  <c:v>财政拨款收入总计</c:v>
                </c:pt>
                <c:pt idx="1">
                  <c:v>财政拨款支出总计</c:v>
                </c:pt>
              </c:strCache>
            </c:strRef>
          </c:cat>
          <c:val>
            <c:numRef>
              <c:f>财政拨款收、支决算总计变动情况!$B$3:$C$3</c:f>
              <c:numCache>
                <c:formatCode>0.00_ </c:formatCode>
                <c:ptCount val="2"/>
                <c:pt idx="0">
                  <c:v>593.290000000001</c:v>
                </c:pt>
                <c:pt idx="1">
                  <c:v>593.290000000001</c:v>
                </c:pt>
              </c:numCache>
            </c:numRef>
          </c:val>
        </c:ser>
        <c:dLbls>
          <c:showLegendKey val="0"/>
          <c:showVal val="1"/>
          <c:showCatName val="0"/>
          <c:showSerName val="0"/>
          <c:showPercent val="0"/>
          <c:showBubbleSize val="0"/>
        </c:dLbls>
        <c:gapWidth val="150"/>
        <c:axId val="257336064"/>
        <c:axId val="257349120"/>
      </c:barChart>
      <c:catAx>
        <c:axId val="257336064"/>
        <c:scaling>
          <c:orientation val="minMax"/>
        </c:scaling>
        <c:delete val="0"/>
        <c:axPos val="b"/>
        <c:numFmt formatCode="General"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57349120"/>
        <c:crosses val="autoZero"/>
        <c:auto val="1"/>
        <c:lblAlgn val="ctr"/>
        <c:lblOffset val="100"/>
        <c:noMultiLvlLbl val="0"/>
      </c:catAx>
      <c:valAx>
        <c:axId val="257349120"/>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0.00_ "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573360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sz="900"/>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600" b="0" i="0" u="none" strike="noStrike" kern="1200" spc="0" baseline="0">
                <a:solidFill>
                  <a:schemeClr val="tx1">
                    <a:lumMod val="65000"/>
                    <a:lumOff val="35000"/>
                  </a:schemeClr>
                </a:solidFill>
                <a:latin typeface="+mn-lt"/>
                <a:ea typeface="+mn-ea"/>
                <a:cs typeface="+mn-cs"/>
              </a:defRPr>
            </a:pPr>
            <a:r>
              <a:rPr lang="zh-CN" altLang="zh-CN" sz="1600" b="0" i="0" u="none" strike="noStrike" baseline="0">
                <a:effectLst/>
              </a:rPr>
              <a:t>一般公共预算财政拨款支出决算变动情况</a:t>
            </a:r>
            <a:endParaRPr lang="zh-CN" altLang="en-US" sz="1600"/>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一般公共预算财政拨款支出决算变动情况!$A$2:$A$3</c:f>
              <c:strCache>
                <c:ptCount val="2"/>
                <c:pt idx="0">
                  <c:v>2023年度</c:v>
                </c:pt>
                <c:pt idx="1">
                  <c:v>2022年度</c:v>
                </c:pt>
              </c:strCache>
            </c:strRef>
          </c:cat>
          <c:val>
            <c:numRef>
              <c:f>一般公共预算财政拨款支出决算变动情况!$B$2:$B$3</c:f>
              <c:numCache>
                <c:formatCode>0.00_ </c:formatCode>
                <c:ptCount val="2"/>
                <c:pt idx="0">
                  <c:v>614.63</c:v>
                </c:pt>
                <c:pt idx="1">
                  <c:v>593.290000000001</c:v>
                </c:pt>
              </c:numCache>
            </c:numRef>
          </c:val>
        </c:ser>
        <c:dLbls>
          <c:showLegendKey val="0"/>
          <c:showVal val="1"/>
          <c:showCatName val="0"/>
          <c:showSerName val="0"/>
          <c:showPercent val="0"/>
          <c:showBubbleSize val="0"/>
        </c:dLbls>
        <c:gapWidth val="150"/>
        <c:axId val="258283008"/>
        <c:axId val="258405504"/>
      </c:barChart>
      <c:catAx>
        <c:axId val="258283008"/>
        <c:scaling>
          <c:orientation val="minMax"/>
        </c:scaling>
        <c:delete val="0"/>
        <c:axPos val="b"/>
        <c:numFmt formatCode="General"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58405504"/>
        <c:crosses val="autoZero"/>
        <c:auto val="1"/>
        <c:lblAlgn val="ctr"/>
        <c:lblOffset val="100"/>
        <c:noMultiLvlLbl val="0"/>
      </c:catAx>
      <c:valAx>
        <c:axId val="258405504"/>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0.00_ "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582830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600" b="0" i="0" u="none" strike="noStrike" kern="1200" spc="0" baseline="0">
                <a:solidFill>
                  <a:schemeClr val="tx1">
                    <a:lumMod val="65000"/>
                    <a:lumOff val="35000"/>
                  </a:schemeClr>
                </a:solidFill>
                <a:latin typeface="+mn-lt"/>
                <a:ea typeface="+mn-ea"/>
                <a:cs typeface="+mn-cs"/>
              </a:defRPr>
            </a:pPr>
            <a:r>
              <a:rPr lang="zh-CN" altLang="zh-CN" sz="1600" b="0" i="0" u="none" strike="noStrike" baseline="0">
                <a:effectLst/>
              </a:rPr>
              <a:t>一般公共预算财政拨款支出决算结构</a:t>
            </a:r>
            <a:endParaRPr lang="zh-CN" altLang="en-US" sz="1600"/>
          </a:p>
        </c:rich>
      </c:tx>
      <c:layout/>
      <c:overlay val="0"/>
      <c:spPr>
        <a:noFill/>
        <a:ln>
          <a:noFill/>
        </a:ln>
        <a:effectLst/>
      </c:spPr>
    </c:title>
    <c:autoTitleDeleted val="0"/>
    <c:view3D>
      <c:rotX val="40"/>
      <c:rotY val="40"/>
      <c:depthPercent val="100"/>
      <c:rAngAx val="0"/>
      <c:perspective val="30"/>
    </c:view3D>
    <c:floor>
      <c:thickness val="0"/>
      <c:spPr>
        <a:noFill/>
        <a:ln>
          <a:noFill/>
        </a:ln>
        <a:effectLst/>
      </c:spPr>
    </c:floor>
    <c:sideWall>
      <c:thickness val="0"/>
      <c:spPr>
        <a:noFill/>
        <a:ln>
          <a:noFill/>
        </a:ln>
        <a:effectLst/>
      </c:spPr>
    </c:sideWall>
    <c:backWall>
      <c:thickness val="0"/>
      <c:spPr>
        <a:noFill/>
        <a:ln>
          <a:noFill/>
        </a:ln>
        <a:effectLst/>
      </c:spPr>
    </c:backWall>
    <c:plotArea>
      <c:layout>
        <c:manualLayout>
          <c:layoutTarget val="inner"/>
          <c:xMode val="edge"/>
          <c:yMode val="edge"/>
          <c:x val="0.0863059778625524"/>
          <c:y val="0.186687041949317"/>
          <c:w val="0.8488219663419"/>
          <c:h val="0.667175472928902"/>
        </c:manualLayout>
      </c:layout>
      <c:pie3DChart>
        <c:varyColors val="1"/>
        <c:ser>
          <c:idx val="0"/>
          <c:order val="0"/>
          <c:explosion val="0"/>
          <c:dPt>
            <c:idx val="0"/>
            <c:bubble3D val="0"/>
            <c:spPr>
              <a:solidFill>
                <a:schemeClr val="accent1"/>
              </a:solidFill>
              <a:ln w="25400">
                <a:solidFill>
                  <a:schemeClr val="lt1"/>
                </a:solidFill>
              </a:ln>
              <a:effectLst/>
              <a:scene3d>
                <a:camera prst="orthographicFront"/>
                <a:lightRig rig="threePt" dir="t"/>
              </a:scene3d>
              <a:sp3d contourW="25400">
                <a:contourClr>
                  <a:schemeClr val="lt1"/>
                </a:contourClr>
              </a:sp3d>
            </c:spPr>
          </c:dPt>
          <c:dPt>
            <c:idx val="1"/>
            <c:bubble3D val="0"/>
            <c:spPr>
              <a:solidFill>
                <a:schemeClr val="accent2"/>
              </a:solidFill>
              <a:ln w="25400">
                <a:solidFill>
                  <a:schemeClr val="lt1"/>
                </a:solidFill>
              </a:ln>
              <a:effectLst/>
              <a:scene3d>
                <a:camera prst="orthographicFront"/>
                <a:lightRig rig="threePt" dir="t"/>
              </a:scene3d>
              <a:sp3d contourW="25400">
                <a:contourClr>
                  <a:schemeClr val="lt1"/>
                </a:contourClr>
              </a:sp3d>
            </c:spPr>
          </c:dPt>
          <c:dPt>
            <c:idx val="2"/>
            <c:bubble3D val="0"/>
            <c:spPr>
              <a:solidFill>
                <a:schemeClr val="accent3"/>
              </a:solidFill>
              <a:ln w="25400">
                <a:solidFill>
                  <a:schemeClr val="lt1"/>
                </a:solidFill>
              </a:ln>
              <a:effectLst/>
              <a:scene3d>
                <a:camera prst="orthographicFront"/>
                <a:lightRig rig="threePt" dir="t"/>
              </a:scene3d>
              <a:sp3d contourW="25400">
                <a:contourClr>
                  <a:schemeClr val="lt1"/>
                </a:contourClr>
              </a:sp3d>
            </c:spPr>
          </c:dPt>
          <c:dPt>
            <c:idx val="3"/>
            <c:bubble3D val="0"/>
            <c:spPr>
              <a:solidFill>
                <a:schemeClr val="accent4"/>
              </a:solidFill>
              <a:ln w="25400">
                <a:solidFill>
                  <a:schemeClr val="lt1"/>
                </a:solidFill>
              </a:ln>
              <a:effectLst/>
              <a:scene3d>
                <a:camera prst="orthographicFront"/>
                <a:lightRig rig="threePt" dir="t"/>
              </a:scene3d>
              <a:sp3d contourW="25400">
                <a:contourClr>
                  <a:schemeClr val="lt1"/>
                </a:contourClr>
              </a:sp3d>
            </c:spPr>
          </c:dPt>
          <c:dPt>
            <c:idx val="4"/>
            <c:bubble3D val="0"/>
          </c:dPt>
          <c:dLbls>
            <c:dLbl>
              <c:idx val="0"/>
              <c:layout>
                <c:manualLayout>
                  <c:x val="-8.61182172711964e-5"/>
                  <c:y val="-0.037007611898046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168987800463928"/>
                  <c:y val="-0.00611389538358306"/>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552571739988349"/>
                  <c:y val="-0.038277047925600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一般公共预算财政拨款支出决算结构!$A$1:$A$5</c:f>
              <c:strCache>
                <c:ptCount val="5"/>
                <c:pt idx="0">
                  <c:v>社会保障和就业（类）</c:v>
                </c:pt>
                <c:pt idx="1">
                  <c:v>卫生健康支出（类）</c:v>
                </c:pt>
                <c:pt idx="2">
                  <c:v>教育支出（类）</c:v>
                </c:pt>
                <c:pt idx="3">
                  <c:v>资源勘探工业信息等支出</c:v>
                </c:pt>
                <c:pt idx="4">
                  <c:v>住房保障支出（类）</c:v>
                </c:pt>
              </c:strCache>
            </c:strRef>
          </c:cat>
          <c:val>
            <c:numRef>
              <c:f>一般公共预算财政拨款支出决算结构!$B$1:$B$5</c:f>
              <c:numCache>
                <c:formatCode>0.00_ </c:formatCode>
                <c:ptCount val="5"/>
                <c:pt idx="0">
                  <c:v>23.95</c:v>
                </c:pt>
                <c:pt idx="1">
                  <c:v>8.2</c:v>
                </c:pt>
                <c:pt idx="2">
                  <c:v>0.05</c:v>
                </c:pt>
                <c:pt idx="3">
                  <c:v>569.97</c:v>
                </c:pt>
                <c:pt idx="4">
                  <c:v>12.46</c:v>
                </c:pt>
              </c:numCache>
            </c:numRef>
          </c:val>
        </c:ser>
        <c:dLbls>
          <c:showLegendKey val="0"/>
          <c:showVal val="1"/>
          <c:showCatName val="0"/>
          <c:showSerName val="0"/>
          <c:showPercent val="0"/>
          <c:showBubbleSize val="0"/>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zh-CN" sz="1400" b="0" i="0" baseline="0">
                <a:effectLst/>
              </a:rPr>
              <a:t>“三公”经费财政拨款支出情况</a:t>
            </a:r>
            <a:endParaRPr lang="zh-CN" altLang="zh-CN" sz="1400">
              <a:effectLst/>
            </a:endParaRPr>
          </a:p>
        </c:rich>
      </c:tx>
      <c:layout/>
      <c:overlay val="0"/>
      <c:spPr>
        <a:noFill/>
        <a:ln>
          <a:noFill/>
        </a:ln>
        <a:effectLst/>
      </c:spPr>
    </c:title>
    <c:autoTitleDeleted val="0"/>
    <c:view3D>
      <c:rotX val="30"/>
      <c:rotY val="0"/>
      <c:depthPercent val="100"/>
      <c:rAngAx val="0"/>
      <c:perspective val="30"/>
    </c:view3D>
    <c:floor>
      <c:thickness val="0"/>
      <c:spPr>
        <a:noFill/>
        <a:ln>
          <a:noFill/>
        </a:ln>
        <a:effectLst/>
      </c:spPr>
    </c:floor>
    <c:sideWall>
      <c:thickness val="0"/>
      <c:spPr>
        <a:noFill/>
        <a:ln>
          <a:noFill/>
        </a:ln>
        <a:effectLst/>
      </c:spPr>
    </c:sideWall>
    <c:backWall>
      <c:thickness val="0"/>
      <c:spPr>
        <a:noFill/>
        <a:ln>
          <a:noFill/>
        </a:ln>
        <a:effectLst/>
      </c:spPr>
    </c:backWall>
    <c:plotArea>
      <c:layout/>
      <c:pie3DChart>
        <c:varyColors val="1"/>
        <c:ser>
          <c:idx val="0"/>
          <c:order val="0"/>
          <c:explosion val="0"/>
          <c:dPt>
            <c:idx val="0"/>
            <c:bubble3D val="0"/>
            <c:spPr>
              <a:solidFill>
                <a:schemeClr val="accent1"/>
              </a:solidFill>
              <a:ln w="25400">
                <a:solidFill>
                  <a:schemeClr val="lt1"/>
                </a:solidFill>
              </a:ln>
              <a:effectLst/>
              <a:scene3d>
                <a:camera prst="orthographicFront"/>
                <a:lightRig rig="threePt" dir="t"/>
              </a:scene3d>
              <a:sp3d contourW="25400">
                <a:contourClr>
                  <a:schemeClr val="lt1"/>
                </a:contourClr>
              </a:sp3d>
            </c:spPr>
          </c:dPt>
          <c:dPt>
            <c:idx val="1"/>
            <c:bubble3D val="0"/>
            <c:spPr>
              <a:solidFill>
                <a:schemeClr val="accent2"/>
              </a:solidFill>
              <a:ln w="25400">
                <a:solidFill>
                  <a:schemeClr val="lt1"/>
                </a:solidFill>
              </a:ln>
              <a:effectLst/>
              <a:scene3d>
                <a:camera prst="orthographicFront"/>
                <a:lightRig rig="threePt" dir="t"/>
              </a:scene3d>
              <a:sp3d contourW="25400">
                <a:contourClr>
                  <a:schemeClr val="lt1"/>
                </a:contourClr>
              </a:sp3d>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“三公”经费财政拨款支出结构!$A$2:$A$3</c:f>
              <c:strCache>
                <c:ptCount val="2"/>
                <c:pt idx="0">
                  <c:v>公务用车购置及运行维护费支出</c:v>
                </c:pt>
                <c:pt idx="1">
                  <c:v>公务接待费</c:v>
                </c:pt>
              </c:strCache>
            </c:strRef>
          </c:cat>
          <c:val>
            <c:numRef>
              <c:f>“三公”经费财政拨款支出结构!$B$2:$B$3</c:f>
              <c:numCache>
                <c:formatCode>General</c:formatCode>
                <c:ptCount val="2"/>
                <c:pt idx="0">
                  <c:v>8.22</c:v>
                </c:pt>
                <c:pt idx="1">
                  <c:v>0</c:v>
                </c:pt>
              </c:numCache>
            </c:numRef>
          </c:val>
        </c:ser>
        <c:dLbls>
          <c:showLegendKey val="0"/>
          <c:showVal val="1"/>
          <c:showCatName val="0"/>
          <c:showSerName val="0"/>
          <c:showPercent val="0"/>
          <c:showBubbleSize val="0"/>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97A16F-9263-49D5-9CD8-28C4B3161B6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31</Pages>
  <Words>4953</Words>
  <Characters>5518</Characters>
  <Lines>41</Lines>
  <Paragraphs>11</Paragraphs>
  <TotalTime>13</TotalTime>
  <ScaleCrop>false</ScaleCrop>
  <LinksUpToDate>false</LinksUpToDate>
  <CharactersWithSpaces>5537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2020-08-08T01:49:00Z</dcterms:created>
  <dc:creator>曹颖</dc:creator>
  <cp:lastModifiedBy>经信机关服务中心王晓琍</cp:lastModifiedBy>
  <cp:lastPrinted>2024-08-23T05:55:00Z</cp:lastPrinted>
  <dcterms:modified xsi:type="dcterms:W3CDTF">2024-09-04T07:01:09Z</dcterms:modified>
  <dc:title>四川省***</dc:title>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71B7BCEAAB4E40D59E3346537331625D_12</vt:lpwstr>
  </property>
</Properties>
</file>