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93"/>
        <w:rPr>
          <w:rFonts w:hAnsi="仿宋_GB2312" w:cs="仿宋_GB2312"/>
          <w:kern w:val="2"/>
          <w:sz w:val="72"/>
          <w:szCs w:val="72"/>
        </w:rPr>
      </w:pPr>
      <w:bookmarkStart w:id="0" w:name="_Toc15378441"/>
      <w:bookmarkStart w:id="1" w:name="_Toc15396597"/>
      <w:bookmarkStart w:id="2" w:name="_Toc15396475"/>
      <w:bookmarkStart w:id="3" w:name="_Toc15377193"/>
      <w:bookmarkStart w:id="4" w:name="_Toc15377425"/>
      <w:bookmarkStart w:id="5" w:name="_Toc15306267"/>
    </w:p>
    <w:p>
      <w:pPr>
        <w:pStyle w:val="6"/>
        <w:spacing w:before="93"/>
        <w:rPr>
          <w:rFonts w:ascii="Times New Roman" w:eastAsia="方正小标宋简体"/>
          <w:kern w:val="2"/>
          <w:sz w:val="44"/>
          <w:szCs w:val="44"/>
        </w:rPr>
      </w:pPr>
    </w:p>
    <w:p>
      <w:pPr>
        <w:pStyle w:val="6"/>
        <w:spacing w:before="93"/>
        <w:jc w:val="center"/>
        <w:rPr>
          <w:rFonts w:ascii="Times New Roman" w:eastAsia="方正小标宋简体"/>
          <w:kern w:val="2"/>
          <w:sz w:val="44"/>
          <w:szCs w:val="44"/>
        </w:rPr>
      </w:pPr>
    </w:p>
    <w:bookmarkEnd w:id="0"/>
    <w:bookmarkEnd w:id="1"/>
    <w:bookmarkEnd w:id="2"/>
    <w:bookmarkEnd w:id="3"/>
    <w:bookmarkEnd w:id="4"/>
    <w:p>
      <w:pPr>
        <w:pStyle w:val="6"/>
        <w:spacing w:before="93"/>
        <w:jc w:val="center"/>
        <w:rPr>
          <w:rFonts w:ascii="方正小标宋简体" w:hAnsi="方正小标宋简体" w:eastAsia="方正小标宋简体" w:cs="方正小标宋简体"/>
          <w:kern w:val="2"/>
          <w:sz w:val="48"/>
          <w:szCs w:val="48"/>
        </w:rPr>
      </w:pPr>
      <w:bookmarkStart w:id="6" w:name="_Toc15396476"/>
      <w:bookmarkStart w:id="7" w:name="_Toc15377426"/>
      <w:bookmarkStart w:id="8" w:name="_Toc15377194"/>
      <w:bookmarkStart w:id="9" w:name="_Toc15378442"/>
      <w:bookmarkStart w:id="10" w:name="_Toc15396598"/>
      <w:r>
        <w:rPr>
          <w:rFonts w:hint="eastAsia" w:ascii="方正小标宋简体" w:hAnsi="方正小标宋简体" w:eastAsia="方正小标宋简体" w:cs="方正小标宋简体"/>
          <w:kern w:val="2"/>
          <w:sz w:val="48"/>
          <w:szCs w:val="48"/>
        </w:rPr>
        <w:t>2024年度</w:t>
      </w:r>
      <w:bookmarkEnd w:id="5"/>
      <w:bookmarkStart w:id="11" w:name="_Toc15306268"/>
      <w:r>
        <w:rPr>
          <w:rFonts w:hint="eastAsia" w:ascii="方正小标宋简体" w:hAnsi="方正小标宋简体" w:eastAsia="方正小标宋简体" w:cs="方正小标宋简体"/>
          <w:kern w:val="2"/>
          <w:sz w:val="48"/>
          <w:szCs w:val="48"/>
        </w:rPr>
        <w:t xml:space="preserve">四川信息职业技术学院 </w:t>
      </w:r>
    </w:p>
    <w:p>
      <w:pPr>
        <w:pStyle w:val="6"/>
        <w:spacing w:before="93"/>
        <w:jc w:val="center"/>
        <w:rPr>
          <w:rFonts w:ascii="方正小标宋简体" w:hAnsi="方正小标宋简体" w:eastAsia="方正小标宋简体" w:cs="方正小标宋简体"/>
          <w:kern w:val="2"/>
          <w:sz w:val="48"/>
          <w:szCs w:val="48"/>
        </w:rPr>
      </w:pPr>
      <w:r>
        <w:rPr>
          <w:rFonts w:hint="eastAsia" w:ascii="方正小标宋简体" w:hAnsi="方正小标宋简体" w:eastAsia="方正小标宋简体" w:cs="方正小标宋简体"/>
          <w:kern w:val="2"/>
          <w:sz w:val="48"/>
          <w:szCs w:val="48"/>
        </w:rPr>
        <w:t>单位决算</w:t>
      </w:r>
      <w:bookmarkEnd w:id="6"/>
      <w:bookmarkEnd w:id="7"/>
      <w:bookmarkEnd w:id="8"/>
      <w:bookmarkEnd w:id="9"/>
      <w:bookmarkEnd w:id="10"/>
      <w:bookmarkEnd w:id="11"/>
    </w:p>
    <w:p>
      <w:pPr>
        <w:pStyle w:val="13"/>
        <w:rPr>
          <w:rFonts w:ascii="Times New Roman" w:hAnsi="Times New Roman" w:eastAsia="仿宋_GB2312" w:cs="仿宋_GB2312"/>
          <w:sz w:val="32"/>
          <w:szCs w:val="32"/>
        </w:rPr>
      </w:pPr>
      <w:r>
        <w:rPr>
          <w:rFonts w:ascii="Times New Roman" w:hAnsi="Times New Roman" w:eastAsia="方正小标宋简体"/>
          <w:sz w:val="36"/>
          <w:szCs w:val="36"/>
        </w:rPr>
        <w:br w:type="page"/>
      </w:r>
    </w:p>
    <w:p/>
    <w:p>
      <w:pPr>
        <w:widowControl/>
        <w:jc w:val="center"/>
        <w:rPr>
          <w:rFonts w:eastAsia="黑体"/>
          <w:sz w:val="48"/>
          <w:szCs w:val="48"/>
        </w:rPr>
      </w:pPr>
      <w:r>
        <w:rPr>
          <w:rFonts w:eastAsia="黑体"/>
          <w:sz w:val="48"/>
          <w:szCs w:val="48"/>
        </w:rPr>
        <w:t>目录</w:t>
      </w:r>
    </w:p>
    <w:p>
      <w:pPr>
        <w:pStyle w:val="2"/>
      </w:pPr>
    </w:p>
    <w:p>
      <w:pPr>
        <w:widowControl/>
        <w:jc w:val="center"/>
        <w:rPr>
          <w:rFonts w:ascii="仿宋_GB2312" w:hAnsi="仿宋_GB2312" w:eastAsia="仿宋_GB2312" w:cs="仿宋_GB2312"/>
          <w:sz w:val="28"/>
          <w:szCs w:val="36"/>
        </w:rPr>
      </w:pPr>
      <w:r>
        <w:rPr>
          <w:rFonts w:hint="eastAsia" w:ascii="仿宋_GB2312" w:hAnsi="仿宋_GB2312" w:eastAsia="仿宋_GB2312" w:cs="仿宋_GB2312"/>
          <w:sz w:val="28"/>
          <w:szCs w:val="36"/>
        </w:rPr>
        <w:t>公开时间：2025年9月12日</w:t>
      </w:r>
    </w:p>
    <w:sdt>
      <w:sdtPr>
        <w:rPr>
          <w:rFonts w:ascii="宋体" w:hAnsi="宋体"/>
        </w:rPr>
        <w:id w:val="147454646"/>
        <w15:color w:val="DBDBDB"/>
        <w:docPartObj>
          <w:docPartGallery w:val="Table of Contents"/>
          <w:docPartUnique/>
        </w:docPartObj>
      </w:sdtPr>
      <w:sdtEndPr>
        <w:rPr>
          <w:rFonts w:ascii="Times New Roman" w:hAnsi="Times New Roman"/>
        </w:rPr>
      </w:sdtEndPr>
      <w:sdtContent>
        <w:p>
          <w:pPr>
            <w:jc w:val="center"/>
          </w:pPr>
        </w:p>
        <w:p>
          <w:pPr>
            <w:pStyle w:val="13"/>
            <w:tabs>
              <w:tab w:val="right" w:leader="dot" w:pos="8306"/>
              <w:tab w:val="clear" w:pos="8296"/>
            </w:tabs>
            <w:jc w:val="both"/>
            <w:rPr>
              <w:rFonts w:ascii="黑体" w:hAnsi="黑体" w:eastAsia="黑体" w:cs="黑体"/>
              <w:bCs/>
              <w:sz w:val="24"/>
              <w:szCs w:val="24"/>
            </w:rPr>
          </w:pPr>
          <w:r>
            <w:fldChar w:fldCharType="begin"/>
          </w:r>
          <w:r>
            <w:instrText xml:space="preserve">TOC \o "1-2" \h \u </w:instrText>
          </w:r>
          <w:r>
            <w:fldChar w:fldCharType="separate"/>
          </w:r>
          <w:r>
            <w:fldChar w:fldCharType="begin"/>
          </w:r>
          <w:r>
            <w:instrText xml:space="preserve"> HYPERLINK \l "_Toc9041" </w:instrText>
          </w:r>
          <w:r>
            <w:fldChar w:fldCharType="separate"/>
          </w:r>
          <w:r>
            <w:rPr>
              <w:rFonts w:hint="eastAsia" w:ascii="黑体" w:hAnsi="黑体" w:eastAsia="黑体" w:cs="黑体"/>
              <w:bCs/>
              <w:sz w:val="24"/>
              <w:szCs w:val="24"/>
            </w:rPr>
            <w:t>第一部分 单位概况</w:t>
          </w:r>
          <w:r>
            <w:rPr>
              <w:rFonts w:hint="eastAsia" w:ascii="Times New Roman" w:hAnsi="Times New Roman" w:eastAsia="宋体"/>
              <w:bCs/>
              <w:sz w:val="24"/>
              <w:szCs w:val="24"/>
            </w:rPr>
            <w:tab/>
          </w:r>
          <w:r>
            <w:rPr>
              <w:rFonts w:ascii="Times New Roman" w:hAnsi="Times New Roman" w:eastAsia="黑体"/>
              <w:bCs/>
              <w:sz w:val="24"/>
              <w:szCs w:val="24"/>
            </w:rPr>
            <w:fldChar w:fldCharType="begin"/>
          </w:r>
          <w:r>
            <w:rPr>
              <w:rFonts w:ascii="Times New Roman" w:hAnsi="Times New Roman" w:eastAsia="黑体"/>
              <w:bCs/>
              <w:sz w:val="24"/>
              <w:szCs w:val="24"/>
            </w:rPr>
            <w:instrText xml:space="preserve"> PAGEREF _Toc9041 \h </w:instrText>
          </w:r>
          <w:r>
            <w:rPr>
              <w:rFonts w:ascii="Times New Roman" w:hAnsi="Times New Roman" w:eastAsia="黑体"/>
              <w:bCs/>
              <w:sz w:val="24"/>
              <w:szCs w:val="24"/>
            </w:rPr>
            <w:fldChar w:fldCharType="separate"/>
          </w:r>
          <w:r>
            <w:rPr>
              <w:rFonts w:ascii="Times New Roman" w:hAnsi="Times New Roman" w:eastAsia="黑体"/>
              <w:bCs/>
              <w:sz w:val="24"/>
              <w:szCs w:val="24"/>
            </w:rPr>
            <w:t>- 3 -</w:t>
          </w:r>
          <w:r>
            <w:rPr>
              <w:rFonts w:ascii="Times New Roman" w:hAnsi="Times New Roman" w:eastAsia="黑体"/>
              <w:bCs/>
              <w:sz w:val="24"/>
              <w:szCs w:val="24"/>
            </w:rPr>
            <w:fldChar w:fldCharType="end"/>
          </w:r>
          <w:r>
            <w:rPr>
              <w:rFonts w:ascii="Times New Roman" w:hAnsi="Times New Roman" w:eastAsia="黑体"/>
              <w:bCs/>
              <w:sz w:val="24"/>
              <w:szCs w:val="24"/>
            </w:rPr>
            <w:fldChar w:fldCharType="end"/>
          </w:r>
        </w:p>
        <w:p>
          <w:pPr>
            <w:pStyle w:val="15"/>
            <w:tabs>
              <w:tab w:val="right" w:leader="dot" w:pos="8306"/>
              <w:tab w:val="clear" w:pos="8296"/>
            </w:tabs>
          </w:pPr>
          <w:r>
            <w:fldChar w:fldCharType="begin"/>
          </w:r>
          <w:r>
            <w:instrText xml:space="preserve"> HYPERLINK \l "_Toc29554" </w:instrText>
          </w:r>
          <w:r>
            <w:fldChar w:fldCharType="separate"/>
          </w:r>
          <w:r>
            <w:rPr>
              <w:rFonts w:hint="eastAsia" w:ascii="仿宋_GB2312" w:hAnsi="仿宋_GB2312" w:eastAsia="仿宋_GB2312" w:cs="仿宋_GB2312"/>
            </w:rPr>
            <w:t xml:space="preserve">一、 </w:t>
          </w:r>
          <w:r>
            <w:rPr>
              <w:rFonts w:ascii="仿宋_GB2312" w:hAnsi="仿宋_GB2312" w:eastAsia="仿宋_GB2312" w:cs="仿宋_GB2312"/>
            </w:rPr>
            <w:t>主要职责</w:t>
          </w:r>
          <w:r>
            <w:tab/>
          </w:r>
          <w:r>
            <w:fldChar w:fldCharType="begin"/>
          </w:r>
          <w:r>
            <w:instrText xml:space="preserve"> PAGEREF _Toc29554 \h </w:instrText>
          </w:r>
          <w:r>
            <w:fldChar w:fldCharType="separate"/>
          </w:r>
          <w:r>
            <w:t>- 3 -</w:t>
          </w:r>
          <w:r>
            <w:fldChar w:fldCharType="end"/>
          </w:r>
          <w:r>
            <w:fldChar w:fldCharType="end"/>
          </w:r>
        </w:p>
        <w:p>
          <w:pPr>
            <w:pStyle w:val="15"/>
            <w:tabs>
              <w:tab w:val="right" w:leader="dot" w:pos="8306"/>
              <w:tab w:val="clear" w:pos="8296"/>
            </w:tabs>
          </w:pPr>
          <w:r>
            <w:fldChar w:fldCharType="begin"/>
          </w:r>
          <w:r>
            <w:instrText xml:space="preserve"> HYPERLINK \l "_Toc8723" </w:instrText>
          </w:r>
          <w:r>
            <w:fldChar w:fldCharType="separate"/>
          </w:r>
          <w:r>
            <w:rPr>
              <w:rFonts w:hint="eastAsia" w:ascii="仿宋_GB2312" w:hAnsi="仿宋_GB2312" w:eastAsia="仿宋_GB2312" w:cs="仿宋_GB2312"/>
            </w:rPr>
            <w:t xml:space="preserve">二、 </w:t>
          </w:r>
          <w:r>
            <w:rPr>
              <w:rFonts w:ascii="仿宋_GB2312" w:hAnsi="仿宋_GB2312" w:eastAsia="仿宋_GB2312" w:cs="仿宋_GB2312"/>
            </w:rPr>
            <w:t>机构设置</w:t>
          </w:r>
          <w:r>
            <w:tab/>
          </w:r>
          <w:r>
            <w:fldChar w:fldCharType="begin"/>
          </w:r>
          <w:r>
            <w:instrText xml:space="preserve"> PAGEREF _Toc8723 \h </w:instrText>
          </w:r>
          <w:r>
            <w:fldChar w:fldCharType="separate"/>
          </w:r>
          <w:r>
            <w:t>- 3 -</w:t>
          </w:r>
          <w:r>
            <w:fldChar w:fldCharType="end"/>
          </w:r>
          <w:r>
            <w:fldChar w:fldCharType="end"/>
          </w:r>
        </w:p>
        <w:p>
          <w:pPr>
            <w:pStyle w:val="13"/>
            <w:tabs>
              <w:tab w:val="right" w:leader="dot" w:pos="8306"/>
              <w:tab w:val="clear" w:pos="8296"/>
            </w:tabs>
            <w:jc w:val="both"/>
            <w:rPr>
              <w:rFonts w:ascii="黑体" w:hAnsi="黑体" w:eastAsia="黑体" w:cs="黑体"/>
              <w:bCs/>
              <w:sz w:val="24"/>
              <w:szCs w:val="24"/>
            </w:rPr>
          </w:pPr>
          <w:r>
            <w:fldChar w:fldCharType="begin"/>
          </w:r>
          <w:r>
            <w:instrText xml:space="preserve"> HYPERLINK \l "_Toc3348" </w:instrText>
          </w:r>
          <w:r>
            <w:fldChar w:fldCharType="separate"/>
          </w:r>
          <w:r>
            <w:rPr>
              <w:rFonts w:hint="eastAsia" w:ascii="黑体" w:hAnsi="黑体" w:eastAsia="黑体" w:cs="黑体"/>
              <w:bCs/>
              <w:sz w:val="24"/>
              <w:szCs w:val="24"/>
            </w:rPr>
            <w:t>第二部分2024年度</w:t>
          </w:r>
          <w:r>
            <w:rPr>
              <w:rFonts w:hint="eastAsia" w:ascii="黑体" w:hAnsi="黑体" w:eastAsia="黑体" w:cs="黑体"/>
              <w:bCs/>
              <w:sz w:val="24"/>
              <w:szCs w:val="24"/>
              <w:lang w:eastAsia="zh-CN"/>
            </w:rPr>
            <w:t>单位</w:t>
          </w:r>
          <w:r>
            <w:rPr>
              <w:rFonts w:hint="eastAsia" w:ascii="黑体" w:hAnsi="黑体" w:eastAsia="黑体" w:cs="黑体"/>
              <w:bCs/>
              <w:sz w:val="24"/>
              <w:szCs w:val="24"/>
            </w:rPr>
            <w:t>决算情况说明</w:t>
          </w:r>
          <w:r>
            <w:rPr>
              <w:rFonts w:ascii="Times New Roman" w:hAnsi="Times New Roman" w:eastAsia="宋体"/>
              <w:bCs/>
              <w:sz w:val="24"/>
              <w:szCs w:val="24"/>
            </w:rPr>
            <w:tab/>
          </w:r>
          <w:r>
            <w:rPr>
              <w:rFonts w:ascii="Times New Roman" w:hAnsi="Times New Roman" w:eastAsia="黑体"/>
              <w:bCs/>
              <w:sz w:val="24"/>
              <w:szCs w:val="24"/>
            </w:rPr>
            <w:fldChar w:fldCharType="begin"/>
          </w:r>
          <w:r>
            <w:rPr>
              <w:rFonts w:ascii="Times New Roman" w:hAnsi="Times New Roman" w:eastAsia="黑体"/>
              <w:bCs/>
              <w:sz w:val="24"/>
              <w:szCs w:val="24"/>
            </w:rPr>
            <w:instrText xml:space="preserve"> PAGEREF _Toc3348 \h </w:instrText>
          </w:r>
          <w:r>
            <w:rPr>
              <w:rFonts w:ascii="Times New Roman" w:hAnsi="Times New Roman" w:eastAsia="黑体"/>
              <w:bCs/>
              <w:sz w:val="24"/>
              <w:szCs w:val="24"/>
            </w:rPr>
            <w:fldChar w:fldCharType="separate"/>
          </w:r>
          <w:r>
            <w:rPr>
              <w:rFonts w:ascii="Times New Roman" w:hAnsi="Times New Roman" w:eastAsia="黑体"/>
              <w:bCs/>
              <w:sz w:val="24"/>
              <w:szCs w:val="24"/>
            </w:rPr>
            <w:t>- 5 -</w:t>
          </w:r>
          <w:r>
            <w:rPr>
              <w:rFonts w:ascii="Times New Roman" w:hAnsi="Times New Roman" w:eastAsia="黑体"/>
              <w:bCs/>
              <w:sz w:val="24"/>
              <w:szCs w:val="24"/>
            </w:rPr>
            <w:fldChar w:fldCharType="end"/>
          </w:r>
          <w:r>
            <w:rPr>
              <w:rFonts w:ascii="Times New Roman" w:hAnsi="Times New Roman" w:eastAsia="黑体"/>
              <w:bCs/>
              <w:sz w:val="24"/>
              <w:szCs w:val="24"/>
            </w:rPr>
            <w:fldChar w:fldCharType="end"/>
          </w:r>
        </w:p>
        <w:p>
          <w:pPr>
            <w:pStyle w:val="15"/>
            <w:tabs>
              <w:tab w:val="right" w:leader="dot" w:pos="8306"/>
              <w:tab w:val="clear" w:pos="8296"/>
            </w:tabs>
          </w:pPr>
          <w:r>
            <w:fldChar w:fldCharType="begin"/>
          </w:r>
          <w:r>
            <w:instrText xml:space="preserve"> HYPERLINK \l "_Toc11160" </w:instrText>
          </w:r>
          <w:r>
            <w:fldChar w:fldCharType="separate"/>
          </w:r>
          <w:r>
            <w:rPr>
              <w:rFonts w:hint="eastAsia" w:ascii="仿宋_GB2312" w:hAnsi="仿宋_GB2312" w:eastAsia="仿宋_GB2312" w:cs="仿宋_GB2312"/>
            </w:rPr>
            <w:t>一、收入支出决算总体情况说明</w:t>
          </w:r>
          <w:r>
            <w:tab/>
          </w:r>
          <w:r>
            <w:fldChar w:fldCharType="begin"/>
          </w:r>
          <w:r>
            <w:instrText xml:space="preserve"> PAGEREF _Toc11160 \h </w:instrText>
          </w:r>
          <w:r>
            <w:fldChar w:fldCharType="separate"/>
          </w:r>
          <w:r>
            <w:t>- 5 -</w:t>
          </w:r>
          <w:r>
            <w:fldChar w:fldCharType="end"/>
          </w:r>
          <w:r>
            <w:fldChar w:fldCharType="end"/>
          </w:r>
        </w:p>
        <w:p>
          <w:pPr>
            <w:pStyle w:val="15"/>
            <w:tabs>
              <w:tab w:val="right" w:leader="dot" w:pos="8306"/>
              <w:tab w:val="clear" w:pos="8296"/>
            </w:tabs>
          </w:pPr>
          <w:r>
            <w:fldChar w:fldCharType="begin"/>
          </w:r>
          <w:r>
            <w:instrText xml:space="preserve"> HYPERLINK \l "_Toc2121" </w:instrText>
          </w:r>
          <w:r>
            <w:fldChar w:fldCharType="separate"/>
          </w:r>
          <w:r>
            <w:rPr>
              <w:rFonts w:hint="eastAsia" w:ascii="仿宋_GB2312" w:hAnsi="仿宋_GB2312" w:eastAsia="仿宋_GB2312" w:cs="仿宋_GB2312"/>
            </w:rPr>
            <w:t>二、收入决算情况说明</w:t>
          </w:r>
          <w:r>
            <w:tab/>
          </w:r>
          <w:r>
            <w:fldChar w:fldCharType="begin"/>
          </w:r>
          <w:r>
            <w:instrText xml:space="preserve"> PAGEREF _Toc2121 \h </w:instrText>
          </w:r>
          <w:r>
            <w:fldChar w:fldCharType="separate"/>
          </w:r>
          <w:r>
            <w:t>- 5 -</w:t>
          </w:r>
          <w:r>
            <w:fldChar w:fldCharType="end"/>
          </w:r>
          <w:r>
            <w:fldChar w:fldCharType="end"/>
          </w:r>
        </w:p>
        <w:p>
          <w:pPr>
            <w:pStyle w:val="15"/>
            <w:tabs>
              <w:tab w:val="right" w:leader="dot" w:pos="8306"/>
              <w:tab w:val="clear" w:pos="8296"/>
            </w:tabs>
          </w:pPr>
          <w:r>
            <w:fldChar w:fldCharType="begin"/>
          </w:r>
          <w:r>
            <w:instrText xml:space="preserve"> HYPERLINK \l "_Toc4096" </w:instrText>
          </w:r>
          <w:r>
            <w:fldChar w:fldCharType="separate"/>
          </w:r>
          <w:r>
            <w:rPr>
              <w:rFonts w:hint="eastAsia" w:ascii="仿宋_GB2312" w:hAnsi="仿宋_GB2312" w:eastAsia="仿宋_GB2312" w:cs="仿宋_GB2312"/>
            </w:rPr>
            <w:t>三、支出决算情况说明</w:t>
          </w:r>
          <w:r>
            <w:tab/>
          </w:r>
          <w:r>
            <w:fldChar w:fldCharType="begin"/>
          </w:r>
          <w:r>
            <w:instrText xml:space="preserve"> PAGEREF _Toc4096 \h </w:instrText>
          </w:r>
          <w:r>
            <w:fldChar w:fldCharType="separate"/>
          </w:r>
          <w:r>
            <w:t>- 6 -</w:t>
          </w:r>
          <w:r>
            <w:fldChar w:fldCharType="end"/>
          </w:r>
          <w:r>
            <w:fldChar w:fldCharType="end"/>
          </w:r>
        </w:p>
        <w:p>
          <w:pPr>
            <w:pStyle w:val="15"/>
            <w:tabs>
              <w:tab w:val="right" w:leader="dot" w:pos="8306"/>
              <w:tab w:val="clear" w:pos="8296"/>
            </w:tabs>
          </w:pPr>
          <w:r>
            <w:fldChar w:fldCharType="begin"/>
          </w:r>
          <w:r>
            <w:instrText xml:space="preserve"> HYPERLINK \l "_Toc32370" </w:instrText>
          </w:r>
          <w:r>
            <w:fldChar w:fldCharType="separate"/>
          </w:r>
          <w:r>
            <w:rPr>
              <w:rFonts w:hint="eastAsia" w:ascii="仿宋_GB2312" w:hAnsi="仿宋_GB2312" w:eastAsia="仿宋_GB2312" w:cs="仿宋_GB2312"/>
            </w:rPr>
            <w:t>四、财政拨款收入支出决算总体情况说明</w:t>
          </w:r>
          <w:r>
            <w:tab/>
          </w:r>
          <w:r>
            <w:fldChar w:fldCharType="begin"/>
          </w:r>
          <w:r>
            <w:instrText xml:space="preserve"> PAGEREF _Toc32370 \h </w:instrText>
          </w:r>
          <w:r>
            <w:fldChar w:fldCharType="separate"/>
          </w:r>
          <w:r>
            <w:t>- 7 -</w:t>
          </w:r>
          <w:r>
            <w:fldChar w:fldCharType="end"/>
          </w:r>
          <w:r>
            <w:fldChar w:fldCharType="end"/>
          </w:r>
        </w:p>
        <w:p>
          <w:pPr>
            <w:pStyle w:val="15"/>
            <w:tabs>
              <w:tab w:val="right" w:leader="dot" w:pos="8306"/>
              <w:tab w:val="clear" w:pos="8296"/>
            </w:tabs>
          </w:pPr>
          <w:r>
            <w:fldChar w:fldCharType="begin"/>
          </w:r>
          <w:r>
            <w:instrText xml:space="preserve"> HYPERLINK \l "_Toc16109" </w:instrText>
          </w:r>
          <w:r>
            <w:fldChar w:fldCharType="separate"/>
          </w:r>
          <w:r>
            <w:rPr>
              <w:rFonts w:hint="eastAsia" w:ascii="仿宋_GB2312" w:hAnsi="仿宋_GB2312" w:eastAsia="仿宋_GB2312" w:cs="仿宋_GB2312"/>
            </w:rPr>
            <w:t>五、一般公共预算财政拨款支出决算情况说明</w:t>
          </w:r>
          <w:r>
            <w:tab/>
          </w:r>
          <w:r>
            <w:fldChar w:fldCharType="begin"/>
          </w:r>
          <w:r>
            <w:instrText xml:space="preserve"> PAGEREF _Toc16109 \h </w:instrText>
          </w:r>
          <w:r>
            <w:fldChar w:fldCharType="separate"/>
          </w:r>
          <w:r>
            <w:t>- 7 -</w:t>
          </w:r>
          <w:r>
            <w:fldChar w:fldCharType="end"/>
          </w:r>
          <w:r>
            <w:fldChar w:fldCharType="end"/>
          </w:r>
        </w:p>
        <w:p>
          <w:pPr>
            <w:pStyle w:val="15"/>
            <w:tabs>
              <w:tab w:val="right" w:leader="dot" w:pos="8306"/>
              <w:tab w:val="clear" w:pos="8296"/>
            </w:tabs>
          </w:pPr>
          <w:r>
            <w:fldChar w:fldCharType="begin"/>
          </w:r>
          <w:r>
            <w:instrText xml:space="preserve"> HYPERLINK \l "_Toc15802" </w:instrText>
          </w:r>
          <w:r>
            <w:fldChar w:fldCharType="separate"/>
          </w:r>
          <w:r>
            <w:rPr>
              <w:rFonts w:hint="eastAsia" w:ascii="仿宋_GB2312" w:hAnsi="仿宋_GB2312" w:eastAsia="仿宋_GB2312" w:cs="仿宋_GB2312"/>
            </w:rPr>
            <w:t>六、一般公共预算财政拨款基本支出决算情况说明</w:t>
          </w:r>
          <w:r>
            <w:tab/>
          </w:r>
          <w:r>
            <w:fldChar w:fldCharType="begin"/>
          </w:r>
          <w:r>
            <w:instrText xml:space="preserve"> PAGEREF _Toc15802 \h </w:instrText>
          </w:r>
          <w:r>
            <w:fldChar w:fldCharType="separate"/>
          </w:r>
          <w:r>
            <w:t>- 9 -</w:t>
          </w:r>
          <w:r>
            <w:fldChar w:fldCharType="end"/>
          </w:r>
          <w:r>
            <w:fldChar w:fldCharType="end"/>
          </w:r>
        </w:p>
        <w:p>
          <w:pPr>
            <w:pStyle w:val="15"/>
            <w:tabs>
              <w:tab w:val="right" w:leader="dot" w:pos="8306"/>
              <w:tab w:val="clear" w:pos="8296"/>
            </w:tabs>
          </w:pPr>
          <w:r>
            <w:fldChar w:fldCharType="begin"/>
          </w:r>
          <w:r>
            <w:instrText xml:space="preserve"> HYPERLINK \l "_Toc16838" </w:instrText>
          </w:r>
          <w:r>
            <w:fldChar w:fldCharType="separate"/>
          </w:r>
          <w:r>
            <w:rPr>
              <w:rFonts w:hint="eastAsia" w:ascii="仿宋_GB2312" w:hAnsi="仿宋_GB2312" w:eastAsia="仿宋_GB2312" w:cs="仿宋_GB2312"/>
            </w:rPr>
            <w:t>七、财政拨款“三公”经费支出决算情况说明</w:t>
          </w:r>
          <w:r>
            <w:tab/>
          </w:r>
          <w:r>
            <w:fldChar w:fldCharType="begin"/>
          </w:r>
          <w:r>
            <w:instrText xml:space="preserve"> PAGEREF _Toc16838 \h </w:instrText>
          </w:r>
          <w:r>
            <w:fldChar w:fldCharType="separate"/>
          </w:r>
          <w:r>
            <w:t>- 10 -</w:t>
          </w:r>
          <w:r>
            <w:fldChar w:fldCharType="end"/>
          </w:r>
          <w:r>
            <w:fldChar w:fldCharType="end"/>
          </w:r>
        </w:p>
        <w:p>
          <w:pPr>
            <w:pStyle w:val="15"/>
            <w:tabs>
              <w:tab w:val="right" w:leader="dot" w:pos="8306"/>
              <w:tab w:val="clear" w:pos="8296"/>
            </w:tabs>
          </w:pPr>
          <w:r>
            <w:fldChar w:fldCharType="begin"/>
          </w:r>
          <w:r>
            <w:instrText xml:space="preserve"> HYPERLINK \l "_Toc12469" </w:instrText>
          </w:r>
          <w:r>
            <w:fldChar w:fldCharType="separate"/>
          </w:r>
          <w:r>
            <w:rPr>
              <w:rFonts w:hint="eastAsia" w:ascii="仿宋_GB2312" w:hAnsi="仿宋_GB2312" w:eastAsia="仿宋_GB2312" w:cs="仿宋_GB2312"/>
            </w:rPr>
            <w:t>八、政府性基金预算支出决算情况说明</w:t>
          </w:r>
          <w:r>
            <w:tab/>
          </w:r>
          <w:r>
            <w:fldChar w:fldCharType="begin"/>
          </w:r>
          <w:r>
            <w:instrText xml:space="preserve"> PAGEREF _Toc12469 \h </w:instrText>
          </w:r>
          <w:r>
            <w:fldChar w:fldCharType="separate"/>
          </w:r>
          <w:r>
            <w:t>- 11 -</w:t>
          </w:r>
          <w:r>
            <w:fldChar w:fldCharType="end"/>
          </w:r>
          <w:r>
            <w:fldChar w:fldCharType="end"/>
          </w:r>
        </w:p>
        <w:p>
          <w:pPr>
            <w:pStyle w:val="15"/>
            <w:tabs>
              <w:tab w:val="right" w:leader="dot" w:pos="8306"/>
              <w:tab w:val="clear" w:pos="8296"/>
            </w:tabs>
          </w:pPr>
          <w:r>
            <w:fldChar w:fldCharType="begin"/>
          </w:r>
          <w:r>
            <w:instrText xml:space="preserve"> HYPERLINK \l "_Toc15711" </w:instrText>
          </w:r>
          <w:r>
            <w:fldChar w:fldCharType="separate"/>
          </w:r>
          <w:r>
            <w:rPr>
              <w:rFonts w:hint="eastAsia" w:ascii="仿宋_GB2312" w:hAnsi="仿宋_GB2312" w:eastAsia="仿宋_GB2312" w:cs="仿宋_GB2312"/>
            </w:rPr>
            <w:t>九、国有资本经营预算支出决算情况说明</w:t>
          </w:r>
          <w:r>
            <w:tab/>
          </w:r>
          <w:r>
            <w:fldChar w:fldCharType="begin"/>
          </w:r>
          <w:r>
            <w:instrText xml:space="preserve"> PAGEREF _Toc15711 \h </w:instrText>
          </w:r>
          <w:r>
            <w:fldChar w:fldCharType="separate"/>
          </w:r>
          <w:r>
            <w:t>- 11 -</w:t>
          </w:r>
          <w:r>
            <w:fldChar w:fldCharType="end"/>
          </w:r>
          <w:r>
            <w:fldChar w:fldCharType="end"/>
          </w:r>
        </w:p>
        <w:p>
          <w:pPr>
            <w:pStyle w:val="15"/>
            <w:tabs>
              <w:tab w:val="right" w:leader="dot" w:pos="8306"/>
              <w:tab w:val="clear" w:pos="8296"/>
            </w:tabs>
          </w:pPr>
          <w:r>
            <w:fldChar w:fldCharType="begin"/>
          </w:r>
          <w:r>
            <w:instrText xml:space="preserve"> HYPERLINK \l "_Toc27372" </w:instrText>
          </w:r>
          <w:r>
            <w:fldChar w:fldCharType="separate"/>
          </w:r>
          <w:r>
            <w:rPr>
              <w:rFonts w:hint="eastAsia" w:ascii="仿宋_GB2312" w:hAnsi="仿宋_GB2312" w:eastAsia="仿宋_GB2312" w:cs="仿宋_GB2312"/>
            </w:rPr>
            <w:t>十、其他重要事项的情况说明</w:t>
          </w:r>
          <w:r>
            <w:tab/>
          </w:r>
          <w:r>
            <w:fldChar w:fldCharType="begin"/>
          </w:r>
          <w:r>
            <w:instrText xml:space="preserve"> PAGEREF _Toc27372 \h </w:instrText>
          </w:r>
          <w:r>
            <w:fldChar w:fldCharType="separate"/>
          </w:r>
          <w:r>
            <w:t>- 11 -</w:t>
          </w:r>
          <w:r>
            <w:fldChar w:fldCharType="end"/>
          </w:r>
          <w:r>
            <w:fldChar w:fldCharType="end"/>
          </w:r>
        </w:p>
        <w:p>
          <w:pPr>
            <w:pStyle w:val="13"/>
            <w:tabs>
              <w:tab w:val="right" w:leader="dot" w:pos="8306"/>
              <w:tab w:val="clear" w:pos="8296"/>
            </w:tabs>
            <w:jc w:val="both"/>
            <w:rPr>
              <w:rFonts w:ascii="Times New Roman" w:hAnsi="Times New Roman" w:eastAsia="宋体"/>
              <w:bCs/>
              <w:sz w:val="24"/>
              <w:szCs w:val="24"/>
            </w:rPr>
          </w:pPr>
          <w:r>
            <w:fldChar w:fldCharType="begin"/>
          </w:r>
          <w:r>
            <w:instrText xml:space="preserve"> HYPERLINK \l "_Toc2007" </w:instrText>
          </w:r>
          <w:r>
            <w:fldChar w:fldCharType="separate"/>
          </w:r>
          <w:r>
            <w:rPr>
              <w:rFonts w:hint="eastAsia" w:ascii="黑体" w:hAnsi="黑体" w:eastAsia="黑体" w:cs="黑体"/>
              <w:bCs/>
              <w:sz w:val="24"/>
              <w:szCs w:val="24"/>
            </w:rPr>
            <w:t>第三部分 名词解释</w:t>
          </w:r>
          <w:r>
            <w:rPr>
              <w:rFonts w:ascii="Times New Roman" w:hAnsi="Times New Roman" w:eastAsia="宋体"/>
              <w:bCs/>
              <w:sz w:val="24"/>
              <w:szCs w:val="24"/>
            </w:rPr>
            <w:tab/>
          </w:r>
          <w:r>
            <w:rPr>
              <w:rFonts w:ascii="Times New Roman" w:hAnsi="Times New Roman" w:eastAsia="宋体"/>
              <w:bCs/>
              <w:sz w:val="24"/>
              <w:szCs w:val="24"/>
            </w:rPr>
            <w:fldChar w:fldCharType="begin"/>
          </w:r>
          <w:r>
            <w:rPr>
              <w:rFonts w:ascii="Times New Roman" w:hAnsi="Times New Roman" w:eastAsia="宋体"/>
              <w:bCs/>
              <w:sz w:val="24"/>
              <w:szCs w:val="24"/>
            </w:rPr>
            <w:instrText xml:space="preserve"> PAGEREF _Toc2007 \h </w:instrText>
          </w:r>
          <w:r>
            <w:rPr>
              <w:rFonts w:ascii="Times New Roman" w:hAnsi="Times New Roman" w:eastAsia="宋体"/>
              <w:bCs/>
              <w:sz w:val="24"/>
              <w:szCs w:val="24"/>
            </w:rPr>
            <w:fldChar w:fldCharType="separate"/>
          </w:r>
          <w:r>
            <w:rPr>
              <w:rFonts w:ascii="Times New Roman" w:hAnsi="Times New Roman" w:eastAsia="宋体"/>
              <w:bCs/>
              <w:sz w:val="24"/>
              <w:szCs w:val="24"/>
            </w:rPr>
            <w:t>- 13 -</w:t>
          </w:r>
          <w:r>
            <w:rPr>
              <w:rFonts w:ascii="Times New Roman" w:hAnsi="Times New Roman" w:eastAsia="宋体"/>
              <w:bCs/>
              <w:sz w:val="24"/>
              <w:szCs w:val="24"/>
            </w:rPr>
            <w:fldChar w:fldCharType="end"/>
          </w:r>
          <w:r>
            <w:rPr>
              <w:rFonts w:ascii="Times New Roman" w:hAnsi="Times New Roman" w:eastAsia="宋体"/>
              <w:bCs/>
              <w:sz w:val="24"/>
              <w:szCs w:val="24"/>
            </w:rPr>
            <w:fldChar w:fldCharType="end"/>
          </w:r>
        </w:p>
        <w:p>
          <w:pPr>
            <w:pStyle w:val="13"/>
            <w:tabs>
              <w:tab w:val="right" w:leader="dot" w:pos="8306"/>
              <w:tab w:val="clear" w:pos="8296"/>
            </w:tabs>
            <w:jc w:val="both"/>
            <w:rPr>
              <w:rFonts w:ascii="Times New Roman" w:hAnsi="Times New Roman" w:eastAsia="宋体"/>
              <w:bCs/>
              <w:sz w:val="24"/>
              <w:szCs w:val="24"/>
            </w:rPr>
          </w:pPr>
          <w:r>
            <w:fldChar w:fldCharType="begin"/>
          </w:r>
          <w:r>
            <w:instrText xml:space="preserve"> HYPERLINK \l "_Toc8146" </w:instrText>
          </w:r>
          <w:r>
            <w:fldChar w:fldCharType="separate"/>
          </w:r>
          <w:r>
            <w:rPr>
              <w:rFonts w:hint="eastAsia" w:ascii="黑体" w:hAnsi="黑体" w:eastAsia="黑体" w:cs="黑体"/>
              <w:bCs/>
              <w:sz w:val="24"/>
              <w:szCs w:val="24"/>
            </w:rPr>
            <w:t>第四部分 附件</w:t>
          </w:r>
          <w:r>
            <w:rPr>
              <w:rFonts w:ascii="Times New Roman" w:hAnsi="Times New Roman" w:eastAsia="宋体"/>
              <w:bCs/>
              <w:sz w:val="24"/>
              <w:szCs w:val="24"/>
            </w:rPr>
            <w:tab/>
          </w:r>
          <w:r>
            <w:rPr>
              <w:rFonts w:ascii="Times New Roman" w:hAnsi="Times New Roman" w:eastAsia="宋体"/>
              <w:bCs/>
              <w:sz w:val="24"/>
              <w:szCs w:val="24"/>
            </w:rPr>
            <w:fldChar w:fldCharType="begin"/>
          </w:r>
          <w:r>
            <w:rPr>
              <w:rFonts w:ascii="Times New Roman" w:hAnsi="Times New Roman" w:eastAsia="宋体"/>
              <w:bCs/>
              <w:sz w:val="24"/>
              <w:szCs w:val="24"/>
            </w:rPr>
            <w:instrText xml:space="preserve"> PAGEREF _Toc8146 \h </w:instrText>
          </w:r>
          <w:r>
            <w:rPr>
              <w:rFonts w:ascii="Times New Roman" w:hAnsi="Times New Roman" w:eastAsia="宋体"/>
              <w:bCs/>
              <w:sz w:val="24"/>
              <w:szCs w:val="24"/>
            </w:rPr>
            <w:fldChar w:fldCharType="separate"/>
          </w:r>
          <w:r>
            <w:rPr>
              <w:rFonts w:ascii="Times New Roman" w:hAnsi="Times New Roman" w:eastAsia="宋体"/>
              <w:bCs/>
              <w:sz w:val="24"/>
              <w:szCs w:val="24"/>
            </w:rPr>
            <w:t>- 1</w:t>
          </w:r>
          <w:r>
            <w:rPr>
              <w:rFonts w:hint="eastAsia" w:ascii="Times New Roman" w:hAnsi="Times New Roman" w:eastAsia="宋体"/>
              <w:bCs/>
              <w:sz w:val="24"/>
              <w:szCs w:val="24"/>
              <w:lang w:val="en-US" w:eastAsia="zh-CN"/>
            </w:rPr>
            <w:t xml:space="preserve">5 </w:t>
          </w:r>
          <w:r>
            <w:rPr>
              <w:rFonts w:ascii="Times New Roman" w:hAnsi="Times New Roman" w:eastAsia="宋体"/>
              <w:bCs/>
              <w:sz w:val="24"/>
              <w:szCs w:val="24"/>
            </w:rPr>
            <w:t>-</w:t>
          </w:r>
          <w:r>
            <w:rPr>
              <w:rFonts w:ascii="Times New Roman" w:hAnsi="Times New Roman" w:eastAsia="宋体"/>
              <w:bCs/>
              <w:sz w:val="24"/>
              <w:szCs w:val="24"/>
            </w:rPr>
            <w:fldChar w:fldCharType="end"/>
          </w:r>
          <w:r>
            <w:rPr>
              <w:rFonts w:ascii="Times New Roman" w:hAnsi="Times New Roman" w:eastAsia="宋体"/>
              <w:bCs/>
              <w:sz w:val="24"/>
              <w:szCs w:val="24"/>
            </w:rPr>
            <w:fldChar w:fldCharType="end"/>
          </w:r>
        </w:p>
        <w:p>
          <w:pPr>
            <w:pStyle w:val="13"/>
            <w:tabs>
              <w:tab w:val="right" w:leader="dot" w:pos="8306"/>
              <w:tab w:val="clear" w:pos="8296"/>
            </w:tabs>
            <w:jc w:val="both"/>
            <w:rPr>
              <w:rFonts w:ascii="Times New Roman" w:hAnsi="Times New Roman" w:eastAsia="宋体"/>
              <w:bCs/>
              <w:sz w:val="24"/>
              <w:szCs w:val="24"/>
            </w:rPr>
          </w:pPr>
          <w:r>
            <w:fldChar w:fldCharType="begin"/>
          </w:r>
          <w:r>
            <w:instrText xml:space="preserve"> HYPERLINK \l "_Toc24384" </w:instrText>
          </w:r>
          <w:r>
            <w:fldChar w:fldCharType="separate"/>
          </w:r>
          <w:r>
            <w:rPr>
              <w:rFonts w:hint="eastAsia" w:ascii="黑体" w:hAnsi="黑体" w:eastAsia="黑体" w:cs="黑体"/>
              <w:bCs/>
              <w:sz w:val="24"/>
              <w:szCs w:val="24"/>
            </w:rPr>
            <w:t>第五部分 附表</w:t>
          </w:r>
          <w:r>
            <w:rPr>
              <w:rFonts w:ascii="Times New Roman" w:hAnsi="Times New Roman" w:eastAsia="宋体"/>
              <w:bCs/>
              <w:sz w:val="24"/>
              <w:szCs w:val="24"/>
            </w:rPr>
            <w:tab/>
          </w:r>
          <w:r>
            <w:rPr>
              <w:rFonts w:ascii="Times New Roman" w:hAnsi="Times New Roman" w:eastAsia="宋体"/>
              <w:bCs/>
              <w:sz w:val="24"/>
              <w:szCs w:val="24"/>
            </w:rPr>
            <w:fldChar w:fldCharType="begin"/>
          </w:r>
          <w:r>
            <w:rPr>
              <w:rFonts w:ascii="Times New Roman" w:hAnsi="Times New Roman" w:eastAsia="宋体"/>
              <w:bCs/>
              <w:sz w:val="24"/>
              <w:szCs w:val="24"/>
            </w:rPr>
            <w:instrText xml:space="preserve"> PAGEREF _Toc24384 \h </w:instrText>
          </w:r>
          <w:r>
            <w:rPr>
              <w:rFonts w:ascii="Times New Roman" w:hAnsi="Times New Roman" w:eastAsia="宋体"/>
              <w:bCs/>
              <w:sz w:val="24"/>
              <w:szCs w:val="24"/>
            </w:rPr>
            <w:fldChar w:fldCharType="separate"/>
          </w:r>
          <w:r>
            <w:rPr>
              <w:rFonts w:ascii="Times New Roman" w:hAnsi="Times New Roman" w:eastAsia="宋体"/>
              <w:bCs/>
              <w:sz w:val="24"/>
              <w:szCs w:val="24"/>
            </w:rPr>
            <w:t>- 16 -</w:t>
          </w:r>
          <w:r>
            <w:rPr>
              <w:rFonts w:ascii="Times New Roman" w:hAnsi="Times New Roman" w:eastAsia="宋体"/>
              <w:bCs/>
              <w:sz w:val="24"/>
              <w:szCs w:val="24"/>
            </w:rPr>
            <w:fldChar w:fldCharType="end"/>
          </w:r>
          <w:r>
            <w:rPr>
              <w:rFonts w:ascii="Times New Roman" w:hAnsi="Times New Roman" w:eastAsia="宋体"/>
              <w:bCs/>
              <w:sz w:val="24"/>
              <w:szCs w:val="24"/>
            </w:rPr>
            <w:fldChar w:fldCharType="end"/>
          </w:r>
        </w:p>
        <w:p>
          <w:pPr>
            <w:pStyle w:val="15"/>
            <w:tabs>
              <w:tab w:val="right" w:leader="dot" w:pos="8306"/>
              <w:tab w:val="clear" w:pos="8296"/>
            </w:tabs>
          </w:pPr>
          <w:r>
            <w:fldChar w:fldCharType="begin"/>
          </w:r>
          <w:r>
            <w:instrText xml:space="preserve"> HYPERLINK \l "_Toc26940" </w:instrText>
          </w:r>
          <w:r>
            <w:fldChar w:fldCharType="separate"/>
          </w:r>
          <w:r>
            <w:rPr>
              <w:rFonts w:hint="eastAsia" w:ascii="仿宋_GB2312" w:hAnsi="仿宋_GB2312" w:eastAsia="仿宋_GB2312" w:cs="仿宋_GB2312"/>
            </w:rPr>
            <w:t>一、收入支出决算总表</w:t>
          </w:r>
          <w:r>
            <w:tab/>
          </w:r>
          <w:r>
            <w:fldChar w:fldCharType="begin"/>
          </w:r>
          <w:r>
            <w:instrText xml:space="preserve"> PAGEREF _Toc26940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"_Toc7868" </w:instrText>
          </w:r>
          <w:r>
            <w:fldChar w:fldCharType="separate"/>
          </w:r>
          <w:r>
            <w:rPr>
              <w:rFonts w:hint="eastAsia" w:ascii="仿宋_GB2312" w:hAnsi="仿宋_GB2312" w:eastAsia="仿宋_GB2312" w:cs="仿宋_GB2312"/>
            </w:rPr>
            <w:t>二、收入决算表</w:t>
          </w:r>
          <w:r>
            <w:tab/>
          </w:r>
          <w:r>
            <w:fldChar w:fldCharType="begin"/>
          </w:r>
          <w:r>
            <w:instrText xml:space="preserve"> PAGEREF _Toc7868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"_Toc11413" </w:instrText>
          </w:r>
          <w:r>
            <w:fldChar w:fldCharType="separate"/>
          </w:r>
          <w:r>
            <w:rPr>
              <w:rFonts w:hint="eastAsia" w:ascii="仿宋_GB2312" w:hAnsi="仿宋_GB2312" w:eastAsia="仿宋_GB2312" w:cs="仿宋_GB2312"/>
            </w:rPr>
            <w:t>三、支出决算表</w:t>
          </w:r>
          <w:r>
            <w:tab/>
          </w:r>
          <w:r>
            <w:fldChar w:fldCharType="begin"/>
          </w:r>
          <w:r>
            <w:instrText xml:space="preserve"> PAGEREF _Toc11413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"_Toc15856" </w:instrText>
          </w:r>
          <w:r>
            <w:fldChar w:fldCharType="separate"/>
          </w:r>
          <w:r>
            <w:rPr>
              <w:rFonts w:hint="eastAsia" w:ascii="仿宋_GB2312" w:hAnsi="仿宋_GB2312" w:eastAsia="仿宋_GB2312" w:cs="仿宋_GB2312"/>
            </w:rPr>
            <w:t>四、财政拨款收入支出决算总表</w:t>
          </w:r>
          <w:r>
            <w:tab/>
          </w:r>
          <w:r>
            <w:fldChar w:fldCharType="begin"/>
          </w:r>
          <w:r>
            <w:instrText xml:space="preserve"> PAGEREF _Toc15856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"_Toc18270" </w:instrText>
          </w:r>
          <w:r>
            <w:fldChar w:fldCharType="separate"/>
          </w:r>
          <w:r>
            <w:rPr>
              <w:rFonts w:hint="eastAsia" w:ascii="仿宋_GB2312" w:hAnsi="仿宋_GB2312" w:eastAsia="仿宋_GB2312" w:cs="仿宋_GB2312"/>
            </w:rPr>
            <w:t>五、财政拨款支出决算明细表</w:t>
          </w:r>
          <w:r>
            <w:tab/>
          </w:r>
          <w:r>
            <w:fldChar w:fldCharType="begin"/>
          </w:r>
          <w:r>
            <w:instrText xml:space="preserve"> PAGEREF _Toc18270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"_Toc26631" </w:instrText>
          </w:r>
          <w:r>
            <w:fldChar w:fldCharType="separate"/>
          </w:r>
          <w:r>
            <w:rPr>
              <w:rFonts w:hint="eastAsia" w:ascii="仿宋_GB2312" w:hAnsi="仿宋_GB2312" w:eastAsia="仿宋_GB2312" w:cs="仿宋_GB2312"/>
            </w:rPr>
            <w:t>六、一般公共预算财政拨款支出决算表</w:t>
          </w:r>
          <w:r>
            <w:tab/>
          </w:r>
          <w:r>
            <w:fldChar w:fldCharType="begin"/>
          </w:r>
          <w:r>
            <w:instrText xml:space="preserve"> PAGEREF _Toc26631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"_Toc12000" </w:instrText>
          </w:r>
          <w:r>
            <w:fldChar w:fldCharType="separate"/>
          </w:r>
          <w:r>
            <w:rPr>
              <w:rFonts w:hint="eastAsia" w:ascii="仿宋_GB2312" w:hAnsi="仿宋_GB2312" w:eastAsia="仿宋_GB2312" w:cs="仿宋_GB2312"/>
            </w:rPr>
            <w:t>七、一般公共预算财政拨款支出决算明细表</w:t>
          </w:r>
          <w:r>
            <w:tab/>
          </w:r>
          <w:r>
            <w:fldChar w:fldCharType="begin"/>
          </w:r>
          <w:r>
            <w:instrText xml:space="preserve"> PAGEREF _Toc12000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"_Toc202" </w:instrText>
          </w:r>
          <w:r>
            <w:fldChar w:fldCharType="separate"/>
          </w:r>
          <w:r>
            <w:rPr>
              <w:rFonts w:hint="eastAsia" w:ascii="仿宋_GB2312" w:hAnsi="仿宋_GB2312" w:eastAsia="仿宋_GB2312" w:cs="仿宋_GB2312"/>
            </w:rPr>
            <w:t>八、一般公共预算财政拨款基本支出决算表</w:t>
          </w:r>
          <w:r>
            <w:tab/>
          </w:r>
          <w:r>
            <w:fldChar w:fldCharType="begin"/>
          </w:r>
          <w:r>
            <w:instrText xml:space="preserve"> PAGEREF _Toc202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"_Toc29915" </w:instrText>
          </w:r>
          <w:r>
            <w:fldChar w:fldCharType="separate"/>
          </w:r>
          <w:r>
            <w:rPr>
              <w:rFonts w:hint="eastAsia" w:ascii="仿宋_GB2312" w:hAnsi="仿宋_GB2312" w:eastAsia="仿宋_GB2312" w:cs="仿宋_GB2312"/>
            </w:rPr>
            <w:t>九、一般公共预算财政拨款项目支出决算表</w:t>
          </w:r>
          <w:r>
            <w:tab/>
          </w:r>
          <w:r>
            <w:fldChar w:fldCharType="begin"/>
          </w:r>
          <w:r>
            <w:instrText xml:space="preserve"> PAGEREF _Toc29915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"_Toc938" </w:instrText>
          </w:r>
          <w:r>
            <w:fldChar w:fldCharType="separate"/>
          </w:r>
          <w:r>
            <w:rPr>
              <w:rFonts w:hint="eastAsia" w:ascii="仿宋_GB2312" w:hAnsi="仿宋_GB2312" w:eastAsia="仿宋_GB2312" w:cs="仿宋_GB2312"/>
            </w:rPr>
            <w:t>十、政府性基金预算财政拨款收入支出决算表</w:t>
          </w:r>
          <w:r>
            <w:tab/>
          </w:r>
          <w:r>
            <w:fldChar w:fldCharType="begin"/>
          </w:r>
          <w:r>
            <w:instrText xml:space="preserve"> PAGEREF _Toc938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"_Toc23784" </w:instrText>
          </w:r>
          <w:r>
            <w:fldChar w:fldCharType="separate"/>
          </w:r>
          <w:r>
            <w:rPr>
              <w:rFonts w:hint="eastAsia" w:ascii="仿宋_GB2312" w:hAnsi="仿宋_GB2312" w:eastAsia="仿宋_GB2312" w:cs="仿宋_GB2312"/>
            </w:rPr>
            <w:t>十一、国有资本经营预算财政拨款收入支出决算表</w:t>
          </w:r>
          <w:r>
            <w:tab/>
          </w:r>
          <w:r>
            <w:fldChar w:fldCharType="begin"/>
          </w:r>
          <w:r>
            <w:instrText xml:space="preserve"> PAGEREF _Toc23784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"_Toc11294" </w:instrText>
          </w:r>
          <w:r>
            <w:fldChar w:fldCharType="separate"/>
          </w:r>
          <w:r>
            <w:rPr>
              <w:rFonts w:hint="eastAsia" w:ascii="仿宋_GB2312" w:hAnsi="仿宋_GB2312" w:eastAsia="仿宋_GB2312" w:cs="仿宋_GB2312"/>
            </w:rPr>
            <w:t>十二、国有资本经营预算财政拨款支出决算表</w:t>
          </w:r>
          <w:r>
            <w:tab/>
          </w:r>
          <w:r>
            <w:fldChar w:fldCharType="begin"/>
          </w:r>
          <w:r>
            <w:instrText xml:space="preserve"> PAGEREF _Toc11294 \h </w:instrText>
          </w:r>
          <w:r>
            <w:fldChar w:fldCharType="separate"/>
          </w:r>
          <w:r>
            <w:t>- 16 -</w:t>
          </w:r>
          <w:r>
            <w:fldChar w:fldCharType="end"/>
          </w:r>
          <w:r>
            <w:fldChar w:fldCharType="end"/>
          </w:r>
        </w:p>
        <w:p>
          <w:pPr>
            <w:pStyle w:val="15"/>
            <w:tabs>
              <w:tab w:val="right" w:leader="dot" w:pos="8306"/>
              <w:tab w:val="clear" w:pos="8296"/>
            </w:tabs>
          </w:pPr>
          <w:r>
            <w:fldChar w:fldCharType="begin"/>
          </w:r>
          <w:r>
            <w:instrText xml:space="preserve"> HYPERLINK \l "_Toc10713" </w:instrText>
          </w:r>
          <w:r>
            <w:fldChar w:fldCharType="separate"/>
          </w:r>
          <w:r>
            <w:rPr>
              <w:rFonts w:hint="eastAsia" w:ascii="仿宋_GB2312" w:hAnsi="仿宋_GB2312" w:eastAsia="仿宋_GB2312" w:cs="仿宋_GB2312"/>
            </w:rPr>
            <w:t>十三、财政拨款“三公”经费支出决算表</w:t>
          </w:r>
          <w:r>
            <w:tab/>
          </w:r>
          <w:r>
            <w:fldChar w:fldCharType="begin"/>
          </w:r>
          <w:r>
            <w:instrText xml:space="preserve"> PAGEREF _Toc10713 \h </w:instrText>
          </w:r>
          <w:r>
            <w:fldChar w:fldCharType="separate"/>
          </w:r>
          <w:r>
            <w:t>- 16 -</w:t>
          </w:r>
          <w:r>
            <w:fldChar w:fldCharType="end"/>
          </w:r>
          <w:r>
            <w:fldChar w:fldCharType="end"/>
          </w:r>
        </w:p>
        <w:p>
          <w:r>
            <w:fldChar w:fldCharType="end"/>
          </w:r>
        </w:p>
      </w:sdtContent>
    </w:sdt>
    <w:p>
      <w:pPr>
        <w:pStyle w:val="2"/>
      </w:pPr>
    </w:p>
    <w:p>
      <w:pPr>
        <w:pStyle w:val="2"/>
      </w:pPr>
    </w:p>
    <w:p>
      <w:pPr>
        <w:pStyle w:val="2"/>
      </w:pPr>
    </w:p>
    <w:p>
      <w:pPr>
        <w:pStyle w:val="2"/>
      </w:pPr>
    </w:p>
    <w:p>
      <w:pPr>
        <w:pStyle w:val="2"/>
      </w:pPr>
    </w:p>
    <w:p>
      <w:pPr>
        <w:pStyle w:val="3"/>
        <w:jc w:val="center"/>
        <w:rPr>
          <w:rFonts w:eastAsia="黑体"/>
          <w:sz w:val="32"/>
          <w:szCs w:val="32"/>
        </w:rPr>
      </w:pPr>
      <w:bookmarkStart w:id="12" w:name="_Toc8268"/>
      <w:bookmarkStart w:id="13" w:name="_Toc26714"/>
      <w:bookmarkStart w:id="14" w:name="_Toc16058"/>
      <w:bookmarkStart w:id="15" w:name="_Toc998"/>
      <w:bookmarkStart w:id="16" w:name="_Toc9041"/>
      <w:r>
        <w:rPr>
          <w:rFonts w:eastAsia="黑体"/>
          <w:b w:val="0"/>
        </w:rPr>
        <w:t>第一部分 单位概况</w:t>
      </w:r>
      <w:bookmarkEnd w:id="12"/>
      <w:bookmarkEnd w:id="13"/>
      <w:bookmarkEnd w:id="14"/>
      <w:bookmarkEnd w:id="15"/>
      <w:bookmarkEnd w:id="16"/>
    </w:p>
    <w:p>
      <w:pPr>
        <w:pStyle w:val="4"/>
        <w:numPr>
          <w:ilvl w:val="0"/>
          <w:numId w:val="1"/>
        </w:numPr>
        <w:rPr>
          <w:rStyle w:val="30"/>
          <w:rFonts w:ascii="Times New Roman" w:hAnsi="Times New Roman" w:eastAsia="黑体" w:cs="Times New Roman"/>
          <w:b w:val="0"/>
          <w:bCs w:val="0"/>
        </w:rPr>
      </w:pPr>
      <w:bookmarkStart w:id="17" w:name="_Toc1777"/>
      <w:bookmarkStart w:id="18" w:name="_Toc29554"/>
      <w:bookmarkStart w:id="19" w:name="_Toc18320"/>
      <w:bookmarkStart w:id="20" w:name="_Toc15687"/>
      <w:r>
        <w:rPr>
          <w:rStyle w:val="30"/>
          <w:rFonts w:ascii="Times New Roman" w:hAnsi="Times New Roman" w:eastAsia="黑体" w:cs="Times New Roman"/>
          <w:b w:val="0"/>
          <w:bCs w:val="0"/>
        </w:rPr>
        <w:t>主要职责</w:t>
      </w:r>
      <w:bookmarkEnd w:id="17"/>
      <w:bookmarkEnd w:id="18"/>
      <w:bookmarkEnd w:id="19"/>
      <w:bookmarkEnd w:id="20"/>
    </w:p>
    <w:p>
      <w:pPr>
        <w:ind w:firstLine="640" w:firstLineChars="200"/>
        <w:rPr>
          <w:rFonts w:ascii="仿宋_GB2312" w:hAnsi="仿宋_GB2312" w:eastAsia="仿宋_GB2312" w:cs="仿宋_GB2312"/>
        </w:rPr>
      </w:pPr>
      <w:r>
        <w:rPr>
          <w:rFonts w:hint="eastAsia" w:ascii="仿宋_GB2312" w:hAnsi="仿宋_GB2312" w:eastAsia="仿宋_GB2312" w:cs="仿宋_GB2312"/>
          <w:sz w:val="32"/>
          <w:szCs w:val="32"/>
        </w:rPr>
        <w:t>四川信息职业技术学院隶属于省经济和信息化厅，是全省唯一公办信息类高职院校，是四川省示范性高职院校，四川省优质高职院校，省高水平高职学校建设单位，教育部现代学徒制试点单位，全国首批职业院校数字校园建设实验校，四川省教育信息化试点单位，全国职业院校数字校园建设样板校。学院立足行业办学，坚持和加强党的全面领导，坚定社会主义办学方向。全面深化综合改革，进一步深化产教融合，提升人才培养水平和质量，坚持服务电子信息产业和地方经济社会，走出了一条“根植信息产业、培养信息人才、服务信息社会”的特色发展之路。</w:t>
      </w:r>
    </w:p>
    <w:p>
      <w:pPr>
        <w:pStyle w:val="4"/>
        <w:numPr>
          <w:ilvl w:val="0"/>
          <w:numId w:val="1"/>
        </w:numPr>
        <w:rPr>
          <w:rFonts w:ascii="Times New Roman" w:hAnsi="Times New Roman" w:eastAsia="黑体" w:cs="Times New Roman"/>
          <w:b w:val="0"/>
        </w:rPr>
      </w:pPr>
      <w:bookmarkStart w:id="21" w:name="_Toc22758"/>
      <w:bookmarkStart w:id="22" w:name="_Toc8723"/>
      <w:bookmarkStart w:id="23" w:name="_Toc29451"/>
      <w:bookmarkStart w:id="24" w:name="_Toc1482"/>
      <w:r>
        <w:rPr>
          <w:rFonts w:ascii="Times New Roman" w:hAnsi="Times New Roman" w:eastAsia="黑体" w:cs="Times New Roman"/>
          <w:b w:val="0"/>
        </w:rPr>
        <w:t>机构设置</w:t>
      </w:r>
      <w:bookmarkEnd w:id="21"/>
      <w:bookmarkEnd w:id="22"/>
      <w:bookmarkEnd w:id="23"/>
      <w:bookmarkEnd w:id="24"/>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信息学院共设置党政部门17个，分别为：党政办公室、党委宣传统战部、党委组织部、党委学生工作部、发展规划处、党委教师工作部（人事处） 、纪委办公室（监察处） 、审计处、团委、财务与资产管理处 、招生就业处、工会（离退工作处）、后勤与基建管理处 、数据与信息化处 、保卫处、科技与社会服务处 、教务处；教学部门8个，分别为：软件学院、电子与物联网学院、现代制造学院、数字经济学院、智能控制学院、网络与通信学院、人文学院、马克思主义学院。</w:t>
      </w:r>
      <w:r>
        <w:rPr>
          <w:rFonts w:hint="eastAsia" w:ascii="仿宋_GB2312" w:hAnsi="仿宋_GB2312" w:eastAsia="仿宋_GB2312" w:cs="仿宋_GB2312"/>
          <w:sz w:val="32"/>
          <w:szCs w:val="32"/>
        </w:rPr>
        <w:br w:type="page"/>
      </w:r>
    </w:p>
    <w:p>
      <w:pPr>
        <w:pStyle w:val="3"/>
        <w:ind w:right="440"/>
        <w:jc w:val="center"/>
        <w:rPr>
          <w:rFonts w:eastAsia="黑体"/>
          <w:b w:val="0"/>
        </w:rPr>
      </w:pPr>
      <w:bookmarkStart w:id="25" w:name="_Toc13653"/>
      <w:bookmarkStart w:id="26" w:name="_Toc15377204"/>
      <w:bookmarkStart w:id="27" w:name="_Toc3348"/>
      <w:bookmarkStart w:id="28" w:name="_Toc15396602"/>
      <w:bookmarkStart w:id="29" w:name="_Toc25954"/>
      <w:r>
        <w:rPr>
          <w:rFonts w:hint="eastAsia" w:eastAsia="黑体"/>
          <w:b w:val="0"/>
        </w:rPr>
        <w:t>第二部分  2024年度单位决算情况说明</w:t>
      </w:r>
      <w:bookmarkEnd w:id="25"/>
      <w:bookmarkEnd w:id="26"/>
      <w:bookmarkEnd w:id="27"/>
      <w:bookmarkEnd w:id="28"/>
      <w:bookmarkEnd w:id="29"/>
    </w:p>
    <w:p/>
    <w:p>
      <w:pPr>
        <w:pStyle w:val="4"/>
        <w:spacing w:before="0" w:after="0"/>
        <w:ind w:firstLine="640" w:firstLineChars="200"/>
        <w:rPr>
          <w:rFonts w:ascii="黑体" w:hAnsi="黑体" w:eastAsia="黑体" w:cs="黑体"/>
          <w:b w:val="0"/>
          <w:bCs w:val="0"/>
        </w:rPr>
      </w:pPr>
      <w:bookmarkStart w:id="30" w:name="_Toc15396603"/>
      <w:bookmarkStart w:id="31" w:name="_Toc26489"/>
      <w:bookmarkStart w:id="32" w:name="_Toc15377205"/>
      <w:bookmarkStart w:id="33" w:name="_Toc11938"/>
      <w:bookmarkStart w:id="34" w:name="_Toc11160"/>
      <w:r>
        <w:rPr>
          <w:rFonts w:hint="eastAsia" w:ascii="黑体" w:hAnsi="黑体" w:eastAsia="黑体" w:cs="黑体"/>
          <w:b w:val="0"/>
          <w:bCs w:val="0"/>
        </w:rPr>
        <w:t>一、收入支出决算总体情况说明</w:t>
      </w:r>
      <w:bookmarkEnd w:id="30"/>
      <w:bookmarkEnd w:id="31"/>
      <w:bookmarkEnd w:id="32"/>
      <w:bookmarkEnd w:id="33"/>
      <w:bookmarkEnd w:id="34"/>
    </w:p>
    <w:p>
      <w:pPr>
        <w:pStyle w:val="28"/>
        <w:spacing w:line="600" w:lineRule="exact"/>
        <w:ind w:firstLine="640"/>
        <w:outlineLvl w:val="1"/>
        <w:rPr>
          <w:rFonts w:eastAsia="仿宋_GB2312"/>
          <w:sz w:val="32"/>
          <w:szCs w:val="32"/>
        </w:rPr>
      </w:pPr>
      <w:bookmarkStart w:id="35" w:name="_Toc28562"/>
      <w:bookmarkStart w:id="36" w:name="_Toc20204"/>
      <w:bookmarkStart w:id="37" w:name="_Toc9448"/>
      <w:bookmarkStart w:id="38" w:name="_Toc18011"/>
      <w:bookmarkStart w:id="39" w:name="_Toc5678"/>
      <w:r>
        <w:rPr>
          <w:rFonts w:eastAsia="仿宋_GB2312"/>
          <w:sz w:val="32"/>
          <w:szCs w:val="32"/>
        </w:rPr>
        <w:t>2024年度收入、支出总计均为21528.93万元。与2023年度相比，收入、支出总计各减少705.11万元，下降3.2%。主要变动原因是2023年省级财政下达高校共建与发展资金（产教融合）项目资金，加大项目经费投入。</w:t>
      </w:r>
      <w:bookmarkEnd w:id="35"/>
      <w:bookmarkEnd w:id="36"/>
      <w:bookmarkEnd w:id="37"/>
      <w:bookmarkEnd w:id="38"/>
      <w:bookmarkEnd w:id="39"/>
    </w:p>
    <w:p>
      <w:pPr>
        <w:pStyle w:val="28"/>
        <w:spacing w:line="600" w:lineRule="exact"/>
        <w:ind w:firstLine="640"/>
        <w:outlineLvl w:val="1"/>
        <w:rPr>
          <w:rFonts w:eastAsia="仿宋_GB2312" w:cs="仿宋_GB2312"/>
          <w:sz w:val="32"/>
          <w:szCs w:val="32"/>
        </w:rPr>
      </w:pPr>
    </w:p>
    <w:p>
      <w:pPr>
        <w:pStyle w:val="28"/>
        <w:spacing w:line="600" w:lineRule="exact"/>
        <w:outlineLvl w:val="1"/>
        <w:rPr>
          <w:rFonts w:eastAsia="仿宋_GB2312" w:cs="仿宋_GB2312"/>
          <w:sz w:val="32"/>
          <w:szCs w:val="32"/>
        </w:rPr>
      </w:pPr>
      <w:r>
        <w:drawing>
          <wp:anchor distT="0" distB="0" distL="114300" distR="114300" simplePos="0" relativeHeight="251662336" behindDoc="0" locked="0" layoutInCell="1" allowOverlap="1">
            <wp:simplePos x="0" y="0"/>
            <wp:positionH relativeFrom="column">
              <wp:posOffset>320675</wp:posOffset>
            </wp:positionH>
            <wp:positionV relativeFrom="paragraph">
              <wp:posOffset>260985</wp:posOffset>
            </wp:positionV>
            <wp:extent cx="4319905" cy="2460625"/>
            <wp:effectExtent l="0" t="0" r="10795" b="3175"/>
            <wp:wrapNone/>
            <wp:docPr id="2"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true"/>
                    </pic:cNvPicPr>
                  </pic:nvPicPr>
                  <pic:blipFill>
                    <a:blip r:embed="rId7"/>
                    <a:stretch>
                      <a:fillRect/>
                    </a:stretch>
                  </pic:blipFill>
                  <pic:spPr>
                    <a:xfrm>
                      <a:off x="0" y="0"/>
                      <a:ext cx="4319905" cy="2460625"/>
                    </a:xfrm>
                    <a:prstGeom prst="rect">
                      <a:avLst/>
                    </a:prstGeom>
                    <a:noFill/>
                    <a:ln>
                      <a:noFill/>
                    </a:ln>
                  </pic:spPr>
                </pic:pic>
              </a:graphicData>
            </a:graphic>
          </wp:anchor>
        </w:drawing>
      </w:r>
    </w:p>
    <w:p>
      <w:pPr>
        <w:pStyle w:val="28"/>
        <w:spacing w:line="600" w:lineRule="exact"/>
        <w:ind w:firstLine="640"/>
        <w:outlineLvl w:val="1"/>
        <w:rPr>
          <w:rFonts w:eastAsia="仿宋_GB2312" w:cs="仿宋_GB2312"/>
          <w:sz w:val="32"/>
          <w:szCs w:val="32"/>
        </w:rPr>
      </w:pPr>
    </w:p>
    <w:p>
      <w:pPr>
        <w:pStyle w:val="28"/>
        <w:spacing w:line="600" w:lineRule="exact"/>
        <w:ind w:firstLine="640"/>
        <w:outlineLvl w:val="1"/>
        <w:rPr>
          <w:rFonts w:eastAsia="仿宋_GB2312" w:cs="仿宋_GB2312"/>
          <w:sz w:val="32"/>
          <w:szCs w:val="32"/>
        </w:rPr>
      </w:pPr>
    </w:p>
    <w:p>
      <w:pPr>
        <w:pStyle w:val="28"/>
        <w:spacing w:line="600" w:lineRule="exact"/>
        <w:ind w:firstLine="640"/>
        <w:outlineLvl w:val="1"/>
        <w:rPr>
          <w:rFonts w:eastAsia="仿宋_GB2312" w:cs="仿宋_GB2312"/>
          <w:sz w:val="32"/>
          <w:szCs w:val="32"/>
        </w:rPr>
      </w:pPr>
    </w:p>
    <w:p>
      <w:pPr>
        <w:pStyle w:val="28"/>
        <w:spacing w:line="600" w:lineRule="exact"/>
        <w:ind w:firstLine="640"/>
        <w:outlineLvl w:val="1"/>
        <w:rPr>
          <w:rFonts w:eastAsia="仿宋_GB2312" w:cs="仿宋_GB2312"/>
          <w:sz w:val="32"/>
          <w:szCs w:val="32"/>
        </w:rPr>
      </w:pPr>
    </w:p>
    <w:p>
      <w:pPr>
        <w:pStyle w:val="28"/>
        <w:spacing w:line="600" w:lineRule="exact"/>
        <w:ind w:firstLine="640"/>
        <w:outlineLvl w:val="1"/>
        <w:rPr>
          <w:rFonts w:eastAsia="仿宋_GB2312" w:cs="仿宋_GB2312"/>
          <w:sz w:val="32"/>
          <w:szCs w:val="32"/>
        </w:rPr>
      </w:pPr>
    </w:p>
    <w:p>
      <w:pPr>
        <w:pStyle w:val="28"/>
        <w:spacing w:line="600" w:lineRule="exact"/>
        <w:ind w:firstLine="640"/>
        <w:outlineLvl w:val="1"/>
        <w:rPr>
          <w:rFonts w:eastAsia="仿宋_GB2312" w:cs="仿宋_GB2312"/>
          <w:sz w:val="32"/>
          <w:szCs w:val="32"/>
        </w:rPr>
      </w:pPr>
    </w:p>
    <w:p>
      <w:pPr>
        <w:pStyle w:val="28"/>
        <w:spacing w:line="600" w:lineRule="exact"/>
        <w:ind w:firstLine="0" w:firstLineChars="0"/>
        <w:outlineLvl w:val="1"/>
        <w:rPr>
          <w:rFonts w:eastAsia="仿宋_GB2312" w:cs="仿宋_GB2312"/>
          <w:sz w:val="32"/>
          <w:szCs w:val="32"/>
        </w:rPr>
      </w:pPr>
    </w:p>
    <w:p>
      <w:pPr>
        <w:pStyle w:val="28"/>
        <w:spacing w:line="600" w:lineRule="exact"/>
        <w:ind w:firstLine="0" w:firstLineChars="0"/>
        <w:outlineLvl w:val="1"/>
        <w:rPr>
          <w:rFonts w:eastAsia="仿宋_GB2312" w:cs="仿宋_GB2312"/>
          <w:sz w:val="32"/>
          <w:szCs w:val="32"/>
        </w:rPr>
      </w:pPr>
    </w:p>
    <w:p>
      <w:pPr>
        <w:ind w:firstLine="640" w:firstLineChars="200"/>
        <w:rPr>
          <w:rFonts w:eastAsia="仿宋_GB2312" w:cs="仿宋_GB2312"/>
          <w:sz w:val="32"/>
          <w:szCs w:val="32"/>
        </w:rPr>
      </w:pPr>
      <w:r>
        <w:rPr>
          <w:rFonts w:hint="eastAsia" w:eastAsia="仿宋_GB2312" w:cs="仿宋_GB2312"/>
          <w:sz w:val="32"/>
          <w:szCs w:val="32"/>
        </w:rPr>
        <w:t>图1：收、支决算总计变动情况图（单位：万元）</w:t>
      </w:r>
    </w:p>
    <w:p>
      <w:pPr>
        <w:pStyle w:val="2"/>
      </w:pPr>
    </w:p>
    <w:p>
      <w:pPr>
        <w:pStyle w:val="4"/>
        <w:spacing w:before="0" w:after="0"/>
        <w:ind w:firstLine="640" w:firstLineChars="200"/>
        <w:rPr>
          <w:rFonts w:ascii="黑体" w:hAnsi="黑体" w:eastAsia="黑体" w:cs="黑体"/>
          <w:b w:val="0"/>
          <w:bCs w:val="0"/>
        </w:rPr>
      </w:pPr>
      <w:bookmarkStart w:id="40" w:name="_Toc15396604"/>
      <w:bookmarkStart w:id="41" w:name="_Toc23943"/>
      <w:bookmarkStart w:id="42" w:name="_Toc8262"/>
      <w:bookmarkStart w:id="43" w:name="_Toc15377206"/>
      <w:bookmarkStart w:id="44" w:name="_Toc2121"/>
      <w:r>
        <w:rPr>
          <w:rFonts w:hint="eastAsia" w:ascii="黑体" w:hAnsi="黑体" w:eastAsia="黑体" w:cs="黑体"/>
          <w:b w:val="0"/>
          <w:bCs w:val="0"/>
        </w:rPr>
        <w:t>二、收入决算情况说明</w:t>
      </w:r>
      <w:bookmarkEnd w:id="40"/>
      <w:bookmarkEnd w:id="41"/>
      <w:bookmarkEnd w:id="42"/>
      <w:bookmarkEnd w:id="43"/>
      <w:bookmarkEnd w:id="44"/>
    </w:p>
    <w:p>
      <w:pPr>
        <w:pStyle w:val="28"/>
        <w:spacing w:line="600" w:lineRule="exact"/>
        <w:ind w:firstLine="640"/>
        <w:jc w:val="left"/>
        <w:outlineLvl w:val="1"/>
        <w:rPr>
          <w:rFonts w:eastAsia="仿宋_GB2312"/>
          <w:b/>
          <w:bCs/>
          <w:sz w:val="32"/>
          <w:szCs w:val="32"/>
        </w:rPr>
      </w:pPr>
      <w:bookmarkStart w:id="45" w:name="_Toc30700"/>
      <w:bookmarkStart w:id="46" w:name="_Toc21959"/>
      <w:bookmarkStart w:id="47" w:name="_Toc4655"/>
      <w:bookmarkStart w:id="48" w:name="_Toc26491"/>
      <w:bookmarkStart w:id="49" w:name="_Toc23221"/>
      <w:r>
        <w:rPr>
          <w:rFonts w:eastAsia="仿宋_GB2312"/>
          <w:sz w:val="32"/>
          <w:szCs w:val="32"/>
        </w:rPr>
        <w:t>2024年度本年收入合计21528.93万元，其中：一般公共预算财政拨款收入17440.46万元，占81%；事业收入4009.52万元，占18.6%；其他收入78.95万元，占0.4%。</w:t>
      </w:r>
      <w:bookmarkEnd w:id="45"/>
      <w:bookmarkEnd w:id="46"/>
      <w:bookmarkEnd w:id="47"/>
      <w:bookmarkEnd w:id="48"/>
      <w:bookmarkEnd w:id="49"/>
    </w:p>
    <w:p>
      <w:pPr>
        <w:pStyle w:val="28"/>
        <w:spacing w:line="600" w:lineRule="exact"/>
        <w:ind w:firstLine="640"/>
        <w:jc w:val="left"/>
        <w:outlineLvl w:val="1"/>
        <w:rPr>
          <w:rFonts w:eastAsia="仿宋_GB2312" w:cs="仿宋_GB2312"/>
          <w:sz w:val="32"/>
          <w:szCs w:val="32"/>
        </w:rPr>
      </w:pPr>
    </w:p>
    <w:p>
      <w:pPr>
        <w:pStyle w:val="2"/>
      </w:pPr>
      <w:r>
        <w:drawing>
          <wp:anchor distT="0" distB="0" distL="114300" distR="114300" simplePos="0" relativeHeight="251665408" behindDoc="0" locked="0" layoutInCell="1" allowOverlap="1">
            <wp:simplePos x="0" y="0"/>
            <wp:positionH relativeFrom="column">
              <wp:posOffset>186055</wp:posOffset>
            </wp:positionH>
            <wp:positionV relativeFrom="paragraph">
              <wp:posOffset>24130</wp:posOffset>
            </wp:positionV>
            <wp:extent cx="4320540" cy="2537460"/>
            <wp:effectExtent l="0" t="0" r="7620" b="7620"/>
            <wp:wrapNone/>
            <wp:docPr id="6"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true"/>
                    </pic:cNvPicPr>
                  </pic:nvPicPr>
                  <pic:blipFill>
                    <a:blip r:embed="rId8"/>
                    <a:stretch>
                      <a:fillRect/>
                    </a:stretch>
                  </pic:blipFill>
                  <pic:spPr>
                    <a:xfrm>
                      <a:off x="0" y="0"/>
                      <a:ext cx="4320540" cy="2537460"/>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ind w:firstLine="800" w:firstLineChars="250"/>
        <w:rPr>
          <w:rFonts w:eastAsia="仿宋_GB2312" w:cs="仿宋_GB2312"/>
          <w:sz w:val="32"/>
          <w:szCs w:val="32"/>
        </w:rPr>
      </w:pPr>
    </w:p>
    <w:p>
      <w:pPr>
        <w:ind w:firstLine="800" w:firstLineChars="250"/>
        <w:rPr>
          <w:rFonts w:eastAsia="仿宋_GB2312" w:cs="仿宋_GB2312"/>
          <w:sz w:val="32"/>
          <w:szCs w:val="32"/>
        </w:rPr>
      </w:pPr>
      <w:r>
        <w:rPr>
          <w:rFonts w:hint="eastAsia" w:eastAsia="仿宋_GB2312" w:cs="仿宋_GB2312"/>
          <w:sz w:val="32"/>
          <w:szCs w:val="32"/>
        </w:rPr>
        <w:t>图2：收入决算结构图（单位：万元）</w:t>
      </w:r>
    </w:p>
    <w:p>
      <w:pPr>
        <w:pStyle w:val="2"/>
      </w:pPr>
    </w:p>
    <w:p>
      <w:pPr>
        <w:pStyle w:val="4"/>
        <w:spacing w:before="0" w:after="0"/>
        <w:ind w:firstLine="640" w:firstLineChars="200"/>
        <w:rPr>
          <w:rFonts w:ascii="黑体" w:hAnsi="黑体" w:eastAsia="黑体" w:cs="黑体"/>
          <w:b w:val="0"/>
          <w:bCs w:val="0"/>
        </w:rPr>
      </w:pPr>
      <w:bookmarkStart w:id="50" w:name="_Toc15396605"/>
      <w:bookmarkStart w:id="51" w:name="_Toc4096"/>
      <w:bookmarkStart w:id="52" w:name="_Toc6178"/>
      <w:bookmarkStart w:id="53" w:name="_Toc8736"/>
      <w:bookmarkStart w:id="54" w:name="_Toc15377207"/>
      <w:r>
        <w:rPr>
          <w:rFonts w:hint="eastAsia" w:ascii="黑体" w:hAnsi="黑体" w:eastAsia="黑体" w:cs="黑体"/>
          <w:b w:val="0"/>
          <w:bCs w:val="0"/>
        </w:rPr>
        <w:t>三、支出决算情况说明</w:t>
      </w:r>
      <w:bookmarkEnd w:id="50"/>
      <w:bookmarkEnd w:id="51"/>
      <w:bookmarkEnd w:id="52"/>
      <w:bookmarkEnd w:id="53"/>
      <w:bookmarkEnd w:id="54"/>
    </w:p>
    <w:p>
      <w:pPr>
        <w:pStyle w:val="28"/>
        <w:spacing w:line="600" w:lineRule="exact"/>
        <w:ind w:firstLine="640"/>
        <w:jc w:val="left"/>
        <w:outlineLvl w:val="1"/>
        <w:rPr>
          <w:rFonts w:eastAsia="仿宋_GB2312"/>
          <w:b/>
          <w:bCs/>
          <w:sz w:val="32"/>
          <w:szCs w:val="32"/>
        </w:rPr>
      </w:pPr>
      <w:bookmarkStart w:id="55" w:name="_Toc25727"/>
      <w:bookmarkStart w:id="56" w:name="_Toc19050"/>
      <w:bookmarkStart w:id="57" w:name="_Toc5886"/>
      <w:bookmarkStart w:id="58" w:name="_Toc24671"/>
      <w:bookmarkStart w:id="59" w:name="_Toc11775"/>
      <w:r>
        <w:rPr>
          <w:rFonts w:eastAsia="仿宋_GB2312"/>
          <w:sz w:val="32"/>
          <w:szCs w:val="32"/>
        </w:rPr>
        <w:t>2024年度本年支出合计21528.93万元，其中：基本支出13467.55万元，占62.6%；项目支出8061.38万元，占37.4%。</w:t>
      </w:r>
      <w:bookmarkEnd w:id="55"/>
      <w:bookmarkEnd w:id="56"/>
      <w:bookmarkEnd w:id="57"/>
      <w:bookmarkEnd w:id="58"/>
      <w:bookmarkEnd w:id="59"/>
    </w:p>
    <w:p>
      <w:pPr>
        <w:pStyle w:val="28"/>
        <w:spacing w:line="600" w:lineRule="exact"/>
        <w:ind w:firstLine="0" w:firstLineChars="0"/>
        <w:jc w:val="left"/>
        <w:outlineLvl w:val="1"/>
        <w:rPr>
          <w:rFonts w:eastAsia="仿宋_GB2312" w:cs="仿宋_GB2312"/>
          <w:b/>
          <w:bCs/>
          <w:sz w:val="32"/>
          <w:szCs w:val="32"/>
        </w:rPr>
      </w:pPr>
    </w:p>
    <w:p>
      <w:pPr>
        <w:pStyle w:val="28"/>
        <w:spacing w:line="600" w:lineRule="exact"/>
        <w:jc w:val="left"/>
        <w:outlineLvl w:val="1"/>
        <w:rPr>
          <w:rFonts w:eastAsia="仿宋_GB2312" w:cs="仿宋_GB2312"/>
          <w:b/>
          <w:bCs/>
          <w:sz w:val="32"/>
          <w:szCs w:val="32"/>
        </w:rPr>
      </w:pPr>
      <w:r>
        <w:drawing>
          <wp:anchor distT="0" distB="0" distL="114300" distR="114300" simplePos="0" relativeHeight="251660288" behindDoc="0" locked="0" layoutInCell="1" allowOverlap="1">
            <wp:simplePos x="0" y="0"/>
            <wp:positionH relativeFrom="column">
              <wp:posOffset>326390</wp:posOffset>
            </wp:positionH>
            <wp:positionV relativeFrom="paragraph">
              <wp:posOffset>146685</wp:posOffset>
            </wp:positionV>
            <wp:extent cx="4319905" cy="2464435"/>
            <wp:effectExtent l="0" t="0" r="8255" b="4445"/>
            <wp:wrapNone/>
            <wp:docPr id="5"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true"/>
                    </pic:cNvPicPr>
                  </pic:nvPicPr>
                  <pic:blipFill>
                    <a:blip r:embed="rId9"/>
                    <a:stretch>
                      <a:fillRect/>
                    </a:stretch>
                  </pic:blipFill>
                  <pic:spPr>
                    <a:xfrm>
                      <a:off x="0" y="0"/>
                      <a:ext cx="4319905" cy="2464435"/>
                    </a:xfrm>
                    <a:prstGeom prst="rect">
                      <a:avLst/>
                    </a:prstGeom>
                    <a:noFill/>
                    <a:ln>
                      <a:noFill/>
                    </a:ln>
                  </pic:spPr>
                </pic:pic>
              </a:graphicData>
            </a:graphic>
          </wp:anchor>
        </w:drawing>
      </w:r>
    </w:p>
    <w:p>
      <w:pPr>
        <w:pStyle w:val="28"/>
        <w:spacing w:line="600" w:lineRule="exact"/>
        <w:ind w:firstLine="643"/>
        <w:jc w:val="left"/>
        <w:outlineLvl w:val="1"/>
        <w:rPr>
          <w:rFonts w:eastAsia="仿宋_GB2312" w:cs="仿宋_GB2312"/>
          <w:b/>
          <w:bCs/>
          <w:sz w:val="32"/>
          <w:szCs w:val="32"/>
        </w:rPr>
      </w:pPr>
    </w:p>
    <w:p>
      <w:pPr>
        <w:pStyle w:val="28"/>
        <w:spacing w:line="600" w:lineRule="exact"/>
        <w:ind w:firstLine="643"/>
        <w:jc w:val="left"/>
        <w:outlineLvl w:val="1"/>
        <w:rPr>
          <w:rFonts w:eastAsia="仿宋_GB2312" w:cs="仿宋_GB2312"/>
          <w:b/>
          <w:bCs/>
          <w:sz w:val="32"/>
          <w:szCs w:val="32"/>
        </w:rPr>
      </w:pPr>
    </w:p>
    <w:p>
      <w:pPr>
        <w:pStyle w:val="28"/>
        <w:spacing w:line="600" w:lineRule="exact"/>
        <w:ind w:firstLine="643"/>
        <w:jc w:val="left"/>
        <w:outlineLvl w:val="1"/>
        <w:rPr>
          <w:rFonts w:eastAsia="仿宋_GB2312" w:cs="仿宋_GB2312"/>
          <w:b/>
          <w:bCs/>
          <w:sz w:val="32"/>
          <w:szCs w:val="32"/>
        </w:rPr>
      </w:pPr>
    </w:p>
    <w:p>
      <w:pPr>
        <w:pStyle w:val="28"/>
        <w:spacing w:line="600" w:lineRule="exact"/>
        <w:ind w:firstLine="643"/>
        <w:jc w:val="left"/>
        <w:outlineLvl w:val="1"/>
        <w:rPr>
          <w:rFonts w:eastAsia="仿宋_GB2312" w:cs="仿宋_GB2312"/>
          <w:b/>
          <w:bCs/>
          <w:sz w:val="32"/>
          <w:szCs w:val="32"/>
        </w:rPr>
      </w:pPr>
    </w:p>
    <w:p>
      <w:pPr>
        <w:pStyle w:val="28"/>
        <w:spacing w:line="600" w:lineRule="exact"/>
        <w:ind w:firstLine="0" w:firstLineChars="0"/>
        <w:jc w:val="left"/>
        <w:outlineLvl w:val="1"/>
        <w:rPr>
          <w:rFonts w:eastAsia="仿宋_GB2312" w:cs="仿宋_GB2312"/>
          <w:b/>
          <w:bCs/>
          <w:sz w:val="32"/>
          <w:szCs w:val="32"/>
        </w:rPr>
      </w:pPr>
    </w:p>
    <w:p>
      <w:pPr>
        <w:ind w:firstLine="800" w:firstLineChars="250"/>
        <w:rPr>
          <w:rFonts w:eastAsia="仿宋_GB2312" w:cs="仿宋_GB2312"/>
          <w:sz w:val="32"/>
          <w:szCs w:val="32"/>
        </w:rPr>
      </w:pPr>
    </w:p>
    <w:p>
      <w:pPr>
        <w:ind w:firstLine="800" w:firstLineChars="250"/>
        <w:rPr>
          <w:rFonts w:eastAsia="仿宋_GB2312" w:cs="仿宋_GB2312"/>
          <w:sz w:val="32"/>
          <w:szCs w:val="32"/>
        </w:rPr>
      </w:pPr>
      <w:r>
        <w:rPr>
          <w:rFonts w:hint="eastAsia" w:eastAsia="仿宋_GB2312" w:cs="仿宋_GB2312"/>
          <w:sz w:val="32"/>
          <w:szCs w:val="32"/>
        </w:rPr>
        <w:t>图3：支出决算结构图（单位：万元）</w:t>
      </w:r>
    </w:p>
    <w:p>
      <w:pPr>
        <w:pStyle w:val="4"/>
        <w:spacing w:before="0" w:after="0"/>
        <w:ind w:firstLine="640" w:firstLineChars="200"/>
        <w:rPr>
          <w:rFonts w:ascii="黑体" w:hAnsi="黑体" w:eastAsia="黑体" w:cs="黑体"/>
          <w:b w:val="0"/>
          <w:bCs w:val="0"/>
        </w:rPr>
      </w:pPr>
      <w:bookmarkStart w:id="60" w:name="_Toc32370"/>
      <w:bookmarkStart w:id="61" w:name="_Toc15396606"/>
      <w:bookmarkStart w:id="62" w:name="_Toc13824"/>
      <w:bookmarkStart w:id="63" w:name="_Toc15377208"/>
      <w:bookmarkStart w:id="64" w:name="_Toc15380"/>
      <w:r>
        <w:rPr>
          <w:rFonts w:hint="eastAsia" w:ascii="黑体" w:hAnsi="黑体" w:eastAsia="黑体" w:cs="黑体"/>
          <w:b w:val="0"/>
          <w:bCs w:val="0"/>
        </w:rPr>
        <w:t>四、财政拨款收入支出决算总体情况说明</w:t>
      </w:r>
      <w:bookmarkEnd w:id="60"/>
      <w:bookmarkEnd w:id="61"/>
      <w:bookmarkEnd w:id="62"/>
      <w:bookmarkEnd w:id="63"/>
      <w:bookmarkEnd w:id="64"/>
    </w:p>
    <w:p>
      <w:pPr>
        <w:spacing w:line="600" w:lineRule="exact"/>
        <w:ind w:firstLine="640"/>
        <w:rPr>
          <w:rFonts w:eastAsia="仿宋_GB2312"/>
          <w:sz w:val="32"/>
          <w:szCs w:val="32"/>
        </w:rPr>
      </w:pPr>
      <w:r>
        <w:rPr>
          <w:rFonts w:eastAsia="仿宋_GB2312"/>
          <w:sz w:val="32"/>
          <w:szCs w:val="32"/>
        </w:rPr>
        <w:t>2024年度财政拨款收入、支出总计均为17440.46万元。与2023年度相比，财政拨款收入总计、支出总计各减少436.18万元，下降2.4%。主要变动原因是2023年省级财政下达高校共建与发展资金（产教融合）项目资金，加大项目经费投入。</w:t>
      </w:r>
    </w:p>
    <w:p>
      <w:pPr>
        <w:pStyle w:val="2"/>
      </w:pPr>
    </w:p>
    <w:p>
      <w:pPr>
        <w:pStyle w:val="2"/>
        <w:rPr>
          <w:rFonts w:hint="eastAsia"/>
        </w:rPr>
      </w:pPr>
      <w:r>
        <w:rPr>
          <w:rFonts w:eastAsia="仿宋_GB2312"/>
        </w:rPr>
        <w:drawing>
          <wp:anchor distT="0" distB="0" distL="114300" distR="114300" simplePos="0" relativeHeight="251659264" behindDoc="0" locked="0" layoutInCell="1" allowOverlap="1">
            <wp:simplePos x="0" y="0"/>
            <wp:positionH relativeFrom="column">
              <wp:posOffset>499110</wp:posOffset>
            </wp:positionH>
            <wp:positionV relativeFrom="paragraph">
              <wp:posOffset>72390</wp:posOffset>
            </wp:positionV>
            <wp:extent cx="4319905" cy="2460625"/>
            <wp:effectExtent l="0" t="0" r="10795" b="3175"/>
            <wp:wrapNone/>
            <wp:docPr id="7"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true"/>
                    </pic:cNvPicPr>
                  </pic:nvPicPr>
                  <pic:blipFill>
                    <a:blip r:embed="rId10"/>
                    <a:stretch>
                      <a:fillRect/>
                    </a:stretch>
                  </pic:blipFill>
                  <pic:spPr>
                    <a:xfrm>
                      <a:off x="0" y="0"/>
                      <a:ext cx="4319905" cy="2460625"/>
                    </a:xfrm>
                    <a:prstGeom prst="rect">
                      <a:avLst/>
                    </a:prstGeom>
                    <a:noFill/>
                    <a:ln>
                      <a:noFill/>
                    </a:ln>
                  </pic:spPr>
                </pic:pic>
              </a:graphicData>
            </a:graphic>
          </wp:anchor>
        </w:drawing>
      </w:r>
    </w:p>
    <w:p>
      <w:pPr>
        <w:spacing w:line="600" w:lineRule="exact"/>
        <w:ind w:firstLine="640"/>
        <w:rPr>
          <w:rFonts w:eastAsia="仿宋_GB2312" w:cs="仿宋_GB2312"/>
          <w:sz w:val="32"/>
          <w:szCs w:val="32"/>
          <w:highlight w:val="yellow"/>
        </w:rPr>
      </w:pPr>
    </w:p>
    <w:p>
      <w:pPr>
        <w:spacing w:line="600" w:lineRule="exact"/>
        <w:ind w:firstLine="640"/>
        <w:rPr>
          <w:rFonts w:eastAsia="仿宋_GB2312" w:cs="仿宋_GB2312"/>
          <w:sz w:val="32"/>
          <w:szCs w:val="32"/>
          <w:highlight w:val="yellow"/>
        </w:rPr>
      </w:pPr>
    </w:p>
    <w:p>
      <w:pPr>
        <w:spacing w:line="600" w:lineRule="exact"/>
        <w:ind w:firstLine="640"/>
        <w:rPr>
          <w:rFonts w:eastAsia="仿宋_GB2312" w:cs="仿宋_GB2312"/>
          <w:sz w:val="32"/>
          <w:szCs w:val="32"/>
          <w:highlight w:val="yellow"/>
        </w:rPr>
      </w:pPr>
    </w:p>
    <w:p>
      <w:pPr>
        <w:spacing w:line="600" w:lineRule="exact"/>
        <w:ind w:firstLine="640"/>
        <w:rPr>
          <w:rFonts w:eastAsia="仿宋_GB2312" w:cs="仿宋_GB2312"/>
          <w:sz w:val="32"/>
          <w:szCs w:val="32"/>
          <w:highlight w:val="yellow"/>
        </w:rPr>
      </w:pPr>
    </w:p>
    <w:p>
      <w:pPr>
        <w:spacing w:line="600" w:lineRule="exact"/>
        <w:ind w:firstLine="640"/>
        <w:rPr>
          <w:rFonts w:eastAsia="仿宋_GB2312" w:cs="仿宋_GB2312"/>
          <w:sz w:val="32"/>
          <w:szCs w:val="32"/>
          <w:highlight w:val="yellow"/>
        </w:rPr>
      </w:pPr>
    </w:p>
    <w:p>
      <w:pPr>
        <w:spacing w:line="600" w:lineRule="exact"/>
        <w:ind w:firstLine="640"/>
        <w:rPr>
          <w:rFonts w:eastAsia="仿宋_GB2312" w:cs="仿宋_GB2312"/>
          <w:sz w:val="32"/>
          <w:szCs w:val="32"/>
          <w:highlight w:val="yellow"/>
        </w:rPr>
      </w:pPr>
    </w:p>
    <w:p>
      <w:pPr>
        <w:pStyle w:val="2"/>
        <w:rPr>
          <w:rFonts w:hint="eastAsia"/>
          <w:highlight w:val="yellow"/>
        </w:rPr>
      </w:pPr>
    </w:p>
    <w:p>
      <w:pPr>
        <w:spacing w:line="600" w:lineRule="exact"/>
        <w:ind w:firstLine="640"/>
        <w:rPr>
          <w:rFonts w:eastAsia="仿宋_GB2312" w:cs="仿宋_GB2312"/>
          <w:sz w:val="32"/>
          <w:szCs w:val="32"/>
          <w:highlight w:val="none"/>
        </w:rPr>
      </w:pPr>
      <w:r>
        <w:rPr>
          <w:rFonts w:hint="eastAsia" w:eastAsia="仿宋_GB2312" w:cs="仿宋_GB2312"/>
          <w:sz w:val="32"/>
          <w:szCs w:val="32"/>
          <w:highlight w:val="none"/>
        </w:rPr>
        <w:t>图4：财政拨款收、支决算总计变动情况（单位：万元）</w:t>
      </w:r>
    </w:p>
    <w:p>
      <w:pPr>
        <w:pStyle w:val="2"/>
      </w:pPr>
    </w:p>
    <w:p>
      <w:pPr>
        <w:pStyle w:val="4"/>
        <w:spacing w:before="0" w:after="0"/>
        <w:ind w:firstLine="640" w:firstLineChars="200"/>
        <w:rPr>
          <w:rFonts w:ascii="黑体" w:hAnsi="黑体" w:eastAsia="黑体" w:cs="黑体"/>
          <w:b w:val="0"/>
          <w:bCs w:val="0"/>
        </w:rPr>
      </w:pPr>
      <w:bookmarkStart w:id="65" w:name="_Toc15396607"/>
      <w:bookmarkStart w:id="66" w:name="_Toc15377209"/>
      <w:bookmarkStart w:id="67" w:name="_Toc11010"/>
      <w:bookmarkStart w:id="68" w:name="_Toc1269"/>
      <w:bookmarkStart w:id="69" w:name="_Toc16109"/>
      <w:r>
        <w:rPr>
          <w:rFonts w:hint="eastAsia" w:ascii="黑体" w:hAnsi="黑体" w:eastAsia="黑体" w:cs="黑体"/>
          <w:b w:val="0"/>
          <w:bCs w:val="0"/>
        </w:rPr>
        <w:t>五、一般公共预算财政拨款支出决算情况说明</w:t>
      </w:r>
      <w:bookmarkEnd w:id="65"/>
      <w:bookmarkEnd w:id="66"/>
      <w:bookmarkEnd w:id="67"/>
      <w:bookmarkEnd w:id="68"/>
      <w:bookmarkEnd w:id="69"/>
    </w:p>
    <w:p>
      <w:pPr>
        <w:spacing w:line="600" w:lineRule="exact"/>
        <w:ind w:firstLine="642" w:firstLineChars="200"/>
        <w:outlineLvl w:val="2"/>
        <w:rPr>
          <w:rFonts w:eastAsia="楷体_GB2312" w:cs="楷体_GB2312"/>
          <w:b/>
          <w:sz w:val="32"/>
          <w:szCs w:val="32"/>
        </w:rPr>
      </w:pPr>
      <w:bookmarkStart w:id="70" w:name="_Toc15377210"/>
      <w:bookmarkStart w:id="71" w:name="_Toc22664"/>
      <w:r>
        <w:rPr>
          <w:rFonts w:hint="eastAsia" w:eastAsia="楷体_GB2312" w:cs="楷体_GB2312"/>
          <w:b/>
          <w:sz w:val="32"/>
          <w:szCs w:val="32"/>
        </w:rPr>
        <w:t>（一）一般公共预算财政拨款支出决算总体情况</w:t>
      </w:r>
      <w:bookmarkEnd w:id="70"/>
      <w:bookmarkEnd w:id="71"/>
    </w:p>
    <w:p>
      <w:pPr>
        <w:spacing w:line="600" w:lineRule="exact"/>
        <w:ind w:firstLine="640"/>
        <w:rPr>
          <w:rFonts w:hint="eastAsia" w:eastAsia="仿宋_GB2312"/>
          <w:sz w:val="32"/>
          <w:szCs w:val="32"/>
        </w:rPr>
      </w:pPr>
      <w:r>
        <w:rPr>
          <w:rFonts w:eastAsia="仿宋_GB2312"/>
          <w:sz w:val="32"/>
          <w:szCs w:val="32"/>
        </w:rPr>
        <w:t>2024年度一般公共预算财政拨款支出17440.46万元，占本年支出合计的81%。与2023年度相比，一般公共预算财政拨款支出减少436.18万元，下降2.4%。主要变动原因是</w:t>
      </w:r>
      <w:bookmarkStart w:id="170" w:name="_GoBack"/>
      <w:bookmarkEnd w:id="170"/>
      <w:r>
        <w:rPr>
          <w:rFonts w:eastAsia="仿宋_GB2312"/>
          <w:sz w:val="32"/>
          <w:szCs w:val="32"/>
        </w:rPr>
        <w:t>2023年省级财政下达高校共建与发展资金（产教融合）项目资金，加大项目经费投入。</w:t>
      </w:r>
    </w:p>
    <w:p>
      <w:pPr>
        <w:pStyle w:val="2"/>
        <w:rPr>
          <w:rFonts w:hint="eastAsia" w:ascii="仿宋_GB2312" w:hAnsi="仿宋_GB2312" w:eastAsia="仿宋_GB2312" w:cs="仿宋_GB2312"/>
          <w:sz w:val="32"/>
          <w:szCs w:val="32"/>
        </w:rPr>
      </w:pPr>
    </w:p>
    <w:p>
      <w:pPr>
        <w:pStyle w:val="2"/>
        <w:rPr>
          <w:rFonts w:ascii="仿宋_GB2312" w:hAnsi="仿宋_GB2312" w:eastAsia="仿宋_GB2312" w:cs="仿宋_GB2312"/>
          <w:sz w:val="32"/>
          <w:szCs w:val="32"/>
        </w:rPr>
      </w:pPr>
      <w:r>
        <w:drawing>
          <wp:anchor distT="0" distB="0" distL="114300" distR="114300" simplePos="0" relativeHeight="251663360" behindDoc="0" locked="0" layoutInCell="1" allowOverlap="1">
            <wp:simplePos x="0" y="0"/>
            <wp:positionH relativeFrom="column">
              <wp:posOffset>471805</wp:posOffset>
            </wp:positionH>
            <wp:positionV relativeFrom="paragraph">
              <wp:posOffset>-201930</wp:posOffset>
            </wp:positionV>
            <wp:extent cx="4324350" cy="2463800"/>
            <wp:effectExtent l="0" t="0" r="6350" b="0"/>
            <wp:wrapNone/>
            <wp:docPr id="8"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true"/>
                    </pic:cNvPicPr>
                  </pic:nvPicPr>
                  <pic:blipFill>
                    <a:blip r:embed="rId11"/>
                    <a:stretch>
                      <a:fillRect/>
                    </a:stretch>
                  </pic:blipFill>
                  <pic:spPr>
                    <a:xfrm>
                      <a:off x="0" y="0"/>
                      <a:ext cx="4324350" cy="2463800"/>
                    </a:xfrm>
                    <a:prstGeom prst="rect">
                      <a:avLst/>
                    </a:prstGeom>
                    <a:noFill/>
                    <a:ln>
                      <a:noFill/>
                    </a:ln>
                  </pic:spPr>
                </pic:pic>
              </a:graphicData>
            </a:graphic>
          </wp:anchor>
        </w:drawing>
      </w:r>
    </w:p>
    <w:p>
      <w:pPr>
        <w:pStyle w:val="14"/>
        <w:rPr>
          <w:rFonts w:ascii="仿宋_GB2312" w:hAnsi="仿宋_GB2312" w:eastAsia="仿宋_GB2312" w:cs="仿宋_GB2312"/>
          <w:sz w:val="32"/>
          <w:szCs w:val="32"/>
        </w:rPr>
      </w:pPr>
    </w:p>
    <w:p>
      <w:pPr>
        <w:pStyle w:val="8"/>
        <w:ind w:left="420" w:firstLine="640"/>
        <w:rPr>
          <w:rFonts w:hAnsi="仿宋_GB2312" w:eastAsia="仿宋_GB2312" w:cs="仿宋_GB2312"/>
          <w:sz w:val="32"/>
        </w:rPr>
      </w:pPr>
    </w:p>
    <w:p>
      <w:pPr>
        <w:pStyle w:val="8"/>
        <w:ind w:left="420" w:firstLine="640"/>
        <w:rPr>
          <w:rFonts w:hAnsi="仿宋_GB2312" w:eastAsia="仿宋_GB2312" w:cs="仿宋_GB2312"/>
          <w:sz w:val="32"/>
        </w:rPr>
      </w:pPr>
    </w:p>
    <w:p>
      <w:pPr>
        <w:pStyle w:val="14"/>
        <w:rPr>
          <w:rFonts w:ascii="仿宋_GB2312" w:hAnsi="仿宋_GB2312" w:eastAsia="仿宋_GB2312" w:cs="仿宋_GB2312"/>
          <w:sz w:val="32"/>
          <w:szCs w:val="32"/>
        </w:rPr>
      </w:pPr>
    </w:p>
    <w:p>
      <w:pPr>
        <w:spacing w:line="600" w:lineRule="exact"/>
        <w:rPr>
          <w:rFonts w:ascii="仿宋_GB2312" w:hAnsi="仿宋_GB2312" w:eastAsia="仿宋_GB2312" w:cs="仿宋_GB2312"/>
          <w:sz w:val="32"/>
          <w:szCs w:val="32"/>
        </w:rPr>
      </w:pPr>
    </w:p>
    <w:p>
      <w:pPr>
        <w:pStyle w:val="2"/>
        <w:rPr>
          <w:highlight w:val="yellow"/>
        </w:rPr>
      </w:pPr>
    </w:p>
    <w:p>
      <w:pPr>
        <w:pStyle w:val="2"/>
        <w:rPr>
          <w:rFonts w:hint="eastAsia"/>
          <w:highlight w:val="yellow"/>
        </w:rPr>
      </w:pPr>
    </w:p>
    <w:p>
      <w:pPr>
        <w:spacing w:line="600" w:lineRule="exact"/>
        <w:jc w:val="center"/>
        <w:rPr>
          <w:rFonts w:eastAsia="仿宋_GB2312" w:cs="仿宋_GB2312"/>
          <w:sz w:val="32"/>
          <w:szCs w:val="32"/>
          <w:highlight w:val="none"/>
        </w:rPr>
      </w:pPr>
      <w:r>
        <w:rPr>
          <w:rFonts w:hint="eastAsia" w:eastAsia="仿宋_GB2312" w:cs="仿宋_GB2312"/>
          <w:sz w:val="32"/>
          <w:szCs w:val="32"/>
          <w:highlight w:val="none"/>
        </w:rPr>
        <w:t>图5：一般公共预算财政拨款支出决算变动情况</w:t>
      </w:r>
    </w:p>
    <w:p>
      <w:pPr>
        <w:spacing w:line="600" w:lineRule="exact"/>
        <w:ind w:firstLine="640"/>
        <w:jc w:val="center"/>
        <w:rPr>
          <w:rFonts w:hint="eastAsia" w:eastAsia="仿宋_GB2312" w:cs="仿宋_GB2312"/>
          <w:sz w:val="32"/>
          <w:szCs w:val="32"/>
        </w:rPr>
      </w:pPr>
      <w:r>
        <w:rPr>
          <w:rFonts w:hint="eastAsia" w:eastAsia="仿宋_GB2312" w:cs="仿宋_GB2312"/>
          <w:sz w:val="32"/>
          <w:szCs w:val="32"/>
        </w:rPr>
        <w:t>（单位：万元）</w:t>
      </w:r>
    </w:p>
    <w:p>
      <w:pPr>
        <w:spacing w:line="600" w:lineRule="exact"/>
        <w:ind w:firstLine="642" w:firstLineChars="200"/>
        <w:outlineLvl w:val="2"/>
        <w:rPr>
          <w:rFonts w:eastAsia="楷体_GB2312" w:cs="楷体_GB2312"/>
          <w:b/>
          <w:sz w:val="32"/>
          <w:szCs w:val="32"/>
        </w:rPr>
      </w:pPr>
      <w:bookmarkStart w:id="72" w:name="_Toc27190"/>
      <w:bookmarkStart w:id="73" w:name="_Toc15377211"/>
      <w:r>
        <w:rPr>
          <w:rFonts w:hint="eastAsia" w:eastAsia="楷体_GB2312" w:cs="楷体_GB2312"/>
          <w:b/>
          <w:sz w:val="32"/>
          <w:szCs w:val="32"/>
        </w:rPr>
        <w:t>（二）一般公共预算财政拨款支出决算结构情况</w:t>
      </w:r>
      <w:bookmarkEnd w:id="72"/>
      <w:bookmarkEnd w:id="73"/>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2024年度一般公共预算财政拨款支出</w:t>
      </w:r>
      <w:r>
        <w:rPr>
          <w:rFonts w:hint="eastAsia" w:ascii="仿宋_GB2312" w:hAnsi="仿宋_GB2312" w:eastAsia="仿宋_GB2312" w:cs="仿宋_GB2312"/>
          <w:sz w:val="32"/>
          <w:szCs w:val="32"/>
        </w:rPr>
        <w:t>17440.46万元</w:t>
      </w:r>
      <w:r>
        <w:rPr>
          <w:rFonts w:hint="eastAsia" w:eastAsia="仿宋_GB2312" w:cs="仿宋_GB2312"/>
          <w:sz w:val="32"/>
          <w:szCs w:val="32"/>
        </w:rPr>
        <w:t>，主要用于以下方面：教育支出</w:t>
      </w:r>
      <w:r>
        <w:rPr>
          <w:rFonts w:hint="eastAsia" w:ascii="仿宋_GB2312" w:hAnsi="仿宋_GB2312" w:eastAsia="仿宋_GB2312" w:cs="仿宋_GB2312"/>
          <w:sz w:val="32"/>
          <w:szCs w:val="32"/>
        </w:rPr>
        <w:t>17440.46</w:t>
      </w:r>
      <w:r>
        <w:rPr>
          <w:rFonts w:hint="eastAsia" w:eastAsia="仿宋_GB2312" w:cs="仿宋_GB2312"/>
          <w:sz w:val="32"/>
          <w:szCs w:val="32"/>
        </w:rPr>
        <w:t>万元，占100%。</w:t>
      </w:r>
    </w:p>
    <w:p>
      <w:pPr>
        <w:pStyle w:val="14"/>
        <w:rPr>
          <w:rFonts w:eastAsia="仿宋_GB2312" w:cs="仿宋_GB2312"/>
          <w:sz w:val="32"/>
          <w:szCs w:val="32"/>
        </w:rPr>
      </w:pPr>
    </w:p>
    <w:p>
      <w:pPr>
        <w:pStyle w:val="8"/>
        <w:ind w:left="420"/>
        <w:rPr>
          <w:rFonts w:eastAsia="仿宋_GB2312" w:cs="仿宋_GB2312"/>
          <w:sz w:val="32"/>
        </w:rPr>
      </w:pPr>
      <w:r>
        <w:drawing>
          <wp:anchor distT="0" distB="0" distL="114300" distR="114300" simplePos="0" relativeHeight="251664384" behindDoc="0" locked="0" layoutInCell="1" allowOverlap="1">
            <wp:simplePos x="0" y="0"/>
            <wp:positionH relativeFrom="column">
              <wp:posOffset>515620</wp:posOffset>
            </wp:positionH>
            <wp:positionV relativeFrom="paragraph">
              <wp:posOffset>392430</wp:posOffset>
            </wp:positionV>
            <wp:extent cx="4319905" cy="2460625"/>
            <wp:effectExtent l="0" t="0" r="10795" b="3175"/>
            <wp:wrapNone/>
            <wp:docPr id="9"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true"/>
                    </pic:cNvPicPr>
                  </pic:nvPicPr>
                  <pic:blipFill>
                    <a:blip r:embed="rId12"/>
                    <a:stretch>
                      <a:fillRect/>
                    </a:stretch>
                  </pic:blipFill>
                  <pic:spPr>
                    <a:xfrm>
                      <a:off x="0" y="0"/>
                      <a:ext cx="4319905" cy="2460625"/>
                    </a:xfrm>
                    <a:prstGeom prst="rect">
                      <a:avLst/>
                    </a:prstGeom>
                    <a:noFill/>
                    <a:ln>
                      <a:noFill/>
                    </a:ln>
                  </pic:spPr>
                </pic:pic>
              </a:graphicData>
            </a:graphic>
          </wp:anchor>
        </w:drawing>
      </w:r>
    </w:p>
    <w:p>
      <w:pPr>
        <w:pStyle w:val="8"/>
        <w:ind w:left="420" w:firstLine="640"/>
        <w:rPr>
          <w:rFonts w:eastAsia="仿宋_GB2312" w:cs="仿宋_GB2312"/>
          <w:sz w:val="32"/>
        </w:rPr>
      </w:pPr>
    </w:p>
    <w:p>
      <w:pPr>
        <w:pStyle w:val="14"/>
        <w:rPr>
          <w:rFonts w:eastAsia="仿宋_GB2312" w:cs="仿宋_GB2312"/>
          <w:sz w:val="32"/>
          <w:szCs w:val="32"/>
        </w:rPr>
      </w:pPr>
    </w:p>
    <w:p>
      <w:pPr>
        <w:pStyle w:val="8"/>
        <w:ind w:left="420" w:firstLine="640"/>
        <w:rPr>
          <w:rFonts w:eastAsia="仿宋_GB2312" w:cs="仿宋_GB2312"/>
          <w:sz w:val="32"/>
        </w:rPr>
      </w:pPr>
    </w:p>
    <w:p>
      <w:pPr>
        <w:pStyle w:val="8"/>
        <w:ind w:left="420" w:firstLine="640"/>
        <w:rPr>
          <w:rFonts w:eastAsia="仿宋_GB2312" w:cs="仿宋_GB2312"/>
          <w:sz w:val="32"/>
        </w:rPr>
      </w:pPr>
    </w:p>
    <w:p>
      <w:pPr>
        <w:pStyle w:val="8"/>
        <w:ind w:left="420" w:firstLine="640"/>
        <w:rPr>
          <w:rFonts w:eastAsia="仿宋_GB2312" w:cs="仿宋_GB2312"/>
          <w:sz w:val="32"/>
        </w:rPr>
      </w:pPr>
    </w:p>
    <w:p>
      <w:pPr>
        <w:pStyle w:val="8"/>
        <w:ind w:left="0" w:leftChars="0" w:firstLine="0" w:firstLineChars="0"/>
        <w:rPr>
          <w:rFonts w:eastAsia="仿宋_GB2312" w:cs="仿宋_GB2312"/>
          <w:sz w:val="32"/>
        </w:rPr>
      </w:pPr>
    </w:p>
    <w:p>
      <w:pPr>
        <w:spacing w:line="600" w:lineRule="exact"/>
        <w:rPr>
          <w:rFonts w:eastAsia="仿宋_GB2312" w:cs="仿宋_GB2312"/>
          <w:sz w:val="32"/>
          <w:szCs w:val="32"/>
        </w:rPr>
      </w:pPr>
      <w:r>
        <w:rPr>
          <w:rFonts w:hint="eastAsia" w:eastAsia="仿宋_GB2312" w:cs="仿宋_GB2312"/>
          <w:sz w:val="32"/>
          <w:szCs w:val="32"/>
        </w:rPr>
        <w:t>图6：一般公共预算财政拨款支出决算结构（单位：万元）</w:t>
      </w:r>
    </w:p>
    <w:p>
      <w:pPr>
        <w:spacing w:line="600" w:lineRule="exact"/>
        <w:ind w:firstLine="642" w:firstLineChars="200"/>
        <w:outlineLvl w:val="2"/>
        <w:rPr>
          <w:rFonts w:eastAsia="楷体_GB2312" w:cs="楷体_GB2312"/>
          <w:b/>
          <w:sz w:val="32"/>
          <w:szCs w:val="32"/>
        </w:rPr>
      </w:pPr>
      <w:bookmarkStart w:id="74" w:name="_Toc15377212"/>
    </w:p>
    <w:p>
      <w:pPr>
        <w:spacing w:line="600" w:lineRule="exact"/>
        <w:ind w:firstLine="642" w:firstLineChars="200"/>
        <w:outlineLvl w:val="2"/>
        <w:rPr>
          <w:rFonts w:eastAsia="楷体_GB2312" w:cs="楷体_GB2312"/>
          <w:b/>
          <w:sz w:val="32"/>
          <w:szCs w:val="32"/>
        </w:rPr>
      </w:pPr>
      <w:bookmarkStart w:id="75" w:name="_Toc2784"/>
      <w:r>
        <w:rPr>
          <w:rFonts w:hint="eastAsia" w:eastAsia="楷体_GB2312" w:cs="楷体_GB2312"/>
          <w:b/>
          <w:sz w:val="32"/>
          <w:szCs w:val="32"/>
        </w:rPr>
        <w:t>（三）一般公共预算财政拨款支出决算具体情况</w:t>
      </w:r>
      <w:bookmarkEnd w:id="74"/>
      <w:bookmarkEnd w:id="75"/>
    </w:p>
    <w:p>
      <w:pPr>
        <w:spacing w:line="600" w:lineRule="exact"/>
        <w:ind w:firstLine="640"/>
        <w:rPr>
          <w:rFonts w:eastAsia="仿宋_GB2312"/>
          <w:sz w:val="32"/>
          <w:szCs w:val="32"/>
        </w:rPr>
      </w:pPr>
      <w:bookmarkStart w:id="76" w:name="_Toc15377213"/>
      <w:bookmarkStart w:id="77" w:name="_Toc15377444"/>
      <w:bookmarkStart w:id="78" w:name="_Toc15378460"/>
      <w:r>
        <w:rPr>
          <w:rFonts w:eastAsia="仿宋_GB2312"/>
          <w:sz w:val="32"/>
          <w:szCs w:val="32"/>
        </w:rPr>
        <w:t>2024年度一般公共预算财政拨款支出决算数为17440.46，完成预算96.7%。其中：</w:t>
      </w:r>
      <w:bookmarkEnd w:id="76"/>
      <w:bookmarkEnd w:id="77"/>
      <w:bookmarkEnd w:id="78"/>
    </w:p>
    <w:p>
      <w:pPr>
        <w:spacing w:line="600" w:lineRule="exact"/>
        <w:ind w:firstLine="640"/>
        <w:rPr>
          <w:rFonts w:eastAsia="仿宋_GB2312"/>
          <w:b/>
          <w:bCs/>
          <w:sz w:val="32"/>
          <w:szCs w:val="32"/>
        </w:rPr>
      </w:pPr>
      <w:r>
        <w:rPr>
          <w:rFonts w:hint="eastAsia" w:eastAsia="仿宋_GB2312"/>
          <w:sz w:val="32"/>
          <w:szCs w:val="32"/>
        </w:rPr>
        <w:t>1.</w:t>
      </w:r>
      <w:r>
        <w:rPr>
          <w:rFonts w:eastAsia="仿宋_GB2312"/>
          <w:sz w:val="32"/>
          <w:szCs w:val="32"/>
        </w:rPr>
        <w:t>教育（类）职业教育（款）高等职业教育（项）: 支出决算为17440.46万元，完成预算96.7%，决算数小于预算数的主要原因是2024年现代职业教育质量提升计划项目资金380万元，预算下达时间较晚，当年未完成该预算项目执行。</w:t>
      </w:r>
    </w:p>
    <w:p>
      <w:pPr>
        <w:spacing w:line="600" w:lineRule="exact"/>
        <w:rPr>
          <w:rFonts w:eastAsia="仿宋_GB2312" w:cs="仿宋_GB2312"/>
          <w:sz w:val="32"/>
          <w:szCs w:val="32"/>
        </w:rPr>
      </w:pPr>
    </w:p>
    <w:p>
      <w:pPr>
        <w:pStyle w:val="4"/>
        <w:spacing w:before="0" w:after="0"/>
        <w:ind w:firstLine="640" w:firstLineChars="200"/>
        <w:rPr>
          <w:rFonts w:ascii="黑体" w:hAnsi="黑体" w:eastAsia="黑体" w:cs="黑体"/>
          <w:b w:val="0"/>
          <w:bCs w:val="0"/>
        </w:rPr>
      </w:pPr>
      <w:bookmarkStart w:id="79" w:name="_Toc26043"/>
      <w:bookmarkStart w:id="80" w:name="_Toc15802"/>
      <w:bookmarkStart w:id="81" w:name="_Toc15377214"/>
      <w:bookmarkStart w:id="82" w:name="_Toc31346"/>
      <w:bookmarkStart w:id="83" w:name="_Toc15396608"/>
      <w:r>
        <w:rPr>
          <w:rFonts w:hint="eastAsia" w:ascii="黑体" w:hAnsi="黑体" w:eastAsia="黑体" w:cs="黑体"/>
          <w:b w:val="0"/>
          <w:bCs w:val="0"/>
        </w:rPr>
        <w:t>六、一般公共预算财政拨款基本支出决算情况说明</w:t>
      </w:r>
      <w:bookmarkEnd w:id="79"/>
      <w:bookmarkEnd w:id="80"/>
      <w:bookmarkEnd w:id="81"/>
      <w:bookmarkEnd w:id="82"/>
      <w:bookmarkEnd w:id="83"/>
      <w:r>
        <w:rPr>
          <w:rFonts w:hint="eastAsia" w:ascii="黑体" w:hAnsi="黑体" w:eastAsia="黑体" w:cs="黑体"/>
          <w:b w:val="0"/>
          <w:bCs w:val="0"/>
        </w:rPr>
        <w:tab/>
      </w:r>
    </w:p>
    <w:p>
      <w:pPr>
        <w:spacing w:line="600" w:lineRule="exact"/>
        <w:ind w:firstLine="640"/>
        <w:rPr>
          <w:rFonts w:eastAsia="仿宋_GB2312"/>
          <w:sz w:val="32"/>
          <w:szCs w:val="32"/>
        </w:rPr>
      </w:pPr>
      <w:r>
        <w:rPr>
          <w:rFonts w:eastAsia="仿宋_GB2312"/>
          <w:sz w:val="32"/>
          <w:szCs w:val="32"/>
        </w:rPr>
        <w:t>2024年度一般公共预算财政拨款基本支出12136.55万元，其中：</w:t>
      </w:r>
    </w:p>
    <w:p>
      <w:pPr>
        <w:spacing w:line="600" w:lineRule="exact"/>
        <w:ind w:firstLine="640"/>
        <w:rPr>
          <w:rFonts w:eastAsia="仿宋_GB2312"/>
          <w:sz w:val="32"/>
          <w:szCs w:val="32"/>
        </w:rPr>
      </w:pPr>
      <w:r>
        <w:rPr>
          <w:rFonts w:eastAsia="仿宋_GB2312"/>
          <w:sz w:val="32"/>
          <w:szCs w:val="32"/>
        </w:rPr>
        <w:t>人员经费10703.59万元，主要包括：基本工资、绩效工资、机关事业单位基本养老保险缴费、职业年金缴费、其他社会保障缴费、其他工资福利支出、离休费、退休费、抚恤金、生活补助、奖励金、住房公积金、其他对个人和家庭的补助支出等。</w:t>
      </w:r>
      <w:r>
        <w:rPr>
          <w:rFonts w:eastAsia="仿宋_GB2312"/>
          <w:sz w:val="32"/>
          <w:szCs w:val="32"/>
        </w:rPr>
        <w:br w:type="textWrapping"/>
      </w:r>
      <w:r>
        <w:rPr>
          <w:rFonts w:eastAsia="仿宋_GB2312"/>
          <w:sz w:val="32"/>
          <w:szCs w:val="32"/>
        </w:rPr>
        <w:t>　　公用经费1432.96万元，主要包括：办公费、印刷费、水费、电费、邮电费、物业管理费、差旅费、维修（护）费、租赁费、培训费、劳务费、委托业务费、工会经费、福利费、其他交通费、其他商品和服务支出等。</w:t>
      </w:r>
    </w:p>
    <w:p>
      <w:pPr>
        <w:pStyle w:val="2"/>
      </w:pPr>
    </w:p>
    <w:p>
      <w:pPr>
        <w:pStyle w:val="4"/>
        <w:spacing w:before="0" w:after="0"/>
        <w:ind w:firstLine="640" w:firstLineChars="200"/>
        <w:rPr>
          <w:rFonts w:ascii="黑体" w:hAnsi="黑体" w:eastAsia="黑体" w:cs="黑体"/>
          <w:b w:val="0"/>
          <w:bCs w:val="0"/>
        </w:rPr>
      </w:pPr>
      <w:bookmarkStart w:id="84" w:name="_Toc23273"/>
      <w:bookmarkStart w:id="85" w:name="_Toc16838"/>
      <w:bookmarkStart w:id="86" w:name="_Toc32504"/>
      <w:bookmarkStart w:id="87" w:name="_Toc15396609"/>
      <w:bookmarkStart w:id="88" w:name="_Toc15377215"/>
      <w:r>
        <w:rPr>
          <w:rFonts w:hint="eastAsia" w:ascii="黑体" w:hAnsi="黑体" w:eastAsia="黑体" w:cs="黑体"/>
          <w:b w:val="0"/>
          <w:bCs w:val="0"/>
        </w:rPr>
        <w:t>七、财政拨款“三公”经费支出决算情况说明</w:t>
      </w:r>
      <w:bookmarkEnd w:id="84"/>
      <w:bookmarkEnd w:id="85"/>
      <w:bookmarkEnd w:id="86"/>
      <w:bookmarkEnd w:id="87"/>
      <w:bookmarkEnd w:id="88"/>
    </w:p>
    <w:p>
      <w:pPr>
        <w:spacing w:line="600" w:lineRule="exact"/>
        <w:ind w:firstLine="642" w:firstLineChars="200"/>
        <w:outlineLvl w:val="2"/>
        <w:rPr>
          <w:rFonts w:eastAsia="楷体_GB2312" w:cs="楷体_GB2312"/>
          <w:b/>
          <w:sz w:val="32"/>
          <w:szCs w:val="32"/>
          <w:highlight w:val="none"/>
        </w:rPr>
      </w:pPr>
      <w:bookmarkStart w:id="89" w:name="_Toc24546"/>
      <w:bookmarkStart w:id="90" w:name="_Toc15377216"/>
      <w:r>
        <w:rPr>
          <w:rFonts w:hint="eastAsia" w:eastAsia="楷体_GB2312" w:cs="楷体_GB2312"/>
          <w:b/>
          <w:sz w:val="32"/>
          <w:szCs w:val="32"/>
          <w:highlight w:val="none"/>
        </w:rPr>
        <w:t>（一）“三公”经费财政拨款支出决算总体情况说明</w:t>
      </w:r>
      <w:bookmarkEnd w:id="89"/>
      <w:bookmarkEnd w:id="90"/>
    </w:p>
    <w:p>
      <w:pPr>
        <w:ind w:firstLine="640" w:firstLineChars="200"/>
        <w:rPr>
          <w:rFonts w:eastAsia="仿宋"/>
          <w:b/>
          <w:sz w:val="32"/>
          <w:szCs w:val="32"/>
          <w:highlight w:val="none"/>
        </w:rPr>
      </w:pPr>
      <w:r>
        <w:rPr>
          <w:rFonts w:eastAsia="仿宋_GB2312"/>
          <w:sz w:val="32"/>
          <w:szCs w:val="32"/>
          <w:highlight w:val="none"/>
        </w:rPr>
        <w:t>2024年度“三公”经费财政拨款支出决算为0万元，</w:t>
      </w:r>
      <w:r>
        <w:rPr>
          <w:rFonts w:hint="eastAsia" w:ascii="仿宋_GB2312" w:hAnsi="仿宋" w:eastAsia="仿宋_GB2312"/>
          <w:sz w:val="32"/>
          <w:szCs w:val="32"/>
          <w:highlight w:val="none"/>
        </w:rPr>
        <w:t>较上年度无变化</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决算数与预算数持平。</w:t>
      </w:r>
    </w:p>
    <w:p>
      <w:pPr>
        <w:spacing w:line="600" w:lineRule="exact"/>
        <w:ind w:firstLine="642" w:firstLineChars="200"/>
        <w:outlineLvl w:val="2"/>
        <w:rPr>
          <w:rFonts w:eastAsia="楷体_GB2312" w:cs="楷体_GB2312"/>
          <w:b/>
          <w:sz w:val="32"/>
          <w:szCs w:val="32"/>
        </w:rPr>
      </w:pPr>
      <w:bookmarkStart w:id="91" w:name="_Toc31011"/>
      <w:bookmarkStart w:id="92" w:name="_Toc15377217"/>
      <w:r>
        <w:rPr>
          <w:rFonts w:hint="eastAsia" w:eastAsia="楷体_GB2312" w:cs="楷体_GB2312"/>
          <w:b/>
          <w:sz w:val="32"/>
          <w:szCs w:val="32"/>
        </w:rPr>
        <w:t>（二）“三公”经费财政拨款支出决算具体情况说明</w:t>
      </w:r>
      <w:bookmarkEnd w:id="91"/>
      <w:bookmarkEnd w:id="92"/>
    </w:p>
    <w:p>
      <w:pPr>
        <w:spacing w:line="600" w:lineRule="exact"/>
        <w:ind w:firstLine="640"/>
        <w:rPr>
          <w:rFonts w:eastAsia="仿宋_GB2312"/>
          <w:sz w:val="32"/>
          <w:szCs w:val="32"/>
        </w:rPr>
      </w:pPr>
      <w:r>
        <w:rPr>
          <w:rFonts w:eastAsia="仿宋_GB2312"/>
          <w:sz w:val="32"/>
          <w:szCs w:val="32"/>
        </w:rPr>
        <w:t>2024年度“三公”经费财政拨款支出决算中，因公出国（境）费支出决算0万元，占0%；公务用车购置及运行维护费支出决算0万元，占0%；公务接待费支出决算0万元，占0%。具体情况如下：</w:t>
      </w:r>
    </w:p>
    <w:p>
      <w:pPr>
        <w:spacing w:line="600" w:lineRule="exact"/>
        <w:ind w:firstLine="640"/>
        <w:rPr>
          <w:rFonts w:eastAsia="仿宋_GB2312" w:cs="仿宋_GB2312"/>
          <w:sz w:val="32"/>
          <w:szCs w:val="32"/>
        </w:rPr>
      </w:pPr>
      <w:r>
        <w:rPr>
          <w:rFonts w:hint="eastAsia" w:eastAsia="仿宋_GB2312" w:cs="仿宋_GB2312"/>
          <w:b/>
          <w:bCs/>
          <w:sz w:val="32"/>
          <w:szCs w:val="32"/>
        </w:rPr>
        <w:t>1.因公出国（境）经费支出0万元。</w:t>
      </w:r>
      <w:r>
        <w:rPr>
          <w:rFonts w:hint="eastAsia" w:eastAsia="仿宋_GB2312" w:cs="仿宋_GB2312"/>
          <w:sz w:val="32"/>
          <w:szCs w:val="32"/>
        </w:rPr>
        <w:t>全年安排因公出国（境）团组0次，出国（境）0人。因公出国（境）支出决算与2023年度决算数持平。</w:t>
      </w:r>
    </w:p>
    <w:p>
      <w:pPr>
        <w:spacing w:line="600" w:lineRule="exact"/>
        <w:ind w:firstLine="640"/>
        <w:rPr>
          <w:rFonts w:eastAsia="仿宋_GB2312" w:cs="仿宋_GB2312"/>
          <w:sz w:val="32"/>
          <w:szCs w:val="32"/>
        </w:rPr>
      </w:pPr>
      <w:r>
        <w:rPr>
          <w:rFonts w:hint="eastAsia" w:eastAsia="仿宋_GB2312" w:cs="仿宋_GB2312"/>
          <w:b/>
          <w:bCs/>
          <w:sz w:val="32"/>
          <w:szCs w:val="32"/>
        </w:rPr>
        <w:t>2.公务用车购置及运行维护费支出0万元。</w:t>
      </w:r>
      <w:r>
        <w:rPr>
          <w:rFonts w:hint="eastAsia" w:eastAsia="仿宋_GB2312" w:cs="仿宋_GB2312"/>
          <w:sz w:val="32"/>
          <w:szCs w:val="32"/>
        </w:rPr>
        <w:t>公务用车购置及运行维护费支出决算与2023年度决算数持平。</w:t>
      </w:r>
    </w:p>
    <w:p>
      <w:pPr>
        <w:spacing w:line="600" w:lineRule="exact"/>
        <w:ind w:firstLine="640"/>
        <w:rPr>
          <w:rFonts w:eastAsia="仿宋_GB2312" w:cs="仿宋_GB2312"/>
          <w:b/>
          <w:bCs/>
          <w:sz w:val="32"/>
          <w:szCs w:val="32"/>
        </w:rPr>
      </w:pPr>
      <w:r>
        <w:rPr>
          <w:rFonts w:hint="eastAsia" w:eastAsia="仿宋_GB2312" w:cs="仿宋_GB2312"/>
          <w:sz w:val="32"/>
          <w:szCs w:val="32"/>
        </w:rPr>
        <w:t>其中：</w:t>
      </w:r>
      <w:r>
        <w:rPr>
          <w:rFonts w:hint="eastAsia" w:eastAsia="仿宋_GB2312" w:cs="仿宋_GB2312"/>
          <w:b/>
          <w:bCs/>
          <w:sz w:val="32"/>
          <w:szCs w:val="32"/>
        </w:rPr>
        <w:t>公务用车购置支出0万元。</w:t>
      </w:r>
      <w:r>
        <w:rPr>
          <w:rFonts w:hint="eastAsia" w:eastAsia="仿宋_GB2312" w:cs="仿宋_GB2312"/>
          <w:sz w:val="32"/>
          <w:szCs w:val="32"/>
        </w:rPr>
        <w:t>全年按规定更新购置公务用车0辆，截至2024年12月31日，单位共有公务用车5辆，其中：轿车2辆、越野车1辆、载客汽车2辆。</w:t>
      </w:r>
    </w:p>
    <w:p>
      <w:pPr>
        <w:spacing w:line="600" w:lineRule="exact"/>
        <w:ind w:firstLine="640"/>
        <w:rPr>
          <w:rFonts w:eastAsia="仿宋_GB2312" w:cs="仿宋_GB2312"/>
          <w:b/>
          <w:bCs/>
          <w:sz w:val="32"/>
          <w:szCs w:val="32"/>
        </w:rPr>
      </w:pPr>
      <w:r>
        <w:rPr>
          <w:rFonts w:hint="eastAsia" w:eastAsia="仿宋_GB2312" w:cs="仿宋_GB2312"/>
          <w:b/>
          <w:bCs/>
          <w:sz w:val="32"/>
          <w:szCs w:val="32"/>
        </w:rPr>
        <w:t>公务用车运行维护费支出</w:t>
      </w:r>
      <w:r>
        <w:rPr>
          <w:rFonts w:hint="eastAsia" w:eastAsia="仿宋_GB2312" w:cs="仿宋_GB2312"/>
          <w:sz w:val="32"/>
          <w:szCs w:val="32"/>
        </w:rPr>
        <w:t>0万元。</w:t>
      </w:r>
    </w:p>
    <w:p>
      <w:pPr>
        <w:ind w:firstLine="642" w:firstLineChars="200"/>
        <w:rPr>
          <w:rFonts w:ascii="仿宋_GB2312" w:hAnsi="仿宋" w:eastAsia="仿宋_GB2312"/>
          <w:sz w:val="32"/>
          <w:szCs w:val="32"/>
          <w:highlight w:val="none"/>
        </w:rPr>
      </w:pPr>
      <w:r>
        <w:rPr>
          <w:rFonts w:hint="eastAsia" w:eastAsia="仿宋_GB2312"/>
          <w:b/>
          <w:bCs/>
          <w:sz w:val="32"/>
          <w:szCs w:val="32"/>
          <w:highlight w:val="none"/>
        </w:rPr>
        <w:t>3.</w:t>
      </w:r>
      <w:r>
        <w:rPr>
          <w:rFonts w:hint="eastAsia" w:ascii="仿宋_GB2312" w:eastAsia="仿宋_GB2312"/>
          <w:b/>
          <w:bCs/>
          <w:sz w:val="32"/>
          <w:szCs w:val="32"/>
          <w:highlight w:val="none"/>
        </w:rPr>
        <w:t>公务接待费支出0万元。</w:t>
      </w:r>
      <w:r>
        <w:rPr>
          <w:rFonts w:hint="eastAsia" w:ascii="仿宋_GB2312" w:hAnsi="仿宋" w:eastAsia="仿宋_GB2312"/>
          <w:sz w:val="32"/>
          <w:szCs w:val="32"/>
          <w:highlight w:val="none"/>
        </w:rPr>
        <w:t>公务接待费支出决算与</w:t>
      </w:r>
      <w:r>
        <w:rPr>
          <w:rFonts w:hint="eastAsia" w:eastAsia="仿宋_GB2312"/>
          <w:sz w:val="32"/>
          <w:szCs w:val="32"/>
          <w:highlight w:val="none"/>
        </w:rPr>
        <w:t>2023</w:t>
      </w:r>
      <w:r>
        <w:rPr>
          <w:rFonts w:hint="eastAsia" w:ascii="仿宋_GB2312" w:hAnsi="仿宋" w:eastAsia="仿宋_GB2312"/>
          <w:sz w:val="32"/>
          <w:szCs w:val="32"/>
          <w:highlight w:val="none"/>
        </w:rPr>
        <w:t>年度</w:t>
      </w:r>
      <w:r>
        <w:rPr>
          <w:rFonts w:hint="eastAsia" w:eastAsia="仿宋_GB2312" w:cs="仿宋_GB2312"/>
          <w:sz w:val="32"/>
          <w:szCs w:val="32"/>
          <w:highlight w:val="none"/>
        </w:rPr>
        <w:t>决算数</w:t>
      </w:r>
      <w:r>
        <w:rPr>
          <w:rFonts w:hint="eastAsia" w:ascii="仿宋_GB2312" w:hAnsi="仿宋" w:eastAsia="仿宋_GB2312"/>
          <w:sz w:val="32"/>
          <w:szCs w:val="32"/>
          <w:highlight w:val="none"/>
        </w:rPr>
        <w:t>持平。其中：</w:t>
      </w:r>
    </w:p>
    <w:p>
      <w:pPr>
        <w:spacing w:line="600" w:lineRule="exact"/>
        <w:ind w:firstLine="642" w:firstLineChars="200"/>
        <w:rPr>
          <w:rFonts w:eastAsia="仿宋_GB2312" w:cs="仿宋_GB2312"/>
          <w:b/>
          <w:bCs/>
          <w:sz w:val="32"/>
          <w:szCs w:val="32"/>
        </w:rPr>
      </w:pPr>
      <w:r>
        <w:rPr>
          <w:rFonts w:hint="eastAsia" w:eastAsia="仿宋_GB2312" w:cs="仿宋_GB2312"/>
          <w:b/>
          <w:bCs/>
          <w:sz w:val="32"/>
          <w:szCs w:val="32"/>
        </w:rPr>
        <w:t>国内公务接待支出</w:t>
      </w:r>
      <w:r>
        <w:rPr>
          <w:rFonts w:hint="eastAsia" w:eastAsia="仿宋_GB2312" w:cs="仿宋_GB2312"/>
          <w:sz w:val="32"/>
          <w:szCs w:val="32"/>
        </w:rPr>
        <w:t>0万元。</w:t>
      </w:r>
    </w:p>
    <w:p>
      <w:pPr>
        <w:spacing w:line="600" w:lineRule="exact"/>
        <w:ind w:firstLine="640"/>
        <w:rPr>
          <w:rFonts w:hint="eastAsia" w:eastAsia="仿宋_GB2312" w:cs="仿宋_GB2312"/>
          <w:sz w:val="32"/>
          <w:szCs w:val="32"/>
        </w:rPr>
      </w:pPr>
      <w:r>
        <w:rPr>
          <w:rFonts w:hint="eastAsia" w:eastAsia="仿宋_GB2312" w:cs="仿宋_GB2312"/>
          <w:b/>
          <w:bCs/>
          <w:sz w:val="32"/>
          <w:szCs w:val="32"/>
        </w:rPr>
        <w:t>外事接待支出</w:t>
      </w:r>
      <w:r>
        <w:rPr>
          <w:rFonts w:hint="eastAsia" w:eastAsia="仿宋_GB2312" w:cs="仿宋_GB2312"/>
          <w:sz w:val="32"/>
          <w:szCs w:val="32"/>
        </w:rPr>
        <w:t>0万元。</w:t>
      </w:r>
      <w:bookmarkStart w:id="93" w:name="_Toc15377218"/>
      <w:bookmarkStart w:id="94" w:name="_Toc15396610"/>
    </w:p>
    <w:p>
      <w:pPr>
        <w:pStyle w:val="4"/>
        <w:spacing w:before="0" w:after="0"/>
        <w:ind w:firstLine="640" w:firstLineChars="200"/>
        <w:rPr>
          <w:rFonts w:ascii="黑体" w:hAnsi="黑体" w:eastAsia="黑体" w:cs="黑体"/>
          <w:b w:val="0"/>
          <w:bCs w:val="0"/>
        </w:rPr>
      </w:pPr>
      <w:bookmarkStart w:id="95" w:name="_Toc12469"/>
      <w:bookmarkStart w:id="96" w:name="_Toc29584"/>
      <w:bookmarkStart w:id="97" w:name="_Toc8979"/>
      <w:r>
        <w:rPr>
          <w:rFonts w:hint="eastAsia" w:ascii="黑体" w:hAnsi="黑体" w:eastAsia="黑体" w:cs="黑体"/>
          <w:b w:val="0"/>
          <w:bCs w:val="0"/>
        </w:rPr>
        <w:t>八、政府性基金预算支出决算情况说明</w:t>
      </w:r>
      <w:bookmarkEnd w:id="93"/>
      <w:bookmarkEnd w:id="94"/>
      <w:bookmarkEnd w:id="95"/>
      <w:bookmarkEnd w:id="96"/>
      <w:bookmarkEnd w:id="97"/>
    </w:p>
    <w:p>
      <w:pPr>
        <w:spacing w:line="600" w:lineRule="exact"/>
        <w:ind w:firstLine="640"/>
        <w:rPr>
          <w:rFonts w:eastAsia="仿宋_GB2312"/>
          <w:sz w:val="32"/>
          <w:szCs w:val="32"/>
        </w:rPr>
      </w:pPr>
      <w:r>
        <w:rPr>
          <w:rFonts w:eastAsia="仿宋_GB2312"/>
          <w:sz w:val="32"/>
          <w:szCs w:val="32"/>
        </w:rPr>
        <w:t>2024年度政府性基金预算财政拨款支出0万元。</w:t>
      </w:r>
    </w:p>
    <w:p>
      <w:pPr>
        <w:pStyle w:val="4"/>
        <w:spacing w:before="0" w:after="0"/>
        <w:ind w:firstLine="640" w:firstLineChars="200"/>
        <w:rPr>
          <w:rFonts w:hint="eastAsia" w:ascii="黑体" w:hAnsi="黑体" w:eastAsia="黑体" w:cs="黑体"/>
          <w:b w:val="0"/>
          <w:bCs w:val="0"/>
        </w:rPr>
      </w:pPr>
      <w:bookmarkStart w:id="98" w:name="_Toc17656"/>
      <w:bookmarkStart w:id="99" w:name="_Toc15377219"/>
      <w:bookmarkStart w:id="100" w:name="_Toc15396611"/>
      <w:bookmarkStart w:id="101" w:name="_Toc15711"/>
      <w:bookmarkStart w:id="102" w:name="_Toc1817"/>
    </w:p>
    <w:p>
      <w:pPr>
        <w:pStyle w:val="4"/>
        <w:spacing w:before="0" w:after="0"/>
        <w:ind w:firstLine="640" w:firstLineChars="200"/>
        <w:rPr>
          <w:rFonts w:ascii="黑体" w:hAnsi="黑体" w:eastAsia="黑体" w:cs="黑体"/>
          <w:b w:val="0"/>
          <w:bCs w:val="0"/>
        </w:rPr>
      </w:pPr>
      <w:r>
        <w:rPr>
          <w:rFonts w:hint="eastAsia" w:ascii="黑体" w:hAnsi="黑体" w:eastAsia="黑体" w:cs="黑体"/>
          <w:b w:val="0"/>
          <w:bCs w:val="0"/>
        </w:rPr>
        <w:t>九、国有资本经营预算支出决算情况说明</w:t>
      </w:r>
      <w:bookmarkEnd w:id="98"/>
      <w:bookmarkEnd w:id="99"/>
      <w:bookmarkEnd w:id="100"/>
      <w:bookmarkEnd w:id="101"/>
      <w:bookmarkEnd w:id="102"/>
    </w:p>
    <w:p>
      <w:pPr>
        <w:spacing w:line="600" w:lineRule="exact"/>
        <w:ind w:firstLine="640"/>
        <w:rPr>
          <w:rFonts w:eastAsia="仿宋_GB2312"/>
          <w:sz w:val="32"/>
          <w:szCs w:val="32"/>
        </w:rPr>
      </w:pPr>
      <w:r>
        <w:rPr>
          <w:rFonts w:eastAsia="仿宋_GB2312"/>
          <w:sz w:val="32"/>
          <w:szCs w:val="32"/>
        </w:rPr>
        <w:t>2024年度国有资本经营预算财政拨款支出0万元。</w:t>
      </w:r>
    </w:p>
    <w:p>
      <w:pPr>
        <w:pStyle w:val="4"/>
        <w:spacing w:before="0" w:after="0"/>
        <w:ind w:firstLine="640" w:firstLineChars="200"/>
        <w:rPr>
          <w:rFonts w:ascii="黑体" w:hAnsi="黑体" w:eastAsia="黑体" w:cs="黑体"/>
          <w:b w:val="0"/>
          <w:bCs w:val="0"/>
        </w:rPr>
      </w:pPr>
      <w:bookmarkStart w:id="103" w:name="_Toc11451"/>
      <w:bookmarkStart w:id="104" w:name="_Toc15377221"/>
      <w:bookmarkStart w:id="105" w:name="_Toc15396612"/>
      <w:bookmarkStart w:id="106" w:name="_Toc27372"/>
      <w:bookmarkStart w:id="107" w:name="_Toc13011"/>
    </w:p>
    <w:p>
      <w:pPr>
        <w:pStyle w:val="4"/>
        <w:spacing w:before="0" w:after="0"/>
        <w:ind w:firstLine="640" w:firstLineChars="200"/>
        <w:rPr>
          <w:rFonts w:ascii="黑体" w:hAnsi="黑体" w:eastAsia="黑体" w:cs="黑体"/>
          <w:b w:val="0"/>
          <w:bCs w:val="0"/>
        </w:rPr>
      </w:pPr>
      <w:r>
        <w:rPr>
          <w:rFonts w:hint="eastAsia" w:ascii="黑体" w:hAnsi="黑体" w:eastAsia="黑体" w:cs="黑体"/>
          <w:b w:val="0"/>
          <w:bCs w:val="0"/>
        </w:rPr>
        <w:t>十、其他重要事项的情况说明</w:t>
      </w:r>
      <w:bookmarkEnd w:id="103"/>
      <w:bookmarkEnd w:id="104"/>
      <w:bookmarkEnd w:id="105"/>
      <w:bookmarkEnd w:id="106"/>
      <w:bookmarkEnd w:id="107"/>
    </w:p>
    <w:p>
      <w:pPr>
        <w:spacing w:line="600" w:lineRule="exact"/>
        <w:ind w:firstLine="642" w:firstLineChars="200"/>
        <w:outlineLvl w:val="2"/>
        <w:rPr>
          <w:rFonts w:eastAsia="楷体_GB2312" w:cs="楷体_GB2312"/>
          <w:b/>
          <w:sz w:val="32"/>
          <w:szCs w:val="32"/>
        </w:rPr>
      </w:pPr>
      <w:bookmarkStart w:id="108" w:name="_Toc15377222"/>
      <w:bookmarkStart w:id="109" w:name="_Toc8488"/>
      <w:r>
        <w:rPr>
          <w:rFonts w:hint="eastAsia" w:eastAsia="楷体_GB2312" w:cs="楷体_GB2312"/>
          <w:b/>
          <w:sz w:val="32"/>
          <w:szCs w:val="32"/>
        </w:rPr>
        <w:t>（一）机关运行经费支出情况</w:t>
      </w:r>
      <w:bookmarkEnd w:id="108"/>
      <w:bookmarkEnd w:id="109"/>
    </w:p>
    <w:p>
      <w:pPr>
        <w:spacing w:line="600" w:lineRule="exact"/>
        <w:ind w:firstLine="640" w:firstLineChars="200"/>
        <w:rPr>
          <w:rFonts w:eastAsia="仿宋_GB2312"/>
          <w:sz w:val="32"/>
          <w:szCs w:val="32"/>
        </w:rPr>
      </w:pPr>
      <w:r>
        <w:rPr>
          <w:rFonts w:eastAsia="仿宋_GB2312"/>
          <w:sz w:val="32"/>
          <w:szCs w:val="32"/>
        </w:rPr>
        <w:t>2024年度，四川信息职业技术学院机关运行经费支出0万元，与2023年度决算数持平。</w:t>
      </w:r>
    </w:p>
    <w:p>
      <w:pPr>
        <w:spacing w:line="600" w:lineRule="exact"/>
        <w:ind w:firstLine="642" w:firstLineChars="200"/>
        <w:outlineLvl w:val="2"/>
        <w:rPr>
          <w:rFonts w:eastAsia="楷体_GB2312" w:cs="楷体_GB2312"/>
          <w:b/>
          <w:sz w:val="32"/>
          <w:szCs w:val="32"/>
        </w:rPr>
      </w:pPr>
      <w:bookmarkStart w:id="110" w:name="_Toc17556"/>
      <w:bookmarkStart w:id="111" w:name="_Toc15377223"/>
      <w:r>
        <w:rPr>
          <w:rFonts w:hint="eastAsia" w:eastAsia="楷体_GB2312" w:cs="楷体_GB2312"/>
          <w:b/>
          <w:sz w:val="32"/>
          <w:szCs w:val="32"/>
        </w:rPr>
        <w:t>（二）政府采购支出情况</w:t>
      </w:r>
      <w:bookmarkEnd w:id="110"/>
      <w:bookmarkEnd w:id="111"/>
    </w:p>
    <w:p>
      <w:pPr>
        <w:spacing w:line="600" w:lineRule="exact"/>
        <w:ind w:firstLine="640"/>
        <w:rPr>
          <w:rFonts w:eastAsia="仿宋_GB2312"/>
          <w:sz w:val="32"/>
          <w:szCs w:val="32"/>
        </w:rPr>
      </w:pPr>
      <w:r>
        <w:rPr>
          <w:rFonts w:eastAsia="仿宋_GB2312"/>
          <w:sz w:val="32"/>
          <w:szCs w:val="32"/>
        </w:rPr>
        <w:t>2024年度，四川信息职业技术学院政府采购支出总额2510.57万元，其中：政府采购货物支出2027.18万元、政府采购工程支出0万元、政府采购服务支出483.39万元。主要用于学院实训室建设、教学设备购置等。授予中小企业合同金额2467.79万元，占政府采购支出总额的98.3%，其中：授予小微企业合同金额2270.05万元，占政府采购支出总额的90.4%。</w:t>
      </w:r>
    </w:p>
    <w:p>
      <w:pPr>
        <w:spacing w:line="600" w:lineRule="exact"/>
        <w:ind w:firstLine="642" w:firstLineChars="200"/>
        <w:outlineLvl w:val="2"/>
        <w:rPr>
          <w:rFonts w:eastAsia="楷体_GB2312" w:cs="楷体_GB2312"/>
          <w:b/>
          <w:sz w:val="32"/>
          <w:szCs w:val="32"/>
        </w:rPr>
      </w:pPr>
      <w:bookmarkStart w:id="112" w:name="_Toc15377224"/>
      <w:bookmarkStart w:id="113" w:name="_Toc1574"/>
      <w:r>
        <w:rPr>
          <w:rFonts w:hint="eastAsia" w:eastAsia="楷体_GB2312" w:cs="楷体_GB2312"/>
          <w:b/>
          <w:sz w:val="32"/>
          <w:szCs w:val="32"/>
        </w:rPr>
        <w:t>（三）国有资产占有使用情况</w:t>
      </w:r>
      <w:bookmarkEnd w:id="112"/>
      <w:bookmarkEnd w:id="113"/>
    </w:p>
    <w:p>
      <w:pPr>
        <w:spacing w:line="600" w:lineRule="exact"/>
        <w:ind w:firstLine="640"/>
        <w:rPr>
          <w:rFonts w:eastAsia="仿宋_GB2312" w:cs="仿宋_GB2312"/>
          <w:sz w:val="32"/>
          <w:szCs w:val="32"/>
        </w:rPr>
      </w:pPr>
      <w:r>
        <w:rPr>
          <w:rFonts w:eastAsia="仿宋_GB2312"/>
          <w:sz w:val="32"/>
          <w:szCs w:val="32"/>
        </w:rPr>
        <w:t>截至2024年12月31日，四川信息职业技术学院共有车辆5辆，其中：主要负责人用车0辆、机要通信用车1辆、应急保障用车1辆、其他用车3辆，其他用车主要是用于学生、教职工通勤。单价100万元（含）以上设备（不含车辆）10台（套）。</w:t>
      </w:r>
    </w:p>
    <w:p>
      <w:pPr>
        <w:spacing w:line="600" w:lineRule="exact"/>
        <w:ind w:firstLine="642" w:firstLineChars="200"/>
        <w:outlineLvl w:val="2"/>
        <w:rPr>
          <w:rFonts w:eastAsia="楷体_GB2312" w:cs="楷体_GB2312"/>
          <w:b/>
          <w:sz w:val="32"/>
          <w:szCs w:val="32"/>
        </w:rPr>
      </w:pPr>
      <w:bookmarkStart w:id="114" w:name="_Toc29721"/>
      <w:r>
        <w:rPr>
          <w:rFonts w:hint="eastAsia" w:eastAsia="楷体_GB2312" w:cs="楷体_GB2312"/>
          <w:b/>
          <w:sz w:val="32"/>
          <w:szCs w:val="32"/>
        </w:rPr>
        <w:t>（四）预算绩效管理情况</w:t>
      </w:r>
      <w:bookmarkEnd w:id="114"/>
    </w:p>
    <w:p>
      <w:pPr>
        <w:spacing w:line="600" w:lineRule="exact"/>
        <w:ind w:firstLine="640"/>
        <w:rPr>
          <w:rFonts w:eastAsia="仿宋_GB2312"/>
          <w:sz w:val="32"/>
          <w:szCs w:val="32"/>
        </w:rPr>
      </w:pPr>
      <w:r>
        <w:rPr>
          <w:rFonts w:eastAsia="仿宋_GB2312"/>
          <w:sz w:val="32"/>
          <w:szCs w:val="32"/>
        </w:rPr>
        <w:t>根据预算绩效管理要求，本单位在2024年度预算编制阶段，组织对工业产业发展能力提升培训等2个项目开展了预算事前绩效评估，对17个项目编制了绩效目标，预算执行过程中，选取17个项目开展绩效监控。绩效自评报告详见附件。</w:t>
      </w:r>
    </w:p>
    <w:p>
      <w:pPr>
        <w:spacing w:line="600" w:lineRule="exact"/>
        <w:ind w:firstLine="640"/>
        <w:rPr>
          <w:rFonts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pStyle w:val="2"/>
        <w:rPr>
          <w:rFonts w:ascii="Times New Roman" w:hAnsi="Times New Roman" w:eastAsia="仿宋_GB2312" w:cs="仿宋_GB2312"/>
          <w:sz w:val="32"/>
          <w:szCs w:val="32"/>
        </w:rPr>
      </w:pPr>
    </w:p>
    <w:p>
      <w:pPr>
        <w:spacing w:line="600" w:lineRule="exact"/>
        <w:outlineLvl w:val="0"/>
        <w:rPr>
          <w:rFonts w:hint="eastAsia" w:eastAsia="黑体"/>
          <w:sz w:val="44"/>
          <w:szCs w:val="44"/>
        </w:rPr>
      </w:pPr>
      <w:bookmarkStart w:id="115" w:name="_Toc15377225"/>
      <w:bookmarkStart w:id="116" w:name="_Toc2007"/>
      <w:bookmarkStart w:id="117" w:name="_Toc12215"/>
      <w:bookmarkStart w:id="118" w:name="_Toc15396613"/>
      <w:bookmarkStart w:id="119" w:name="_Toc26236"/>
    </w:p>
    <w:p>
      <w:pPr>
        <w:spacing w:line="600" w:lineRule="exact"/>
        <w:jc w:val="center"/>
        <w:outlineLvl w:val="0"/>
        <w:rPr>
          <w:rFonts w:eastAsia="黑体"/>
          <w:sz w:val="44"/>
          <w:szCs w:val="44"/>
        </w:rPr>
      </w:pPr>
      <w:r>
        <w:rPr>
          <w:rFonts w:hint="eastAsia" w:eastAsia="黑体"/>
          <w:sz w:val="44"/>
          <w:szCs w:val="44"/>
        </w:rPr>
        <w:t>第三部分  名词解释</w:t>
      </w:r>
      <w:bookmarkEnd w:id="115"/>
      <w:bookmarkEnd w:id="116"/>
      <w:bookmarkEnd w:id="117"/>
      <w:bookmarkEnd w:id="118"/>
      <w:bookmarkEnd w:id="119"/>
    </w:p>
    <w:p>
      <w:pPr>
        <w:spacing w:line="600" w:lineRule="exact"/>
        <w:jc w:val="left"/>
        <w:rPr>
          <w:b/>
          <w:sz w:val="44"/>
          <w:szCs w:val="44"/>
        </w:rPr>
      </w:pPr>
    </w:p>
    <w:p>
      <w:pPr>
        <w:spacing w:line="600" w:lineRule="exact"/>
        <w:ind w:firstLine="640" w:firstLineChars="200"/>
        <w:jc w:val="left"/>
        <w:rPr>
          <w:rFonts w:eastAsia="仿宋_GB2312"/>
          <w:sz w:val="32"/>
          <w:szCs w:val="32"/>
        </w:rPr>
      </w:pPr>
      <w:bookmarkStart w:id="120" w:name="_Toc15377226"/>
      <w:r>
        <w:rPr>
          <w:rFonts w:eastAsia="仿宋_GB2312"/>
          <w:sz w:val="32"/>
          <w:szCs w:val="32"/>
        </w:rPr>
        <w:t>1.财政拨款收入：指单位从同级财政部门取得的财政预算资金。</w:t>
      </w:r>
    </w:p>
    <w:p>
      <w:pPr>
        <w:spacing w:line="600" w:lineRule="exact"/>
        <w:ind w:firstLine="640" w:firstLineChars="200"/>
        <w:jc w:val="left"/>
        <w:rPr>
          <w:rFonts w:eastAsia="仿宋_GB2312"/>
          <w:sz w:val="32"/>
          <w:szCs w:val="32"/>
        </w:rPr>
      </w:pPr>
      <w:r>
        <w:rPr>
          <w:rFonts w:eastAsia="仿宋_GB2312"/>
          <w:sz w:val="32"/>
          <w:szCs w:val="32"/>
        </w:rPr>
        <w:t>2.事业收入：指事业单位开展专业业务活动及辅助活动取得的收入。</w:t>
      </w:r>
    </w:p>
    <w:p>
      <w:pPr>
        <w:spacing w:line="600" w:lineRule="exact"/>
        <w:ind w:firstLine="640" w:firstLineChars="200"/>
        <w:jc w:val="left"/>
        <w:rPr>
          <w:rFonts w:eastAsia="仿宋_GB2312"/>
          <w:sz w:val="32"/>
          <w:szCs w:val="32"/>
        </w:rPr>
      </w:pPr>
      <w:r>
        <w:rPr>
          <w:rFonts w:eastAsia="仿宋_GB2312"/>
          <w:sz w:val="32"/>
          <w:szCs w:val="32"/>
        </w:rPr>
        <w:t>3.其他收入：指单位取得的除上述收入以外的各项收入。</w:t>
      </w:r>
    </w:p>
    <w:p>
      <w:pPr>
        <w:spacing w:line="600" w:lineRule="exact"/>
        <w:ind w:firstLine="640" w:firstLineChars="200"/>
        <w:jc w:val="left"/>
        <w:rPr>
          <w:rFonts w:eastAsia="仿宋_GB2312"/>
          <w:sz w:val="32"/>
          <w:szCs w:val="32"/>
        </w:rPr>
      </w:pPr>
      <w:r>
        <w:rPr>
          <w:rFonts w:eastAsia="仿宋_GB2312"/>
          <w:sz w:val="32"/>
          <w:szCs w:val="32"/>
        </w:rPr>
        <w:t xml:space="preserve">4.使用非财政拨款结余（含专用结余）：指事业单位使用以前年度积累的非财政拨款结余弥补当年收支差额的金额。 </w:t>
      </w:r>
    </w:p>
    <w:p>
      <w:pPr>
        <w:spacing w:line="600" w:lineRule="exact"/>
        <w:ind w:firstLine="640" w:firstLineChars="200"/>
        <w:jc w:val="left"/>
        <w:rPr>
          <w:rFonts w:eastAsia="仿宋_GB2312"/>
          <w:sz w:val="32"/>
          <w:szCs w:val="32"/>
        </w:rPr>
      </w:pPr>
      <w:r>
        <w:rPr>
          <w:rFonts w:eastAsia="仿宋_GB2312"/>
          <w:sz w:val="32"/>
          <w:szCs w:val="32"/>
        </w:rPr>
        <w:t xml:space="preserve">5.年初结转和结余：指以前年度尚未完成、结转到本年按有关规定继续使用的资金。 </w:t>
      </w:r>
    </w:p>
    <w:p>
      <w:pPr>
        <w:spacing w:line="600" w:lineRule="exact"/>
        <w:ind w:firstLine="640" w:firstLineChars="200"/>
        <w:jc w:val="left"/>
        <w:rPr>
          <w:rFonts w:eastAsia="仿宋_GB2312"/>
          <w:sz w:val="32"/>
          <w:szCs w:val="32"/>
        </w:rPr>
      </w:pPr>
      <w:r>
        <w:rPr>
          <w:rFonts w:eastAsia="仿宋_GB2312"/>
          <w:sz w:val="32"/>
          <w:szCs w:val="32"/>
        </w:rPr>
        <w:t>6.结余分配：指事业单位按照会计制度规定缴纳的所得税、提取的专用结余以及转入非财政拨款结余的金额等。</w:t>
      </w:r>
    </w:p>
    <w:p>
      <w:pPr>
        <w:spacing w:line="600" w:lineRule="exact"/>
        <w:ind w:firstLine="640" w:firstLineChars="200"/>
        <w:jc w:val="left"/>
        <w:rPr>
          <w:rFonts w:eastAsia="仿宋_GB2312"/>
          <w:sz w:val="32"/>
          <w:szCs w:val="32"/>
        </w:rPr>
      </w:pPr>
      <w:r>
        <w:rPr>
          <w:rFonts w:eastAsia="仿宋_GB2312"/>
          <w:sz w:val="32"/>
          <w:szCs w:val="32"/>
        </w:rPr>
        <w:t>7.年末结转和结余：指单位按有关规定结转到下年或以后年度继续使用的资金。</w:t>
      </w:r>
    </w:p>
    <w:p>
      <w:pPr>
        <w:spacing w:line="600" w:lineRule="exact"/>
        <w:ind w:firstLine="640" w:firstLineChars="200"/>
        <w:jc w:val="left"/>
        <w:rPr>
          <w:rFonts w:eastAsia="仿宋_GB2312"/>
          <w:sz w:val="32"/>
          <w:szCs w:val="32"/>
        </w:rPr>
      </w:pPr>
      <w:r>
        <w:rPr>
          <w:rFonts w:eastAsia="仿宋_GB2312"/>
          <w:sz w:val="32"/>
          <w:szCs w:val="32"/>
        </w:rPr>
        <w:t>8.教育（类）普通教育（款）高等教育（项）：指经国家批准设立的中央和省、自治区、直辖市各部门所属的全日制普通高等院校（包括研究生）的支出。政府各部门对社会中介组织等举办的各类高等院校的资助，如捐赠、补贴等，也在本科目中反映。</w:t>
      </w:r>
    </w:p>
    <w:p>
      <w:pPr>
        <w:spacing w:line="600" w:lineRule="exact"/>
        <w:ind w:firstLine="640" w:firstLineChars="200"/>
        <w:jc w:val="left"/>
        <w:rPr>
          <w:rFonts w:eastAsia="仿宋_GB2312"/>
          <w:sz w:val="32"/>
          <w:szCs w:val="32"/>
        </w:rPr>
      </w:pPr>
      <w:r>
        <w:rPr>
          <w:rFonts w:eastAsia="仿宋_GB2312"/>
          <w:sz w:val="32"/>
          <w:szCs w:val="32"/>
        </w:rPr>
        <w:t>9.教育（类）职业教育（款）高等职业教育（项）：指经国家批准设立的高等职业大学、专科职业教育等方面的支出。</w:t>
      </w:r>
    </w:p>
    <w:p>
      <w:pPr>
        <w:spacing w:line="600" w:lineRule="exact"/>
        <w:ind w:firstLine="640" w:firstLineChars="200"/>
        <w:jc w:val="left"/>
        <w:rPr>
          <w:rFonts w:eastAsia="仿宋_GB2312"/>
          <w:sz w:val="32"/>
          <w:szCs w:val="32"/>
        </w:rPr>
      </w:pPr>
      <w:r>
        <w:rPr>
          <w:rFonts w:eastAsia="仿宋_GB2312"/>
          <w:sz w:val="32"/>
          <w:szCs w:val="32"/>
        </w:rPr>
        <w:t>10.基本支出：指为保障机构正常运转、完成日常工作任务而发生的人员支出和公用支出。</w:t>
      </w:r>
    </w:p>
    <w:p>
      <w:pPr>
        <w:spacing w:line="600" w:lineRule="exact"/>
        <w:ind w:firstLine="640" w:firstLineChars="200"/>
        <w:jc w:val="left"/>
        <w:rPr>
          <w:rFonts w:eastAsia="仿宋_GB2312"/>
          <w:sz w:val="32"/>
          <w:szCs w:val="32"/>
        </w:rPr>
      </w:pPr>
      <w:r>
        <w:rPr>
          <w:rFonts w:eastAsia="仿宋_GB2312"/>
          <w:sz w:val="32"/>
          <w:szCs w:val="32"/>
        </w:rPr>
        <w:t xml:space="preserve">11.项目支出：指在基本支出之外为完成特定行政任务和事业发展目标所发生的支出。 </w:t>
      </w:r>
    </w:p>
    <w:p>
      <w:pPr>
        <w:spacing w:line="600" w:lineRule="exact"/>
        <w:ind w:firstLine="640" w:firstLineChars="200"/>
        <w:outlineLvl w:val="0"/>
        <w:rPr>
          <w:rFonts w:eastAsia="仿宋_GB2312" w:cs="仿宋_GB2312"/>
          <w:sz w:val="32"/>
          <w:szCs w:val="32"/>
        </w:rPr>
      </w:pPr>
      <w:bookmarkStart w:id="121" w:name="_Toc8146"/>
      <w:r>
        <w:rPr>
          <w:rFonts w:eastAsia="仿宋_GB2312"/>
          <w:sz w:val="32"/>
          <w:szCs w:val="32"/>
        </w:rPr>
        <w:t>12.“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w:t>
      </w:r>
      <w:r>
        <w:rPr>
          <w:rFonts w:hint="eastAsia" w:eastAsia="仿宋_GB2312" w:cs="仿宋_GB2312"/>
          <w:sz w:val="32"/>
          <w:szCs w:val="32"/>
        </w:rPr>
        <w:t>开支的各类公务接待（含外宾接待）支出。</w:t>
      </w:r>
    </w:p>
    <w:p>
      <w:pPr>
        <w:spacing w:line="600" w:lineRule="exact"/>
        <w:ind w:firstLine="640" w:firstLineChars="200"/>
        <w:jc w:val="center"/>
        <w:outlineLvl w:val="0"/>
        <w:rPr>
          <w:rFonts w:eastAsia="仿宋_GB2312" w:cs="仿宋_GB2312"/>
          <w:sz w:val="32"/>
          <w:szCs w:val="32"/>
        </w:rPr>
      </w:pPr>
    </w:p>
    <w:p>
      <w:pPr>
        <w:spacing w:line="600" w:lineRule="exact"/>
        <w:ind w:firstLine="640" w:firstLineChars="200"/>
        <w:jc w:val="center"/>
        <w:outlineLvl w:val="0"/>
        <w:rPr>
          <w:rFonts w:eastAsia="仿宋_GB2312" w:cs="仿宋_GB2312"/>
          <w:sz w:val="32"/>
          <w:szCs w:val="32"/>
        </w:rPr>
      </w:pPr>
    </w:p>
    <w:p>
      <w:pPr>
        <w:spacing w:line="600" w:lineRule="exact"/>
        <w:ind w:firstLine="640" w:firstLineChars="200"/>
        <w:jc w:val="center"/>
        <w:outlineLvl w:val="0"/>
        <w:rPr>
          <w:rFonts w:eastAsia="仿宋_GB2312" w:cs="仿宋_GB2312"/>
          <w:sz w:val="32"/>
          <w:szCs w:val="32"/>
        </w:rPr>
      </w:pPr>
    </w:p>
    <w:p>
      <w:pPr>
        <w:spacing w:line="600" w:lineRule="exact"/>
        <w:ind w:firstLine="640" w:firstLineChars="200"/>
        <w:jc w:val="center"/>
        <w:outlineLvl w:val="0"/>
        <w:rPr>
          <w:rFonts w:eastAsia="仿宋_GB2312" w:cs="仿宋_GB2312"/>
          <w:sz w:val="32"/>
          <w:szCs w:val="32"/>
        </w:rPr>
      </w:pPr>
    </w:p>
    <w:p>
      <w:pPr>
        <w:spacing w:line="600" w:lineRule="exact"/>
        <w:ind w:firstLine="640" w:firstLineChars="200"/>
        <w:jc w:val="center"/>
        <w:outlineLvl w:val="0"/>
        <w:rPr>
          <w:rFonts w:eastAsia="仿宋_GB2312" w:cs="仿宋_GB2312"/>
          <w:sz w:val="32"/>
          <w:szCs w:val="32"/>
        </w:rPr>
      </w:pPr>
    </w:p>
    <w:p>
      <w:pPr>
        <w:spacing w:line="600" w:lineRule="exact"/>
        <w:ind w:firstLine="640" w:firstLineChars="200"/>
        <w:jc w:val="center"/>
        <w:outlineLvl w:val="0"/>
        <w:rPr>
          <w:rFonts w:eastAsia="仿宋_GB2312" w:cs="仿宋_GB2312"/>
          <w:sz w:val="32"/>
          <w:szCs w:val="32"/>
        </w:rPr>
      </w:pPr>
    </w:p>
    <w:p>
      <w:pPr>
        <w:spacing w:line="600" w:lineRule="exact"/>
        <w:ind w:firstLine="640" w:firstLineChars="200"/>
        <w:jc w:val="center"/>
        <w:outlineLvl w:val="0"/>
        <w:rPr>
          <w:rFonts w:eastAsia="仿宋_GB2312" w:cs="仿宋_GB2312"/>
          <w:sz w:val="32"/>
          <w:szCs w:val="32"/>
        </w:rPr>
      </w:pPr>
    </w:p>
    <w:p>
      <w:pPr>
        <w:spacing w:line="600" w:lineRule="exact"/>
        <w:ind w:firstLine="640" w:firstLineChars="200"/>
        <w:jc w:val="center"/>
        <w:outlineLvl w:val="0"/>
        <w:rPr>
          <w:rFonts w:eastAsia="仿宋_GB2312" w:cs="仿宋_GB2312"/>
          <w:sz w:val="32"/>
          <w:szCs w:val="32"/>
        </w:rPr>
      </w:pPr>
    </w:p>
    <w:p>
      <w:pPr>
        <w:spacing w:line="600" w:lineRule="exact"/>
        <w:ind w:firstLine="640" w:firstLineChars="200"/>
        <w:jc w:val="center"/>
        <w:outlineLvl w:val="0"/>
        <w:rPr>
          <w:rFonts w:eastAsia="仿宋_GB2312" w:cs="仿宋_GB2312"/>
          <w:sz w:val="32"/>
          <w:szCs w:val="32"/>
        </w:rPr>
      </w:pPr>
    </w:p>
    <w:p>
      <w:pPr>
        <w:spacing w:line="600" w:lineRule="exact"/>
        <w:ind w:firstLine="640" w:firstLineChars="200"/>
        <w:jc w:val="center"/>
        <w:outlineLvl w:val="0"/>
        <w:rPr>
          <w:rFonts w:eastAsia="仿宋_GB2312" w:cs="仿宋_GB2312"/>
          <w:sz w:val="32"/>
          <w:szCs w:val="32"/>
        </w:rPr>
      </w:pPr>
    </w:p>
    <w:p>
      <w:pPr>
        <w:spacing w:line="600" w:lineRule="exact"/>
        <w:ind w:firstLine="640" w:firstLineChars="200"/>
        <w:jc w:val="center"/>
        <w:outlineLvl w:val="0"/>
        <w:rPr>
          <w:rFonts w:eastAsia="仿宋_GB2312" w:cs="仿宋_GB2312"/>
          <w:sz w:val="32"/>
          <w:szCs w:val="32"/>
        </w:rPr>
      </w:pPr>
    </w:p>
    <w:p>
      <w:pPr>
        <w:spacing w:line="600" w:lineRule="exact"/>
        <w:outlineLvl w:val="0"/>
        <w:rPr>
          <w:rFonts w:eastAsia="仿宋_GB2312" w:cs="仿宋_GB2312"/>
          <w:sz w:val="32"/>
          <w:szCs w:val="32"/>
        </w:rPr>
      </w:pPr>
    </w:p>
    <w:p>
      <w:pPr>
        <w:spacing w:line="600" w:lineRule="exact"/>
        <w:ind w:firstLine="880" w:firstLineChars="200"/>
        <w:jc w:val="center"/>
        <w:outlineLvl w:val="0"/>
        <w:rPr>
          <w:rFonts w:eastAsia="黑体"/>
          <w:sz w:val="44"/>
          <w:szCs w:val="44"/>
        </w:rPr>
      </w:pPr>
      <w:r>
        <w:rPr>
          <w:rFonts w:hint="eastAsia" w:eastAsia="黑体"/>
          <w:sz w:val="44"/>
          <w:szCs w:val="44"/>
        </w:rPr>
        <w:t>第四部分  附件</w:t>
      </w:r>
      <w:bookmarkEnd w:id="121"/>
    </w:p>
    <w:p>
      <w:pPr>
        <w:spacing w:line="572" w:lineRule="exact"/>
        <w:jc w:val="left"/>
        <w:rPr>
          <w:rFonts w:eastAsia="仿宋_GB2312"/>
          <w:sz w:val="32"/>
          <w:szCs w:val="32"/>
        </w:rPr>
      </w:pPr>
    </w:p>
    <w:p>
      <w:pPr>
        <w:spacing w:line="600" w:lineRule="exact"/>
        <w:jc w:val="center"/>
        <w:outlineLvl w:val="1"/>
        <w:rPr>
          <w:rFonts w:ascii="仿宋_GB2312" w:hAnsi="仿宋_GB2312" w:eastAsia="仿宋_GB2312" w:cs="仿宋_GB2312"/>
          <w:color w:val="FF0000"/>
          <w:sz w:val="44"/>
          <w:szCs w:val="44"/>
        </w:rPr>
      </w:pPr>
      <w:bookmarkStart w:id="122" w:name="_Toc13111"/>
      <w:bookmarkStart w:id="123" w:name="_Toc4560"/>
      <w:bookmarkStart w:id="124" w:name="_Toc11612"/>
      <w:bookmarkStart w:id="125" w:name="_Toc21546"/>
      <w:r>
        <w:rPr>
          <w:rFonts w:hint="eastAsia" w:ascii="仿宋_GB2312" w:hAnsi="仿宋_GB2312" w:eastAsia="仿宋_GB2312" w:cs="仿宋_GB2312"/>
          <w:sz w:val="32"/>
          <w:szCs w:val="32"/>
        </w:rPr>
        <w:t>见附件：部门预算项目支出绩效自评表（2024年度）</w:t>
      </w:r>
      <w:bookmarkEnd w:id="122"/>
      <w:bookmarkEnd w:id="123"/>
      <w:bookmarkEnd w:id="124"/>
      <w:bookmarkEnd w:id="125"/>
    </w:p>
    <w:p>
      <w:pPr>
        <w:pStyle w:val="8"/>
        <w:spacing w:line="560" w:lineRule="exact"/>
        <w:ind w:left="0" w:leftChars="0" w:firstLine="640"/>
        <w:rPr>
          <w:rFonts w:ascii="Times New Roman"/>
          <w:sz w:val="32"/>
        </w:rPr>
      </w:pPr>
    </w:p>
    <w:p>
      <w:pPr>
        <w:pStyle w:val="8"/>
        <w:spacing w:line="560" w:lineRule="exact"/>
        <w:ind w:left="0" w:leftChars="0" w:firstLine="0" w:firstLineChars="0"/>
        <w:rPr>
          <w:rFonts w:ascii="Times New Roman" w:eastAsia="仿宋_GB2312"/>
          <w:sz w:val="32"/>
          <w:lang w:val="zh-CN" w:bidi="ar"/>
        </w:rPr>
      </w:pPr>
    </w:p>
    <w:p>
      <w:pPr>
        <w:pStyle w:val="8"/>
        <w:spacing w:line="560" w:lineRule="exact"/>
        <w:ind w:left="0" w:leftChars="0" w:firstLine="0" w:firstLineChars="0"/>
        <w:rPr>
          <w:rFonts w:ascii="Times New Roman"/>
          <w:sz w:val="32"/>
          <w:highlight w:val="yellow"/>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6"/>
        <w:spacing w:before="93"/>
        <w:rPr>
          <w:rFonts w:ascii="Times New Roman" w:cs="宋体"/>
          <w:color w:val="FF0000"/>
          <w:sz w:val="32"/>
          <w:szCs w:val="32"/>
          <w:highlight w:val="yellow"/>
          <w:shd w:val="clear" w:color="auto" w:fill="FFFFFF"/>
          <w:lang w:val="zh-CN"/>
        </w:rPr>
      </w:pPr>
    </w:p>
    <w:p>
      <w:pPr>
        <w:pStyle w:val="3"/>
        <w:jc w:val="center"/>
        <w:rPr>
          <w:rFonts w:eastAsia="仿宋_GB2312" w:cs="仿宋_GB2312"/>
          <w:sz w:val="32"/>
          <w:szCs w:val="32"/>
        </w:rPr>
      </w:pPr>
      <w:bookmarkStart w:id="126" w:name="_Toc10627"/>
      <w:bookmarkStart w:id="127" w:name="_Toc24384"/>
      <w:bookmarkStart w:id="128" w:name="_Toc15396618"/>
      <w:bookmarkStart w:id="129" w:name="_Toc27096"/>
      <w:r>
        <w:rPr>
          <w:rFonts w:hint="eastAsia" w:eastAsia="黑体"/>
          <w:b w:val="0"/>
        </w:rPr>
        <w:t>第五部分  附表</w:t>
      </w:r>
      <w:bookmarkEnd w:id="120"/>
      <w:bookmarkEnd w:id="126"/>
      <w:bookmarkEnd w:id="127"/>
      <w:bookmarkEnd w:id="128"/>
      <w:bookmarkEnd w:id="129"/>
      <w:bookmarkStart w:id="130" w:name="_Toc15396619"/>
    </w:p>
    <w:bookmarkEnd w:id="130"/>
    <w:p>
      <w:pPr>
        <w:pStyle w:val="4"/>
        <w:rPr>
          <w:rFonts w:ascii="仿宋_GB2312" w:hAnsi="仿宋_GB2312" w:eastAsia="仿宋_GB2312" w:cs="仿宋_GB2312"/>
          <w:b w:val="0"/>
          <w:bCs w:val="0"/>
        </w:rPr>
      </w:pPr>
      <w:bookmarkStart w:id="131" w:name="_Toc17639"/>
      <w:bookmarkStart w:id="132" w:name="_Toc1365"/>
      <w:bookmarkStart w:id="133" w:name="_Toc26940"/>
      <w:r>
        <w:rPr>
          <w:rFonts w:hint="eastAsia" w:ascii="仿宋_GB2312" w:hAnsi="仿宋_GB2312" w:eastAsia="仿宋_GB2312" w:cs="仿宋_GB2312"/>
          <w:b w:val="0"/>
          <w:bCs w:val="0"/>
        </w:rPr>
        <w:t>一、收入支出决算总表</w:t>
      </w:r>
      <w:bookmarkEnd w:id="131"/>
      <w:bookmarkEnd w:id="132"/>
      <w:bookmarkEnd w:id="133"/>
    </w:p>
    <w:p>
      <w:pPr>
        <w:pStyle w:val="4"/>
        <w:rPr>
          <w:rFonts w:ascii="仿宋_GB2312" w:hAnsi="仿宋_GB2312" w:eastAsia="仿宋_GB2312" w:cs="仿宋_GB2312"/>
          <w:b w:val="0"/>
          <w:bCs w:val="0"/>
        </w:rPr>
      </w:pPr>
      <w:bookmarkStart w:id="134" w:name="_Toc7868"/>
      <w:bookmarkStart w:id="135" w:name="_Toc1627"/>
      <w:bookmarkStart w:id="136" w:name="_Toc12254"/>
      <w:r>
        <w:rPr>
          <w:rFonts w:hint="eastAsia" w:ascii="仿宋_GB2312" w:hAnsi="仿宋_GB2312" w:eastAsia="仿宋_GB2312" w:cs="仿宋_GB2312"/>
          <w:b w:val="0"/>
          <w:bCs w:val="0"/>
        </w:rPr>
        <w:t>二、收入决算表</w:t>
      </w:r>
      <w:bookmarkEnd w:id="134"/>
      <w:bookmarkEnd w:id="135"/>
      <w:bookmarkEnd w:id="136"/>
    </w:p>
    <w:p>
      <w:pPr>
        <w:pStyle w:val="4"/>
        <w:rPr>
          <w:rFonts w:ascii="仿宋_GB2312" w:hAnsi="仿宋_GB2312" w:eastAsia="仿宋_GB2312" w:cs="仿宋_GB2312"/>
          <w:b w:val="0"/>
          <w:bCs w:val="0"/>
        </w:rPr>
      </w:pPr>
      <w:bookmarkStart w:id="137" w:name="_Toc18750"/>
      <w:bookmarkStart w:id="138" w:name="_Toc31818"/>
      <w:bookmarkStart w:id="139" w:name="_Toc11413"/>
      <w:r>
        <w:rPr>
          <w:rFonts w:hint="eastAsia" w:ascii="仿宋_GB2312" w:hAnsi="仿宋_GB2312" w:eastAsia="仿宋_GB2312" w:cs="仿宋_GB2312"/>
          <w:b w:val="0"/>
          <w:bCs w:val="0"/>
        </w:rPr>
        <w:t>三、支出决算表</w:t>
      </w:r>
      <w:bookmarkEnd w:id="137"/>
      <w:bookmarkEnd w:id="138"/>
      <w:bookmarkEnd w:id="139"/>
    </w:p>
    <w:p>
      <w:pPr>
        <w:pStyle w:val="4"/>
        <w:rPr>
          <w:rFonts w:ascii="仿宋_GB2312" w:hAnsi="仿宋_GB2312" w:eastAsia="仿宋_GB2312" w:cs="仿宋_GB2312"/>
          <w:b w:val="0"/>
          <w:bCs w:val="0"/>
        </w:rPr>
      </w:pPr>
      <w:bookmarkStart w:id="140" w:name="_Toc15856"/>
      <w:bookmarkStart w:id="141" w:name="_Toc16963"/>
      <w:bookmarkStart w:id="142" w:name="_Toc19503"/>
      <w:r>
        <w:rPr>
          <w:rFonts w:hint="eastAsia" w:ascii="仿宋_GB2312" w:hAnsi="仿宋_GB2312" w:eastAsia="仿宋_GB2312" w:cs="仿宋_GB2312"/>
          <w:b w:val="0"/>
          <w:bCs w:val="0"/>
        </w:rPr>
        <w:t>四、财政拨款收入支出决算总表</w:t>
      </w:r>
      <w:bookmarkEnd w:id="140"/>
      <w:bookmarkEnd w:id="141"/>
      <w:bookmarkEnd w:id="142"/>
    </w:p>
    <w:p>
      <w:pPr>
        <w:pStyle w:val="4"/>
        <w:rPr>
          <w:rFonts w:ascii="仿宋_GB2312" w:hAnsi="仿宋_GB2312" w:eastAsia="仿宋_GB2312" w:cs="仿宋_GB2312"/>
          <w:b w:val="0"/>
          <w:bCs w:val="0"/>
        </w:rPr>
      </w:pPr>
      <w:bookmarkStart w:id="143" w:name="_Toc12634"/>
      <w:bookmarkStart w:id="144" w:name="_Toc18270"/>
      <w:bookmarkStart w:id="145" w:name="_Toc19450"/>
      <w:r>
        <w:rPr>
          <w:rFonts w:hint="eastAsia" w:ascii="仿宋_GB2312" w:hAnsi="仿宋_GB2312" w:eastAsia="仿宋_GB2312" w:cs="仿宋_GB2312"/>
          <w:b w:val="0"/>
          <w:bCs w:val="0"/>
        </w:rPr>
        <w:t>五、财政拨款支出决算明细表</w:t>
      </w:r>
      <w:bookmarkEnd w:id="143"/>
      <w:bookmarkEnd w:id="144"/>
      <w:bookmarkEnd w:id="145"/>
    </w:p>
    <w:p>
      <w:pPr>
        <w:pStyle w:val="4"/>
        <w:rPr>
          <w:rFonts w:ascii="仿宋_GB2312" w:hAnsi="仿宋_GB2312" w:eastAsia="仿宋_GB2312" w:cs="仿宋_GB2312"/>
          <w:b w:val="0"/>
          <w:bCs w:val="0"/>
        </w:rPr>
      </w:pPr>
      <w:bookmarkStart w:id="146" w:name="_Toc26631"/>
      <w:bookmarkStart w:id="147" w:name="_Toc1399"/>
      <w:bookmarkStart w:id="148" w:name="_Toc17394"/>
      <w:r>
        <w:rPr>
          <w:rFonts w:hint="eastAsia" w:ascii="仿宋_GB2312" w:hAnsi="仿宋_GB2312" w:eastAsia="仿宋_GB2312" w:cs="仿宋_GB2312"/>
          <w:b w:val="0"/>
          <w:bCs w:val="0"/>
        </w:rPr>
        <w:t>六、一般公共预算财政拨款支出决算表</w:t>
      </w:r>
      <w:bookmarkEnd w:id="146"/>
      <w:bookmarkEnd w:id="147"/>
      <w:bookmarkEnd w:id="148"/>
    </w:p>
    <w:p>
      <w:pPr>
        <w:pStyle w:val="4"/>
        <w:rPr>
          <w:rFonts w:ascii="仿宋_GB2312" w:hAnsi="仿宋_GB2312" w:eastAsia="仿宋_GB2312" w:cs="仿宋_GB2312"/>
          <w:b w:val="0"/>
          <w:bCs w:val="0"/>
        </w:rPr>
      </w:pPr>
      <w:bookmarkStart w:id="149" w:name="_Toc611"/>
      <w:bookmarkStart w:id="150" w:name="_Toc14259"/>
      <w:bookmarkStart w:id="151" w:name="_Toc12000"/>
      <w:r>
        <w:rPr>
          <w:rFonts w:hint="eastAsia" w:ascii="仿宋_GB2312" w:hAnsi="仿宋_GB2312" w:eastAsia="仿宋_GB2312" w:cs="仿宋_GB2312"/>
          <w:b w:val="0"/>
          <w:bCs w:val="0"/>
        </w:rPr>
        <w:t>七、一般公共预算财政拨款支出决算明细表</w:t>
      </w:r>
      <w:bookmarkEnd w:id="149"/>
      <w:bookmarkEnd w:id="150"/>
      <w:bookmarkEnd w:id="151"/>
    </w:p>
    <w:p>
      <w:pPr>
        <w:pStyle w:val="4"/>
        <w:rPr>
          <w:rFonts w:ascii="仿宋_GB2312" w:hAnsi="仿宋_GB2312" w:eastAsia="仿宋_GB2312" w:cs="仿宋_GB2312"/>
          <w:b w:val="0"/>
          <w:bCs w:val="0"/>
        </w:rPr>
      </w:pPr>
      <w:bookmarkStart w:id="152" w:name="_Toc25338"/>
      <w:bookmarkStart w:id="153" w:name="_Toc10490"/>
      <w:bookmarkStart w:id="154" w:name="_Toc202"/>
      <w:r>
        <w:rPr>
          <w:rFonts w:hint="eastAsia" w:ascii="仿宋_GB2312" w:hAnsi="仿宋_GB2312" w:eastAsia="仿宋_GB2312" w:cs="仿宋_GB2312"/>
          <w:b w:val="0"/>
          <w:bCs w:val="0"/>
        </w:rPr>
        <w:t>八、一般公共预算财政拨款基本支出决算表</w:t>
      </w:r>
      <w:bookmarkEnd w:id="152"/>
      <w:bookmarkEnd w:id="153"/>
      <w:bookmarkEnd w:id="154"/>
    </w:p>
    <w:p>
      <w:pPr>
        <w:pStyle w:val="4"/>
        <w:rPr>
          <w:rFonts w:ascii="仿宋_GB2312" w:hAnsi="仿宋_GB2312" w:eastAsia="仿宋_GB2312" w:cs="仿宋_GB2312"/>
          <w:b w:val="0"/>
          <w:bCs w:val="0"/>
        </w:rPr>
      </w:pPr>
      <w:bookmarkStart w:id="155" w:name="_Toc161"/>
      <w:bookmarkStart w:id="156" w:name="_Toc29915"/>
      <w:bookmarkStart w:id="157" w:name="_Toc16928"/>
      <w:r>
        <w:rPr>
          <w:rFonts w:hint="eastAsia" w:ascii="仿宋_GB2312" w:hAnsi="仿宋_GB2312" w:eastAsia="仿宋_GB2312" w:cs="仿宋_GB2312"/>
          <w:b w:val="0"/>
          <w:bCs w:val="0"/>
        </w:rPr>
        <w:t>九、一般公共预算财政拨款项目支出决算表</w:t>
      </w:r>
      <w:bookmarkEnd w:id="155"/>
      <w:bookmarkEnd w:id="156"/>
      <w:bookmarkEnd w:id="157"/>
    </w:p>
    <w:p>
      <w:pPr>
        <w:pStyle w:val="4"/>
        <w:rPr>
          <w:rFonts w:ascii="仿宋_GB2312" w:hAnsi="仿宋_GB2312" w:eastAsia="仿宋_GB2312" w:cs="仿宋_GB2312"/>
          <w:b w:val="0"/>
          <w:bCs w:val="0"/>
        </w:rPr>
      </w:pPr>
      <w:bookmarkStart w:id="158" w:name="_Toc938"/>
      <w:bookmarkStart w:id="159" w:name="_Toc24815"/>
      <w:bookmarkStart w:id="160" w:name="_Toc28624"/>
      <w:r>
        <w:rPr>
          <w:rFonts w:hint="eastAsia" w:ascii="仿宋_GB2312" w:hAnsi="仿宋_GB2312" w:eastAsia="仿宋_GB2312" w:cs="仿宋_GB2312"/>
          <w:b w:val="0"/>
          <w:bCs w:val="0"/>
        </w:rPr>
        <w:t>十、政府性基金预算财政拨款收入支出决算表</w:t>
      </w:r>
      <w:bookmarkEnd w:id="158"/>
      <w:bookmarkEnd w:id="159"/>
      <w:bookmarkEnd w:id="160"/>
    </w:p>
    <w:p>
      <w:pPr>
        <w:pStyle w:val="4"/>
        <w:rPr>
          <w:rFonts w:ascii="仿宋_GB2312" w:hAnsi="仿宋_GB2312" w:eastAsia="仿宋_GB2312" w:cs="仿宋_GB2312"/>
          <w:b w:val="0"/>
          <w:bCs w:val="0"/>
        </w:rPr>
      </w:pPr>
      <w:bookmarkStart w:id="161" w:name="_Toc30346"/>
      <w:bookmarkStart w:id="162" w:name="_Toc23784"/>
      <w:bookmarkStart w:id="163" w:name="_Toc29231"/>
      <w:r>
        <w:rPr>
          <w:rFonts w:hint="eastAsia" w:ascii="仿宋_GB2312" w:hAnsi="仿宋_GB2312" w:eastAsia="仿宋_GB2312" w:cs="仿宋_GB2312"/>
          <w:b w:val="0"/>
          <w:bCs w:val="0"/>
        </w:rPr>
        <w:t>十一、国有资本经营预算财政拨款收入支出决算表</w:t>
      </w:r>
      <w:bookmarkEnd w:id="161"/>
      <w:bookmarkEnd w:id="162"/>
      <w:bookmarkEnd w:id="163"/>
    </w:p>
    <w:p>
      <w:pPr>
        <w:pStyle w:val="4"/>
        <w:rPr>
          <w:rFonts w:ascii="仿宋_GB2312" w:hAnsi="仿宋_GB2312" w:eastAsia="仿宋_GB2312" w:cs="仿宋_GB2312"/>
          <w:b w:val="0"/>
          <w:bCs w:val="0"/>
        </w:rPr>
      </w:pPr>
      <w:bookmarkStart w:id="164" w:name="_Toc8058"/>
      <w:bookmarkStart w:id="165" w:name="_Toc12308"/>
      <w:bookmarkStart w:id="166" w:name="_Toc11294"/>
      <w:r>
        <w:rPr>
          <w:rFonts w:hint="eastAsia" w:ascii="仿宋_GB2312" w:hAnsi="仿宋_GB2312" w:eastAsia="仿宋_GB2312" w:cs="仿宋_GB2312"/>
          <w:b w:val="0"/>
          <w:bCs w:val="0"/>
        </w:rPr>
        <w:t>十二、国有资本经营预算财政拨款支出决算表</w:t>
      </w:r>
      <w:bookmarkEnd w:id="164"/>
      <w:bookmarkEnd w:id="165"/>
      <w:bookmarkEnd w:id="166"/>
    </w:p>
    <w:p>
      <w:pPr>
        <w:pStyle w:val="4"/>
        <w:rPr>
          <w:rFonts w:ascii="仿宋_GB2312" w:hAnsi="仿宋_GB2312" w:eastAsia="仿宋_GB2312" w:cs="仿宋_GB2312"/>
          <w:b w:val="0"/>
          <w:bCs w:val="0"/>
        </w:rPr>
      </w:pPr>
      <w:bookmarkStart w:id="167" w:name="_Toc32638"/>
      <w:bookmarkStart w:id="168" w:name="_Toc10713"/>
      <w:bookmarkStart w:id="169" w:name="_Toc12650"/>
      <w:r>
        <w:rPr>
          <w:rFonts w:hint="eastAsia" w:ascii="仿宋_GB2312" w:hAnsi="仿宋_GB2312" w:eastAsia="仿宋_GB2312" w:cs="仿宋_GB2312"/>
          <w:b w:val="0"/>
          <w:bCs w:val="0"/>
        </w:rPr>
        <w:t>十三、财政拨款“三公”经费支出决算表</w:t>
      </w:r>
      <w:bookmarkEnd w:id="167"/>
      <w:bookmarkEnd w:id="168"/>
      <w:bookmarkEnd w:id="169"/>
    </w:p>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- 14 -</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- 14 -</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F7rpKxYCAAAZBAAADgAAAAAAAAABACAAAAA1AQAAZHJzL2Uyb0RvYy54bWxQSwUGAAAAAAYA&#10;BgBZAQAAvQ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formatting="1"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04A47"/>
    <w:rsid w:val="000222C6"/>
    <w:rsid w:val="0002549F"/>
    <w:rsid w:val="0004466A"/>
    <w:rsid w:val="0004488A"/>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16EBB"/>
    <w:rsid w:val="00142216"/>
    <w:rsid w:val="00144D6A"/>
    <w:rsid w:val="0014729F"/>
    <w:rsid w:val="00157BAB"/>
    <w:rsid w:val="001654D1"/>
    <w:rsid w:val="00167F1B"/>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3716E"/>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91D11"/>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57B"/>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0BE0"/>
    <w:rsid w:val="00605688"/>
    <w:rsid w:val="006070AF"/>
    <w:rsid w:val="00607E6C"/>
    <w:rsid w:val="006101B1"/>
    <w:rsid w:val="00614E44"/>
    <w:rsid w:val="0062270A"/>
    <w:rsid w:val="00622830"/>
    <w:rsid w:val="00623DA0"/>
    <w:rsid w:val="00630AEF"/>
    <w:rsid w:val="006320C8"/>
    <w:rsid w:val="006325F8"/>
    <w:rsid w:val="00633463"/>
    <w:rsid w:val="00634C9A"/>
    <w:rsid w:val="006440E4"/>
    <w:rsid w:val="0066343B"/>
    <w:rsid w:val="00664777"/>
    <w:rsid w:val="006748A4"/>
    <w:rsid w:val="00681A31"/>
    <w:rsid w:val="00683E73"/>
    <w:rsid w:val="00692747"/>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B1516"/>
    <w:rsid w:val="007D1682"/>
    <w:rsid w:val="007D312A"/>
    <w:rsid w:val="007D3F19"/>
    <w:rsid w:val="007E23B0"/>
    <w:rsid w:val="007E23E5"/>
    <w:rsid w:val="007F1991"/>
    <w:rsid w:val="007F2C2F"/>
    <w:rsid w:val="007F55FC"/>
    <w:rsid w:val="007F5665"/>
    <w:rsid w:val="00800112"/>
    <w:rsid w:val="00813348"/>
    <w:rsid w:val="00822E4F"/>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69C"/>
    <w:rsid w:val="008E1DE7"/>
    <w:rsid w:val="008E3B2C"/>
    <w:rsid w:val="008E707C"/>
    <w:rsid w:val="00900B08"/>
    <w:rsid w:val="00902155"/>
    <w:rsid w:val="00902FA3"/>
    <w:rsid w:val="00923564"/>
    <w:rsid w:val="0092392E"/>
    <w:rsid w:val="009315F9"/>
    <w:rsid w:val="00933499"/>
    <w:rsid w:val="009336ED"/>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D373B"/>
    <w:rsid w:val="00BF5BD6"/>
    <w:rsid w:val="00C03E31"/>
    <w:rsid w:val="00C33E72"/>
    <w:rsid w:val="00C354B2"/>
    <w:rsid w:val="00C35554"/>
    <w:rsid w:val="00C42709"/>
    <w:rsid w:val="00C533CC"/>
    <w:rsid w:val="00C5751C"/>
    <w:rsid w:val="00C61BFC"/>
    <w:rsid w:val="00C62B85"/>
    <w:rsid w:val="00C65438"/>
    <w:rsid w:val="00C71C0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5380"/>
    <w:rsid w:val="00E07ACF"/>
    <w:rsid w:val="00E17E3B"/>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E6B2E"/>
    <w:rsid w:val="00FF1E02"/>
    <w:rsid w:val="00FF30B4"/>
    <w:rsid w:val="00FF6B7D"/>
    <w:rsid w:val="012A5EC2"/>
    <w:rsid w:val="015975B8"/>
    <w:rsid w:val="01BB1D99"/>
    <w:rsid w:val="02FEBE30"/>
    <w:rsid w:val="034675D0"/>
    <w:rsid w:val="034E76D9"/>
    <w:rsid w:val="041763B2"/>
    <w:rsid w:val="045F4DED"/>
    <w:rsid w:val="04916F1E"/>
    <w:rsid w:val="06135E8F"/>
    <w:rsid w:val="061E35DE"/>
    <w:rsid w:val="066E0107"/>
    <w:rsid w:val="07996F6E"/>
    <w:rsid w:val="07DFD8BA"/>
    <w:rsid w:val="08AE1E9F"/>
    <w:rsid w:val="09867E8F"/>
    <w:rsid w:val="0A2032A3"/>
    <w:rsid w:val="0AD656DD"/>
    <w:rsid w:val="0AF04DF7"/>
    <w:rsid w:val="0B310B66"/>
    <w:rsid w:val="0B460AB5"/>
    <w:rsid w:val="0CA46E9E"/>
    <w:rsid w:val="0CA8290A"/>
    <w:rsid w:val="0D1A5D55"/>
    <w:rsid w:val="0D35B1ED"/>
    <w:rsid w:val="0D5E6019"/>
    <w:rsid w:val="0E164BD5"/>
    <w:rsid w:val="0E254B6B"/>
    <w:rsid w:val="0E2A646C"/>
    <w:rsid w:val="0EAA5F60"/>
    <w:rsid w:val="0F98078E"/>
    <w:rsid w:val="0F98263C"/>
    <w:rsid w:val="0FA97864"/>
    <w:rsid w:val="101860EC"/>
    <w:rsid w:val="101F47CC"/>
    <w:rsid w:val="104D48D3"/>
    <w:rsid w:val="10C055FF"/>
    <w:rsid w:val="11694EBD"/>
    <w:rsid w:val="11772AA4"/>
    <w:rsid w:val="118107EC"/>
    <w:rsid w:val="11AE3182"/>
    <w:rsid w:val="12C34799"/>
    <w:rsid w:val="12E24EE2"/>
    <w:rsid w:val="13AD6CF7"/>
    <w:rsid w:val="13D50BC4"/>
    <w:rsid w:val="13D749A0"/>
    <w:rsid w:val="14B17F78"/>
    <w:rsid w:val="151C63E2"/>
    <w:rsid w:val="154E6D99"/>
    <w:rsid w:val="159B37AB"/>
    <w:rsid w:val="15E92769"/>
    <w:rsid w:val="165E0673"/>
    <w:rsid w:val="16B831D5"/>
    <w:rsid w:val="16BB723D"/>
    <w:rsid w:val="17D11706"/>
    <w:rsid w:val="17E22F49"/>
    <w:rsid w:val="17E50567"/>
    <w:rsid w:val="186504BB"/>
    <w:rsid w:val="18BB370C"/>
    <w:rsid w:val="193110D9"/>
    <w:rsid w:val="19616ABA"/>
    <w:rsid w:val="19A445FC"/>
    <w:rsid w:val="19AA0461"/>
    <w:rsid w:val="1A9D7434"/>
    <w:rsid w:val="1ACD5720"/>
    <w:rsid w:val="1B593EEC"/>
    <w:rsid w:val="1B5EE5E4"/>
    <w:rsid w:val="1BBF7509"/>
    <w:rsid w:val="1BC631CB"/>
    <w:rsid w:val="1BE8440E"/>
    <w:rsid w:val="1C0025BA"/>
    <w:rsid w:val="1C346708"/>
    <w:rsid w:val="1CE92A10"/>
    <w:rsid w:val="1D155CEE"/>
    <w:rsid w:val="1D1638FE"/>
    <w:rsid w:val="1DAB62A5"/>
    <w:rsid w:val="1E312DEB"/>
    <w:rsid w:val="1E740ACF"/>
    <w:rsid w:val="1E967206"/>
    <w:rsid w:val="1EED151B"/>
    <w:rsid w:val="1FEA15B7"/>
    <w:rsid w:val="1FF35744"/>
    <w:rsid w:val="1FF6BC77"/>
    <w:rsid w:val="20191E2E"/>
    <w:rsid w:val="20474C5B"/>
    <w:rsid w:val="20D54766"/>
    <w:rsid w:val="2186353C"/>
    <w:rsid w:val="21D95D87"/>
    <w:rsid w:val="22F64717"/>
    <w:rsid w:val="23860B96"/>
    <w:rsid w:val="23D36806"/>
    <w:rsid w:val="240371BF"/>
    <w:rsid w:val="244F3473"/>
    <w:rsid w:val="24AF66F7"/>
    <w:rsid w:val="24C97D99"/>
    <w:rsid w:val="253443F2"/>
    <w:rsid w:val="25535E50"/>
    <w:rsid w:val="25A718F0"/>
    <w:rsid w:val="25BB59F6"/>
    <w:rsid w:val="25E66D6B"/>
    <w:rsid w:val="26040EF9"/>
    <w:rsid w:val="260F557C"/>
    <w:rsid w:val="26970054"/>
    <w:rsid w:val="27EC7E96"/>
    <w:rsid w:val="281408E2"/>
    <w:rsid w:val="29166BDD"/>
    <w:rsid w:val="291E1D04"/>
    <w:rsid w:val="29FD04D3"/>
    <w:rsid w:val="2A0D176D"/>
    <w:rsid w:val="2A3A138D"/>
    <w:rsid w:val="2A571F3F"/>
    <w:rsid w:val="2B9D7E25"/>
    <w:rsid w:val="2BFF7BC6"/>
    <w:rsid w:val="2C8A61B5"/>
    <w:rsid w:val="2CA676BA"/>
    <w:rsid w:val="2D1E6D44"/>
    <w:rsid w:val="2D584BEE"/>
    <w:rsid w:val="2DF04E50"/>
    <w:rsid w:val="2E3A6DA3"/>
    <w:rsid w:val="2E586DFA"/>
    <w:rsid w:val="2E921798"/>
    <w:rsid w:val="2E96203A"/>
    <w:rsid w:val="2F040D46"/>
    <w:rsid w:val="2F6B035B"/>
    <w:rsid w:val="2F7FC5B2"/>
    <w:rsid w:val="2FAE5751"/>
    <w:rsid w:val="2FB1A395"/>
    <w:rsid w:val="2FD9A7D8"/>
    <w:rsid w:val="2FDBF714"/>
    <w:rsid w:val="2FEF49C8"/>
    <w:rsid w:val="300C557A"/>
    <w:rsid w:val="30A547B2"/>
    <w:rsid w:val="30AB6865"/>
    <w:rsid w:val="311D42B4"/>
    <w:rsid w:val="316867E0"/>
    <w:rsid w:val="319F7F4E"/>
    <w:rsid w:val="32BD1EF1"/>
    <w:rsid w:val="3304709D"/>
    <w:rsid w:val="338D5F77"/>
    <w:rsid w:val="33A773CB"/>
    <w:rsid w:val="33BF2903"/>
    <w:rsid w:val="347A51A8"/>
    <w:rsid w:val="349D6851"/>
    <w:rsid w:val="351A7555"/>
    <w:rsid w:val="35A40002"/>
    <w:rsid w:val="364A2958"/>
    <w:rsid w:val="364F61C0"/>
    <w:rsid w:val="36AA5135"/>
    <w:rsid w:val="36BE0DA7"/>
    <w:rsid w:val="376B6AA6"/>
    <w:rsid w:val="376D39B2"/>
    <w:rsid w:val="37E16F03"/>
    <w:rsid w:val="37F53A3B"/>
    <w:rsid w:val="38141EFE"/>
    <w:rsid w:val="389B6C89"/>
    <w:rsid w:val="38C5282D"/>
    <w:rsid w:val="38D469F0"/>
    <w:rsid w:val="39627CCD"/>
    <w:rsid w:val="397BAF1F"/>
    <w:rsid w:val="3AB79AF3"/>
    <w:rsid w:val="3ADE5721"/>
    <w:rsid w:val="3AE834C0"/>
    <w:rsid w:val="3B7EF35A"/>
    <w:rsid w:val="3B8060D3"/>
    <w:rsid w:val="3B9FDB6C"/>
    <w:rsid w:val="3BF5BC2F"/>
    <w:rsid w:val="3C9B3F0D"/>
    <w:rsid w:val="3CEBA265"/>
    <w:rsid w:val="3D151117"/>
    <w:rsid w:val="3D3B2FFA"/>
    <w:rsid w:val="3D98207C"/>
    <w:rsid w:val="3DEE7CF3"/>
    <w:rsid w:val="3E740A63"/>
    <w:rsid w:val="3E78745D"/>
    <w:rsid w:val="3EC05EAD"/>
    <w:rsid w:val="3EE17838"/>
    <w:rsid w:val="3F3782FE"/>
    <w:rsid w:val="3F55381A"/>
    <w:rsid w:val="3F7F7599"/>
    <w:rsid w:val="3FCC0881"/>
    <w:rsid w:val="3FF4CAE0"/>
    <w:rsid w:val="3FF7B227"/>
    <w:rsid w:val="3FFED84D"/>
    <w:rsid w:val="408D1DBF"/>
    <w:rsid w:val="40FF07E3"/>
    <w:rsid w:val="41126768"/>
    <w:rsid w:val="42167715"/>
    <w:rsid w:val="42277FF1"/>
    <w:rsid w:val="42BF46CD"/>
    <w:rsid w:val="42FA5706"/>
    <w:rsid w:val="43947021"/>
    <w:rsid w:val="43972F54"/>
    <w:rsid w:val="43CB4A42"/>
    <w:rsid w:val="445B21D4"/>
    <w:rsid w:val="44E268DA"/>
    <w:rsid w:val="450D13D7"/>
    <w:rsid w:val="45506656"/>
    <w:rsid w:val="45684BA8"/>
    <w:rsid w:val="457D1B64"/>
    <w:rsid w:val="45C33398"/>
    <w:rsid w:val="46853B06"/>
    <w:rsid w:val="46C03088"/>
    <w:rsid w:val="46DC75FC"/>
    <w:rsid w:val="46FF32EA"/>
    <w:rsid w:val="470569C3"/>
    <w:rsid w:val="474F4272"/>
    <w:rsid w:val="486A6C7A"/>
    <w:rsid w:val="48B9571B"/>
    <w:rsid w:val="494D658F"/>
    <w:rsid w:val="49D24CE6"/>
    <w:rsid w:val="49F369C0"/>
    <w:rsid w:val="4A627F82"/>
    <w:rsid w:val="4B047121"/>
    <w:rsid w:val="4B0E749A"/>
    <w:rsid w:val="4B2477C4"/>
    <w:rsid w:val="4B4F25DA"/>
    <w:rsid w:val="4B9A1343"/>
    <w:rsid w:val="4BA3303F"/>
    <w:rsid w:val="4BE068DB"/>
    <w:rsid w:val="4D577224"/>
    <w:rsid w:val="4DBF1CEB"/>
    <w:rsid w:val="4DF0007C"/>
    <w:rsid w:val="4EAB630A"/>
    <w:rsid w:val="4EC531EF"/>
    <w:rsid w:val="4ECE2238"/>
    <w:rsid w:val="4ED85BFC"/>
    <w:rsid w:val="4F0C0C9A"/>
    <w:rsid w:val="4F4BA854"/>
    <w:rsid w:val="4F755603"/>
    <w:rsid w:val="4F7F298C"/>
    <w:rsid w:val="4F833267"/>
    <w:rsid w:val="4FE9BD67"/>
    <w:rsid w:val="4FFB052F"/>
    <w:rsid w:val="510C3FAA"/>
    <w:rsid w:val="51BF6ED1"/>
    <w:rsid w:val="52280867"/>
    <w:rsid w:val="52A15B9E"/>
    <w:rsid w:val="52B14033"/>
    <w:rsid w:val="52DD4E28"/>
    <w:rsid w:val="52F21F55"/>
    <w:rsid w:val="537E6D0A"/>
    <w:rsid w:val="53F74C96"/>
    <w:rsid w:val="53FA5565"/>
    <w:rsid w:val="54AA0D3A"/>
    <w:rsid w:val="54E35FFA"/>
    <w:rsid w:val="55170BA8"/>
    <w:rsid w:val="553218C9"/>
    <w:rsid w:val="55FD133D"/>
    <w:rsid w:val="567E1AA5"/>
    <w:rsid w:val="56E47B74"/>
    <w:rsid w:val="57175D52"/>
    <w:rsid w:val="571C43E3"/>
    <w:rsid w:val="57BD3DD4"/>
    <w:rsid w:val="58767185"/>
    <w:rsid w:val="587E6D92"/>
    <w:rsid w:val="58A61D1B"/>
    <w:rsid w:val="58B8779D"/>
    <w:rsid w:val="58DECC34"/>
    <w:rsid w:val="58E97957"/>
    <w:rsid w:val="59605E6B"/>
    <w:rsid w:val="59A377EE"/>
    <w:rsid w:val="59DE07B4"/>
    <w:rsid w:val="59FD5DAF"/>
    <w:rsid w:val="5A015476"/>
    <w:rsid w:val="5A1A10F9"/>
    <w:rsid w:val="5A5C0D28"/>
    <w:rsid w:val="5AF92295"/>
    <w:rsid w:val="5B1213E7"/>
    <w:rsid w:val="5B250254"/>
    <w:rsid w:val="5B7C57FD"/>
    <w:rsid w:val="5BDD79E6"/>
    <w:rsid w:val="5BE070F1"/>
    <w:rsid w:val="5BF561CA"/>
    <w:rsid w:val="5BFF5DFC"/>
    <w:rsid w:val="5C100976"/>
    <w:rsid w:val="5CCB40BB"/>
    <w:rsid w:val="5CD71FC4"/>
    <w:rsid w:val="5D1F11B5"/>
    <w:rsid w:val="5D5F16A9"/>
    <w:rsid w:val="5D695134"/>
    <w:rsid w:val="5DAE1B18"/>
    <w:rsid w:val="5DE7D9E5"/>
    <w:rsid w:val="5E6B7683"/>
    <w:rsid w:val="5ECEC941"/>
    <w:rsid w:val="5FBF9FF3"/>
    <w:rsid w:val="5FCD4E2C"/>
    <w:rsid w:val="5FEF394A"/>
    <w:rsid w:val="5FF67715"/>
    <w:rsid w:val="5FFC4413"/>
    <w:rsid w:val="602A5424"/>
    <w:rsid w:val="610C0686"/>
    <w:rsid w:val="62BF3928"/>
    <w:rsid w:val="632C14B3"/>
    <w:rsid w:val="63B3701E"/>
    <w:rsid w:val="63FD9CF8"/>
    <w:rsid w:val="647F5392"/>
    <w:rsid w:val="65AE7F5E"/>
    <w:rsid w:val="65E66580"/>
    <w:rsid w:val="65F20792"/>
    <w:rsid w:val="664B1D71"/>
    <w:rsid w:val="664B4E8E"/>
    <w:rsid w:val="666E7B49"/>
    <w:rsid w:val="67091152"/>
    <w:rsid w:val="67277B67"/>
    <w:rsid w:val="675D1C3B"/>
    <w:rsid w:val="67AA3209"/>
    <w:rsid w:val="698D0931"/>
    <w:rsid w:val="69DC36A5"/>
    <w:rsid w:val="6A7E25F5"/>
    <w:rsid w:val="6A7FE5F3"/>
    <w:rsid w:val="6B053271"/>
    <w:rsid w:val="6BDD78B3"/>
    <w:rsid w:val="6BE8587F"/>
    <w:rsid w:val="6C4A05C8"/>
    <w:rsid w:val="6C5645E3"/>
    <w:rsid w:val="6C8742B8"/>
    <w:rsid w:val="6C9003BD"/>
    <w:rsid w:val="6CCE7137"/>
    <w:rsid w:val="6CDF5007"/>
    <w:rsid w:val="6D7F460B"/>
    <w:rsid w:val="6D8C5028"/>
    <w:rsid w:val="6DBF5E93"/>
    <w:rsid w:val="6DCA69DB"/>
    <w:rsid w:val="6DCC3677"/>
    <w:rsid w:val="6DF7F038"/>
    <w:rsid w:val="6DFF077E"/>
    <w:rsid w:val="6E13644D"/>
    <w:rsid w:val="6E714EF0"/>
    <w:rsid w:val="6E7E3605"/>
    <w:rsid w:val="6E7FDCC7"/>
    <w:rsid w:val="6ED6A62E"/>
    <w:rsid w:val="6EE00B15"/>
    <w:rsid w:val="6EF759B5"/>
    <w:rsid w:val="6F6FB3EB"/>
    <w:rsid w:val="6F8731EA"/>
    <w:rsid w:val="6FBF311F"/>
    <w:rsid w:val="6FCE6052"/>
    <w:rsid w:val="6FD57C00"/>
    <w:rsid w:val="6FEFFFD8"/>
    <w:rsid w:val="6FF5CC65"/>
    <w:rsid w:val="6FFB47EC"/>
    <w:rsid w:val="6FFF034A"/>
    <w:rsid w:val="70484440"/>
    <w:rsid w:val="712A28F1"/>
    <w:rsid w:val="715C0E4B"/>
    <w:rsid w:val="71992E7C"/>
    <w:rsid w:val="71C51099"/>
    <w:rsid w:val="72233669"/>
    <w:rsid w:val="72734D90"/>
    <w:rsid w:val="729F135A"/>
    <w:rsid w:val="73160E6D"/>
    <w:rsid w:val="7332FE48"/>
    <w:rsid w:val="73AB61DA"/>
    <w:rsid w:val="73AD73D5"/>
    <w:rsid w:val="73B6EB34"/>
    <w:rsid w:val="73FA497D"/>
    <w:rsid w:val="743362C0"/>
    <w:rsid w:val="744731E5"/>
    <w:rsid w:val="74BBD01D"/>
    <w:rsid w:val="74D74888"/>
    <w:rsid w:val="74ED5379"/>
    <w:rsid w:val="75DEEEC2"/>
    <w:rsid w:val="75E32345"/>
    <w:rsid w:val="76593F16"/>
    <w:rsid w:val="76E3355F"/>
    <w:rsid w:val="76F413E0"/>
    <w:rsid w:val="76FF5125"/>
    <w:rsid w:val="775E5C88"/>
    <w:rsid w:val="776F6FFA"/>
    <w:rsid w:val="778769C8"/>
    <w:rsid w:val="77A75DCA"/>
    <w:rsid w:val="77B07B65"/>
    <w:rsid w:val="77DC22F5"/>
    <w:rsid w:val="783E271A"/>
    <w:rsid w:val="784E53E2"/>
    <w:rsid w:val="78616DE9"/>
    <w:rsid w:val="78970B65"/>
    <w:rsid w:val="78E875D7"/>
    <w:rsid w:val="79086DAD"/>
    <w:rsid w:val="79D7FD79"/>
    <w:rsid w:val="79EE5BA4"/>
    <w:rsid w:val="79FFBD68"/>
    <w:rsid w:val="7A552612"/>
    <w:rsid w:val="7A5769BE"/>
    <w:rsid w:val="7A894339"/>
    <w:rsid w:val="7AD284E8"/>
    <w:rsid w:val="7AFF7572"/>
    <w:rsid w:val="7B6C7DFB"/>
    <w:rsid w:val="7BBFBED0"/>
    <w:rsid w:val="7BC3E394"/>
    <w:rsid w:val="7C1F3737"/>
    <w:rsid w:val="7C99506C"/>
    <w:rsid w:val="7CBFC87B"/>
    <w:rsid w:val="7CE53EAD"/>
    <w:rsid w:val="7CFE0F48"/>
    <w:rsid w:val="7D272ABC"/>
    <w:rsid w:val="7D7EC23E"/>
    <w:rsid w:val="7DFEF143"/>
    <w:rsid w:val="7E39018B"/>
    <w:rsid w:val="7E7F4735"/>
    <w:rsid w:val="7E8ADEBF"/>
    <w:rsid w:val="7EC27582"/>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C3F6E"/>
    <w:rsid w:val="7FEDC5F7"/>
    <w:rsid w:val="7FEDD9DE"/>
    <w:rsid w:val="7FF5890D"/>
    <w:rsid w:val="7FF93490"/>
    <w:rsid w:val="7FFF8C51"/>
    <w:rsid w:val="8B63CC7E"/>
    <w:rsid w:val="99FF2014"/>
    <w:rsid w:val="9CEF72EF"/>
    <w:rsid w:val="9E4E6DEE"/>
    <w:rsid w:val="A6DD0D7F"/>
    <w:rsid w:val="ACFF4FBB"/>
    <w:rsid w:val="ADC6F725"/>
    <w:rsid w:val="AFD6E1D9"/>
    <w:rsid w:val="B4EF7211"/>
    <w:rsid w:val="B7CF06AB"/>
    <w:rsid w:val="B7CFA926"/>
    <w:rsid w:val="B7F8786B"/>
    <w:rsid w:val="B7FCC80C"/>
    <w:rsid w:val="BABB6AA1"/>
    <w:rsid w:val="BB2F4199"/>
    <w:rsid w:val="BCFFB442"/>
    <w:rsid w:val="BD079C78"/>
    <w:rsid w:val="BD733540"/>
    <w:rsid w:val="BF3735D5"/>
    <w:rsid w:val="BF7F09AC"/>
    <w:rsid w:val="BFD475C3"/>
    <w:rsid w:val="BFDE5EA6"/>
    <w:rsid w:val="BFEFBFA2"/>
    <w:rsid w:val="C9F7C528"/>
    <w:rsid w:val="CF6FC6F3"/>
    <w:rsid w:val="CFD3D3D7"/>
    <w:rsid w:val="CFDF1009"/>
    <w:rsid w:val="D7D7B16A"/>
    <w:rsid w:val="D8D6DB89"/>
    <w:rsid w:val="DB6F4CAB"/>
    <w:rsid w:val="DB777682"/>
    <w:rsid w:val="DD1FB521"/>
    <w:rsid w:val="DEFBFEAE"/>
    <w:rsid w:val="DF1F3B80"/>
    <w:rsid w:val="DF6F9789"/>
    <w:rsid w:val="DFE9BE81"/>
    <w:rsid w:val="DFFFA9E8"/>
    <w:rsid w:val="E39F5898"/>
    <w:rsid w:val="E5F4E9DC"/>
    <w:rsid w:val="E70FE695"/>
    <w:rsid w:val="EB2E368B"/>
    <w:rsid w:val="ECFED1BC"/>
    <w:rsid w:val="ED1D69BB"/>
    <w:rsid w:val="ED7FD312"/>
    <w:rsid w:val="EF2E1AC6"/>
    <w:rsid w:val="EF53993F"/>
    <w:rsid w:val="EF6FD633"/>
    <w:rsid w:val="EFBFB2F4"/>
    <w:rsid w:val="EFBFFA21"/>
    <w:rsid w:val="EFE7C833"/>
    <w:rsid w:val="F2BEBCB8"/>
    <w:rsid w:val="F36FB518"/>
    <w:rsid w:val="F3DE1A04"/>
    <w:rsid w:val="F3F722E5"/>
    <w:rsid w:val="F4FBCD07"/>
    <w:rsid w:val="F5CC4DBF"/>
    <w:rsid w:val="F9FDD6D2"/>
    <w:rsid w:val="FA5F1E70"/>
    <w:rsid w:val="FA5FDB97"/>
    <w:rsid w:val="FAFA8161"/>
    <w:rsid w:val="FB7F486A"/>
    <w:rsid w:val="FBCFAB78"/>
    <w:rsid w:val="FBFF5B2E"/>
    <w:rsid w:val="FD7FFE2B"/>
    <w:rsid w:val="FDEE196B"/>
    <w:rsid w:val="FDFE6575"/>
    <w:rsid w:val="FEDFDDC2"/>
    <w:rsid w:val="FEED32F6"/>
    <w:rsid w:val="FEF781DD"/>
    <w:rsid w:val="FF3F7E3F"/>
    <w:rsid w:val="FFB99309"/>
    <w:rsid w:val="FFBA12D7"/>
    <w:rsid w:val="FFCBD314"/>
    <w:rsid w:val="FFDFF91C"/>
    <w:rsid w:val="FFDFFAEE"/>
    <w:rsid w:val="FFEF6777"/>
    <w:rsid w:val="FFF9B57B"/>
    <w:rsid w:val="FFFBA255"/>
    <w:rsid w:val="FFFCE578"/>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200"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3"/>
    <w:qFormat/>
    <w:uiPriority w:val="9"/>
    <w:rPr>
      <w:rFonts w:ascii="Times New Roman" w:hAnsi="Times New Roman"/>
      <w:b/>
      <w:bCs/>
      <w:kern w:val="44"/>
      <w:sz w:val="44"/>
      <w:szCs w:val="44"/>
    </w:rPr>
  </w:style>
  <w:style w:type="character" w:customStyle="1" w:styleId="30">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10"/>
    <w:semiHidden/>
    <w:qFormat/>
    <w:uiPriority w:val="99"/>
    <w:rPr>
      <w:rFonts w:ascii="Times New Roman" w:hAnsi="Times New Roman"/>
      <w:kern w:val="2"/>
      <w:sz w:val="18"/>
      <w:szCs w:val="18"/>
    </w:rPr>
  </w:style>
  <w:style w:type="character" w:customStyle="1" w:styleId="33">
    <w:name w:val="标题 3 字符"/>
    <w:basedOn w:val="17"/>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 w:type="paragraph" w:customStyle="1" w:styleId="36">
    <w:name w:val="WPSOffice手动目录 1"/>
    <w:qFormat/>
    <w:uiPriority w:val="0"/>
    <w:rPr>
      <w:rFonts w:ascii="Times New Roman" w:hAnsi="Times New Roman" w:eastAsia="宋体" w:cs="Times New Roman"/>
      <w:lang w:val="en-US" w:eastAsia="zh-CN" w:bidi="ar-SA"/>
    </w:rPr>
  </w:style>
  <w:style w:type="paragraph" w:customStyle="1" w:styleId="3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16</Pages>
  <Words>3982</Words>
  <Characters>4341</Characters>
  <Lines>45</Lines>
  <Paragraphs>12</Paragraphs>
  <TotalTime>3</TotalTime>
  <ScaleCrop>false</ScaleCrop>
  <LinksUpToDate>false</LinksUpToDate>
  <CharactersWithSpaces>4460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2020-08-10T09:49:00Z</dcterms:created>
  <dc:creator>曹颖</dc:creator>
  <cp:lastModifiedBy>user</cp:lastModifiedBy>
  <cp:lastPrinted>2025-08-07T17:34:00Z</cp:lastPrinted>
  <dcterms:modified xsi:type="dcterms:W3CDTF">2025-09-12T11:01:47Z</dcterms:modified>
  <dc:title>四川省***</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C8EFABF38B254E10875281B1FBC0FB44_13</vt:lpwstr>
  </property>
  <property fmtid="{D5CDD505-2E9C-101B-9397-08002B2CF9AE}" pid="4" name="KSOTemplateDocerSaveRecord">
    <vt:lpwstr>eyJoZGlkIjoiNDYzNDE5M2EwNjRmMTJkOWE0MTYzZDNlYjZlYjdiMzkiLCJ1c2VySWQiOiIxMjM0Njk3MzI1In0=</vt:lpwstr>
  </property>
</Properties>
</file>