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rPr>
      </w:pPr>
      <w:bookmarkStart w:id="0" w:name="_Toc15377193"/>
      <w:bookmarkStart w:id="1" w:name="_Toc15396475"/>
      <w:bookmarkStart w:id="2" w:name="_Toc15377425"/>
      <w:bookmarkStart w:id="3" w:name="_Toc15396597"/>
      <w:bookmarkStart w:id="4" w:name="_Toc15378441"/>
      <w:bookmarkStart w:id="5" w:name="_Toc15306267"/>
    </w:p>
    <w:p>
      <w:pPr>
        <w:pStyle w:val="8"/>
        <w:jc w:val="center"/>
        <w:rPr>
          <w:rFonts w:hint="eastAsia" w:ascii="Times New Roman" w:hAnsi="Times New Roman" w:eastAsia="方正小标宋简体" w:cs="Times New Roman"/>
          <w:color w:val="auto"/>
          <w:kern w:val="2"/>
          <w:sz w:val="44"/>
          <w:szCs w:val="44"/>
          <w:highlight w:val="none"/>
          <w:lang w:val="en-US" w:eastAsia="zh-CN" w:bidi="ar-SA"/>
        </w:rPr>
      </w:pPr>
    </w:p>
    <w:p>
      <w:pPr>
        <w:pStyle w:val="8"/>
        <w:jc w:val="center"/>
        <w:rPr>
          <w:rFonts w:hint="eastAsia" w:ascii="Times New Roman" w:hAnsi="Times New Roman" w:eastAsia="方正小标宋简体" w:cs="Times New Roman"/>
          <w:color w:val="auto"/>
          <w:kern w:val="2"/>
          <w:sz w:val="44"/>
          <w:szCs w:val="44"/>
          <w:highlight w:val="none"/>
          <w:lang w:val="en-US" w:eastAsia="zh-CN" w:bidi="ar-SA"/>
        </w:rPr>
      </w:pPr>
    </w:p>
    <w:p>
      <w:pPr>
        <w:pStyle w:val="8"/>
        <w:jc w:val="center"/>
        <w:rPr>
          <w:rFonts w:hint="eastAsia" w:ascii="Times New Roman" w:hAnsi="Times New Roman" w:eastAsia="方正小标宋简体" w:cs="Times New Roman"/>
          <w:color w:val="auto"/>
          <w:kern w:val="2"/>
          <w:sz w:val="44"/>
          <w:szCs w:val="44"/>
          <w:highlight w:val="none"/>
          <w:lang w:val="en-US" w:eastAsia="zh-CN" w:bidi="ar-SA"/>
        </w:rPr>
      </w:pPr>
    </w:p>
    <w:p>
      <w:pPr>
        <w:pStyle w:val="8"/>
        <w:jc w:val="center"/>
        <w:rPr>
          <w:rFonts w:hint="eastAsia" w:ascii="Times New Roman" w:hAnsi="Times New Roman" w:eastAsia="方正小标宋简体" w:cs="Times New Roman"/>
          <w:color w:val="auto"/>
          <w:kern w:val="2"/>
          <w:sz w:val="72"/>
          <w:szCs w:val="72"/>
          <w:highlight w:val="none"/>
          <w:lang w:val="en-US" w:eastAsia="zh-CN" w:bidi="ar-SA"/>
        </w:rPr>
      </w:pPr>
    </w:p>
    <w:bookmarkEnd w:id="0"/>
    <w:bookmarkEnd w:id="1"/>
    <w:bookmarkEnd w:id="2"/>
    <w:bookmarkEnd w:id="3"/>
    <w:bookmarkEnd w:id="4"/>
    <w:p>
      <w:pPr>
        <w:pStyle w:val="8"/>
        <w:jc w:val="center"/>
        <w:rPr>
          <w:rFonts w:hint="eastAsia" w:ascii="Times New Roman" w:hAnsi="Times New Roman" w:eastAsia="方正小标宋简体" w:cs="Times New Roman"/>
          <w:color w:val="auto"/>
          <w:kern w:val="2"/>
          <w:sz w:val="72"/>
          <w:szCs w:val="72"/>
          <w:highlight w:val="none"/>
          <w:lang w:val="en-US" w:eastAsia="zh-CN" w:bidi="ar-SA"/>
        </w:rPr>
      </w:pPr>
      <w:bookmarkStart w:id="6" w:name="_Toc15377426"/>
      <w:bookmarkStart w:id="7" w:name="_Toc15378442"/>
      <w:bookmarkStart w:id="8" w:name="_Toc15396598"/>
      <w:bookmarkStart w:id="9" w:name="_Toc15377194"/>
      <w:bookmarkStart w:id="10" w:name="_Toc15396476"/>
      <w:r>
        <w:rPr>
          <w:rFonts w:hint="eastAsia" w:ascii="Times New Roman" w:hAnsi="Times New Roman" w:eastAsia="方正小标宋简体" w:cs="Times New Roman"/>
          <w:color w:val="auto"/>
          <w:kern w:val="2"/>
          <w:sz w:val="72"/>
          <w:szCs w:val="72"/>
          <w:highlight w:val="none"/>
          <w:lang w:val="en-US" w:eastAsia="zh-CN" w:bidi="ar-SA"/>
        </w:rPr>
        <w:t>2024年度</w:t>
      </w:r>
    </w:p>
    <w:p>
      <w:pPr>
        <w:pStyle w:val="8"/>
        <w:jc w:val="center"/>
        <w:rPr>
          <w:rFonts w:hint="default" w:ascii="Times New Roman" w:hAnsi="Times New Roman" w:eastAsia="方正小标宋简体" w:cs="Times New Roman"/>
          <w:color w:val="auto"/>
          <w:kern w:val="2"/>
          <w:sz w:val="72"/>
          <w:szCs w:val="72"/>
          <w:highlight w:val="none"/>
          <w:lang w:val="en-US" w:eastAsia="zh-CN" w:bidi="ar-SA"/>
        </w:rPr>
      </w:pPr>
      <w:r>
        <w:rPr>
          <w:rFonts w:hint="eastAsia" w:ascii="Times New Roman" w:hAnsi="Times New Roman" w:eastAsia="方正小标宋简体" w:cs="Times New Roman"/>
          <w:color w:val="auto"/>
          <w:kern w:val="2"/>
          <w:sz w:val="72"/>
          <w:szCs w:val="72"/>
          <w:highlight w:val="none"/>
          <w:lang w:val="en-US" w:eastAsia="zh-CN" w:bidi="ar-SA"/>
        </w:rPr>
        <w:t>四川</w:t>
      </w:r>
      <w:bookmarkEnd w:id="5"/>
      <w:bookmarkStart w:id="11" w:name="_Toc15306268"/>
      <w:r>
        <w:rPr>
          <w:rFonts w:hint="eastAsia" w:ascii="Times New Roman" w:eastAsia="方正小标宋简体" w:cs="Times New Roman"/>
          <w:color w:val="auto"/>
          <w:kern w:val="2"/>
          <w:sz w:val="72"/>
          <w:szCs w:val="72"/>
          <w:highlight w:val="none"/>
          <w:lang w:val="en-US" w:eastAsia="zh-CN" w:bidi="ar-SA"/>
        </w:rPr>
        <w:t>化工职业技术学院</w:t>
      </w:r>
    </w:p>
    <w:p>
      <w:pPr>
        <w:pStyle w:val="8"/>
        <w:jc w:val="center"/>
        <w:rPr>
          <w:rFonts w:hint="eastAsia" w:ascii="Times New Roman" w:hAnsi="Times New Roman" w:eastAsia="方正小标宋简体" w:cs="Times New Roman"/>
          <w:color w:val="auto"/>
          <w:kern w:val="2"/>
          <w:sz w:val="72"/>
          <w:szCs w:val="72"/>
          <w:highlight w:val="none"/>
          <w:lang w:val="en-US" w:eastAsia="zh-CN" w:bidi="ar-SA"/>
        </w:rPr>
      </w:pPr>
      <w:r>
        <w:rPr>
          <w:rFonts w:hint="eastAsia" w:ascii="Times New Roman" w:eastAsia="方正小标宋简体" w:cs="Times New Roman"/>
          <w:color w:val="auto"/>
          <w:kern w:val="2"/>
          <w:sz w:val="72"/>
          <w:szCs w:val="72"/>
          <w:highlight w:val="none"/>
          <w:lang w:val="en-US" w:eastAsia="zh-CN" w:bidi="ar-SA"/>
        </w:rPr>
        <w:t>单位</w:t>
      </w:r>
      <w:r>
        <w:rPr>
          <w:rFonts w:hint="eastAsia" w:ascii="Times New Roman" w:hAnsi="Times New Roman" w:eastAsia="方正小标宋简体" w:cs="Times New Roman"/>
          <w:color w:val="auto"/>
          <w:kern w:val="2"/>
          <w:sz w:val="72"/>
          <w:szCs w:val="72"/>
          <w:highlight w:val="none"/>
          <w:lang w:val="en-US" w:eastAsia="zh-CN" w:bidi="ar-SA"/>
        </w:rPr>
        <w:t>决算</w:t>
      </w:r>
      <w:bookmarkEnd w:id="6"/>
      <w:bookmarkEnd w:id="7"/>
      <w:bookmarkEnd w:id="8"/>
      <w:bookmarkEnd w:id="9"/>
      <w:bookmarkEnd w:id="10"/>
      <w:bookmarkEnd w:id="11"/>
    </w:p>
    <w:p>
      <w:pPr>
        <w:widowControl/>
        <w:jc w:val="both"/>
        <w:rPr>
          <w:rFonts w:ascii="Times New Roman" w:hAnsi="Times New Roman" w:eastAsia="方正小标宋简体"/>
          <w:color w:val="auto"/>
          <w:sz w:val="36"/>
          <w:szCs w:val="36"/>
          <w:highlight w:val="none"/>
        </w:rPr>
      </w:pPr>
      <w:r>
        <w:rPr>
          <w:rFonts w:ascii="Times New Roman" w:hAnsi="Times New Roman" w:eastAsia="方正小标宋简体"/>
          <w:color w:val="auto"/>
          <w:sz w:val="36"/>
          <w:szCs w:val="36"/>
          <w:highlight w:val="none"/>
        </w:rPr>
        <w:br w:type="page"/>
      </w:r>
    </w:p>
    <w:p>
      <w:pPr>
        <w:pStyle w:val="19"/>
        <w:rPr>
          <w:rFonts w:ascii="宋体" w:hAnsi="宋体" w:eastAsia="宋体" w:cs="Times New Roman"/>
          <w:kern w:val="0"/>
          <w:sz w:val="16"/>
          <w:szCs w:val="16"/>
          <w:lang w:val="zh-CN" w:eastAsia="zh-CN" w:bidi="ar-SA"/>
        </w:rPr>
      </w:pPr>
    </w:p>
    <w:sdt>
      <w:sdtPr>
        <w:rPr>
          <w:rFonts w:hint="eastAsia" w:ascii="Times New Roman" w:hAnsi="Times New Roman" w:eastAsia="黑体" w:cs="Times New Roman"/>
          <w:color w:val="auto"/>
          <w:sz w:val="48"/>
          <w:szCs w:val="48"/>
          <w:highlight w:val="none"/>
          <w:lang w:val="en-US" w:eastAsia="zh-CN"/>
        </w:rPr>
        <w:id w:val="147457984"/>
        <w15:color w:val="DBDBDB"/>
        <w:docPartObj>
          <w:docPartGallery w:val="Table of Contents"/>
          <w:docPartUnique/>
        </w:docPartObj>
      </w:sdtPr>
      <w:sdtEndPr>
        <w:rPr>
          <w:rFonts w:hint="eastAsia" w:ascii="宋体" w:hAnsi="宋体" w:eastAsia="宋体" w:cs="Times New Roman"/>
          <w:color w:val="auto"/>
          <w:kern w:val="0"/>
          <w:sz w:val="15"/>
          <w:szCs w:val="15"/>
          <w:highlight w:val="none"/>
          <w:lang w:val="zh-CN" w:eastAsia="zh-CN" w:bidi="ar-SA"/>
        </w:rPr>
      </w:sdtEndPr>
      <w:sdtContent>
        <w:p>
          <w:pPr>
            <w:widowControl/>
            <w:jc w:val="center"/>
            <w:rPr>
              <w:rFonts w:hint="eastAsia" w:ascii="Times New Roman" w:hAnsi="Times New Roman" w:eastAsia="黑体" w:cs="Times New Roman"/>
              <w:color w:val="auto"/>
              <w:sz w:val="48"/>
              <w:szCs w:val="48"/>
              <w:highlight w:val="none"/>
            </w:rPr>
          </w:pPr>
          <w:r>
            <w:rPr>
              <w:rFonts w:hint="eastAsia" w:ascii="Times New Roman" w:hAnsi="Times New Roman" w:eastAsia="黑体" w:cs="Times New Roman"/>
              <w:color w:val="auto"/>
              <w:sz w:val="48"/>
              <w:szCs w:val="48"/>
              <w:highlight w:val="none"/>
            </w:rPr>
            <w:t>目录</w:t>
          </w:r>
        </w:p>
        <w:p>
          <w:pPr>
            <w:pStyle w:val="19"/>
            <w:rPr>
              <w:rFonts w:hint="eastAsia" w:ascii="Times New Roman" w:hAnsi="Times New Roman" w:eastAsia="黑体" w:cs="Times New Roman"/>
              <w:color w:val="auto"/>
              <w:sz w:val="48"/>
              <w:szCs w:val="48"/>
              <w:highlight w:val="none"/>
            </w:rPr>
          </w:pPr>
        </w:p>
        <w:p>
          <w:pPr>
            <w:pStyle w:val="13"/>
            <w:rPr>
              <w:rFonts w:hint="eastAsia" w:ascii="Times New Roman" w:hAnsi="Times New Roman" w:eastAsia="仿宋_GB2312" w:cs="仿宋_GB2312"/>
              <w:color w:val="auto"/>
              <w:sz w:val="32"/>
              <w:szCs w:val="32"/>
              <w:highlight w:val="none"/>
            </w:rPr>
          </w:pPr>
          <w:r>
            <w:rPr>
              <w:rFonts w:hint="eastAsia" w:ascii="Times New Roman" w:hAnsi="Times New Roman" w:eastAsia="仿宋_GB2312" w:cs="仿宋_GB2312"/>
              <w:color w:val="auto"/>
              <w:sz w:val="32"/>
              <w:szCs w:val="32"/>
              <w:highlight w:val="none"/>
            </w:rPr>
            <w:t>公开时间：20</w:t>
          </w:r>
          <w:r>
            <w:rPr>
              <w:rFonts w:hint="eastAsia" w:ascii="Times New Roman" w:hAnsi="Times New Roman" w:eastAsia="仿宋_GB2312" w:cs="仿宋_GB2312"/>
              <w:color w:val="auto"/>
              <w:sz w:val="32"/>
              <w:szCs w:val="32"/>
              <w:highlight w:val="none"/>
              <w:lang w:val="en-US" w:eastAsia="zh-CN"/>
            </w:rPr>
            <w:t>25</w:t>
          </w:r>
          <w:r>
            <w:rPr>
              <w:rFonts w:hint="eastAsia" w:ascii="Times New Roman" w:hAnsi="Times New Roman" w:eastAsia="仿宋_GB2312" w:cs="仿宋_GB2312"/>
              <w:color w:val="auto"/>
              <w:sz w:val="32"/>
              <w:szCs w:val="32"/>
              <w:highlight w:val="none"/>
            </w:rPr>
            <w:t>年</w:t>
          </w:r>
          <w:r>
            <w:rPr>
              <w:rFonts w:hint="eastAsia" w:ascii="Times New Roman" w:hAnsi="Times New Roman" w:eastAsia="仿宋_GB2312" w:cs="仿宋_GB2312"/>
              <w:color w:val="auto"/>
              <w:sz w:val="32"/>
              <w:szCs w:val="32"/>
              <w:highlight w:val="none"/>
              <w:lang w:val="en-US" w:eastAsia="zh-CN"/>
            </w:rPr>
            <w:t>9</w:t>
          </w:r>
          <w:r>
            <w:rPr>
              <w:rFonts w:hint="eastAsia" w:ascii="Times New Roman" w:hAnsi="Times New Roman" w:eastAsia="仿宋_GB2312" w:cs="仿宋_GB2312"/>
              <w:color w:val="auto"/>
              <w:sz w:val="32"/>
              <w:szCs w:val="32"/>
              <w:highlight w:val="none"/>
            </w:rPr>
            <w:t>月</w:t>
          </w:r>
          <w:r>
            <w:rPr>
              <w:rFonts w:hint="eastAsia" w:ascii="Times New Roman" w:hAnsi="Times New Roman" w:eastAsia="仿宋_GB2312" w:cs="仿宋_GB2312"/>
              <w:color w:val="auto"/>
              <w:sz w:val="32"/>
              <w:szCs w:val="32"/>
              <w:highlight w:val="none"/>
              <w:lang w:val="en-US" w:eastAsia="zh-CN"/>
            </w:rPr>
            <w:t>12</w:t>
          </w:r>
          <w:r>
            <w:rPr>
              <w:rFonts w:hint="eastAsia" w:ascii="Times New Roman" w:hAnsi="Times New Roman" w:eastAsia="仿宋_GB2312" w:cs="仿宋_GB2312"/>
              <w:color w:val="auto"/>
              <w:sz w:val="32"/>
              <w:szCs w:val="32"/>
              <w:highlight w:val="none"/>
            </w:rPr>
            <w:t>日</w:t>
          </w:r>
        </w:p>
        <w:p>
          <w:pPr>
            <w:pStyle w:val="19"/>
            <w:rPr>
              <w:rFonts w:hint="eastAsia" w:ascii="Times New Roman" w:hAnsi="Times New Roman" w:eastAsia="黑体" w:cs="Times New Roman"/>
              <w:color w:val="auto"/>
              <w:sz w:val="48"/>
              <w:szCs w:val="48"/>
              <w:highlight w:val="none"/>
            </w:rPr>
          </w:pPr>
        </w:p>
        <w:p>
          <w:pPr>
            <w:pStyle w:val="13"/>
            <w:pageBreakBefore w:val="0"/>
            <w:widowControl w:val="0"/>
            <w:tabs>
              <w:tab w:val="right" w:leader="dot" w:pos="8306"/>
              <w:tab w:val="clear" w:pos="8296"/>
            </w:tabs>
            <w:kinsoku/>
            <w:wordWrap/>
            <w:overflowPunct/>
            <w:topLinePunct w:val="0"/>
            <w:autoSpaceDE/>
            <w:autoSpaceDN/>
            <w:bidi w:val="0"/>
            <w:jc w:val="distribute"/>
            <w:rPr>
              <w:sz w:val="24"/>
              <w:szCs w:val="24"/>
            </w:rPr>
          </w:pPr>
          <w:r>
            <w:rPr>
              <w:rFonts w:ascii="宋体" w:hAnsi="宋体" w:eastAsia="宋体" w:cs="Times New Roman"/>
              <w:kern w:val="0"/>
              <w:sz w:val="15"/>
              <w:szCs w:val="15"/>
              <w:lang w:val="zh-CN" w:eastAsia="zh-CN" w:bidi="ar-SA"/>
            </w:rPr>
            <w:fldChar w:fldCharType="begin"/>
          </w:r>
          <w:r>
            <w:rPr>
              <w:rFonts w:ascii="宋体" w:hAnsi="宋体" w:eastAsia="宋体" w:cs="Times New Roman"/>
              <w:kern w:val="0"/>
              <w:sz w:val="15"/>
              <w:szCs w:val="15"/>
              <w:lang w:val="zh-CN" w:eastAsia="zh-CN" w:bidi="ar-SA"/>
            </w:rPr>
            <w:instrText xml:space="preserve">TOC \o "1-2" \h \u </w:instrText>
          </w:r>
          <w:r>
            <w:rPr>
              <w:rFonts w:ascii="宋体" w:hAnsi="宋体" w:eastAsia="宋体" w:cs="Times New Roman"/>
              <w:kern w:val="0"/>
              <w:sz w:val="15"/>
              <w:szCs w:val="15"/>
              <w:lang w:val="zh-CN" w:eastAsia="zh-CN" w:bidi="ar-SA"/>
            </w:rPr>
            <w:fldChar w:fldCharType="separate"/>
          </w:r>
          <w:r>
            <w:rPr>
              <w:rFonts w:hint="eastAsia" w:ascii="Times New Roman" w:hAnsi="Times New Roman" w:eastAsia="黑体" w:cs="黑体"/>
              <w:color w:val="auto"/>
              <w:sz w:val="28"/>
              <w:szCs w:val="28"/>
              <w:highlight w:val="none"/>
              <w:lang w:val="zh-CN" w:eastAsia="zh-CN"/>
            </w:rPr>
            <w:fldChar w:fldCharType="begin"/>
          </w:r>
          <w:r>
            <w:rPr>
              <w:rFonts w:hint="eastAsia" w:ascii="Times New Roman" w:hAnsi="Times New Roman" w:eastAsia="黑体" w:cs="黑体"/>
              <w:color w:val="auto"/>
              <w:sz w:val="28"/>
              <w:szCs w:val="28"/>
              <w:highlight w:val="none"/>
              <w:lang w:val="zh-CN" w:eastAsia="zh-CN"/>
            </w:rPr>
            <w:instrText xml:space="preserve"> HYPERLINK \l _Toc21667 </w:instrText>
          </w:r>
          <w:r>
            <w:rPr>
              <w:rFonts w:hint="eastAsia" w:ascii="Times New Roman" w:hAnsi="Times New Roman" w:eastAsia="黑体" w:cs="黑体"/>
              <w:color w:val="auto"/>
              <w:sz w:val="28"/>
              <w:szCs w:val="28"/>
              <w:highlight w:val="none"/>
              <w:lang w:val="zh-CN" w:eastAsia="zh-CN"/>
            </w:rPr>
            <w:fldChar w:fldCharType="separate"/>
          </w:r>
          <w:r>
            <w:rPr>
              <w:rFonts w:hint="eastAsia" w:ascii="Times New Roman" w:hAnsi="Times New Roman" w:eastAsia="黑体" w:cs="黑体"/>
              <w:color w:val="auto"/>
              <w:sz w:val="28"/>
              <w:szCs w:val="28"/>
              <w:highlight w:val="none"/>
            </w:rPr>
            <w:t>第一部分</w:t>
          </w:r>
          <w:r>
            <w:rPr>
              <w:rFonts w:hint="eastAsia" w:ascii="Times New Roman" w:hAnsi="Times New Roman" w:eastAsia="黑体" w:cs="黑体"/>
              <w:color w:val="auto"/>
              <w:sz w:val="28"/>
              <w:szCs w:val="28"/>
              <w:highlight w:val="none"/>
              <w:lang w:val="en-US" w:eastAsia="zh-CN"/>
            </w:rPr>
            <w:t xml:space="preserve"> </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lang w:val="en-US" w:eastAsia="zh-CN"/>
            </w:rPr>
            <w:t>单位</w:t>
          </w:r>
          <w:r>
            <w:rPr>
              <w:rFonts w:hint="eastAsia" w:ascii="Times New Roman" w:hAnsi="Times New Roman" w:eastAsia="黑体" w:cs="黑体"/>
              <w:color w:val="auto"/>
              <w:sz w:val="28"/>
              <w:szCs w:val="28"/>
              <w:highlight w:val="none"/>
            </w:rPr>
            <w:t>概况</w:t>
          </w:r>
          <w:r>
            <w:rPr>
              <w:rFonts w:hint="eastAsia" w:ascii="Times New Roman" w:hAnsi="Times New Roman" w:eastAsia="黑体" w:cs="黑体"/>
              <w:color w:val="auto"/>
              <w:sz w:val="28"/>
              <w:szCs w:val="28"/>
              <w:highlight w:val="none"/>
            </w:rPr>
            <w:tab/>
          </w:r>
          <w:r>
            <w:rPr>
              <w:rFonts w:hint="eastAsia" w:ascii="Times New Roman" w:hAnsi="Times New Roman" w:eastAsia="黑体" w:cs="黑体"/>
              <w:color w:val="auto"/>
              <w:sz w:val="28"/>
              <w:szCs w:val="28"/>
              <w:highlight w:val="none"/>
            </w:rPr>
            <w:fldChar w:fldCharType="begin"/>
          </w:r>
          <w:r>
            <w:rPr>
              <w:rFonts w:hint="eastAsia" w:ascii="Times New Roman" w:hAnsi="Times New Roman" w:eastAsia="黑体" w:cs="黑体"/>
              <w:color w:val="auto"/>
              <w:sz w:val="28"/>
              <w:szCs w:val="28"/>
              <w:highlight w:val="none"/>
            </w:rPr>
            <w:instrText xml:space="preserve"> PAGEREF _Toc21667 \h </w:instrText>
          </w:r>
          <w:r>
            <w:rPr>
              <w:rFonts w:hint="eastAsia" w:ascii="Times New Roman" w:hAnsi="Times New Roman" w:eastAsia="黑体" w:cs="黑体"/>
              <w:color w:val="auto"/>
              <w:sz w:val="28"/>
              <w:szCs w:val="28"/>
              <w:highlight w:val="none"/>
            </w:rPr>
            <w:fldChar w:fldCharType="separate"/>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lang w:val="en-US" w:eastAsia="zh-CN"/>
            </w:rPr>
            <w:t>4</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rPr>
            <w:fldChar w:fldCharType="end"/>
          </w:r>
          <w:r>
            <w:rPr>
              <w:rFonts w:hint="eastAsia" w:ascii="Times New Roman" w:hAnsi="Times New Roman" w:eastAsia="黑体" w:cs="黑体"/>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_Toc32226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一、</w:t>
          </w:r>
          <w:r>
            <w:rPr>
              <w:rFonts w:hint="eastAsia" w:eastAsia="仿宋_GB2312" w:cs="仿宋_GB2312"/>
              <w:color w:val="auto"/>
              <w:sz w:val="28"/>
              <w:szCs w:val="28"/>
              <w:highlight w:val="none"/>
              <w:lang w:val="en-US" w:eastAsia="zh-CN"/>
            </w:rPr>
            <w:t>单位</w:t>
          </w:r>
          <w:r>
            <w:rPr>
              <w:rFonts w:hint="eastAsia" w:ascii="Times New Roman" w:hAnsi="Times New Roman" w:eastAsia="仿宋_GB2312" w:cs="仿宋_GB2312"/>
              <w:color w:val="auto"/>
              <w:sz w:val="28"/>
              <w:szCs w:val="28"/>
              <w:highlight w:val="none"/>
              <w:lang w:eastAsia="zh-CN"/>
            </w:rPr>
            <w:t>职责</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_Toc32226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_Toc24948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二、机构设置</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_Toc24948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3"/>
            <w:pageBreakBefore w:val="0"/>
            <w:widowControl w:val="0"/>
            <w:tabs>
              <w:tab w:val="right" w:leader="dot" w:pos="8306"/>
              <w:tab w:val="clear" w:pos="8296"/>
            </w:tabs>
            <w:kinsoku/>
            <w:wordWrap/>
            <w:overflowPunct/>
            <w:topLinePunct w:val="0"/>
            <w:autoSpaceDE/>
            <w:autoSpaceDN/>
            <w:bidi w:val="0"/>
            <w:jc w:val="distribute"/>
            <w:rPr>
              <w:sz w:val="24"/>
              <w:szCs w:val="24"/>
            </w:rPr>
          </w:pPr>
          <w:r>
            <w:rPr>
              <w:rFonts w:ascii="宋体" w:hAnsi="宋体" w:eastAsia="宋体" w:cs="Times New Roman"/>
              <w:kern w:val="0"/>
              <w:sz w:val="24"/>
              <w:szCs w:val="15"/>
              <w:lang w:val="zh-CN" w:eastAsia="zh-CN" w:bidi="ar-SA"/>
            </w:rPr>
            <w:fldChar w:fldCharType="begin"/>
          </w:r>
          <w:r>
            <w:rPr>
              <w:rFonts w:ascii="宋体" w:hAnsi="宋体" w:eastAsia="宋体" w:cs="Times New Roman"/>
              <w:kern w:val="0"/>
              <w:sz w:val="24"/>
              <w:szCs w:val="15"/>
              <w:lang w:val="zh-CN" w:eastAsia="zh-CN" w:bidi="ar-SA"/>
            </w:rPr>
            <w:instrText xml:space="preserve"> HYPERLINK \l _Toc1341 </w:instrText>
          </w:r>
          <w:r>
            <w:rPr>
              <w:rFonts w:ascii="宋体" w:hAnsi="宋体" w:eastAsia="宋体" w:cs="Times New Roman"/>
              <w:kern w:val="0"/>
              <w:sz w:val="24"/>
              <w:szCs w:val="15"/>
              <w:lang w:val="zh-CN" w:eastAsia="zh-CN" w:bidi="ar-SA"/>
            </w:rPr>
            <w:fldChar w:fldCharType="separate"/>
          </w:r>
          <w:r>
            <w:rPr>
              <w:rFonts w:hint="eastAsia" w:ascii="Times New Roman" w:hAnsi="Times New Roman" w:eastAsia="黑体" w:cs="黑体"/>
              <w:color w:val="auto"/>
              <w:sz w:val="28"/>
              <w:szCs w:val="28"/>
              <w:highlight w:val="none"/>
            </w:rPr>
            <w:t>第二部分</w:t>
          </w:r>
          <w:r>
            <w:rPr>
              <w:rFonts w:hint="eastAsia" w:ascii="Times New Roman" w:hAnsi="Times New Roman" w:eastAsia="黑体" w:cs="黑体"/>
              <w:color w:val="auto"/>
              <w:sz w:val="28"/>
              <w:szCs w:val="28"/>
              <w:highlight w:val="none"/>
              <w:lang w:val="en-US" w:eastAsia="zh-CN"/>
            </w:rPr>
            <w:t xml:space="preserve"> </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lang w:val="en-US" w:eastAsia="zh-CN"/>
            </w:rPr>
            <w:t>2024年度单位</w:t>
          </w:r>
          <w:r>
            <w:rPr>
              <w:rFonts w:hint="eastAsia" w:ascii="Times New Roman" w:hAnsi="Times New Roman" w:eastAsia="黑体" w:cs="黑体"/>
              <w:color w:val="auto"/>
              <w:sz w:val="28"/>
              <w:szCs w:val="28"/>
              <w:highlight w:val="none"/>
            </w:rPr>
            <w:t>决算情况说明</w:t>
          </w:r>
          <w:r>
            <w:rPr>
              <w:rFonts w:hint="eastAsia" w:ascii="Times New Roman" w:hAnsi="Times New Roman" w:eastAsia="黑体" w:cs="黑体"/>
              <w:color w:val="auto"/>
              <w:sz w:val="28"/>
              <w:szCs w:val="28"/>
              <w:highlight w:val="none"/>
            </w:rPr>
            <w:tab/>
          </w:r>
          <w:r>
            <w:rPr>
              <w:rFonts w:hint="eastAsia" w:ascii="Times New Roman" w:hAnsi="Times New Roman" w:eastAsia="黑体" w:cs="黑体"/>
              <w:color w:val="auto"/>
              <w:sz w:val="28"/>
              <w:szCs w:val="28"/>
              <w:highlight w:val="none"/>
            </w:rPr>
            <w:fldChar w:fldCharType="begin"/>
          </w:r>
          <w:r>
            <w:rPr>
              <w:rFonts w:hint="eastAsia" w:ascii="Times New Roman" w:hAnsi="Times New Roman" w:eastAsia="黑体" w:cs="黑体"/>
              <w:color w:val="auto"/>
              <w:sz w:val="28"/>
              <w:szCs w:val="28"/>
              <w:highlight w:val="none"/>
            </w:rPr>
            <w:instrText xml:space="preserve"> PAGEREF _Toc1341 \h </w:instrText>
          </w:r>
          <w:r>
            <w:rPr>
              <w:rFonts w:hint="eastAsia" w:ascii="Times New Roman" w:hAnsi="Times New Roman" w:eastAsia="黑体" w:cs="黑体"/>
              <w:color w:val="auto"/>
              <w:sz w:val="28"/>
              <w:szCs w:val="28"/>
              <w:highlight w:val="none"/>
            </w:rPr>
            <w:fldChar w:fldCharType="separate"/>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lang w:val="en-US" w:eastAsia="zh-CN"/>
            </w:rPr>
            <w:t>5</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rPr>
            <w:fldChar w:fldCharType="end"/>
          </w:r>
          <w:r>
            <w:rPr>
              <w:rFonts w:ascii="宋体" w:hAnsi="宋体" w:eastAsia="宋体" w:cs="Times New Roman"/>
              <w:kern w:val="0"/>
              <w:sz w:val="24"/>
              <w:szCs w:val="15"/>
              <w:lang w:val="zh-CN" w:eastAsia="zh-CN" w:bidi="ar-SA"/>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_Toc10516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一、</w:t>
          </w:r>
          <w:r>
            <w:rPr>
              <w:rFonts w:hint="eastAsia" w:ascii="Times New Roman" w:hAnsi="Times New Roman" w:eastAsia="仿宋_GB2312" w:cs="仿宋_GB2312"/>
              <w:color w:val="auto"/>
              <w:sz w:val="28"/>
              <w:szCs w:val="28"/>
              <w:highlight w:val="none"/>
            </w:rPr>
            <w:t>收入支出决算总体情况说明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_Toc10516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5</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_Toc27225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二、收入决算情况说明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_Toc27225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5</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_Toc32214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三、</w:t>
          </w:r>
          <w:r>
            <w:rPr>
              <w:rFonts w:hint="eastAsia" w:ascii="Times New Roman" w:hAnsi="Times New Roman" w:eastAsia="仿宋_GB2312" w:cs="仿宋_GB2312"/>
              <w:color w:val="auto"/>
              <w:sz w:val="28"/>
              <w:szCs w:val="28"/>
              <w:highlight w:val="none"/>
            </w:rPr>
            <w:t>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_Toc32214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6</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_Toc16346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四、财政拨款收入支出决算总体情况说明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黑体" w:cs="黑体"/>
              <w:color w:val="auto"/>
              <w:kern w:val="2"/>
              <w:sz w:val="28"/>
              <w:szCs w:val="28"/>
              <w:highlight w:val="none"/>
              <w:lang w:val="en-US" w:eastAsia="zh-CN" w:bidi="ar-SA"/>
            </w:rPr>
            <w:fldChar w:fldCharType="begin"/>
          </w:r>
          <w:r>
            <w:rPr>
              <w:rFonts w:hint="eastAsia" w:ascii="Times New Roman" w:hAnsi="Times New Roman" w:eastAsia="黑体" w:cs="黑体"/>
              <w:color w:val="auto"/>
              <w:kern w:val="2"/>
              <w:sz w:val="28"/>
              <w:szCs w:val="28"/>
              <w:highlight w:val="none"/>
              <w:lang w:val="en-US" w:eastAsia="zh-CN" w:bidi="ar-SA"/>
            </w:rPr>
            <w:instrText xml:space="preserve"> PAGEREF _Toc16346 \h </w:instrText>
          </w:r>
          <w:r>
            <w:rPr>
              <w:rFonts w:hint="eastAsia" w:ascii="Times New Roman" w:hAnsi="Times New Roman" w:eastAsia="黑体" w:cs="黑体"/>
              <w:color w:val="auto"/>
              <w:kern w:val="2"/>
              <w:sz w:val="28"/>
              <w:szCs w:val="28"/>
              <w:highlight w:val="none"/>
              <w:lang w:val="en-US" w:eastAsia="zh-CN" w:bidi="ar-SA"/>
            </w:rPr>
            <w:fldChar w:fldCharType="separate"/>
          </w:r>
          <w:r>
            <w:rPr>
              <w:rFonts w:hint="eastAsia" w:ascii="Times New Roman" w:hAnsi="Times New Roman" w:eastAsia="黑体" w:cs="黑体"/>
              <w:color w:val="auto"/>
              <w:kern w:val="2"/>
              <w:sz w:val="28"/>
              <w:szCs w:val="28"/>
              <w:highlight w:val="none"/>
              <w:lang w:val="en-US" w:eastAsia="zh-CN" w:bidi="ar-SA"/>
            </w:rPr>
            <w:t xml:space="preserve">- </w:t>
          </w:r>
          <w:r>
            <w:rPr>
              <w:rFonts w:hint="eastAsia" w:eastAsia="黑体" w:cs="黑体"/>
              <w:color w:val="auto"/>
              <w:kern w:val="2"/>
              <w:sz w:val="28"/>
              <w:szCs w:val="28"/>
              <w:highlight w:val="none"/>
              <w:lang w:val="en-US" w:eastAsia="zh-CN" w:bidi="ar-SA"/>
            </w:rPr>
            <w:t>7</w:t>
          </w:r>
          <w:r>
            <w:rPr>
              <w:rFonts w:hint="eastAsia" w:ascii="Times New Roman" w:hAnsi="Times New Roman" w:eastAsia="黑体" w:cs="黑体"/>
              <w:color w:val="auto"/>
              <w:kern w:val="2"/>
              <w:sz w:val="28"/>
              <w:szCs w:val="28"/>
              <w:highlight w:val="none"/>
              <w:lang w:val="en-US" w:eastAsia="zh-CN" w:bidi="ar-SA"/>
            </w:rPr>
            <w:t xml:space="preserve"> -</w:t>
          </w:r>
          <w:r>
            <w:rPr>
              <w:rFonts w:hint="eastAsia" w:ascii="Times New Roman" w:hAnsi="Times New Roman" w:eastAsia="黑体" w:cs="黑体"/>
              <w:color w:val="auto"/>
              <w:kern w:val="2"/>
              <w:sz w:val="28"/>
              <w:szCs w:val="28"/>
              <w:highlight w:val="none"/>
              <w:lang w:val="en-US" w:eastAsia="zh-CN" w:bidi="ar-SA"/>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_Toc23412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五、一般公共预算财政拨款支出决算情况说明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_Toc23412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8</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_Toc29255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六、一般公共预算财政拨款基本支出决算情况说明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_Toc29255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12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_Toc157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七、财政拨款“三公”经费支出决算情况说明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_Toc157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- 1</w:t>
          </w:r>
          <w:r>
            <w:rPr>
              <w:rFonts w:hint="eastAsia" w:eastAsia="仿宋_GB2312" w:cs="仿宋_GB2312"/>
              <w:color w:val="auto"/>
              <w:sz w:val="28"/>
              <w:szCs w:val="28"/>
              <w:highlight w:val="none"/>
              <w:lang w:val="en-US" w:eastAsia="zh-CN"/>
            </w:rPr>
            <w:t>3</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_Toc28188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八、政府性基金预算支出决算情况说明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_Toc28188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- 1</w:t>
          </w:r>
          <w:r>
            <w:rPr>
              <w:rFonts w:hint="eastAsia" w:eastAsia="仿宋_GB2312" w:cs="仿宋_GB2312"/>
              <w:color w:val="auto"/>
              <w:sz w:val="28"/>
              <w:szCs w:val="28"/>
              <w:highlight w:val="none"/>
              <w:lang w:val="en-US" w:eastAsia="zh-CN"/>
            </w:rPr>
            <w:t>4</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黑体" w:cs="黑体"/>
              <w:color w:val="auto"/>
              <w:kern w:val="2"/>
              <w:sz w:val="28"/>
              <w:szCs w:val="28"/>
              <w:highlight w:val="none"/>
              <w:lang w:val="en-US" w:eastAsia="zh-CN" w:bidi="ar-SA"/>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_Toc26955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九、</w:t>
          </w:r>
          <w:r>
            <w:rPr>
              <w:rFonts w:hint="eastAsia" w:ascii="Times New Roman" w:hAnsi="Times New Roman" w:eastAsia="仿宋_GB2312" w:cs="仿宋_GB2312"/>
              <w:color w:val="auto"/>
              <w:sz w:val="28"/>
              <w:szCs w:val="28"/>
              <w:highlight w:val="none"/>
            </w:rPr>
            <w:t>国有资本经营预算支出决算情况说明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_Toc26955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- 1</w:t>
          </w:r>
          <w:r>
            <w:rPr>
              <w:rFonts w:hint="eastAsia" w:eastAsia="仿宋_GB2312" w:cs="仿宋_GB2312"/>
              <w:color w:val="auto"/>
              <w:sz w:val="28"/>
              <w:szCs w:val="28"/>
              <w:highlight w:val="none"/>
              <w:lang w:val="en-US" w:eastAsia="zh-CN"/>
            </w:rPr>
            <w:t>4</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bookmarkStart w:id="122" w:name="_GoBack"/>
          <w:bookmarkEnd w:id="122"/>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_Toc17708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lang w:eastAsia="zh-CN"/>
            </w:rPr>
            <w:t>十、</w:t>
          </w:r>
          <w:r>
            <w:rPr>
              <w:rFonts w:hint="eastAsia" w:ascii="Times New Roman" w:hAnsi="Times New Roman" w:eastAsia="仿宋_GB2312" w:cs="仿宋_GB2312"/>
              <w:color w:val="auto"/>
              <w:sz w:val="28"/>
              <w:szCs w:val="28"/>
              <w:highlight w:val="none"/>
            </w:rPr>
            <w:t>其他重要事项的情况说明</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_Toc17708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- 1</w:t>
          </w:r>
          <w:r>
            <w:rPr>
              <w:rFonts w:hint="eastAsia" w:eastAsia="仿宋_GB2312" w:cs="仿宋_GB2312"/>
              <w:color w:val="auto"/>
              <w:sz w:val="28"/>
              <w:szCs w:val="28"/>
              <w:highlight w:val="none"/>
              <w:lang w:val="en-US" w:eastAsia="zh-CN"/>
            </w:rPr>
            <w:t>4</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3"/>
            <w:pageBreakBefore w:val="0"/>
            <w:widowControl w:val="0"/>
            <w:tabs>
              <w:tab w:val="right" w:leader="dot" w:pos="8306"/>
              <w:tab w:val="clear" w:pos="8296"/>
            </w:tabs>
            <w:kinsoku/>
            <w:wordWrap/>
            <w:overflowPunct/>
            <w:topLinePunct w:val="0"/>
            <w:autoSpaceDE/>
            <w:autoSpaceDN/>
            <w:bidi w:val="0"/>
            <w:jc w:val="distribute"/>
            <w:rPr>
              <w:sz w:val="24"/>
              <w:szCs w:val="24"/>
            </w:rPr>
          </w:pPr>
          <w:r>
            <w:rPr>
              <w:rFonts w:ascii="宋体" w:hAnsi="宋体" w:eastAsia="宋体" w:cs="Times New Roman"/>
              <w:kern w:val="0"/>
              <w:sz w:val="24"/>
              <w:szCs w:val="15"/>
              <w:lang w:val="zh-CN" w:eastAsia="zh-CN" w:bidi="ar-SA"/>
            </w:rPr>
            <w:fldChar w:fldCharType="begin"/>
          </w:r>
          <w:r>
            <w:rPr>
              <w:rFonts w:ascii="宋体" w:hAnsi="宋体" w:eastAsia="宋体" w:cs="Times New Roman"/>
              <w:kern w:val="0"/>
              <w:sz w:val="24"/>
              <w:szCs w:val="15"/>
              <w:lang w:val="zh-CN" w:eastAsia="zh-CN" w:bidi="ar-SA"/>
            </w:rPr>
            <w:instrText xml:space="preserve"> HYPERLINK \l _Toc16366 </w:instrText>
          </w:r>
          <w:r>
            <w:rPr>
              <w:rFonts w:ascii="宋体" w:hAnsi="宋体" w:eastAsia="宋体" w:cs="Times New Roman"/>
              <w:kern w:val="0"/>
              <w:sz w:val="24"/>
              <w:szCs w:val="15"/>
              <w:lang w:val="zh-CN" w:eastAsia="zh-CN" w:bidi="ar-SA"/>
            </w:rPr>
            <w:fldChar w:fldCharType="separate"/>
          </w:r>
          <w:r>
            <w:rPr>
              <w:rFonts w:hint="eastAsia" w:ascii="Times New Roman" w:hAnsi="Times New Roman" w:eastAsia="黑体" w:cs="黑体"/>
              <w:color w:val="auto"/>
              <w:sz w:val="28"/>
              <w:szCs w:val="28"/>
              <w:highlight w:val="none"/>
            </w:rPr>
            <w:t>第</w:t>
          </w:r>
          <w:r>
            <w:rPr>
              <w:rFonts w:hint="eastAsia" w:ascii="Times New Roman" w:hAnsi="Times New Roman" w:eastAsia="黑体" w:cs="黑体"/>
              <w:color w:val="auto"/>
              <w:sz w:val="28"/>
              <w:szCs w:val="28"/>
              <w:highlight w:val="none"/>
              <w:lang w:eastAsia="zh-CN"/>
            </w:rPr>
            <w:t>三</w:t>
          </w:r>
          <w:r>
            <w:rPr>
              <w:rFonts w:hint="eastAsia" w:ascii="Times New Roman" w:hAnsi="Times New Roman" w:eastAsia="黑体" w:cs="黑体"/>
              <w:color w:val="auto"/>
              <w:sz w:val="28"/>
              <w:szCs w:val="28"/>
              <w:highlight w:val="none"/>
            </w:rPr>
            <w:t>部分</w:t>
          </w:r>
          <w:r>
            <w:rPr>
              <w:rFonts w:hint="eastAsia" w:ascii="Times New Roman" w:hAnsi="Times New Roman" w:eastAsia="黑体" w:cs="黑体"/>
              <w:color w:val="auto"/>
              <w:sz w:val="28"/>
              <w:szCs w:val="28"/>
              <w:highlight w:val="none"/>
              <w:lang w:val="en-US" w:eastAsia="zh-CN"/>
            </w:rPr>
            <w:t xml:space="preserve">  </w:t>
          </w:r>
          <w:r>
            <w:rPr>
              <w:rFonts w:hint="eastAsia" w:ascii="Times New Roman" w:hAnsi="Times New Roman" w:eastAsia="黑体" w:cs="黑体"/>
              <w:color w:val="auto"/>
              <w:sz w:val="28"/>
              <w:szCs w:val="28"/>
              <w:highlight w:val="none"/>
            </w:rPr>
            <w:t>名词解释</w:t>
          </w:r>
          <w:r>
            <w:rPr>
              <w:sz w:val="24"/>
              <w:szCs w:val="24"/>
            </w:rPr>
            <w:tab/>
          </w:r>
          <w:r>
            <w:rPr>
              <w:rFonts w:hint="eastAsia" w:ascii="Times New Roman" w:hAnsi="Times New Roman" w:eastAsia="黑体" w:cs="黑体"/>
              <w:color w:val="auto"/>
              <w:sz w:val="28"/>
              <w:szCs w:val="28"/>
              <w:highlight w:val="none"/>
            </w:rPr>
            <w:fldChar w:fldCharType="begin"/>
          </w:r>
          <w:r>
            <w:rPr>
              <w:rFonts w:hint="eastAsia" w:ascii="Times New Roman" w:hAnsi="Times New Roman" w:eastAsia="黑体" w:cs="黑体"/>
              <w:color w:val="auto"/>
              <w:sz w:val="28"/>
              <w:szCs w:val="28"/>
              <w:highlight w:val="none"/>
            </w:rPr>
            <w:instrText xml:space="preserve"> PAGEREF _Toc16366 \h </w:instrText>
          </w:r>
          <w:r>
            <w:rPr>
              <w:rFonts w:hint="eastAsia" w:ascii="Times New Roman" w:hAnsi="Times New Roman" w:eastAsia="黑体" w:cs="黑体"/>
              <w:color w:val="auto"/>
              <w:sz w:val="28"/>
              <w:szCs w:val="28"/>
              <w:highlight w:val="none"/>
            </w:rPr>
            <w:fldChar w:fldCharType="separate"/>
          </w:r>
          <w:r>
            <w:rPr>
              <w:rFonts w:hint="eastAsia" w:ascii="Times New Roman" w:hAnsi="Times New Roman" w:eastAsia="黑体" w:cs="黑体"/>
              <w:color w:val="auto"/>
              <w:sz w:val="28"/>
              <w:szCs w:val="28"/>
              <w:highlight w:val="none"/>
            </w:rPr>
            <w:t>- 1</w:t>
          </w:r>
          <w:r>
            <w:rPr>
              <w:rFonts w:hint="eastAsia" w:ascii="Times New Roman" w:hAnsi="Times New Roman" w:eastAsia="黑体" w:cs="黑体"/>
              <w:color w:val="auto"/>
              <w:sz w:val="28"/>
              <w:szCs w:val="28"/>
              <w:highlight w:val="none"/>
              <w:lang w:val="en-US" w:eastAsia="zh-CN"/>
            </w:rPr>
            <w:t>6</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rPr>
            <w:fldChar w:fldCharType="end"/>
          </w:r>
          <w:r>
            <w:rPr>
              <w:rFonts w:ascii="宋体" w:hAnsi="宋体" w:eastAsia="宋体" w:cs="Times New Roman"/>
              <w:kern w:val="0"/>
              <w:sz w:val="24"/>
              <w:szCs w:val="15"/>
              <w:lang w:val="zh-CN" w:eastAsia="zh-CN" w:bidi="ar-SA"/>
            </w:rPr>
            <w:fldChar w:fldCharType="end"/>
          </w:r>
        </w:p>
        <w:p>
          <w:pPr>
            <w:pStyle w:val="13"/>
            <w:keepNext w:val="0"/>
            <w:keepLines w:val="0"/>
            <w:pageBreakBefore w:val="0"/>
            <w:widowControl w:val="0"/>
            <w:kinsoku/>
            <w:wordWrap/>
            <w:overflowPunct/>
            <w:topLinePunct w:val="0"/>
            <w:autoSpaceDE/>
            <w:autoSpaceDN/>
            <w:bidi w:val="0"/>
            <w:adjustRightInd w:val="0"/>
            <w:snapToGrid w:val="0"/>
            <w:spacing w:before="0" w:line="560" w:lineRule="exact"/>
            <w:jc w:val="distribute"/>
            <w:textAlignment w:val="auto"/>
            <w:rPr>
              <w:rFonts w:hint="eastAsia" w:ascii="Times New Roman" w:hAnsi="Times New Roman" w:eastAsia="黑体" w:cs="黑体"/>
              <w:color w:val="auto"/>
              <w:sz w:val="28"/>
              <w:szCs w:val="28"/>
              <w:highlight w:val="none"/>
            </w:rPr>
          </w:pPr>
          <w:r>
            <w:rPr>
              <w:rFonts w:hint="eastAsia" w:ascii="Times New Roman" w:hAnsi="Times New Roman" w:eastAsia="黑体" w:cs="黑体"/>
              <w:color w:val="auto"/>
              <w:sz w:val="28"/>
              <w:szCs w:val="28"/>
              <w:highlight w:val="none"/>
              <w:lang w:val="zh-CN" w:eastAsia="zh-CN"/>
            </w:rPr>
            <w:fldChar w:fldCharType="begin"/>
          </w:r>
          <w:r>
            <w:rPr>
              <w:rFonts w:hint="eastAsia" w:ascii="Times New Roman" w:hAnsi="Times New Roman" w:eastAsia="黑体" w:cs="黑体"/>
              <w:color w:val="auto"/>
              <w:sz w:val="28"/>
              <w:szCs w:val="28"/>
              <w:highlight w:val="none"/>
              <w:lang w:val="zh-CN" w:eastAsia="zh-CN"/>
            </w:rPr>
            <w:instrText xml:space="preserve"> HYPERLINK \l _Toc102 </w:instrText>
          </w:r>
          <w:r>
            <w:rPr>
              <w:rFonts w:hint="eastAsia" w:ascii="Times New Roman" w:hAnsi="Times New Roman" w:eastAsia="黑体" w:cs="黑体"/>
              <w:color w:val="auto"/>
              <w:sz w:val="28"/>
              <w:szCs w:val="28"/>
              <w:highlight w:val="none"/>
              <w:lang w:val="zh-CN" w:eastAsia="zh-CN"/>
            </w:rPr>
            <w:fldChar w:fldCharType="separate"/>
          </w:r>
          <w:r>
            <w:rPr>
              <w:rFonts w:hint="eastAsia" w:ascii="Times New Roman" w:hAnsi="Times New Roman" w:eastAsia="黑体" w:cs="黑体"/>
              <w:color w:val="auto"/>
              <w:sz w:val="28"/>
              <w:szCs w:val="28"/>
              <w:highlight w:val="none"/>
            </w:rPr>
            <w:t>第四部分</w:t>
          </w:r>
          <w:r>
            <w:rPr>
              <w:rFonts w:hint="eastAsia" w:ascii="Times New Roman" w:hAnsi="Times New Roman" w:eastAsia="黑体" w:cs="黑体"/>
              <w:color w:val="auto"/>
              <w:sz w:val="28"/>
              <w:szCs w:val="28"/>
              <w:highlight w:val="none"/>
              <w:lang w:val="en-US" w:eastAsia="zh-CN"/>
            </w:rPr>
            <w:t xml:space="preserve"> </w:t>
          </w:r>
          <w:r>
            <w:rPr>
              <w:rFonts w:hint="eastAsia" w:ascii="Times New Roman" w:hAnsi="Times New Roman" w:eastAsia="黑体" w:cs="黑体"/>
              <w:color w:val="auto"/>
              <w:sz w:val="28"/>
              <w:szCs w:val="28"/>
              <w:highlight w:val="none"/>
            </w:rPr>
            <w:t xml:space="preserve"> 附件</w:t>
          </w:r>
          <w:r>
            <w:rPr>
              <w:rFonts w:hint="eastAsia" w:ascii="Times New Roman" w:hAnsi="Times New Roman" w:eastAsia="黑体" w:cs="黑体"/>
              <w:color w:val="auto"/>
              <w:sz w:val="28"/>
              <w:szCs w:val="28"/>
              <w:highlight w:val="none"/>
            </w:rPr>
            <w:tab/>
          </w:r>
          <w:r>
            <w:rPr>
              <w:rFonts w:hint="eastAsia" w:ascii="Times New Roman" w:hAnsi="Times New Roman" w:eastAsia="黑体" w:cs="黑体"/>
              <w:color w:val="auto"/>
              <w:sz w:val="28"/>
              <w:szCs w:val="28"/>
              <w:highlight w:val="none"/>
            </w:rPr>
            <w:fldChar w:fldCharType="begin"/>
          </w:r>
          <w:r>
            <w:rPr>
              <w:rFonts w:hint="eastAsia" w:ascii="Times New Roman" w:hAnsi="Times New Roman" w:eastAsia="黑体" w:cs="黑体"/>
              <w:color w:val="auto"/>
              <w:sz w:val="28"/>
              <w:szCs w:val="28"/>
              <w:highlight w:val="none"/>
            </w:rPr>
            <w:instrText xml:space="preserve"> PAGEREF _Toc102 \h </w:instrText>
          </w:r>
          <w:r>
            <w:rPr>
              <w:rFonts w:hint="eastAsia" w:ascii="Times New Roman" w:hAnsi="Times New Roman" w:eastAsia="黑体" w:cs="黑体"/>
              <w:color w:val="auto"/>
              <w:sz w:val="28"/>
              <w:szCs w:val="28"/>
              <w:highlight w:val="none"/>
            </w:rPr>
            <w:fldChar w:fldCharType="separate"/>
          </w:r>
          <w:r>
            <w:rPr>
              <w:rFonts w:hint="eastAsia" w:ascii="Times New Roman" w:hAnsi="Times New Roman" w:eastAsia="黑体" w:cs="黑体"/>
              <w:color w:val="auto"/>
              <w:sz w:val="28"/>
              <w:szCs w:val="28"/>
              <w:highlight w:val="none"/>
            </w:rPr>
            <w:t>- 1</w:t>
          </w:r>
          <w:r>
            <w:rPr>
              <w:rFonts w:hint="eastAsia" w:ascii="Times New Roman" w:hAnsi="Times New Roman" w:eastAsia="黑体" w:cs="黑体"/>
              <w:color w:val="auto"/>
              <w:sz w:val="28"/>
              <w:szCs w:val="28"/>
              <w:highlight w:val="none"/>
              <w:lang w:val="en-US" w:eastAsia="zh-CN"/>
            </w:rPr>
            <w:t>9</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rPr>
            <w:fldChar w:fldCharType="end"/>
          </w:r>
          <w:r>
            <w:rPr>
              <w:rFonts w:hint="eastAsia" w:ascii="Times New Roman" w:hAnsi="Times New Roman" w:eastAsia="黑体" w:cs="黑体"/>
              <w:color w:val="auto"/>
              <w:sz w:val="28"/>
              <w:szCs w:val="28"/>
              <w:highlight w:val="none"/>
              <w:lang w:val="zh-CN" w:eastAsia="zh-CN"/>
            </w:rPr>
            <w:fldChar w:fldCharType="end"/>
          </w:r>
        </w:p>
        <w:p>
          <w:pPr>
            <w:pStyle w:val="13"/>
            <w:keepNext w:val="0"/>
            <w:keepLines w:val="0"/>
            <w:pageBreakBefore w:val="0"/>
            <w:widowControl w:val="0"/>
            <w:kinsoku/>
            <w:wordWrap/>
            <w:overflowPunct/>
            <w:topLinePunct w:val="0"/>
            <w:autoSpaceDE/>
            <w:autoSpaceDN/>
            <w:bidi w:val="0"/>
            <w:adjustRightInd w:val="0"/>
            <w:snapToGrid w:val="0"/>
            <w:spacing w:before="0" w:line="560" w:lineRule="exact"/>
            <w:jc w:val="distribute"/>
            <w:textAlignment w:val="auto"/>
            <w:rPr>
              <w:rFonts w:hint="eastAsia" w:ascii="Times New Roman" w:hAnsi="Times New Roman" w:eastAsia="黑体" w:cs="黑体"/>
              <w:color w:val="auto"/>
              <w:sz w:val="28"/>
              <w:szCs w:val="28"/>
              <w:highlight w:val="none"/>
            </w:rPr>
          </w:pPr>
          <w:r>
            <w:rPr>
              <w:rFonts w:hint="eastAsia" w:ascii="Times New Roman" w:hAnsi="Times New Roman" w:eastAsia="黑体" w:cs="黑体"/>
              <w:color w:val="auto"/>
              <w:sz w:val="28"/>
              <w:szCs w:val="28"/>
              <w:highlight w:val="none"/>
              <w:lang w:val="zh-CN" w:eastAsia="zh-CN"/>
            </w:rPr>
            <w:fldChar w:fldCharType="begin"/>
          </w:r>
          <w:r>
            <w:rPr>
              <w:rFonts w:hint="eastAsia" w:ascii="Times New Roman" w:hAnsi="Times New Roman" w:eastAsia="黑体" w:cs="黑体"/>
              <w:color w:val="auto"/>
              <w:sz w:val="28"/>
              <w:szCs w:val="28"/>
              <w:highlight w:val="none"/>
              <w:lang w:val="zh-CN" w:eastAsia="zh-CN"/>
            </w:rPr>
            <w:instrText xml:space="preserve"> HYPERLINK \l _Toc22773 </w:instrText>
          </w:r>
          <w:r>
            <w:rPr>
              <w:rFonts w:hint="eastAsia" w:ascii="Times New Roman" w:hAnsi="Times New Roman" w:eastAsia="黑体" w:cs="黑体"/>
              <w:color w:val="auto"/>
              <w:sz w:val="28"/>
              <w:szCs w:val="28"/>
              <w:highlight w:val="none"/>
              <w:lang w:val="zh-CN" w:eastAsia="zh-CN"/>
            </w:rPr>
            <w:fldChar w:fldCharType="separate"/>
          </w:r>
          <w:r>
            <w:rPr>
              <w:rFonts w:hint="eastAsia" w:ascii="Times New Roman" w:hAnsi="Times New Roman" w:eastAsia="黑体" w:cs="黑体"/>
              <w:color w:val="auto"/>
              <w:sz w:val="28"/>
              <w:szCs w:val="28"/>
              <w:highlight w:val="none"/>
            </w:rPr>
            <w:t xml:space="preserve">第五部分 </w:t>
          </w:r>
          <w:r>
            <w:rPr>
              <w:rFonts w:hint="eastAsia" w:ascii="Times New Roman" w:hAnsi="Times New Roman" w:eastAsia="黑体" w:cs="黑体"/>
              <w:color w:val="auto"/>
              <w:sz w:val="28"/>
              <w:szCs w:val="28"/>
              <w:highlight w:val="none"/>
              <w:lang w:val="en-US" w:eastAsia="zh-CN"/>
            </w:rPr>
            <w:t xml:space="preserve"> </w:t>
          </w:r>
          <w:r>
            <w:rPr>
              <w:rFonts w:hint="eastAsia" w:ascii="Times New Roman" w:hAnsi="Times New Roman" w:eastAsia="黑体" w:cs="黑体"/>
              <w:color w:val="auto"/>
              <w:sz w:val="28"/>
              <w:szCs w:val="28"/>
              <w:highlight w:val="none"/>
            </w:rPr>
            <w:t>附表</w:t>
          </w:r>
          <w:r>
            <w:rPr>
              <w:rFonts w:hint="eastAsia" w:ascii="Times New Roman" w:hAnsi="Times New Roman" w:eastAsia="黑体" w:cs="黑体"/>
              <w:color w:val="auto"/>
              <w:sz w:val="28"/>
              <w:szCs w:val="28"/>
              <w:highlight w:val="none"/>
            </w:rPr>
            <w:tab/>
          </w:r>
          <w:r>
            <w:rPr>
              <w:rFonts w:hint="eastAsia" w:ascii="Times New Roman" w:hAnsi="Times New Roman" w:eastAsia="黑体" w:cs="黑体"/>
              <w:color w:val="auto"/>
              <w:sz w:val="28"/>
              <w:szCs w:val="28"/>
              <w:highlight w:val="none"/>
            </w:rPr>
            <w:fldChar w:fldCharType="begin"/>
          </w:r>
          <w:r>
            <w:rPr>
              <w:rFonts w:hint="eastAsia" w:ascii="Times New Roman" w:hAnsi="Times New Roman" w:eastAsia="黑体" w:cs="黑体"/>
              <w:color w:val="auto"/>
              <w:sz w:val="28"/>
              <w:szCs w:val="28"/>
              <w:highlight w:val="none"/>
            </w:rPr>
            <w:instrText xml:space="preserve"> PAGEREF _Toc22773 \h </w:instrText>
          </w:r>
          <w:r>
            <w:rPr>
              <w:rFonts w:hint="eastAsia" w:ascii="Times New Roman" w:hAnsi="Times New Roman" w:eastAsia="黑体" w:cs="黑体"/>
              <w:color w:val="auto"/>
              <w:sz w:val="28"/>
              <w:szCs w:val="28"/>
              <w:highlight w:val="none"/>
            </w:rPr>
            <w:fldChar w:fldCharType="separate"/>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lang w:val="en-US" w:eastAsia="zh-CN"/>
            </w:rPr>
            <w:t>42</w:t>
          </w:r>
          <w:r>
            <w:rPr>
              <w:rFonts w:hint="eastAsia" w:ascii="Times New Roman" w:hAnsi="Times New Roman" w:eastAsia="黑体" w:cs="黑体"/>
              <w:color w:val="auto"/>
              <w:sz w:val="28"/>
              <w:szCs w:val="28"/>
              <w:highlight w:val="none"/>
            </w:rPr>
            <w:t xml:space="preserve"> -</w:t>
          </w:r>
          <w:r>
            <w:rPr>
              <w:rFonts w:hint="eastAsia" w:ascii="Times New Roman" w:hAnsi="Times New Roman" w:eastAsia="黑体" w:cs="黑体"/>
              <w:color w:val="auto"/>
              <w:sz w:val="28"/>
              <w:szCs w:val="28"/>
              <w:highlight w:val="none"/>
            </w:rPr>
            <w:fldChar w:fldCharType="end"/>
          </w:r>
          <w:r>
            <w:rPr>
              <w:rFonts w:hint="eastAsia" w:ascii="Times New Roman" w:hAnsi="Times New Roman" w:eastAsia="黑体" w:cs="黑体"/>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_Toc15569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一、收入支出决算总表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_Toc15569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_Toc22102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二、收入决算表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_Toc22102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_Toc20845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三、支出决算表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_Toc20845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_Toc1128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四、财政拨款收入支出决算总表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_Toc1128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_Toc19746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五、财政拨款支出决算明细表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_Toc19746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_Toc8860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六、一般公共预算财政拨款支出决算表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_Toc8860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_Toc21799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七、一般公共预算财政拨款支出决算明细表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_Toc21799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_Toc7884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八、一般公共预算财政拨款基本支出决算表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_Toc7884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_Toc28541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九、一般公共预算财政拨款项目支出决算表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_Toc28541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_Toc16444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十、政府性基金预算财政拨款收入支出决算表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_Toc16444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_Toc25208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十一、国有资本经营预算</w:t>
          </w:r>
          <w:r>
            <w:rPr>
              <w:rFonts w:hint="eastAsia" w:ascii="Times New Roman" w:hAnsi="Times New Roman" w:eastAsia="仿宋_GB2312" w:cs="仿宋_GB2312"/>
              <w:color w:val="auto"/>
              <w:sz w:val="28"/>
              <w:szCs w:val="28"/>
              <w:highlight w:val="none"/>
              <w:lang w:eastAsia="zh-CN"/>
            </w:rPr>
            <w:t>财政拨款收入</w:t>
          </w:r>
          <w:r>
            <w:rPr>
              <w:rFonts w:hint="eastAsia" w:ascii="Times New Roman" w:hAnsi="Times New Roman" w:eastAsia="仿宋_GB2312" w:cs="仿宋_GB2312"/>
              <w:color w:val="auto"/>
              <w:sz w:val="28"/>
              <w:szCs w:val="28"/>
              <w:highlight w:val="none"/>
            </w:rPr>
            <w:t>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_Toc25208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rFonts w:hint="eastAsia" w:ascii="Times New Roman" w:hAnsi="Times New Roman" w:eastAsia="仿宋_GB2312" w:cs="仿宋_GB2312"/>
              <w:color w:val="auto"/>
              <w:sz w:val="28"/>
              <w:szCs w:val="28"/>
              <w:highlight w:val="none"/>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_Toc26506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十二、</w:t>
          </w:r>
          <w:r>
            <w:rPr>
              <w:rFonts w:hint="eastAsia" w:ascii="Times New Roman" w:hAnsi="Times New Roman" w:eastAsia="仿宋_GB2312" w:cs="仿宋_GB2312"/>
              <w:color w:val="auto"/>
              <w:sz w:val="28"/>
              <w:szCs w:val="28"/>
              <w:highlight w:val="none"/>
              <w:lang w:eastAsia="zh-CN"/>
            </w:rPr>
            <w:t>国有资本经营预算财政拨款支出决算表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_Toc26506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4"/>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distribute"/>
            <w:textAlignment w:val="auto"/>
            <w:rPr>
              <w:sz w:val="20"/>
              <w:szCs w:val="22"/>
            </w:rPr>
          </w:pPr>
          <w:r>
            <w:rPr>
              <w:rFonts w:hint="eastAsia" w:ascii="Times New Roman" w:hAnsi="Times New Roman" w:eastAsia="仿宋_GB2312" w:cs="仿宋_GB2312"/>
              <w:color w:val="auto"/>
              <w:sz w:val="28"/>
              <w:szCs w:val="28"/>
              <w:highlight w:val="none"/>
              <w:lang w:val="zh-CN" w:eastAsia="zh-CN"/>
            </w:rPr>
            <w:fldChar w:fldCharType="begin"/>
          </w:r>
          <w:r>
            <w:rPr>
              <w:rFonts w:hint="eastAsia" w:ascii="Times New Roman" w:hAnsi="Times New Roman" w:eastAsia="仿宋_GB2312" w:cs="仿宋_GB2312"/>
              <w:color w:val="auto"/>
              <w:sz w:val="28"/>
              <w:szCs w:val="28"/>
              <w:highlight w:val="none"/>
              <w:lang w:val="zh-CN" w:eastAsia="zh-CN"/>
            </w:rPr>
            <w:instrText xml:space="preserve"> HYPERLINK \l _Toc22897 </w:instrText>
          </w:r>
          <w:r>
            <w:rPr>
              <w:rFonts w:hint="eastAsia" w:ascii="Times New Roman" w:hAnsi="Times New Roman" w:eastAsia="仿宋_GB2312" w:cs="仿宋_GB2312"/>
              <w:color w:val="auto"/>
              <w:sz w:val="28"/>
              <w:szCs w:val="28"/>
              <w:highlight w:val="none"/>
              <w:lang w:val="zh-CN" w:eastAsia="zh-CN"/>
            </w:rPr>
            <w:fldChar w:fldCharType="separate"/>
          </w:r>
          <w:r>
            <w:rPr>
              <w:rFonts w:hint="eastAsia" w:ascii="Times New Roman" w:hAnsi="Times New Roman" w:eastAsia="仿宋_GB2312" w:cs="仿宋_GB2312"/>
              <w:color w:val="auto"/>
              <w:sz w:val="28"/>
              <w:szCs w:val="28"/>
              <w:highlight w:val="none"/>
            </w:rPr>
            <w:t>十三、</w:t>
          </w:r>
          <w:r>
            <w:rPr>
              <w:rFonts w:hint="eastAsia" w:ascii="Times New Roman" w:hAnsi="Times New Roman" w:eastAsia="仿宋_GB2312" w:cs="仿宋_GB2312"/>
              <w:color w:val="auto"/>
              <w:sz w:val="28"/>
              <w:szCs w:val="28"/>
              <w:highlight w:val="none"/>
              <w:lang w:eastAsia="zh-CN"/>
            </w:rPr>
            <w:t>财政拨款“三公”经费支出决算表</w:t>
          </w:r>
          <w:r>
            <w:rPr>
              <w:rFonts w:hint="eastAsia" w:ascii="Times New Roman" w:hAnsi="Times New Roman" w:eastAsia="仿宋_GB2312" w:cs="仿宋_GB2312"/>
              <w:color w:val="auto"/>
              <w:sz w:val="28"/>
              <w:szCs w:val="28"/>
              <w:highlight w:val="none"/>
            </w:rPr>
            <w:tab/>
          </w:r>
          <w:r>
            <w:rPr>
              <w:rFonts w:hint="eastAsia" w:ascii="Times New Roman" w:hAnsi="Times New Roman" w:eastAsia="仿宋_GB2312" w:cs="仿宋_GB2312"/>
              <w:color w:val="auto"/>
              <w:sz w:val="28"/>
              <w:szCs w:val="28"/>
              <w:highlight w:val="none"/>
            </w:rPr>
            <w:fldChar w:fldCharType="begin"/>
          </w:r>
          <w:r>
            <w:rPr>
              <w:rFonts w:hint="eastAsia" w:ascii="Times New Roman" w:hAnsi="Times New Roman" w:eastAsia="仿宋_GB2312" w:cs="仿宋_GB2312"/>
              <w:color w:val="auto"/>
              <w:sz w:val="28"/>
              <w:szCs w:val="28"/>
              <w:highlight w:val="none"/>
            </w:rPr>
            <w:instrText xml:space="preserve"> PAGEREF _Toc22897 \h </w:instrText>
          </w:r>
          <w:r>
            <w:rPr>
              <w:rFonts w:hint="eastAsia" w:ascii="Times New Roman" w:hAnsi="Times New Roman" w:eastAsia="仿宋_GB2312" w:cs="仿宋_GB2312"/>
              <w:color w:val="auto"/>
              <w:sz w:val="28"/>
              <w:szCs w:val="28"/>
              <w:highlight w:val="none"/>
            </w:rPr>
            <w:fldChar w:fldCharType="separate"/>
          </w:r>
          <w:r>
            <w:rPr>
              <w:rFonts w:hint="eastAsia" w:ascii="Times New Roman" w:hAnsi="Times New Roman" w:eastAsia="仿宋_GB2312" w:cs="仿宋_GB2312"/>
              <w:color w:val="auto"/>
              <w:sz w:val="28"/>
              <w:szCs w:val="28"/>
              <w:highlight w:val="none"/>
            </w:rPr>
            <w:t xml:space="preserve">- </w:t>
          </w:r>
          <w:r>
            <w:rPr>
              <w:rFonts w:hint="eastAsia" w:eastAsia="仿宋_GB2312" w:cs="仿宋_GB2312"/>
              <w:color w:val="auto"/>
              <w:sz w:val="28"/>
              <w:szCs w:val="28"/>
              <w:highlight w:val="none"/>
              <w:lang w:val="en-US" w:eastAsia="zh-CN"/>
            </w:rPr>
            <w:t>42</w:t>
          </w:r>
          <w:r>
            <w:rPr>
              <w:rFonts w:hint="eastAsia" w:ascii="Times New Roman" w:hAnsi="Times New Roman" w:eastAsia="仿宋_GB2312" w:cs="仿宋_GB2312"/>
              <w:color w:val="auto"/>
              <w:sz w:val="28"/>
              <w:szCs w:val="28"/>
              <w:highlight w:val="none"/>
            </w:rPr>
            <w:t xml:space="preserve"> -</w:t>
          </w:r>
          <w:r>
            <w:rPr>
              <w:rFonts w:hint="eastAsia" w:ascii="Times New Roman" w:hAnsi="Times New Roman" w:eastAsia="仿宋_GB2312" w:cs="仿宋_GB2312"/>
              <w:color w:val="auto"/>
              <w:sz w:val="28"/>
              <w:szCs w:val="28"/>
              <w:highlight w:val="none"/>
            </w:rPr>
            <w:fldChar w:fldCharType="end"/>
          </w:r>
          <w:r>
            <w:rPr>
              <w:rFonts w:hint="eastAsia" w:ascii="Times New Roman" w:hAnsi="Times New Roman" w:eastAsia="仿宋_GB2312" w:cs="仿宋_GB2312"/>
              <w:color w:val="auto"/>
              <w:sz w:val="28"/>
              <w:szCs w:val="28"/>
              <w:highlight w:val="none"/>
              <w:lang w:val="zh-CN" w:eastAsia="zh-CN"/>
            </w:rPr>
            <w:fldChar w:fldCharType="end"/>
          </w:r>
        </w:p>
        <w:p>
          <w:pPr>
            <w:pStyle w:val="19"/>
            <w:pageBreakBefore w:val="0"/>
            <w:widowControl w:val="0"/>
            <w:kinsoku/>
            <w:wordWrap/>
            <w:overflowPunct/>
            <w:topLinePunct w:val="0"/>
            <w:autoSpaceDE/>
            <w:autoSpaceDN/>
            <w:bidi w:val="0"/>
            <w:jc w:val="distribute"/>
            <w:rPr>
              <w:rFonts w:ascii="宋体" w:hAnsi="宋体" w:eastAsia="宋体" w:cs="Times New Roman"/>
              <w:kern w:val="0"/>
              <w:sz w:val="15"/>
              <w:szCs w:val="15"/>
              <w:lang w:val="zh-CN" w:eastAsia="zh-CN" w:bidi="ar-SA"/>
            </w:rPr>
          </w:pPr>
          <w:r>
            <w:rPr>
              <w:rFonts w:ascii="宋体" w:hAnsi="宋体" w:eastAsia="宋体" w:cs="Times New Roman"/>
              <w:kern w:val="0"/>
              <w:sz w:val="15"/>
              <w:szCs w:val="15"/>
              <w:lang w:val="zh-CN" w:eastAsia="zh-CN" w:bidi="ar-SA"/>
            </w:rPr>
            <w:fldChar w:fldCharType="end"/>
          </w:r>
        </w:p>
      </w:sdtContent>
    </w:sdt>
    <w:p>
      <w:pPr>
        <w:pStyle w:val="5"/>
        <w:keepNext/>
        <w:keepLines/>
        <w:pageBreakBefore w:val="0"/>
        <w:widowControl w:val="0"/>
        <w:kinsoku/>
        <w:wordWrap/>
        <w:overflowPunct/>
        <w:topLinePunct w:val="0"/>
        <w:autoSpaceDE/>
        <w:autoSpaceDN/>
        <w:bidi w:val="0"/>
        <w:adjustRightInd/>
        <w:snapToGrid/>
        <w:spacing w:line="579" w:lineRule="auto"/>
        <w:jc w:val="distribute"/>
        <w:textAlignment w:val="auto"/>
        <w:rPr>
          <w:rFonts w:hint="eastAsia" w:ascii="Times New Roman" w:hAnsi="Times New Roman" w:eastAsia="方正小标宋简体" w:cs="方正小标宋简体"/>
          <w:b w:val="0"/>
          <w:color w:val="auto"/>
          <w:highlight w:val="none"/>
        </w:rPr>
        <w:sectPr>
          <w:headerReference r:id="rId4" w:type="first"/>
          <w:footerReference r:id="rId6" w:type="first"/>
          <w:headerReference r:id="rId3" w:type="default"/>
          <w:footerReference r:id="rId5" w:type="default"/>
          <w:pgSz w:w="11906" w:h="16838"/>
          <w:pgMar w:top="1440" w:right="1800" w:bottom="1440" w:left="1800" w:header="851" w:footer="992" w:gutter="0"/>
          <w:pgNumType w:fmt="decimal"/>
          <w:cols w:space="425" w:num="1"/>
          <w:docGrid w:type="lines" w:linePitch="312" w:charSpace="0"/>
        </w:sectPr>
      </w:pPr>
      <w:bookmarkStart w:id="12" w:name="_Toc5895"/>
      <w:bookmarkStart w:id="13" w:name="_Toc21667"/>
      <w:bookmarkStart w:id="14" w:name="_Toc15377196"/>
      <w:bookmarkStart w:id="15" w:name="_Toc15396599"/>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Fonts w:ascii="Times New Roman" w:hAnsi="Times New Roman" w:eastAsia="黑体"/>
          <w:color w:val="auto"/>
          <w:sz w:val="32"/>
          <w:szCs w:val="32"/>
          <w:highlight w:val="none"/>
        </w:rPr>
      </w:pPr>
      <w:r>
        <w:rPr>
          <w:rFonts w:hint="eastAsia" w:ascii="Times New Roman" w:hAnsi="Times New Roman" w:eastAsia="方正小标宋简体" w:cs="方正小标宋简体"/>
          <w:b w:val="0"/>
          <w:color w:val="auto"/>
          <w:highlight w:val="none"/>
        </w:rPr>
        <w:t>第一部分</w:t>
      </w:r>
      <w:r>
        <w:rPr>
          <w:rFonts w:hint="eastAsia" w:ascii="Times New Roman" w:hAnsi="Times New Roman" w:eastAsia="方正小标宋简体" w:cs="方正小标宋简体"/>
          <w:b w:val="0"/>
          <w:color w:val="auto"/>
          <w:highlight w:val="none"/>
          <w:lang w:val="en-US" w:eastAsia="zh-CN"/>
        </w:rPr>
        <w:t xml:space="preserve"> </w:t>
      </w:r>
      <w:r>
        <w:rPr>
          <w:rFonts w:hint="eastAsia" w:ascii="Times New Roman" w:hAnsi="Times New Roman" w:eastAsia="方正小标宋简体" w:cs="方正小标宋简体"/>
          <w:b w:val="0"/>
          <w:color w:val="auto"/>
          <w:highlight w:val="none"/>
        </w:rPr>
        <w:t xml:space="preserve"> </w:t>
      </w:r>
      <w:r>
        <w:rPr>
          <w:rFonts w:hint="eastAsia" w:eastAsia="方正小标宋简体" w:cs="方正小标宋简体"/>
          <w:b w:val="0"/>
          <w:color w:val="auto"/>
          <w:highlight w:val="none"/>
          <w:lang w:val="en-US" w:eastAsia="zh-CN"/>
        </w:rPr>
        <w:t>单位</w:t>
      </w:r>
      <w:r>
        <w:rPr>
          <w:rFonts w:hint="eastAsia" w:ascii="Times New Roman" w:hAnsi="Times New Roman" w:eastAsia="方正小标宋简体" w:cs="方正小标宋简体"/>
          <w:b w:val="0"/>
          <w:color w:val="auto"/>
          <w:highlight w:val="none"/>
        </w:rPr>
        <w:t>概况</w:t>
      </w:r>
      <w:bookmarkEnd w:id="12"/>
      <w:bookmarkEnd w:id="13"/>
      <w:bookmarkEnd w:id="14"/>
      <w:bookmarkEnd w:id="15"/>
    </w:p>
    <w:p>
      <w:pPr>
        <w:pStyle w:val="6"/>
        <w:keepNext/>
        <w:keepLines/>
        <w:pageBreakBefore w:val="0"/>
        <w:widowControl w:val="0"/>
        <w:numPr>
          <w:ilvl w:val="0"/>
          <w:numId w:val="1"/>
        </w:numPr>
        <w:kinsoku/>
        <w:wordWrap/>
        <w:overflowPunct/>
        <w:topLinePunct w:val="0"/>
        <w:autoSpaceDE/>
        <w:autoSpaceDN/>
        <w:bidi w:val="0"/>
        <w:adjustRightInd/>
        <w:snapToGrid/>
        <w:spacing w:line="416" w:lineRule="auto"/>
        <w:textAlignment w:val="auto"/>
        <w:rPr>
          <w:rFonts w:hint="eastAsia" w:ascii="Times New Roman" w:hAnsi="Times New Roman" w:eastAsia="黑体"/>
          <w:b w:val="0"/>
          <w:color w:val="auto"/>
          <w:highlight w:val="none"/>
          <w:lang w:eastAsia="zh-CN"/>
        </w:rPr>
      </w:pPr>
      <w:bookmarkStart w:id="16" w:name="_Toc32226"/>
      <w:bookmarkStart w:id="17" w:name="_Toc27032"/>
      <w:r>
        <w:rPr>
          <w:rFonts w:hint="eastAsia" w:ascii="Times New Roman" w:hAnsi="Times New Roman" w:eastAsia="黑体"/>
          <w:b w:val="0"/>
          <w:color w:val="auto"/>
          <w:highlight w:val="none"/>
          <w:lang w:val="en-US" w:eastAsia="zh-CN"/>
        </w:rPr>
        <w:t>单位</w:t>
      </w:r>
      <w:r>
        <w:rPr>
          <w:rFonts w:hint="eastAsia" w:ascii="Times New Roman" w:hAnsi="Times New Roman" w:eastAsia="黑体"/>
          <w:b w:val="0"/>
          <w:color w:val="auto"/>
          <w:highlight w:val="none"/>
          <w:lang w:eastAsia="zh-CN"/>
        </w:rPr>
        <w:t>职责</w:t>
      </w:r>
      <w:bookmarkEnd w:id="16"/>
      <w:bookmarkEnd w:id="17"/>
    </w:p>
    <w:p>
      <w:pPr>
        <w:numPr>
          <w:ilvl w:val="0"/>
          <w:numId w:val="0"/>
        </w:numPr>
        <w:ind w:firstLine="640" w:firstLineChars="200"/>
        <w:rPr>
          <w:rFonts w:hint="eastAsia" w:ascii="仿宋_GB2312" w:hAnsi="仿宋" w:eastAsia="仿宋_GB2312" w:cs="Times New Roman"/>
          <w:sz w:val="32"/>
          <w:szCs w:val="32"/>
          <w:highlight w:val="none"/>
          <w:lang w:eastAsia="zh-CN"/>
        </w:rPr>
      </w:pPr>
      <w:r>
        <w:rPr>
          <w:rFonts w:hint="eastAsia" w:ascii="仿宋_GB2312" w:hAnsi="仿宋" w:eastAsia="仿宋_GB2312" w:cs="Times New Roman"/>
          <w:sz w:val="32"/>
          <w:szCs w:val="32"/>
          <w:highlight w:val="none"/>
        </w:rPr>
        <w:t>四川化工职业技术学院是四川省人民政府主办、四川省经济和信息化厅主管的全日制普通高等职业院校。主要履行人才培养、科学研究和社会服务等职能，承担大中专学历教育、继续教育、非学历培训和职业技能鉴定，为行业和地方经济社会发展培养高素质技术技能人才。学校坚持党建引领、以质图强、特色立校，坚持深化产教融合、校企合作，主动服务国家发展战略、服务省市发展大局、服务企业发展需求。共开设</w:t>
      </w:r>
      <w:r>
        <w:rPr>
          <w:rFonts w:hint="eastAsia" w:ascii="Times New Roman" w:hAnsi="Times New Roman" w:eastAsia="仿宋_GB2312" w:cs="Times New Roman"/>
          <w:sz w:val="32"/>
          <w:szCs w:val="32"/>
          <w:highlight w:val="none"/>
          <w:lang w:val="en-US" w:eastAsia="zh-CN"/>
        </w:rPr>
        <w:t>40</w:t>
      </w:r>
      <w:r>
        <w:rPr>
          <w:rFonts w:hint="eastAsia" w:ascii="仿宋_GB2312" w:hAnsi="仿宋" w:eastAsia="仿宋_GB2312" w:cs="Times New Roman"/>
          <w:sz w:val="32"/>
          <w:szCs w:val="32"/>
          <w:highlight w:val="none"/>
        </w:rPr>
        <w:t>个专业，涵盖了四川省六大优势产业。</w:t>
      </w:r>
    </w:p>
    <w:p>
      <w:pPr>
        <w:pStyle w:val="6"/>
        <w:rPr>
          <w:rStyle w:val="30"/>
          <w:rFonts w:ascii="Times New Roman" w:hAnsi="Times New Roman"/>
          <w:b w:val="0"/>
          <w:bCs w:val="0"/>
          <w:color w:val="auto"/>
          <w:highlight w:val="none"/>
        </w:rPr>
      </w:pPr>
      <w:bookmarkStart w:id="18" w:name="_Toc24948"/>
      <w:bookmarkStart w:id="19" w:name="_Toc3513"/>
      <w:bookmarkStart w:id="20" w:name="_Toc15396601"/>
      <w:bookmarkStart w:id="21" w:name="_Toc15377200"/>
      <w:r>
        <w:rPr>
          <w:rFonts w:hint="eastAsia" w:ascii="Times New Roman" w:hAnsi="Times New Roman" w:eastAsia="黑体"/>
          <w:b w:val="0"/>
          <w:color w:val="auto"/>
          <w:highlight w:val="none"/>
        </w:rPr>
        <w:t>二、机</w:t>
      </w:r>
      <w:r>
        <w:rPr>
          <w:rStyle w:val="30"/>
          <w:rFonts w:hint="eastAsia" w:ascii="Times New Roman" w:hAnsi="Times New Roman" w:eastAsia="黑体"/>
          <w:b w:val="0"/>
          <w:bCs w:val="0"/>
          <w:color w:val="auto"/>
          <w:highlight w:val="none"/>
        </w:rPr>
        <w:t>构设置</w:t>
      </w:r>
      <w:bookmarkEnd w:id="18"/>
      <w:bookmarkEnd w:id="19"/>
      <w:bookmarkEnd w:id="20"/>
      <w:bookmarkEnd w:id="21"/>
    </w:p>
    <w:p>
      <w:pPr>
        <w:numPr>
          <w:ilvl w:val="0"/>
          <w:numId w:val="0"/>
        </w:numPr>
        <w:ind w:firstLine="640" w:firstLineChars="200"/>
        <w:rPr>
          <w:rFonts w:hint="eastAsia" w:ascii="仿宋_GB2312" w:hAnsi="仿宋" w:eastAsia="仿宋_GB2312" w:cs="Times New Roman"/>
          <w:sz w:val="32"/>
          <w:szCs w:val="32"/>
          <w:highlight w:val="none"/>
        </w:rPr>
      </w:pPr>
      <w:bookmarkStart w:id="22" w:name="_Toc15396602"/>
      <w:bookmarkStart w:id="23" w:name="_Toc15377204"/>
      <w:r>
        <w:rPr>
          <w:rFonts w:hint="eastAsia" w:ascii="仿宋_GB2312" w:hAnsi="仿宋" w:eastAsia="仿宋_GB2312" w:cs="Times New Roman"/>
          <w:sz w:val="32"/>
          <w:szCs w:val="32"/>
          <w:highlight w:val="none"/>
        </w:rPr>
        <w:t>学校现设有</w:t>
      </w:r>
      <w:r>
        <w:rPr>
          <w:rFonts w:hint="eastAsia" w:ascii="Times New Roman" w:hAnsi="Times New Roman" w:eastAsia="仿宋_GB2312" w:cs="Times New Roman"/>
          <w:sz w:val="32"/>
          <w:szCs w:val="32"/>
          <w:highlight w:val="none"/>
          <w:lang w:val="en-US" w:eastAsia="zh-CN"/>
        </w:rPr>
        <w:t>31</w:t>
      </w:r>
      <w:r>
        <w:rPr>
          <w:rFonts w:hint="eastAsia" w:ascii="仿宋_GB2312" w:hAnsi="仿宋" w:eastAsia="仿宋_GB2312" w:cs="Times New Roman"/>
          <w:sz w:val="32"/>
          <w:szCs w:val="32"/>
          <w:highlight w:val="none"/>
        </w:rPr>
        <w:t>个</w:t>
      </w:r>
      <w:r>
        <w:rPr>
          <w:rFonts w:hint="eastAsia" w:ascii="仿宋_GB2312" w:hAnsi="仿宋" w:eastAsia="仿宋_GB2312" w:cs="Times New Roman"/>
          <w:sz w:val="32"/>
          <w:szCs w:val="32"/>
          <w:highlight w:val="none"/>
          <w:lang w:val="en-US" w:eastAsia="zh-CN"/>
        </w:rPr>
        <w:t>内设机构，分别是党政办公室、党委组织部、党委宣传部、党委统战部、纪委办公室、教务处、学生处、团委、人事处、继续教育处、质量管理办公室、科技处、计划财务处、审计处、招生就业处、资产处、保卫处、后勤服务处、工会、图文信息中心、离退休工作处、基建办公室、</w:t>
      </w:r>
      <w:r>
        <w:rPr>
          <w:rFonts w:hint="eastAsia" w:ascii="仿宋_GB2312" w:hAnsi="仿宋" w:eastAsia="仿宋_GB2312" w:cs="Times New Roman"/>
          <w:sz w:val="32"/>
          <w:szCs w:val="32"/>
          <w:highlight w:val="none"/>
        </w:rPr>
        <w:t>应用化工学院、药品与环境工程学院、机械工程学院、智能制造学院、经济管理学院、数字经济学院、川酒学院、马克思主义学院</w:t>
      </w:r>
      <w:r>
        <w:rPr>
          <w:rFonts w:hint="eastAsia" w:ascii="仿宋_GB2312" w:hAnsi="仿宋" w:eastAsia="仿宋_GB2312" w:cs="Times New Roman"/>
          <w:sz w:val="32"/>
          <w:szCs w:val="32"/>
          <w:highlight w:val="none"/>
          <w:lang w:eastAsia="zh-CN"/>
        </w:rPr>
        <w:t>、</w:t>
      </w:r>
      <w:r>
        <w:rPr>
          <w:rFonts w:hint="eastAsia" w:ascii="仿宋_GB2312" w:hAnsi="仿宋" w:eastAsia="仿宋_GB2312" w:cs="Times New Roman"/>
          <w:sz w:val="32"/>
          <w:szCs w:val="32"/>
          <w:highlight w:val="none"/>
          <w:lang w:val="en-US" w:eastAsia="zh-CN"/>
        </w:rPr>
        <w:t>基础教学部</w:t>
      </w:r>
      <w:r>
        <w:rPr>
          <w:rFonts w:hint="eastAsia" w:ascii="仿宋_GB2312" w:hAnsi="仿宋" w:eastAsia="仿宋_GB2312" w:cs="Times New Roman"/>
          <w:sz w:val="32"/>
          <w:szCs w:val="32"/>
          <w:highlight w:val="none"/>
        </w:rPr>
        <w:t>。</w:t>
      </w:r>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Fonts w:hint="eastAsia" w:ascii="Times New Roman" w:hAnsi="Times New Roman" w:eastAsia="方正小标宋简体" w:cs="方正小标宋简体"/>
          <w:b w:val="0"/>
          <w:color w:val="auto"/>
          <w:highlight w:val="none"/>
        </w:rPr>
      </w:pPr>
      <w:bookmarkStart w:id="24" w:name="_Toc23047"/>
      <w:bookmarkStart w:id="25" w:name="_Toc1341"/>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Fonts w:ascii="Times New Roman" w:hAnsi="Times New Roman"/>
          <w:color w:val="auto"/>
          <w:highlight w:val="none"/>
        </w:rPr>
      </w:pPr>
      <w:r>
        <w:rPr>
          <w:rFonts w:hint="eastAsia" w:ascii="Times New Roman" w:hAnsi="Times New Roman" w:eastAsia="方正小标宋简体" w:cs="方正小标宋简体"/>
          <w:b w:val="0"/>
          <w:color w:val="auto"/>
          <w:highlight w:val="none"/>
        </w:rPr>
        <w:t>第二部分</w:t>
      </w:r>
      <w:r>
        <w:rPr>
          <w:rFonts w:hint="eastAsia" w:ascii="Times New Roman" w:hAnsi="Times New Roman" w:eastAsia="方正小标宋简体" w:cs="方正小标宋简体"/>
          <w:b w:val="0"/>
          <w:color w:val="auto"/>
          <w:highlight w:val="none"/>
          <w:lang w:val="en-US" w:eastAsia="zh-CN"/>
        </w:rPr>
        <w:t xml:space="preserve"> </w:t>
      </w:r>
      <w:r>
        <w:rPr>
          <w:rFonts w:hint="eastAsia" w:ascii="Times New Roman" w:hAnsi="Times New Roman" w:eastAsia="方正小标宋简体" w:cs="方正小标宋简体"/>
          <w:b w:val="0"/>
          <w:color w:val="auto"/>
          <w:highlight w:val="none"/>
        </w:rPr>
        <w:t xml:space="preserve"> </w:t>
      </w:r>
      <w:r>
        <w:rPr>
          <w:rFonts w:hint="eastAsia" w:ascii="Times New Roman" w:hAnsi="Times New Roman" w:eastAsia="方正小标宋简体" w:cs="方正小标宋简体"/>
          <w:b w:val="0"/>
          <w:color w:val="auto"/>
          <w:highlight w:val="none"/>
          <w:lang w:val="en-US" w:eastAsia="zh-CN"/>
        </w:rPr>
        <w:t>2024年度</w:t>
      </w:r>
      <w:r>
        <w:rPr>
          <w:rFonts w:hint="eastAsia" w:eastAsia="方正小标宋简体" w:cs="方正小标宋简体"/>
          <w:b w:val="0"/>
          <w:color w:val="auto"/>
          <w:highlight w:val="none"/>
          <w:lang w:val="en-US" w:eastAsia="zh-CN"/>
        </w:rPr>
        <w:t>单位</w:t>
      </w:r>
      <w:r>
        <w:rPr>
          <w:rFonts w:hint="eastAsia" w:ascii="Times New Roman" w:hAnsi="Times New Roman" w:eastAsia="方正小标宋简体" w:cs="方正小标宋简体"/>
          <w:b w:val="0"/>
          <w:color w:val="auto"/>
          <w:highlight w:val="none"/>
        </w:rPr>
        <w:t>决算情况说明</w:t>
      </w:r>
      <w:bookmarkEnd w:id="22"/>
      <w:bookmarkEnd w:id="23"/>
      <w:bookmarkEnd w:id="24"/>
      <w:bookmarkEnd w:id="25"/>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0" w:firstLineChars="200"/>
        <w:textAlignment w:val="auto"/>
        <w:outlineLvl w:val="1"/>
        <w:rPr>
          <w:rStyle w:val="30"/>
          <w:rFonts w:hint="eastAsia" w:ascii="Times New Roman" w:hAnsi="Times New Roman" w:eastAsia="黑体"/>
          <w:b w:val="0"/>
          <w:color w:val="auto"/>
          <w:highlight w:val="none"/>
        </w:rPr>
      </w:pPr>
      <w:bookmarkStart w:id="26" w:name="_Toc10516"/>
      <w:bookmarkStart w:id="27" w:name="_Toc26238"/>
      <w:bookmarkStart w:id="28" w:name="_Toc15396603"/>
      <w:bookmarkStart w:id="29" w:name="_Toc15377205"/>
      <w:r>
        <w:rPr>
          <w:rFonts w:hint="eastAsia" w:ascii="Times New Roman" w:hAnsi="Times New Roman" w:eastAsia="黑体"/>
          <w:color w:val="auto"/>
          <w:sz w:val="32"/>
          <w:szCs w:val="32"/>
          <w:highlight w:val="none"/>
          <w:lang w:eastAsia="zh-CN"/>
        </w:rPr>
        <w:t>一、</w:t>
      </w:r>
      <w:r>
        <w:rPr>
          <w:rFonts w:hint="eastAsia" w:ascii="Times New Roman" w:hAnsi="Times New Roman" w:eastAsia="黑体"/>
          <w:color w:val="auto"/>
          <w:sz w:val="32"/>
          <w:szCs w:val="32"/>
          <w:highlight w:val="none"/>
        </w:rPr>
        <w:t>收</w:t>
      </w:r>
      <w:r>
        <w:rPr>
          <w:rStyle w:val="30"/>
          <w:rFonts w:hint="eastAsia" w:ascii="Times New Roman" w:hAnsi="Times New Roman" w:eastAsia="黑体"/>
          <w:b w:val="0"/>
          <w:color w:val="auto"/>
          <w:highlight w:val="none"/>
        </w:rPr>
        <w:t>入支出决算总体情况说明</w:t>
      </w:r>
      <w:bookmarkEnd w:id="26"/>
      <w:bookmarkEnd w:id="27"/>
      <w:bookmarkEnd w:id="28"/>
      <w:bookmarkEnd w:id="29"/>
    </w:p>
    <w:p>
      <w:pPr>
        <w:numPr>
          <w:ilvl w:val="0"/>
          <w:numId w:val="0"/>
        </w:numPr>
        <w:ind w:firstLine="640" w:firstLineChars="200"/>
        <w:rPr>
          <w:rFonts w:hint="default" w:ascii="仿宋_GB2312" w:hAnsi="仿宋" w:eastAsia="仿宋_GB2312" w:cs="Times New Roman"/>
          <w:sz w:val="32"/>
          <w:szCs w:val="32"/>
          <w:highlight w:val="none"/>
          <w:lang w:val="en-US" w:eastAsia="zh-CN"/>
        </w:rPr>
      </w:pPr>
      <w:bookmarkStart w:id="30" w:name="_Toc23210"/>
      <w:bookmarkStart w:id="31" w:name="_Toc24549"/>
      <w:r>
        <w:rPr>
          <w:rFonts w:hint="eastAsia" w:ascii="Times New Roman" w:hAnsi="Times New Roman" w:eastAsia="仿宋_GB2312" w:cs="Times New Roman"/>
          <w:sz w:val="32"/>
          <w:szCs w:val="32"/>
          <w:highlight w:val="none"/>
          <w:lang w:eastAsia="zh-CN"/>
        </w:rPr>
        <w:t>2024</w:t>
      </w:r>
      <w:r>
        <w:rPr>
          <w:rFonts w:hint="eastAsia" w:ascii="仿宋_GB2312" w:hAnsi="仿宋" w:eastAsia="仿宋_GB2312" w:cs="Times New Roman"/>
          <w:sz w:val="32"/>
          <w:szCs w:val="32"/>
          <w:highlight w:val="none"/>
          <w:lang w:eastAsia="zh-CN"/>
        </w:rPr>
        <w:t>年度收入</w:t>
      </w:r>
      <w:r>
        <w:rPr>
          <w:rFonts w:hint="eastAsia" w:ascii="仿宋_GB2312" w:hAnsi="仿宋" w:eastAsia="仿宋_GB2312" w:cs="Times New Roman"/>
          <w:sz w:val="32"/>
          <w:szCs w:val="32"/>
          <w:highlight w:val="none"/>
        </w:rPr>
        <w:t>、</w:t>
      </w:r>
      <w:r>
        <w:rPr>
          <w:rFonts w:hint="eastAsia" w:ascii="仿宋_GB2312" w:hAnsi="仿宋" w:eastAsia="仿宋_GB2312" w:cs="Times New Roman"/>
          <w:sz w:val="32"/>
          <w:szCs w:val="32"/>
          <w:highlight w:val="none"/>
          <w:lang w:eastAsia="zh-CN"/>
        </w:rPr>
        <w:t>支出</w:t>
      </w:r>
      <w:r>
        <w:rPr>
          <w:rFonts w:hint="eastAsia" w:ascii="仿宋_GB2312" w:hAnsi="仿宋" w:eastAsia="仿宋_GB2312" w:cs="Times New Roman"/>
          <w:sz w:val="32"/>
          <w:szCs w:val="32"/>
          <w:highlight w:val="none"/>
        </w:rPr>
        <w:t>总计</w:t>
      </w:r>
      <w:r>
        <w:rPr>
          <w:rFonts w:hint="eastAsia" w:ascii="仿宋_GB2312" w:hAnsi="仿宋" w:eastAsia="仿宋_GB2312" w:cs="Times New Roman"/>
          <w:sz w:val="32"/>
          <w:szCs w:val="32"/>
          <w:highlight w:val="none"/>
          <w:lang w:eastAsia="zh-CN"/>
        </w:rPr>
        <w:t>均为</w:t>
      </w:r>
      <w:r>
        <w:rPr>
          <w:rFonts w:hint="eastAsia" w:ascii="Times New Roman" w:hAnsi="Times New Roman" w:eastAsia="仿宋_GB2312" w:cs="Times New Roman"/>
          <w:sz w:val="32"/>
          <w:szCs w:val="32"/>
          <w:highlight w:val="none"/>
          <w:lang w:eastAsia="zh-CN"/>
        </w:rPr>
        <w:t>33892.73</w:t>
      </w:r>
      <w:r>
        <w:rPr>
          <w:rFonts w:hint="eastAsia" w:ascii="仿宋_GB2312" w:hAnsi="仿宋" w:eastAsia="仿宋_GB2312" w:cs="Times New Roman"/>
          <w:sz w:val="32"/>
          <w:szCs w:val="32"/>
          <w:highlight w:val="none"/>
        </w:rPr>
        <w:t>万元。与</w:t>
      </w:r>
      <w:r>
        <w:rPr>
          <w:rFonts w:hint="eastAsia" w:ascii="Times New Roman" w:hAnsi="Times New Roman" w:eastAsia="仿宋_GB2312" w:cs="Times New Roman"/>
          <w:sz w:val="32"/>
          <w:szCs w:val="32"/>
          <w:highlight w:val="none"/>
          <w:lang w:eastAsia="zh-CN"/>
        </w:rPr>
        <w:t>202</w:t>
      </w:r>
      <w:r>
        <w:rPr>
          <w:rFonts w:hint="eastAsia" w:ascii="Times New Roman" w:hAnsi="Times New Roman" w:eastAsia="仿宋_GB2312" w:cs="Times New Roman"/>
          <w:sz w:val="32"/>
          <w:szCs w:val="32"/>
          <w:highlight w:val="none"/>
          <w:lang w:val="en-US" w:eastAsia="zh-CN"/>
        </w:rPr>
        <w:t>3</w:t>
      </w:r>
      <w:r>
        <w:rPr>
          <w:rFonts w:hint="eastAsia" w:ascii="仿宋_GB2312" w:hAnsi="仿宋" w:eastAsia="仿宋_GB2312" w:cs="Times New Roman"/>
          <w:sz w:val="32"/>
          <w:szCs w:val="32"/>
          <w:highlight w:val="none"/>
        </w:rPr>
        <w:t>年</w:t>
      </w:r>
      <w:r>
        <w:rPr>
          <w:rFonts w:hint="eastAsia" w:ascii="仿宋_GB2312" w:hAnsi="仿宋" w:eastAsia="仿宋_GB2312" w:cs="Times New Roman"/>
          <w:sz w:val="32"/>
          <w:szCs w:val="32"/>
          <w:highlight w:val="none"/>
          <w:lang w:eastAsia="zh-CN"/>
        </w:rPr>
        <w:t>度</w:t>
      </w:r>
      <w:r>
        <w:rPr>
          <w:rFonts w:hint="eastAsia" w:ascii="仿宋_GB2312" w:hAnsi="仿宋" w:eastAsia="仿宋_GB2312" w:cs="Times New Roman"/>
          <w:sz w:val="32"/>
          <w:szCs w:val="32"/>
          <w:highlight w:val="none"/>
        </w:rPr>
        <w:t>相比，</w:t>
      </w:r>
      <w:r>
        <w:rPr>
          <w:rFonts w:hint="eastAsia" w:ascii="仿宋_GB2312" w:hAnsi="仿宋" w:eastAsia="仿宋_GB2312" w:cs="Times New Roman"/>
          <w:sz w:val="32"/>
          <w:szCs w:val="32"/>
          <w:highlight w:val="none"/>
          <w:lang w:eastAsia="zh-CN"/>
        </w:rPr>
        <w:t>收入</w:t>
      </w:r>
      <w:r>
        <w:rPr>
          <w:rFonts w:hint="eastAsia" w:ascii="仿宋_GB2312" w:hAnsi="仿宋" w:eastAsia="仿宋_GB2312" w:cs="Times New Roman"/>
          <w:sz w:val="32"/>
          <w:szCs w:val="32"/>
          <w:highlight w:val="none"/>
        </w:rPr>
        <w:t>、</w:t>
      </w:r>
      <w:r>
        <w:rPr>
          <w:rFonts w:hint="eastAsia" w:ascii="仿宋_GB2312" w:hAnsi="仿宋" w:eastAsia="仿宋_GB2312" w:cs="Times New Roman"/>
          <w:sz w:val="32"/>
          <w:szCs w:val="32"/>
          <w:highlight w:val="none"/>
          <w:lang w:eastAsia="zh-CN"/>
        </w:rPr>
        <w:t>支出</w:t>
      </w:r>
      <w:r>
        <w:rPr>
          <w:rFonts w:hint="eastAsia" w:ascii="仿宋_GB2312" w:hAnsi="仿宋" w:eastAsia="仿宋_GB2312" w:cs="Times New Roman"/>
          <w:sz w:val="32"/>
          <w:szCs w:val="32"/>
          <w:highlight w:val="none"/>
        </w:rPr>
        <w:t>总计各增加</w:t>
      </w:r>
      <w:r>
        <w:rPr>
          <w:rFonts w:hint="eastAsia" w:ascii="Times New Roman" w:hAnsi="Times New Roman" w:eastAsia="仿宋_GB2312" w:cs="Times New Roman"/>
          <w:sz w:val="32"/>
          <w:szCs w:val="32"/>
          <w:highlight w:val="none"/>
          <w:lang w:val="en-US" w:eastAsia="zh-CN"/>
        </w:rPr>
        <w:t>7488.67</w:t>
      </w:r>
      <w:r>
        <w:rPr>
          <w:rFonts w:hint="eastAsia" w:ascii="仿宋_GB2312" w:hAnsi="仿宋" w:eastAsia="仿宋_GB2312" w:cs="Times New Roman"/>
          <w:sz w:val="32"/>
          <w:szCs w:val="32"/>
          <w:highlight w:val="none"/>
        </w:rPr>
        <w:t>万元，增长</w:t>
      </w:r>
      <w:r>
        <w:rPr>
          <w:rFonts w:hint="eastAsia" w:ascii="Times New Roman" w:hAnsi="Times New Roman" w:eastAsia="仿宋_GB2312" w:cs="Times New Roman"/>
          <w:sz w:val="32"/>
          <w:szCs w:val="32"/>
          <w:highlight w:val="none"/>
          <w:lang w:val="en-US" w:eastAsia="zh-CN"/>
        </w:rPr>
        <w:t>28.4</w:t>
      </w:r>
      <w:r>
        <w:rPr>
          <w:rFonts w:hint="eastAsia" w:ascii="Times New Roman" w:hAnsi="Times New Roman" w:eastAsia="仿宋_GB2312" w:cs="Times New Roman"/>
          <w:sz w:val="32"/>
          <w:szCs w:val="32"/>
          <w:highlight w:val="none"/>
          <w:lang w:eastAsia="zh-CN"/>
        </w:rPr>
        <w:t>%</w:t>
      </w:r>
      <w:r>
        <w:rPr>
          <w:rFonts w:hint="eastAsia" w:ascii="仿宋_GB2312" w:hAnsi="仿宋" w:eastAsia="仿宋_GB2312" w:cs="Times New Roman"/>
          <w:sz w:val="32"/>
          <w:szCs w:val="32"/>
          <w:highlight w:val="none"/>
        </w:rPr>
        <w:t>。主要变动原因</w:t>
      </w:r>
      <w:r>
        <w:rPr>
          <w:rFonts w:hint="eastAsia" w:ascii="仿宋_GB2312" w:hAnsi="仿宋" w:eastAsia="仿宋_GB2312" w:cs="Times New Roman"/>
          <w:sz w:val="32"/>
          <w:szCs w:val="32"/>
          <w:highlight w:val="none"/>
          <w:lang w:val="en-US" w:eastAsia="zh-CN"/>
        </w:rPr>
        <w:t>一是学校</w:t>
      </w:r>
      <w:r>
        <w:rPr>
          <w:rFonts w:hint="eastAsia" w:ascii="仿宋_GB2312" w:hAnsi="仿宋" w:eastAsia="仿宋_GB2312" w:cs="Times New Roman"/>
          <w:sz w:val="32"/>
          <w:szCs w:val="32"/>
          <w:highlight w:val="none"/>
        </w:rPr>
        <w:t>办学</w:t>
      </w:r>
      <w:r>
        <w:rPr>
          <w:rFonts w:hint="eastAsia" w:ascii="仿宋_GB2312" w:hAnsi="仿宋" w:eastAsia="仿宋_GB2312" w:cs="Times New Roman"/>
          <w:sz w:val="32"/>
          <w:szCs w:val="32"/>
          <w:highlight w:val="none"/>
          <w:lang w:val="en-US" w:eastAsia="zh-CN"/>
        </w:rPr>
        <w:t>规模扩大，学生人数增加使得学住费</w:t>
      </w:r>
      <w:r>
        <w:rPr>
          <w:rFonts w:hint="eastAsia" w:ascii="仿宋_GB2312" w:hAnsi="仿宋" w:eastAsia="仿宋_GB2312" w:cs="Times New Roman"/>
          <w:sz w:val="32"/>
          <w:szCs w:val="32"/>
          <w:highlight w:val="none"/>
        </w:rPr>
        <w:t>增加，学校事业收入增加</w:t>
      </w:r>
      <w:r>
        <w:rPr>
          <w:rFonts w:hint="eastAsia" w:ascii="仿宋_GB2312" w:hAnsi="仿宋" w:eastAsia="仿宋_GB2312" w:cs="Times New Roman"/>
          <w:sz w:val="32"/>
          <w:szCs w:val="32"/>
          <w:highlight w:val="none"/>
          <w:lang w:eastAsia="zh-CN"/>
        </w:rPr>
        <w:t>；</w:t>
      </w:r>
      <w:r>
        <w:rPr>
          <w:rFonts w:hint="eastAsia" w:ascii="仿宋_GB2312" w:hAnsi="仿宋" w:eastAsia="仿宋_GB2312" w:cs="Times New Roman"/>
          <w:sz w:val="32"/>
          <w:szCs w:val="32"/>
          <w:highlight w:val="none"/>
          <w:lang w:val="en-US" w:eastAsia="zh-CN"/>
        </w:rPr>
        <w:t>二是高等教育阶段国家奖学金名额增加，奖助学金标准提高；三是学校获得教育强国基础设施建设工程中央资金</w:t>
      </w:r>
      <w:r>
        <w:rPr>
          <w:rFonts w:hint="eastAsia" w:ascii="Times New Roman" w:hAnsi="Times New Roman" w:eastAsia="仿宋_GB2312" w:cs="Times New Roman"/>
          <w:sz w:val="32"/>
          <w:szCs w:val="32"/>
          <w:highlight w:val="none"/>
          <w:lang w:val="en-US" w:eastAsia="zh-CN"/>
        </w:rPr>
        <w:t>5000</w:t>
      </w:r>
      <w:r>
        <w:rPr>
          <w:rFonts w:hint="eastAsia" w:ascii="仿宋_GB2312" w:hAnsi="仿宋" w:eastAsia="仿宋_GB2312" w:cs="Times New Roman"/>
          <w:sz w:val="32"/>
          <w:szCs w:val="32"/>
          <w:highlight w:val="none"/>
          <w:lang w:val="en-US" w:eastAsia="zh-CN"/>
        </w:rPr>
        <w:t>万元。</w:t>
      </w:r>
      <w:bookmarkEnd w:id="30"/>
      <w:bookmarkEnd w:id="31"/>
    </w:p>
    <w:p>
      <w:pPr>
        <w:numPr>
          <w:ilvl w:val="0"/>
          <w:numId w:val="0"/>
        </w:numPr>
        <w:jc w:val="center"/>
        <w:rPr>
          <w:rFonts w:hint="eastAsia" w:ascii="仿宋_GB2312" w:hAnsi="仿宋" w:eastAsia="仿宋_GB2312" w:cs="Times New Roman"/>
          <w:sz w:val="32"/>
          <w:szCs w:val="32"/>
          <w:highlight w:val="none"/>
        </w:rPr>
      </w:pPr>
      <w:bookmarkStart w:id="32" w:name="_Toc10338"/>
      <w:bookmarkStart w:id="33" w:name="_Toc9376"/>
      <w:r>
        <w:rPr>
          <w:rFonts w:hint="eastAsia" w:ascii="仿宋_GB2312" w:hAnsi="仿宋" w:eastAsia="仿宋_GB2312" w:cs="Times New Roman"/>
          <w:sz w:val="32"/>
          <w:szCs w:val="32"/>
          <w:highlight w:val="none"/>
        </w:rPr>
        <w:drawing>
          <wp:anchor distT="0" distB="0" distL="0" distR="0" simplePos="0" relativeHeight="251660288" behindDoc="0" locked="0" layoutInCell="1" allowOverlap="1">
            <wp:simplePos x="0" y="0"/>
            <wp:positionH relativeFrom="column">
              <wp:posOffset>-249555</wp:posOffset>
            </wp:positionH>
            <wp:positionV relativeFrom="paragraph">
              <wp:posOffset>235585</wp:posOffset>
            </wp:positionV>
            <wp:extent cx="5497195" cy="2560955"/>
            <wp:effectExtent l="4445" t="4445" r="22860" b="6350"/>
            <wp:wrapTopAndBottom/>
            <wp:docPr id="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rFonts w:hint="eastAsia" w:ascii="仿宋_GB2312" w:hAnsi="仿宋" w:eastAsia="仿宋_GB2312" w:cs="Times New Roman"/>
          <w:sz w:val="32"/>
          <w:szCs w:val="32"/>
          <w:highlight w:val="none"/>
        </w:rPr>
        <w:t>图1：</w:t>
      </w:r>
      <w:r>
        <w:rPr>
          <w:rFonts w:hint="eastAsia" w:ascii="仿宋_GB2312" w:hAnsi="仿宋" w:eastAsia="仿宋_GB2312" w:cs="Times New Roman"/>
          <w:sz w:val="32"/>
          <w:szCs w:val="32"/>
          <w:highlight w:val="none"/>
          <w:lang w:eastAsia="zh-CN"/>
        </w:rPr>
        <w:t>收入</w:t>
      </w:r>
      <w:r>
        <w:rPr>
          <w:rFonts w:hint="eastAsia" w:ascii="仿宋_GB2312" w:hAnsi="仿宋" w:eastAsia="仿宋_GB2312" w:cs="Times New Roman"/>
          <w:sz w:val="32"/>
          <w:szCs w:val="32"/>
          <w:highlight w:val="none"/>
        </w:rPr>
        <w:t>、</w:t>
      </w:r>
      <w:r>
        <w:rPr>
          <w:rFonts w:hint="eastAsia" w:ascii="仿宋_GB2312" w:hAnsi="仿宋" w:eastAsia="仿宋_GB2312" w:cs="Times New Roman"/>
          <w:sz w:val="32"/>
          <w:szCs w:val="32"/>
          <w:highlight w:val="none"/>
          <w:lang w:eastAsia="zh-CN"/>
        </w:rPr>
        <w:t>支出</w:t>
      </w:r>
      <w:r>
        <w:rPr>
          <w:rFonts w:hint="eastAsia" w:ascii="仿宋_GB2312" w:hAnsi="仿宋" w:eastAsia="仿宋_GB2312" w:cs="Times New Roman"/>
          <w:sz w:val="32"/>
          <w:szCs w:val="32"/>
          <w:highlight w:val="none"/>
        </w:rPr>
        <w:t>决算总计变动情况图（单位：万元）</w:t>
      </w:r>
      <w:bookmarkEnd w:id="32"/>
      <w:bookmarkEnd w:id="33"/>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color w:val="auto"/>
          <w:sz w:val="32"/>
          <w:szCs w:val="32"/>
          <w:highlight w:val="none"/>
        </w:rPr>
      </w:pPr>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0" w:firstLineChars="200"/>
        <w:textAlignment w:val="auto"/>
        <w:outlineLvl w:val="1"/>
        <w:rPr>
          <w:rFonts w:hint="eastAsia" w:ascii="Times New Roman" w:hAnsi="Times New Roman" w:eastAsia="黑体"/>
          <w:color w:val="auto"/>
          <w:sz w:val="32"/>
          <w:szCs w:val="32"/>
          <w:highlight w:val="none"/>
          <w:lang w:eastAsia="zh-CN"/>
        </w:rPr>
      </w:pPr>
      <w:bookmarkStart w:id="34" w:name="_Toc15396604"/>
      <w:bookmarkStart w:id="35" w:name="_Toc7091"/>
      <w:bookmarkStart w:id="36" w:name="_Toc15377206"/>
      <w:bookmarkStart w:id="37" w:name="_Toc27225"/>
      <w:r>
        <w:rPr>
          <w:rFonts w:hint="eastAsia" w:ascii="Times New Roman" w:hAnsi="Times New Roman" w:eastAsia="黑体"/>
          <w:color w:val="auto"/>
          <w:sz w:val="32"/>
          <w:szCs w:val="32"/>
          <w:highlight w:val="none"/>
          <w:lang w:eastAsia="zh-CN"/>
        </w:rPr>
        <w:t>二、收入决算情况说明</w:t>
      </w:r>
      <w:bookmarkEnd w:id="34"/>
      <w:bookmarkEnd w:id="35"/>
      <w:bookmarkEnd w:id="36"/>
      <w:bookmarkEnd w:id="37"/>
    </w:p>
    <w:p>
      <w:pPr>
        <w:numPr>
          <w:ilvl w:val="0"/>
          <w:numId w:val="0"/>
        </w:numPr>
        <w:ind w:firstLine="640" w:firstLineChars="200"/>
        <w:rPr>
          <w:rFonts w:hint="eastAsia" w:ascii="仿宋_GB2312" w:hAnsi="仿宋" w:eastAsia="仿宋_GB2312" w:cs="Times New Roman"/>
          <w:sz w:val="32"/>
          <w:szCs w:val="32"/>
          <w:highlight w:val="none"/>
          <w:lang w:eastAsia="zh-CN"/>
        </w:rPr>
      </w:pPr>
      <w:bookmarkStart w:id="38" w:name="_Toc23236"/>
      <w:bookmarkStart w:id="39" w:name="_Toc12069"/>
      <w:r>
        <w:rPr>
          <w:rFonts w:hint="eastAsia" w:ascii="Times New Roman" w:hAnsi="Times New Roman" w:eastAsia="仿宋_GB2312" w:cs="Times New Roman"/>
          <w:sz w:val="32"/>
          <w:szCs w:val="32"/>
          <w:highlight w:val="none"/>
          <w:lang w:eastAsia="zh-CN"/>
        </w:rPr>
        <w:t>2024</w:t>
      </w:r>
      <w:r>
        <w:rPr>
          <w:rFonts w:hint="eastAsia" w:ascii="仿宋_GB2312" w:hAnsi="仿宋" w:eastAsia="仿宋_GB2312" w:cs="Times New Roman"/>
          <w:sz w:val="32"/>
          <w:szCs w:val="32"/>
          <w:highlight w:val="none"/>
          <w:lang w:eastAsia="zh-CN"/>
        </w:rPr>
        <w:t>年度本年收入合计</w:t>
      </w:r>
      <w:r>
        <w:rPr>
          <w:rFonts w:hint="eastAsia" w:ascii="Times New Roman" w:hAnsi="Times New Roman" w:eastAsia="仿宋_GB2312" w:cs="Times New Roman"/>
          <w:sz w:val="32"/>
          <w:szCs w:val="32"/>
          <w:highlight w:val="none"/>
          <w:lang w:eastAsia="zh-CN"/>
        </w:rPr>
        <w:t>33837.44</w:t>
      </w:r>
      <w:r>
        <w:rPr>
          <w:rFonts w:hint="eastAsia" w:ascii="仿宋_GB2312" w:hAnsi="仿宋" w:eastAsia="仿宋_GB2312" w:cs="Times New Roman"/>
          <w:sz w:val="32"/>
          <w:szCs w:val="32"/>
          <w:highlight w:val="none"/>
        </w:rPr>
        <w:t>万元，其中：一般公共预算财政拨款收入</w:t>
      </w:r>
      <w:r>
        <w:rPr>
          <w:rFonts w:hint="eastAsia" w:ascii="Times New Roman" w:hAnsi="Times New Roman" w:eastAsia="仿宋_GB2312" w:cs="Times New Roman"/>
          <w:sz w:val="32"/>
          <w:szCs w:val="32"/>
          <w:highlight w:val="none"/>
          <w:lang w:eastAsia="zh-CN"/>
        </w:rPr>
        <w:t>24261.18</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71.</w:t>
      </w:r>
      <w:r>
        <w:rPr>
          <w:rFonts w:hint="eastAsia" w:ascii="Times New Roman" w:hAnsi="Times New Roman" w:eastAsia="仿宋_GB2312" w:cs="Times New Roman"/>
          <w:sz w:val="32"/>
          <w:szCs w:val="32"/>
          <w:highlight w:val="none"/>
          <w:lang w:val="en-US" w:eastAsia="zh-CN"/>
        </w:rPr>
        <w:t>7</w:t>
      </w:r>
      <w:r>
        <w:rPr>
          <w:rFonts w:hint="eastAsia" w:ascii="Times New Roman" w:hAnsi="Times New Roman" w:eastAsia="仿宋_GB2312" w:cs="Times New Roman"/>
          <w:sz w:val="32"/>
          <w:szCs w:val="32"/>
          <w:highlight w:val="none"/>
          <w:lang w:eastAsia="zh-CN"/>
        </w:rPr>
        <w:t>%</w:t>
      </w:r>
      <w:r>
        <w:rPr>
          <w:rFonts w:hint="eastAsia" w:ascii="仿宋_GB2312" w:hAnsi="仿宋" w:eastAsia="仿宋_GB2312" w:cs="Times New Roman"/>
          <w:sz w:val="32"/>
          <w:szCs w:val="32"/>
          <w:highlight w:val="none"/>
          <w:lang w:eastAsia="zh-CN"/>
        </w:rPr>
        <w:t>；事业收入</w:t>
      </w:r>
      <w:r>
        <w:rPr>
          <w:rFonts w:hint="eastAsia" w:ascii="Times New Roman" w:hAnsi="Times New Roman" w:eastAsia="仿宋_GB2312" w:cs="Times New Roman"/>
          <w:sz w:val="32"/>
          <w:szCs w:val="32"/>
          <w:highlight w:val="none"/>
          <w:lang w:eastAsia="zh-CN"/>
        </w:rPr>
        <w:t>7041.87</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20.8%</w:t>
      </w:r>
      <w:r>
        <w:rPr>
          <w:rFonts w:hint="eastAsia" w:ascii="仿宋_GB2312" w:hAnsi="仿宋" w:eastAsia="仿宋_GB2312" w:cs="Times New Roman"/>
          <w:sz w:val="32"/>
          <w:szCs w:val="32"/>
          <w:highlight w:val="none"/>
          <w:lang w:eastAsia="zh-CN"/>
        </w:rPr>
        <w:t>；经营收入</w:t>
      </w:r>
      <w:r>
        <w:rPr>
          <w:rFonts w:hint="eastAsia" w:ascii="Times New Roman" w:hAnsi="Times New Roman" w:eastAsia="仿宋_GB2312" w:cs="Times New Roman"/>
          <w:sz w:val="32"/>
          <w:szCs w:val="32"/>
          <w:highlight w:val="none"/>
          <w:lang w:eastAsia="zh-CN"/>
        </w:rPr>
        <w:t>372.85</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1.1%</w:t>
      </w:r>
      <w:r>
        <w:rPr>
          <w:rFonts w:hint="eastAsia" w:ascii="仿宋_GB2312" w:hAnsi="仿宋" w:eastAsia="仿宋_GB2312" w:cs="Times New Roman"/>
          <w:sz w:val="32"/>
          <w:szCs w:val="32"/>
          <w:highlight w:val="none"/>
          <w:lang w:eastAsia="zh-CN"/>
        </w:rPr>
        <w:t>；其他收入</w:t>
      </w:r>
      <w:r>
        <w:rPr>
          <w:rFonts w:hint="eastAsia" w:ascii="Times New Roman" w:hAnsi="Times New Roman" w:eastAsia="仿宋_GB2312" w:cs="Times New Roman"/>
          <w:sz w:val="32"/>
          <w:szCs w:val="32"/>
          <w:highlight w:val="none"/>
          <w:lang w:eastAsia="zh-CN"/>
        </w:rPr>
        <w:t>2161.54</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6.</w:t>
      </w:r>
      <w:r>
        <w:rPr>
          <w:rFonts w:hint="eastAsia" w:ascii="Times New Roman" w:hAnsi="Times New Roman" w:eastAsia="仿宋_GB2312" w:cs="Times New Roman"/>
          <w:sz w:val="32"/>
          <w:szCs w:val="32"/>
          <w:highlight w:val="none"/>
          <w:lang w:val="en-US" w:eastAsia="zh-CN"/>
        </w:rPr>
        <w:t>4</w:t>
      </w:r>
      <w:r>
        <w:rPr>
          <w:rFonts w:hint="eastAsia" w:ascii="Times New Roman" w:hAnsi="Times New Roman" w:eastAsia="仿宋_GB2312" w:cs="Times New Roman"/>
          <w:sz w:val="32"/>
          <w:szCs w:val="32"/>
          <w:highlight w:val="none"/>
          <w:lang w:eastAsia="zh-CN"/>
        </w:rPr>
        <w:t>%</w:t>
      </w:r>
      <w:r>
        <w:rPr>
          <w:rFonts w:hint="eastAsia" w:ascii="仿宋_GB2312" w:hAnsi="仿宋" w:eastAsia="仿宋_GB2312" w:cs="Times New Roman"/>
          <w:sz w:val="32"/>
          <w:szCs w:val="32"/>
          <w:highlight w:val="none"/>
          <w:lang w:eastAsia="zh-CN"/>
        </w:rPr>
        <w:t>。</w:t>
      </w:r>
      <w:bookmarkEnd w:id="38"/>
      <w:bookmarkEnd w:id="39"/>
    </w:p>
    <w:p>
      <w:pPr>
        <w:numPr>
          <w:ilvl w:val="0"/>
          <w:numId w:val="0"/>
        </w:numPr>
        <w:ind w:firstLine="640" w:firstLineChars="200"/>
        <w:jc w:val="center"/>
        <w:rPr>
          <w:rFonts w:hint="eastAsia" w:ascii="Times New Roman" w:hAnsi="Times New Roman" w:eastAsia="仿宋_GB2312" w:cs="仿宋_GB2312"/>
          <w:color w:val="auto"/>
          <w:sz w:val="32"/>
          <w:szCs w:val="32"/>
          <w:highlight w:val="none"/>
          <w:lang w:eastAsia="zh-CN"/>
        </w:rPr>
      </w:pPr>
      <w:bookmarkStart w:id="40" w:name="_Toc27087"/>
      <w:bookmarkStart w:id="41" w:name="_Toc1843"/>
      <w:r>
        <w:rPr>
          <w:rFonts w:hint="eastAsia" w:ascii="仿宋_GB2312" w:hAnsi="仿宋" w:eastAsia="仿宋_GB2312" w:cs="Times New Roman"/>
          <w:sz w:val="32"/>
          <w:szCs w:val="32"/>
          <w:highlight w:val="none"/>
        </w:rPr>
        <w:drawing>
          <wp:anchor distT="0" distB="0" distL="0" distR="0" simplePos="0" relativeHeight="251661312" behindDoc="0" locked="0" layoutInCell="1" allowOverlap="1">
            <wp:simplePos x="0" y="0"/>
            <wp:positionH relativeFrom="column">
              <wp:posOffset>-53975</wp:posOffset>
            </wp:positionH>
            <wp:positionV relativeFrom="paragraph">
              <wp:posOffset>248285</wp:posOffset>
            </wp:positionV>
            <wp:extent cx="5274310" cy="3076575"/>
            <wp:effectExtent l="5080" t="4445" r="16510" b="5080"/>
            <wp:wrapTopAndBottom/>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Pr>
          <w:rFonts w:hint="eastAsia" w:ascii="仿宋_GB2312" w:hAnsi="仿宋" w:eastAsia="仿宋_GB2312" w:cs="Times New Roman"/>
          <w:sz w:val="32"/>
          <w:szCs w:val="32"/>
          <w:highlight w:val="none"/>
          <w:lang w:eastAsia="zh-CN"/>
        </w:rPr>
        <w:t>图2：收入决算结构图（</w:t>
      </w:r>
      <w:r>
        <w:rPr>
          <w:rFonts w:hint="eastAsia" w:ascii="仿宋_GB2312" w:hAnsi="仿宋" w:eastAsia="仿宋_GB2312" w:cs="Times New Roman"/>
          <w:sz w:val="32"/>
          <w:szCs w:val="32"/>
          <w:highlight w:val="none"/>
          <w:lang w:val="en-US" w:eastAsia="zh-CN"/>
        </w:rPr>
        <w:t>单位：万元</w:t>
      </w:r>
      <w:r>
        <w:rPr>
          <w:rFonts w:hint="eastAsia" w:ascii="仿宋_GB2312" w:hAnsi="仿宋" w:eastAsia="仿宋_GB2312" w:cs="Times New Roman"/>
          <w:sz w:val="32"/>
          <w:szCs w:val="32"/>
          <w:highlight w:val="none"/>
          <w:lang w:eastAsia="zh-CN"/>
        </w:rPr>
        <w:t>）</w:t>
      </w:r>
      <w:bookmarkEnd w:id="40"/>
      <w:bookmarkEnd w:id="41"/>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0" w:firstLineChars="200"/>
        <w:textAlignment w:val="auto"/>
        <w:outlineLvl w:val="1"/>
        <w:rPr>
          <w:rFonts w:hint="eastAsia" w:ascii="Times New Roman" w:hAnsi="Times New Roman" w:eastAsia="黑体"/>
          <w:color w:val="auto"/>
          <w:sz w:val="32"/>
          <w:szCs w:val="32"/>
          <w:highlight w:val="none"/>
          <w:lang w:eastAsia="zh-CN"/>
        </w:rPr>
      </w:pPr>
      <w:bookmarkStart w:id="42" w:name="_Toc15377207"/>
      <w:bookmarkStart w:id="43" w:name="_Toc15396605"/>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0" w:firstLineChars="200"/>
        <w:textAlignment w:val="auto"/>
        <w:outlineLvl w:val="1"/>
        <w:rPr>
          <w:rStyle w:val="30"/>
          <w:rFonts w:hint="eastAsia" w:ascii="Times New Roman" w:hAnsi="Times New Roman" w:eastAsia="黑体"/>
          <w:b w:val="0"/>
          <w:color w:val="auto"/>
          <w:highlight w:val="none"/>
        </w:rPr>
      </w:pPr>
      <w:bookmarkStart w:id="44" w:name="_Toc26357"/>
      <w:bookmarkStart w:id="45" w:name="_Toc32214"/>
      <w:r>
        <w:rPr>
          <w:rFonts w:hint="eastAsia" w:ascii="Times New Roman" w:hAnsi="Times New Roman" w:eastAsia="黑体"/>
          <w:color w:val="auto"/>
          <w:sz w:val="32"/>
          <w:szCs w:val="32"/>
          <w:highlight w:val="none"/>
          <w:lang w:eastAsia="zh-CN"/>
        </w:rPr>
        <w:t>三、</w:t>
      </w:r>
      <w:r>
        <w:rPr>
          <w:rFonts w:hint="eastAsia" w:ascii="Times New Roman" w:hAnsi="Times New Roman" w:eastAsia="黑体"/>
          <w:color w:val="auto"/>
          <w:sz w:val="32"/>
          <w:szCs w:val="32"/>
          <w:highlight w:val="none"/>
        </w:rPr>
        <w:t>支</w:t>
      </w:r>
      <w:r>
        <w:rPr>
          <w:rStyle w:val="30"/>
          <w:rFonts w:hint="eastAsia" w:ascii="Times New Roman" w:hAnsi="Times New Roman" w:eastAsia="黑体"/>
          <w:b w:val="0"/>
          <w:color w:val="auto"/>
          <w:highlight w:val="none"/>
        </w:rPr>
        <w:t>出决算情况说明</w:t>
      </w:r>
      <w:bookmarkEnd w:id="42"/>
      <w:bookmarkEnd w:id="43"/>
      <w:bookmarkEnd w:id="44"/>
      <w:bookmarkEnd w:id="45"/>
    </w:p>
    <w:p>
      <w:pPr>
        <w:numPr>
          <w:ilvl w:val="0"/>
          <w:numId w:val="0"/>
        </w:numPr>
        <w:ind w:firstLine="640" w:firstLineChars="200"/>
        <w:rPr>
          <w:rFonts w:hint="eastAsia" w:ascii="仿宋_GB2312" w:hAnsi="仿宋" w:eastAsia="仿宋_GB2312" w:cs="Times New Roman"/>
          <w:sz w:val="32"/>
          <w:szCs w:val="32"/>
          <w:highlight w:val="none"/>
          <w:lang w:eastAsia="zh-CN"/>
        </w:rPr>
      </w:pPr>
      <w:bookmarkStart w:id="46" w:name="_Toc6175"/>
      <w:bookmarkStart w:id="47" w:name="_Toc29357"/>
      <w:r>
        <w:rPr>
          <w:rFonts w:hint="eastAsia" w:ascii="Times New Roman" w:hAnsi="Times New Roman" w:eastAsia="仿宋_GB2312" w:cs="Times New Roman"/>
          <w:sz w:val="32"/>
          <w:szCs w:val="32"/>
          <w:highlight w:val="none"/>
          <w:lang w:eastAsia="zh-CN"/>
        </w:rPr>
        <w:t>2024</w:t>
      </w:r>
      <w:r>
        <w:rPr>
          <w:rFonts w:hint="eastAsia" w:ascii="仿宋_GB2312" w:hAnsi="仿宋" w:eastAsia="仿宋_GB2312" w:cs="Times New Roman"/>
          <w:sz w:val="32"/>
          <w:szCs w:val="32"/>
          <w:highlight w:val="none"/>
          <w:lang w:eastAsia="zh-CN"/>
        </w:rPr>
        <w:t>年度本年支出合计</w:t>
      </w:r>
      <w:r>
        <w:rPr>
          <w:rFonts w:hint="eastAsia" w:ascii="Times New Roman" w:hAnsi="Times New Roman" w:eastAsia="仿宋_GB2312" w:cs="Times New Roman"/>
          <w:sz w:val="32"/>
          <w:szCs w:val="32"/>
          <w:highlight w:val="none"/>
          <w:lang w:eastAsia="zh-CN"/>
        </w:rPr>
        <w:t>33624.9</w:t>
      </w:r>
      <w:r>
        <w:rPr>
          <w:rFonts w:hint="eastAsia" w:ascii="仿宋_GB2312" w:hAnsi="仿宋" w:eastAsia="仿宋_GB2312" w:cs="Times New Roman"/>
          <w:sz w:val="32"/>
          <w:szCs w:val="32"/>
          <w:highlight w:val="none"/>
          <w:lang w:eastAsia="zh-CN"/>
        </w:rPr>
        <w:t>万元，其中：基本支出</w:t>
      </w:r>
      <w:r>
        <w:rPr>
          <w:rFonts w:hint="eastAsia" w:ascii="Times New Roman" w:hAnsi="Times New Roman" w:eastAsia="仿宋_GB2312" w:cs="Times New Roman"/>
          <w:sz w:val="32"/>
          <w:szCs w:val="32"/>
          <w:highlight w:val="none"/>
          <w:lang w:eastAsia="zh-CN"/>
        </w:rPr>
        <w:t>18942.56</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56.33%</w:t>
      </w:r>
      <w:r>
        <w:rPr>
          <w:rFonts w:hint="eastAsia" w:ascii="仿宋_GB2312" w:hAnsi="仿宋" w:eastAsia="仿宋_GB2312" w:cs="Times New Roman"/>
          <w:sz w:val="32"/>
          <w:szCs w:val="32"/>
          <w:highlight w:val="none"/>
          <w:lang w:eastAsia="zh-CN"/>
        </w:rPr>
        <w:t>；项目支出</w:t>
      </w:r>
      <w:r>
        <w:rPr>
          <w:rFonts w:hint="eastAsia" w:ascii="Times New Roman" w:hAnsi="Times New Roman" w:eastAsia="仿宋_GB2312" w:cs="Times New Roman"/>
          <w:sz w:val="32"/>
          <w:szCs w:val="32"/>
          <w:highlight w:val="none"/>
          <w:lang w:eastAsia="zh-CN"/>
        </w:rPr>
        <w:t>14345.37</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42</w:t>
      </w:r>
      <w:r>
        <w:rPr>
          <w:rFonts w:hint="eastAsia" w:ascii="仿宋_GB2312" w:hAnsi="仿宋" w:eastAsia="仿宋_GB2312" w:cs="Times New Roman"/>
          <w:sz w:val="32"/>
          <w:szCs w:val="32"/>
          <w:highlight w:val="none"/>
          <w:lang w:eastAsia="zh-CN"/>
        </w:rPr>
        <w:t>.</w:t>
      </w:r>
      <w:r>
        <w:rPr>
          <w:rFonts w:hint="eastAsia" w:ascii="Times New Roman" w:hAnsi="Times New Roman" w:eastAsia="仿宋_GB2312" w:cs="Times New Roman"/>
          <w:sz w:val="32"/>
          <w:szCs w:val="32"/>
          <w:highlight w:val="none"/>
          <w:lang w:eastAsia="zh-CN"/>
        </w:rPr>
        <w:t>66</w:t>
      </w:r>
      <w:r>
        <w:rPr>
          <w:rFonts w:hint="eastAsia" w:ascii="仿宋_GB2312" w:hAnsi="仿宋" w:eastAsia="仿宋_GB2312" w:cs="Times New Roman"/>
          <w:sz w:val="32"/>
          <w:szCs w:val="32"/>
          <w:highlight w:val="none"/>
          <w:lang w:eastAsia="zh-CN"/>
        </w:rPr>
        <w:t>%；经营支出</w:t>
      </w:r>
      <w:r>
        <w:rPr>
          <w:rFonts w:hint="eastAsia" w:ascii="Times New Roman" w:hAnsi="Times New Roman" w:eastAsia="仿宋_GB2312" w:cs="Times New Roman"/>
          <w:sz w:val="32"/>
          <w:szCs w:val="32"/>
          <w:highlight w:val="none"/>
          <w:lang w:eastAsia="zh-CN"/>
        </w:rPr>
        <w:t>336.96</w:t>
      </w:r>
      <w:r>
        <w:rPr>
          <w:rFonts w:hint="eastAsia" w:ascii="仿宋_GB2312" w:hAnsi="仿宋" w:eastAsia="仿宋_GB2312" w:cs="Times New Roman"/>
          <w:sz w:val="32"/>
          <w:szCs w:val="32"/>
          <w:highlight w:val="none"/>
          <w:lang w:eastAsia="zh-CN"/>
        </w:rPr>
        <w:t>万元，占</w:t>
      </w:r>
      <w:r>
        <w:rPr>
          <w:rFonts w:hint="eastAsia" w:ascii="Times New Roman" w:hAnsi="Times New Roman" w:eastAsia="仿宋_GB2312" w:cs="Times New Roman"/>
          <w:sz w:val="32"/>
          <w:szCs w:val="32"/>
          <w:highlight w:val="none"/>
          <w:lang w:eastAsia="zh-CN"/>
        </w:rPr>
        <w:t>1%</w:t>
      </w:r>
      <w:bookmarkEnd w:id="46"/>
      <w:bookmarkEnd w:id="47"/>
      <w:r>
        <w:rPr>
          <w:rFonts w:hint="eastAsia" w:ascii="仿宋_GB2312" w:hAnsi="仿宋" w:eastAsia="仿宋_GB2312" w:cs="Times New Roman"/>
          <w:sz w:val="32"/>
          <w:szCs w:val="32"/>
          <w:highlight w:val="none"/>
          <w:lang w:eastAsia="zh-CN"/>
        </w:rPr>
        <w:t>。</w:t>
      </w:r>
    </w:p>
    <w:p>
      <w:pPr>
        <w:numPr>
          <w:ilvl w:val="0"/>
          <w:numId w:val="0"/>
        </w:numPr>
        <w:ind w:firstLine="640" w:firstLineChars="200"/>
        <w:rPr>
          <w:rFonts w:hint="eastAsia" w:ascii="仿宋_GB2312" w:hAnsi="仿宋" w:eastAsia="仿宋_GB2312" w:cs="Times New Roman"/>
          <w:sz w:val="32"/>
          <w:szCs w:val="32"/>
          <w:highlight w:val="none"/>
          <w:lang w:eastAsia="zh-CN"/>
        </w:rPr>
      </w:pPr>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2" w:firstLineChars="200"/>
        <w:jc w:val="left"/>
        <w:textAlignment w:val="auto"/>
        <w:outlineLvl w:val="1"/>
        <w:rPr>
          <w:rFonts w:hint="eastAsia" w:ascii="Times New Roman" w:hAnsi="Times New Roman" w:eastAsia="仿宋_GB2312" w:cs="仿宋_GB2312"/>
          <w:b/>
          <w:bCs/>
          <w:color w:val="auto"/>
          <w:sz w:val="32"/>
          <w:szCs w:val="32"/>
          <w:highlight w:val="none"/>
          <w:lang w:eastAsia="zh-CN"/>
        </w:rPr>
      </w:pPr>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2" w:firstLineChars="200"/>
        <w:jc w:val="left"/>
        <w:textAlignment w:val="auto"/>
        <w:outlineLvl w:val="1"/>
        <w:rPr>
          <w:rFonts w:hint="eastAsia" w:ascii="Times New Roman" w:hAnsi="Times New Roman" w:eastAsia="仿宋_GB2312" w:cs="仿宋_GB2312"/>
          <w:b/>
          <w:bCs/>
          <w:color w:val="auto"/>
          <w:sz w:val="32"/>
          <w:szCs w:val="32"/>
          <w:highlight w:val="none"/>
          <w:lang w:eastAsia="zh-CN"/>
        </w:rPr>
      </w:pPr>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2" w:firstLineChars="200"/>
        <w:jc w:val="left"/>
        <w:textAlignment w:val="auto"/>
        <w:outlineLvl w:val="1"/>
        <w:rPr>
          <w:rFonts w:hint="eastAsia" w:ascii="Times New Roman" w:hAnsi="Times New Roman" w:eastAsia="仿宋_GB2312" w:cs="仿宋_GB2312"/>
          <w:b/>
          <w:bCs/>
          <w:color w:val="auto"/>
          <w:sz w:val="32"/>
          <w:szCs w:val="32"/>
          <w:highlight w:val="none"/>
          <w:lang w:eastAsia="zh-CN"/>
        </w:rPr>
      </w:pPr>
    </w:p>
    <w:p>
      <w:pPr>
        <w:pStyle w:val="28"/>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2" w:firstLineChars="200"/>
        <w:jc w:val="left"/>
        <w:textAlignment w:val="auto"/>
        <w:outlineLvl w:val="1"/>
        <w:rPr>
          <w:rFonts w:hint="eastAsia" w:ascii="Times New Roman" w:hAnsi="Times New Roman" w:eastAsia="仿宋_GB2312" w:cs="仿宋_GB2312"/>
          <w:b/>
          <w:bCs/>
          <w:color w:val="auto"/>
          <w:sz w:val="32"/>
          <w:szCs w:val="32"/>
          <w:highlight w:val="none"/>
          <w:lang w:eastAsia="zh-CN"/>
        </w:rPr>
      </w:pPr>
    </w:p>
    <w:p>
      <w:pPr>
        <w:numPr>
          <w:ilvl w:val="0"/>
          <w:numId w:val="0"/>
        </w:numPr>
        <w:ind w:firstLine="640" w:firstLineChars="200"/>
        <w:jc w:val="center"/>
        <w:rPr>
          <w:rFonts w:hint="eastAsia" w:ascii="仿宋_GB2312" w:hAnsi="仿宋" w:eastAsia="仿宋_GB2312" w:cs="Times New Roman"/>
          <w:sz w:val="32"/>
          <w:szCs w:val="32"/>
          <w:highlight w:val="none"/>
          <w:lang w:eastAsia="zh-CN"/>
        </w:rPr>
      </w:pPr>
      <w:r>
        <w:rPr>
          <w:rFonts w:hint="eastAsia" w:ascii="仿宋_GB2312" w:hAnsi="仿宋" w:eastAsia="仿宋_GB2312" w:cs="Times New Roman"/>
          <w:sz w:val="32"/>
          <w:szCs w:val="32"/>
          <w:highlight w:val="none"/>
          <w:lang w:eastAsia="zh-CN"/>
        </w:rPr>
        <w:drawing>
          <wp:anchor distT="0" distB="0" distL="0" distR="0" simplePos="0" relativeHeight="251669504" behindDoc="0" locked="0" layoutInCell="1" allowOverlap="1">
            <wp:simplePos x="0" y="0"/>
            <wp:positionH relativeFrom="column">
              <wp:posOffset>-22860</wp:posOffset>
            </wp:positionH>
            <wp:positionV relativeFrom="page">
              <wp:posOffset>1094740</wp:posOffset>
            </wp:positionV>
            <wp:extent cx="5274310" cy="3076575"/>
            <wp:effectExtent l="5080" t="4445" r="16510" b="5080"/>
            <wp:wrapSquare wrapText="bothSides"/>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Pr>
          <w:rFonts w:hint="eastAsia" w:ascii="仿宋_GB2312" w:hAnsi="仿宋" w:eastAsia="仿宋_GB2312" w:cs="Times New Roman"/>
          <w:sz w:val="32"/>
          <w:szCs w:val="32"/>
          <w:highlight w:val="none"/>
          <w:lang w:eastAsia="zh-CN"/>
        </w:rPr>
        <w:t>图3：支出决算结构图（单位：万元）</w:t>
      </w:r>
    </w:p>
    <w:p>
      <w:pPr>
        <w:ind w:firstLine="800" w:firstLineChars="250"/>
        <w:rPr>
          <w:rFonts w:hint="eastAsia" w:ascii="Times New Roman" w:hAnsi="Times New Roman" w:eastAsia="仿宋_GB2312" w:cs="仿宋_GB2312"/>
          <w:color w:val="auto"/>
          <w:sz w:val="32"/>
          <w:szCs w:val="32"/>
          <w:highlight w:val="none"/>
          <w:lang w:eastAsia="zh-CN"/>
        </w:rPr>
      </w:pPr>
    </w:p>
    <w:p>
      <w:pPr>
        <w:spacing w:line="600" w:lineRule="exact"/>
        <w:ind w:firstLine="640" w:firstLineChars="200"/>
        <w:outlineLvl w:val="1"/>
        <w:rPr>
          <w:rStyle w:val="30"/>
          <w:rFonts w:ascii="Times New Roman" w:hAnsi="Times New Roman" w:eastAsia="黑体"/>
          <w:b w:val="0"/>
          <w:color w:val="auto"/>
          <w:highlight w:val="none"/>
        </w:rPr>
      </w:pPr>
      <w:bookmarkStart w:id="48" w:name="_Toc29270"/>
      <w:bookmarkStart w:id="49" w:name="_Toc15377208"/>
      <w:bookmarkStart w:id="50" w:name="_Toc15396606"/>
      <w:bookmarkStart w:id="51" w:name="_Toc16346"/>
      <w:r>
        <w:rPr>
          <w:rFonts w:hint="eastAsia" w:ascii="Times New Roman" w:hAnsi="Times New Roman" w:eastAsia="黑体"/>
          <w:color w:val="auto"/>
          <w:sz w:val="32"/>
          <w:szCs w:val="32"/>
          <w:highlight w:val="none"/>
        </w:rPr>
        <w:t>四、财</w:t>
      </w:r>
      <w:r>
        <w:rPr>
          <w:rStyle w:val="30"/>
          <w:rFonts w:hint="eastAsia" w:ascii="Times New Roman" w:hAnsi="Times New Roman" w:eastAsia="黑体"/>
          <w:b w:val="0"/>
          <w:color w:val="auto"/>
          <w:highlight w:val="none"/>
        </w:rPr>
        <w:t>政拨款收入支出决算总体情况说明</w:t>
      </w:r>
      <w:bookmarkEnd w:id="48"/>
      <w:bookmarkEnd w:id="49"/>
      <w:bookmarkEnd w:id="50"/>
      <w:bookmarkEnd w:id="51"/>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年度财政拨款收入、支出总计均为</w:t>
      </w:r>
      <w:r>
        <w:rPr>
          <w:rFonts w:hint="eastAsia" w:ascii="Times New Roman" w:hAnsi="Times New Roman" w:eastAsia="仿宋_GB2312" w:cs="Times New Roman"/>
          <w:sz w:val="32"/>
          <w:szCs w:val="32"/>
          <w:highlight w:val="none"/>
          <w:lang w:eastAsia="zh-CN"/>
        </w:rPr>
        <w:t>24261.18</w:t>
      </w:r>
      <w:r>
        <w:rPr>
          <w:rFonts w:hint="eastAsia" w:ascii="仿宋_GB2312" w:hAnsi="仿宋" w:eastAsia="仿宋_GB2312" w:cs="Times New Roman"/>
          <w:sz w:val="32"/>
          <w:szCs w:val="32"/>
          <w:highlight w:val="none"/>
          <w:lang w:val="en-US" w:eastAsia="zh-CN"/>
        </w:rPr>
        <w:t>万元。与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年度相比，财政拨款收入总计、支出总计各增加</w:t>
      </w:r>
      <w:r>
        <w:rPr>
          <w:rFonts w:hint="eastAsia" w:ascii="Times New Roman" w:hAnsi="Times New Roman" w:eastAsia="仿宋_GB2312" w:cs="Times New Roman"/>
          <w:sz w:val="32"/>
          <w:szCs w:val="32"/>
          <w:highlight w:val="none"/>
          <w:lang w:val="en-US" w:eastAsia="zh-CN"/>
        </w:rPr>
        <w:t>7432.74</w:t>
      </w:r>
      <w:r>
        <w:rPr>
          <w:rFonts w:hint="eastAsia" w:ascii="仿宋_GB2312" w:hAnsi="仿宋" w:eastAsia="仿宋_GB2312" w:cs="Times New Roman"/>
          <w:sz w:val="32"/>
          <w:szCs w:val="32"/>
          <w:highlight w:val="none"/>
          <w:lang w:val="en-US" w:eastAsia="zh-CN"/>
        </w:rPr>
        <w:t>万元，增长</w:t>
      </w:r>
      <w:r>
        <w:rPr>
          <w:rFonts w:hint="eastAsia" w:ascii="Times New Roman" w:hAnsi="Times New Roman" w:eastAsia="仿宋_GB2312" w:cs="Times New Roman"/>
          <w:sz w:val="32"/>
          <w:szCs w:val="32"/>
          <w:highlight w:val="none"/>
          <w:lang w:val="en-US" w:eastAsia="zh-CN"/>
        </w:rPr>
        <w:t>44.2%</w:t>
      </w:r>
      <w:r>
        <w:rPr>
          <w:rFonts w:hint="eastAsia" w:ascii="仿宋_GB2312" w:hAnsi="仿宋" w:eastAsia="仿宋_GB2312" w:cs="Times New Roman"/>
          <w:sz w:val="32"/>
          <w:szCs w:val="32"/>
          <w:highlight w:val="none"/>
          <w:lang w:val="en-US" w:eastAsia="zh-CN"/>
        </w:rPr>
        <w:t>。主要变动原因一是高等教育阶段国家奖学金名额增加，奖助学金标准提高；二是学校获得教育强国基础设施建设工程中央资金</w:t>
      </w:r>
      <w:r>
        <w:rPr>
          <w:rFonts w:hint="eastAsia" w:ascii="Times New Roman" w:hAnsi="Times New Roman" w:eastAsia="仿宋_GB2312" w:cs="Times New Roman"/>
          <w:sz w:val="32"/>
          <w:szCs w:val="32"/>
          <w:highlight w:val="none"/>
          <w:lang w:val="en-US" w:eastAsia="zh-CN"/>
        </w:rPr>
        <w:t>5000</w:t>
      </w:r>
      <w:r>
        <w:rPr>
          <w:rFonts w:hint="eastAsia" w:ascii="仿宋_GB2312" w:hAnsi="仿宋" w:eastAsia="仿宋_GB2312" w:cs="Times New Roman"/>
          <w:sz w:val="32"/>
          <w:szCs w:val="32"/>
          <w:highlight w:val="none"/>
          <w:lang w:val="en-US" w:eastAsia="zh-CN"/>
        </w:rPr>
        <w:t>万元。</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p>
    <w:p>
      <w:pPr>
        <w:pStyle w:val="19"/>
        <w:rPr>
          <w:rFonts w:hint="eastAsia" w:ascii="仿宋_GB2312" w:hAnsi="仿宋" w:eastAsia="仿宋_GB2312" w:cs="Times New Roman"/>
          <w:sz w:val="32"/>
          <w:szCs w:val="32"/>
          <w:highlight w:val="none"/>
          <w:lang w:val="en-US" w:eastAsia="zh-CN"/>
        </w:rPr>
      </w:pPr>
    </w:p>
    <w:p>
      <w:pPr>
        <w:spacing w:line="600" w:lineRule="exact"/>
        <w:ind w:firstLine="640" w:firstLineChars="20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0" w:firstLineChars="20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rPr>
          <w:rFonts w:hint="eastAsia" w:ascii="Times New Roman" w:hAnsi="Times New Roman" w:eastAsia="仿宋_GB2312" w:cs="仿宋_GB2312"/>
          <w:color w:val="auto"/>
          <w:kern w:val="2"/>
          <w:sz w:val="32"/>
          <w:szCs w:val="32"/>
          <w:highlight w:val="none"/>
          <w:lang w:val="en-US" w:eastAsia="zh-CN" w:bidi="ar-SA"/>
        </w:rPr>
      </w:pPr>
      <w:r>
        <w:rPr>
          <w:rFonts w:ascii="仿宋" w:hAnsi="仿宋" w:eastAsia="仿宋"/>
          <w:b/>
          <w:sz w:val="32"/>
          <w:szCs w:val="32"/>
        </w:rPr>
        <w:drawing>
          <wp:anchor distT="0" distB="0" distL="0" distR="0" simplePos="0" relativeHeight="251662336" behindDoc="0" locked="0" layoutInCell="1" allowOverlap="1">
            <wp:simplePos x="0" y="0"/>
            <wp:positionH relativeFrom="column">
              <wp:posOffset>33020</wp:posOffset>
            </wp:positionH>
            <wp:positionV relativeFrom="paragraph">
              <wp:posOffset>614045</wp:posOffset>
            </wp:positionV>
            <wp:extent cx="5211445" cy="3527425"/>
            <wp:effectExtent l="4445" t="4445" r="22860" b="11430"/>
            <wp:wrapSquare wrapText="bothSides"/>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pPr>
        <w:numPr>
          <w:ilvl w:val="0"/>
          <w:numId w:val="0"/>
        </w:numPr>
        <w:ind w:firstLine="640" w:firstLineChars="200"/>
        <w:jc w:val="both"/>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图4：财政拨款收、支决算总计变动情况（单位：万元）</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0" w:firstLineChars="200"/>
        <w:outlineLvl w:val="1"/>
        <w:rPr>
          <w:rStyle w:val="30"/>
          <w:rFonts w:ascii="Times New Roman" w:hAnsi="Times New Roman" w:eastAsia="黑体"/>
          <w:b w:val="0"/>
          <w:color w:val="auto"/>
          <w:highlight w:val="none"/>
        </w:rPr>
      </w:pPr>
      <w:bookmarkStart w:id="52" w:name="_Toc23412"/>
      <w:bookmarkStart w:id="53" w:name="_Toc2397"/>
      <w:bookmarkStart w:id="54" w:name="_Toc15396607"/>
      <w:bookmarkStart w:id="55" w:name="_Toc15377209"/>
      <w:r>
        <w:rPr>
          <w:rFonts w:hint="eastAsia" w:ascii="Times New Roman" w:hAnsi="Times New Roman" w:eastAsia="黑体"/>
          <w:color w:val="auto"/>
          <w:sz w:val="32"/>
          <w:szCs w:val="32"/>
          <w:highlight w:val="none"/>
        </w:rPr>
        <w:t>五、</w:t>
      </w:r>
      <w:r>
        <w:rPr>
          <w:rFonts w:hint="eastAsia" w:ascii="Times New Roman" w:hAnsi="Times New Roman" w:eastAsia="黑体"/>
          <w:b/>
          <w:color w:val="auto"/>
          <w:sz w:val="32"/>
          <w:szCs w:val="32"/>
          <w:highlight w:val="none"/>
        </w:rPr>
        <w:t>一</w:t>
      </w:r>
      <w:r>
        <w:rPr>
          <w:rStyle w:val="30"/>
          <w:rFonts w:hint="eastAsia" w:ascii="Times New Roman" w:hAnsi="Times New Roman" w:eastAsia="黑体"/>
          <w:b w:val="0"/>
          <w:color w:val="auto"/>
          <w:highlight w:val="none"/>
        </w:rPr>
        <w:t>般公共预算财政拨款支出决算情况说明</w:t>
      </w:r>
      <w:bookmarkEnd w:id="52"/>
      <w:bookmarkEnd w:id="53"/>
      <w:bookmarkEnd w:id="54"/>
      <w:bookmarkEnd w:id="55"/>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56" w:name="_Toc15377210"/>
      <w:r>
        <w:rPr>
          <w:rFonts w:hint="eastAsia" w:ascii="Times New Roman" w:hAnsi="Times New Roman" w:eastAsia="楷体_GB2312" w:cs="楷体_GB2312"/>
          <w:b/>
          <w:color w:val="auto"/>
          <w:sz w:val="32"/>
          <w:szCs w:val="32"/>
          <w:highlight w:val="none"/>
        </w:rPr>
        <w:t>（一）一般公共预算财政拨款支出决算总体情况</w:t>
      </w:r>
      <w:bookmarkEnd w:id="56"/>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年度一般公共预算财政拨款支出</w:t>
      </w:r>
      <w:r>
        <w:rPr>
          <w:rFonts w:hint="eastAsia" w:ascii="Times New Roman" w:hAnsi="Times New Roman" w:eastAsia="仿宋_GB2312" w:cs="Times New Roman"/>
          <w:sz w:val="32"/>
          <w:szCs w:val="32"/>
          <w:highlight w:val="none"/>
          <w:lang w:eastAsia="zh-CN"/>
        </w:rPr>
        <w:t>24261.18</w:t>
      </w:r>
      <w:r>
        <w:rPr>
          <w:rFonts w:hint="eastAsia" w:ascii="仿宋_GB2312" w:hAnsi="仿宋" w:eastAsia="仿宋_GB2312" w:cs="Times New Roman"/>
          <w:sz w:val="32"/>
          <w:szCs w:val="32"/>
          <w:highlight w:val="none"/>
          <w:lang w:val="en-US" w:eastAsia="zh-CN"/>
        </w:rPr>
        <w:t>万元，占本年支出合计的</w:t>
      </w:r>
      <w:r>
        <w:rPr>
          <w:rFonts w:hint="eastAsia" w:ascii="Times New Roman" w:hAnsi="Times New Roman" w:eastAsia="仿宋_GB2312" w:cs="Times New Roman"/>
          <w:sz w:val="32"/>
          <w:szCs w:val="32"/>
          <w:highlight w:val="none"/>
          <w:lang w:eastAsia="zh-CN"/>
        </w:rPr>
        <w:t>72.</w:t>
      </w:r>
      <w:r>
        <w:rPr>
          <w:rFonts w:hint="eastAsia" w:ascii="Times New Roman" w:hAnsi="Times New Roman" w:eastAsia="仿宋_GB2312" w:cs="Times New Roman"/>
          <w:sz w:val="32"/>
          <w:szCs w:val="32"/>
          <w:highlight w:val="none"/>
          <w:lang w:val="en-US" w:eastAsia="zh-CN"/>
        </w:rPr>
        <w:t>2%</w:t>
      </w:r>
      <w:r>
        <w:rPr>
          <w:rFonts w:hint="eastAsia" w:ascii="仿宋_GB2312" w:hAnsi="仿宋" w:eastAsia="仿宋_GB2312" w:cs="Times New Roman"/>
          <w:sz w:val="32"/>
          <w:szCs w:val="32"/>
          <w:highlight w:val="none"/>
          <w:lang w:val="en-US" w:eastAsia="zh-CN"/>
        </w:rPr>
        <w:t>。与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年度相比，一般公共预算财政拨款支出增加</w:t>
      </w:r>
      <w:r>
        <w:rPr>
          <w:rFonts w:hint="eastAsia" w:ascii="Times New Roman" w:hAnsi="Times New Roman" w:eastAsia="仿宋_GB2312" w:cs="Times New Roman"/>
          <w:sz w:val="32"/>
          <w:szCs w:val="32"/>
          <w:highlight w:val="none"/>
          <w:lang w:val="en-US" w:eastAsia="zh-CN"/>
        </w:rPr>
        <w:t>7432.74</w:t>
      </w:r>
      <w:r>
        <w:rPr>
          <w:rFonts w:hint="eastAsia" w:ascii="仿宋_GB2312" w:hAnsi="仿宋" w:eastAsia="仿宋_GB2312" w:cs="Times New Roman"/>
          <w:sz w:val="32"/>
          <w:szCs w:val="32"/>
          <w:highlight w:val="none"/>
          <w:lang w:val="en-US" w:eastAsia="zh-CN"/>
        </w:rPr>
        <w:t>万元，增长</w:t>
      </w:r>
      <w:r>
        <w:rPr>
          <w:rFonts w:hint="eastAsia" w:ascii="Times New Roman" w:hAnsi="Times New Roman" w:eastAsia="仿宋_GB2312" w:cs="Times New Roman"/>
          <w:sz w:val="32"/>
          <w:szCs w:val="32"/>
          <w:highlight w:val="none"/>
          <w:lang w:val="en-US" w:eastAsia="zh-CN"/>
        </w:rPr>
        <w:t>44.2%</w:t>
      </w:r>
      <w:r>
        <w:rPr>
          <w:rFonts w:hint="eastAsia" w:ascii="仿宋_GB2312" w:hAnsi="仿宋" w:eastAsia="仿宋_GB2312" w:cs="Times New Roman"/>
          <w:sz w:val="32"/>
          <w:szCs w:val="32"/>
          <w:highlight w:val="none"/>
          <w:lang w:val="en-US" w:eastAsia="zh-CN"/>
        </w:rPr>
        <w:t>。主要变动原因一是高等教育阶段国家奖学金名额增加，奖助学金标准提高；二是学校获得教育强国基础设施建设工程中央资金</w:t>
      </w:r>
      <w:r>
        <w:rPr>
          <w:rFonts w:hint="eastAsia" w:ascii="Times New Roman" w:hAnsi="Times New Roman" w:eastAsia="仿宋_GB2312" w:cs="Times New Roman"/>
          <w:sz w:val="32"/>
          <w:szCs w:val="32"/>
          <w:highlight w:val="none"/>
          <w:lang w:val="en-US" w:eastAsia="zh-CN"/>
        </w:rPr>
        <w:t>5000</w:t>
      </w:r>
      <w:r>
        <w:rPr>
          <w:rFonts w:hint="eastAsia" w:ascii="仿宋_GB2312" w:hAnsi="仿宋" w:eastAsia="仿宋_GB2312" w:cs="Times New Roman"/>
          <w:sz w:val="32"/>
          <w:szCs w:val="32"/>
          <w:highlight w:val="none"/>
          <w:lang w:val="en-US" w:eastAsia="zh-CN"/>
        </w:rPr>
        <w:t>万元。</w:t>
      </w:r>
    </w:p>
    <w:p>
      <w:pPr>
        <w:pStyle w:val="19"/>
        <w:rPr>
          <w:rFonts w:hint="eastAsia" w:ascii="仿宋_GB2312" w:hAnsi="仿宋" w:eastAsia="仿宋_GB2312" w:cs="Times New Roman"/>
          <w:sz w:val="32"/>
          <w:szCs w:val="32"/>
          <w:highlight w:val="none"/>
          <w:lang w:val="en-US" w:eastAsia="zh-CN"/>
        </w:rPr>
      </w:pPr>
    </w:p>
    <w:p>
      <w:pPr>
        <w:numPr>
          <w:ilvl w:val="0"/>
          <w:numId w:val="0"/>
        </w:numPr>
        <w:jc w:val="center"/>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eastAsia="zh-CN"/>
        </w:rPr>
        <w:drawing>
          <wp:anchor distT="0" distB="0" distL="0" distR="0" simplePos="0" relativeHeight="251663360" behindDoc="0" locked="0" layoutInCell="1" allowOverlap="1">
            <wp:simplePos x="0" y="0"/>
            <wp:positionH relativeFrom="column">
              <wp:posOffset>19685</wp:posOffset>
            </wp:positionH>
            <wp:positionV relativeFrom="paragraph">
              <wp:posOffset>173990</wp:posOffset>
            </wp:positionV>
            <wp:extent cx="5274310" cy="3076575"/>
            <wp:effectExtent l="5080" t="4445" r="16510" b="5080"/>
            <wp:wrapTopAndBottom/>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rFonts w:hint="eastAsia" w:ascii="仿宋_GB2312" w:hAnsi="仿宋" w:eastAsia="仿宋_GB2312" w:cs="Times New Roman"/>
          <w:sz w:val="32"/>
          <w:szCs w:val="32"/>
          <w:highlight w:val="none"/>
          <w:lang w:val="en-US" w:eastAsia="zh-CN"/>
        </w:rPr>
        <w:t>图5：一般公共预算财政拨款支出决算变动情况（单位：万元）</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57" w:name="_Toc15377211"/>
      <w:r>
        <w:rPr>
          <w:rFonts w:hint="eastAsia" w:ascii="Times New Roman" w:hAnsi="Times New Roman" w:eastAsia="楷体_GB2312" w:cs="楷体_GB2312"/>
          <w:b/>
          <w:color w:val="auto"/>
          <w:sz w:val="32"/>
          <w:szCs w:val="32"/>
          <w:highlight w:val="none"/>
        </w:rPr>
        <w:t>（二）一般公共预算财政拨款支出决算结构情况</w:t>
      </w:r>
      <w:bookmarkEnd w:id="57"/>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年度一般公共预算财政拨款支出</w:t>
      </w:r>
      <w:r>
        <w:rPr>
          <w:rFonts w:hint="eastAsia" w:ascii="Times New Roman" w:hAnsi="Times New Roman" w:eastAsia="仿宋_GB2312" w:cs="Times New Roman"/>
          <w:sz w:val="32"/>
          <w:szCs w:val="32"/>
          <w:highlight w:val="none"/>
          <w:lang w:eastAsia="zh-CN"/>
        </w:rPr>
        <w:t>24261.18</w:t>
      </w:r>
      <w:r>
        <w:rPr>
          <w:rFonts w:hint="eastAsia" w:ascii="仿宋_GB2312" w:hAnsi="仿宋" w:eastAsia="仿宋_GB2312" w:cs="Times New Roman"/>
          <w:sz w:val="32"/>
          <w:szCs w:val="32"/>
          <w:highlight w:val="none"/>
          <w:lang w:val="en-US" w:eastAsia="zh-CN"/>
        </w:rPr>
        <w:t>万元，主要用于以下方面：教育支出</w:t>
      </w:r>
      <w:r>
        <w:rPr>
          <w:rFonts w:hint="eastAsia" w:ascii="Times New Roman" w:hAnsi="Times New Roman" w:eastAsia="仿宋_GB2312" w:cs="Times New Roman"/>
          <w:sz w:val="32"/>
          <w:szCs w:val="32"/>
          <w:highlight w:val="none"/>
          <w:lang w:val="en-US" w:eastAsia="zh-CN"/>
        </w:rPr>
        <w:t>21446.13</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88.4%</w:t>
      </w:r>
      <w:r>
        <w:rPr>
          <w:rFonts w:hint="eastAsia" w:ascii="仿宋_GB2312" w:hAnsi="仿宋" w:eastAsia="仿宋_GB2312" w:cs="Times New Roman"/>
          <w:sz w:val="32"/>
          <w:szCs w:val="32"/>
          <w:highlight w:val="none"/>
          <w:lang w:val="en-US" w:eastAsia="zh-CN"/>
        </w:rPr>
        <w:t>；社会保障和就业支出</w:t>
      </w:r>
      <w:r>
        <w:rPr>
          <w:rFonts w:hint="eastAsia" w:ascii="Times New Roman" w:hAnsi="Times New Roman" w:eastAsia="仿宋_GB2312" w:cs="Times New Roman"/>
          <w:sz w:val="32"/>
          <w:szCs w:val="32"/>
          <w:highlight w:val="none"/>
          <w:lang w:val="en-US" w:eastAsia="zh-CN"/>
        </w:rPr>
        <w:t>1610.42</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6.6%</w:t>
      </w:r>
      <w:r>
        <w:rPr>
          <w:rFonts w:hint="eastAsia" w:ascii="仿宋_GB2312" w:hAnsi="仿宋" w:eastAsia="仿宋_GB2312" w:cs="Times New Roman"/>
          <w:sz w:val="32"/>
          <w:szCs w:val="32"/>
          <w:highlight w:val="none"/>
          <w:lang w:val="en-US" w:eastAsia="zh-CN"/>
        </w:rPr>
        <w:t>；住房保障支出</w:t>
      </w:r>
      <w:r>
        <w:rPr>
          <w:rFonts w:hint="eastAsia" w:ascii="Times New Roman" w:hAnsi="Times New Roman" w:eastAsia="仿宋_GB2312" w:cs="Times New Roman"/>
          <w:sz w:val="32"/>
          <w:szCs w:val="32"/>
          <w:highlight w:val="none"/>
          <w:lang w:val="en-US" w:eastAsia="zh-CN"/>
        </w:rPr>
        <w:t>1204.64</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5%</w:t>
      </w:r>
      <w:r>
        <w:rPr>
          <w:rFonts w:hint="eastAsia" w:ascii="仿宋_GB2312" w:hAnsi="仿宋" w:eastAsia="仿宋_GB2312" w:cs="Times New Roman"/>
          <w:sz w:val="32"/>
          <w:szCs w:val="32"/>
          <w:highlight w:val="none"/>
          <w:lang w:val="en-US" w:eastAsia="zh-CN"/>
        </w:rPr>
        <w:t>。</w:t>
      </w:r>
    </w:p>
    <w:p>
      <w:pPr>
        <w:pStyle w:val="19"/>
        <w:rPr>
          <w:rFonts w:hint="eastAsia" w:ascii="Times New Roman" w:hAnsi="Times New Roman" w:eastAsia="仿宋_GB2312" w:cs="仿宋_GB2312"/>
          <w:b/>
          <w:bCs/>
          <w:color w:val="auto"/>
          <w:kern w:val="2"/>
          <w:sz w:val="32"/>
          <w:szCs w:val="32"/>
          <w:highlight w:val="none"/>
          <w:lang w:val="en-US" w:eastAsia="zh-CN" w:bidi="ar-SA"/>
        </w:rPr>
      </w:pPr>
    </w:p>
    <w:p>
      <w:pPr>
        <w:pStyle w:val="19"/>
        <w:rPr>
          <w:rFonts w:hint="eastAsia" w:ascii="Times New Roman" w:hAnsi="Times New Roman" w:eastAsia="仿宋_GB2312" w:cs="仿宋_GB2312"/>
          <w:b/>
          <w:bCs/>
          <w:color w:val="auto"/>
          <w:kern w:val="2"/>
          <w:sz w:val="32"/>
          <w:szCs w:val="32"/>
          <w:highlight w:val="none"/>
          <w:lang w:val="en-US" w:eastAsia="zh-CN" w:bidi="ar-SA"/>
        </w:rPr>
      </w:pPr>
    </w:p>
    <w:p>
      <w:pPr>
        <w:pStyle w:val="19"/>
        <w:rPr>
          <w:rFonts w:hint="eastAsia" w:ascii="Times New Roman" w:hAnsi="Times New Roman" w:eastAsia="仿宋_GB2312" w:cs="仿宋_GB2312"/>
          <w:b/>
          <w:bCs/>
          <w:color w:val="auto"/>
          <w:kern w:val="2"/>
          <w:sz w:val="32"/>
          <w:szCs w:val="32"/>
          <w:highlight w:val="none"/>
          <w:lang w:val="en-US" w:eastAsia="zh-CN" w:bidi="ar-SA"/>
        </w:rPr>
      </w:pPr>
    </w:p>
    <w:p>
      <w:pPr>
        <w:pStyle w:val="19"/>
        <w:rPr>
          <w:rFonts w:hint="eastAsia" w:ascii="Times New Roman" w:hAnsi="Times New Roman" w:eastAsia="仿宋_GB2312" w:cs="仿宋_GB2312"/>
          <w:b/>
          <w:bCs/>
          <w:color w:val="auto"/>
          <w:kern w:val="2"/>
          <w:sz w:val="32"/>
          <w:szCs w:val="32"/>
          <w:highlight w:val="none"/>
          <w:lang w:val="en-US" w:eastAsia="zh-CN" w:bidi="ar-SA"/>
        </w:rPr>
      </w:pPr>
      <w:r>
        <w:rPr>
          <w:rFonts w:ascii="仿宋" w:hAnsi="仿宋" w:eastAsia="仿宋"/>
          <w:sz w:val="32"/>
          <w:szCs w:val="32"/>
        </w:rPr>
        <w:drawing>
          <wp:inline distT="0" distB="0" distL="0" distR="0">
            <wp:extent cx="5158105" cy="3025140"/>
            <wp:effectExtent l="4445" t="4445" r="19050" b="1841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pPr>
        <w:numPr>
          <w:ilvl w:val="0"/>
          <w:numId w:val="0"/>
        </w:numPr>
        <w:jc w:val="center"/>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图6：一般公共预算财政拨款支出决算结构（单位：万元）</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58" w:name="_Toc15377212"/>
      <w:r>
        <w:rPr>
          <w:rFonts w:hint="eastAsia" w:ascii="Times New Roman" w:hAnsi="Times New Roman" w:eastAsia="楷体_GB2312" w:cs="楷体_GB2312"/>
          <w:b/>
          <w:color w:val="auto"/>
          <w:sz w:val="32"/>
          <w:szCs w:val="32"/>
          <w:highlight w:val="none"/>
        </w:rPr>
        <w:t>（三）一般公共预算财政拨款支出决算具体情况</w:t>
      </w:r>
      <w:bookmarkEnd w:id="58"/>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bookmarkStart w:id="59" w:name="_Toc15377213"/>
      <w:bookmarkStart w:id="60" w:name="_Toc15377444"/>
      <w:bookmarkStart w:id="61" w:name="_Toc15378460"/>
      <w:r>
        <w:rPr>
          <w:rFonts w:hint="default" w:ascii="Times New Roman" w:hAnsi="Times New Roman" w:eastAsia="仿宋_GB2312" w:cs="Times New Roman"/>
          <w:sz w:val="32"/>
          <w:szCs w:val="32"/>
          <w:highlight w:val="none"/>
          <w:lang w:val="en-US" w:eastAsia="zh-CN"/>
        </w:rPr>
        <w:t>2024年度一般公共预算财政拨款支出决算数为</w:t>
      </w:r>
      <w:r>
        <w:rPr>
          <w:rFonts w:hint="default" w:ascii="Times New Roman" w:hAnsi="Times New Roman" w:eastAsia="仿宋_GB2312" w:cs="Times New Roman"/>
          <w:sz w:val="32"/>
          <w:szCs w:val="32"/>
          <w:highlight w:val="none"/>
          <w:lang w:eastAsia="zh-CN"/>
        </w:rPr>
        <w:t>24261.18</w:t>
      </w:r>
      <w:r>
        <w:rPr>
          <w:rFonts w:hint="default" w:ascii="Times New Roman" w:hAnsi="Times New Roman" w:eastAsia="仿宋_GB2312" w:cs="Times New Roman"/>
          <w:sz w:val="32"/>
          <w:szCs w:val="32"/>
          <w:highlight w:val="none"/>
          <w:lang w:val="en-US" w:eastAsia="zh-CN"/>
        </w:rPr>
        <w:t>万元，完成预算88.5%。其中：</w:t>
      </w:r>
      <w:bookmarkEnd w:id="59"/>
      <w:bookmarkEnd w:id="60"/>
      <w:bookmarkEnd w:id="61"/>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1.教育（类）职业教育（款）高等职业教育（项）: 支出决算为21446.13万元，完成预算87.2%，决算数小于预算数的主要原因一是根据四川省财政厅《下达教育强国基础设施建设工程2024年第一批中央预算内投资计划》文件安排，学校收到中央资金5000万元用于学校化工新材料产教融合实训基地项目,包括建筑安装工程费,以及设计费、监理费、实验检测等工程建设其他费支出。根据学校基建工程进度安排，该笔资金剩余1748.43</w:t>
      </w:r>
      <w:r>
        <w:rPr>
          <w:rFonts w:hint="eastAsia" w:ascii="Times New Roman" w:hAnsi="Times New Roman" w:eastAsia="仿宋_GB2312" w:cs="Times New Roman"/>
          <w:sz w:val="32"/>
          <w:szCs w:val="32"/>
          <w:highlight w:val="none"/>
          <w:lang w:val="en-US" w:eastAsia="zh-CN"/>
        </w:rPr>
        <w:t>万元</w:t>
      </w:r>
      <w:r>
        <w:rPr>
          <w:rFonts w:hint="default" w:ascii="Times New Roman" w:hAnsi="Times New Roman" w:eastAsia="仿宋_GB2312" w:cs="Times New Roman"/>
          <w:sz w:val="32"/>
          <w:szCs w:val="32"/>
          <w:highlight w:val="none"/>
          <w:lang w:val="en-US" w:eastAsia="zh-CN"/>
        </w:rPr>
        <w:t>未支出，结转到2025年继续实施。二是后勤维修费项目以及食堂外包委托业务费均进入政府采购程序，但当年未执行完毕，需要结转到2025年继续实施。三是2024年12月19日根据《四川省财政厅 四川省教育厅关于下达2024年第八批省级教育补助资金预算的通知》文件安排，下达资金600万元用于学校高性能聚合物产学研协同创新平台创建，该笔资金下达时间位于年末，2024年无法开展相关工作，结转到2025年继续实施。四是2024年12月5日根据《四川省财政厅四川省教育厅关于下达2024年第六批、第七批中央和省级部分教育补助资金预算的通知》文件安排，下达383.8万元用于现代职业教育质量提升计划资金项目，该笔资金下达时间位于年末，2024年无法完成相关工作，结转到2025年继续实施。五是2024年12月20日根据《四川省财政厅四川省教育厅关于下达2024年第九批中央和省级教育补助资金预算的通知》文件安排，下达137.6万元用于学生资助专项资金，该笔资金下达时间位于年末，2024年无法完成相关工作，结转到2025年继续实施。</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2.社会保障和就业（类）行政事业单位养老支出（款）事业单位离退休（项）：支出决算为10.42万元，完成预算99.2%，决算数小于预算数的主要原因是年度预算执行中有细微调整，导致预算执行未完成。</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3.社会保障和就业（类）行政事业单位养老支出（款）机关事业单位基本养老保险缴费支出（项）：支出决算为1100万元，完成预算100%，决算数与预算数持平。</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4.社会保障和就业（类）行政事业单位养老支出（款）机关事业单位职业年金缴费支出（项）：支出决算为500万元，完成预算100%，决算数与预算数持平。</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5.住房保障支出（类）住房改革支出（款）住房公积金（项）：支出决算为1204.64万元，完成预算99.9%，决算数小于预算数的主要原因是年度预算执行中有细微调整，导致预算执行未完成。</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tabs>
          <w:tab w:val="right" w:pos="8306"/>
        </w:tabs>
        <w:spacing w:line="600" w:lineRule="exact"/>
        <w:ind w:firstLine="640"/>
        <w:outlineLvl w:val="1"/>
        <w:rPr>
          <w:rStyle w:val="30"/>
          <w:rFonts w:ascii="Times New Roman" w:hAnsi="Times New Roman"/>
          <w:color w:val="auto"/>
          <w:highlight w:val="none"/>
        </w:rPr>
      </w:pPr>
      <w:bookmarkStart w:id="62" w:name="_Toc15396608"/>
      <w:bookmarkStart w:id="63" w:name="_Toc29255"/>
      <w:bookmarkStart w:id="64" w:name="_Toc15377214"/>
      <w:bookmarkStart w:id="65" w:name="_Toc837"/>
      <w:r>
        <w:rPr>
          <w:rFonts w:hint="eastAsia" w:ascii="Times New Roman" w:hAnsi="Times New Roman" w:eastAsia="黑体"/>
          <w:color w:val="auto"/>
          <w:sz w:val="32"/>
          <w:szCs w:val="32"/>
          <w:highlight w:val="none"/>
        </w:rPr>
        <w:t>六</w:t>
      </w:r>
      <w:r>
        <w:rPr>
          <w:rFonts w:hint="eastAsia" w:ascii="Times New Roman" w:hAnsi="Times New Roman" w:eastAsia="黑体"/>
          <w:b/>
          <w:color w:val="auto"/>
          <w:sz w:val="32"/>
          <w:szCs w:val="32"/>
          <w:highlight w:val="none"/>
        </w:rPr>
        <w:t>、一</w:t>
      </w:r>
      <w:r>
        <w:rPr>
          <w:rStyle w:val="30"/>
          <w:rFonts w:hint="eastAsia" w:ascii="Times New Roman" w:hAnsi="Times New Roman" w:eastAsia="黑体"/>
          <w:b w:val="0"/>
          <w:color w:val="auto"/>
          <w:highlight w:val="none"/>
        </w:rPr>
        <w:t>般公共预算财政拨款基本支出决算情况说明</w:t>
      </w:r>
      <w:bookmarkEnd w:id="62"/>
      <w:bookmarkEnd w:id="63"/>
      <w:bookmarkEnd w:id="64"/>
      <w:bookmarkEnd w:id="65"/>
      <w:r>
        <w:rPr>
          <w:rStyle w:val="30"/>
          <w:rFonts w:ascii="Times New Roman" w:hAnsi="Times New Roman" w:eastAsia="黑体"/>
          <w:b w:val="0"/>
          <w:color w:val="auto"/>
          <w:highlight w:val="none"/>
        </w:rPr>
        <w:tab/>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年度一般公共预算财政拨款基本支出</w:t>
      </w:r>
      <w:r>
        <w:rPr>
          <w:rFonts w:hint="eastAsia" w:ascii="Times New Roman" w:hAnsi="Times New Roman" w:eastAsia="仿宋_GB2312" w:cs="Times New Roman"/>
          <w:sz w:val="32"/>
          <w:szCs w:val="32"/>
          <w:highlight w:val="none"/>
          <w:lang w:val="en-US" w:eastAsia="zh-CN"/>
        </w:rPr>
        <w:t>15593.31</w:t>
      </w:r>
      <w:r>
        <w:rPr>
          <w:rFonts w:hint="eastAsia" w:ascii="仿宋_GB2312" w:hAnsi="仿宋" w:eastAsia="仿宋_GB2312" w:cs="Times New Roman"/>
          <w:sz w:val="32"/>
          <w:szCs w:val="32"/>
          <w:highlight w:val="none"/>
          <w:lang w:val="en-US" w:eastAsia="zh-CN"/>
        </w:rPr>
        <w:t>万元，其中：</w:t>
      </w:r>
    </w:p>
    <w:p>
      <w:pPr>
        <w:numPr>
          <w:ilvl w:val="0"/>
          <w:numId w:val="0"/>
        </w:numPr>
        <w:ind w:firstLine="640" w:firstLineChars="200"/>
        <w:rPr>
          <w:rFonts w:hint="eastAsia" w:ascii="仿宋_GB2312" w:hAnsi="仿宋" w:eastAsia="仿宋_GB2312" w:cs="Times New Roman"/>
          <w:sz w:val="32"/>
          <w:szCs w:val="32"/>
          <w:highlight w:val="none"/>
          <w:lang w:eastAsia="zh-CN"/>
        </w:rPr>
      </w:pPr>
      <w:r>
        <w:rPr>
          <w:rFonts w:hint="eastAsia" w:ascii="仿宋_GB2312" w:hAnsi="仿宋" w:eastAsia="仿宋_GB2312" w:cs="Times New Roman"/>
          <w:sz w:val="32"/>
          <w:szCs w:val="32"/>
          <w:highlight w:val="none"/>
          <w:lang w:val="en-US" w:eastAsia="zh-CN"/>
        </w:rPr>
        <w:t>人员经费</w:t>
      </w:r>
      <w:r>
        <w:rPr>
          <w:rFonts w:hint="eastAsia" w:ascii="Times New Roman" w:hAnsi="Times New Roman" w:eastAsia="仿宋_GB2312" w:cs="Times New Roman"/>
          <w:sz w:val="32"/>
          <w:szCs w:val="32"/>
          <w:highlight w:val="none"/>
          <w:lang w:val="en-US" w:eastAsia="zh-CN"/>
        </w:rPr>
        <w:t>13067.31</w:t>
      </w:r>
      <w:r>
        <w:rPr>
          <w:rFonts w:hint="eastAsia" w:ascii="仿宋_GB2312" w:hAnsi="仿宋" w:eastAsia="仿宋_GB2312" w:cs="Times New Roman"/>
          <w:sz w:val="32"/>
          <w:szCs w:val="32"/>
          <w:highlight w:val="none"/>
          <w:lang w:val="en-US" w:eastAsia="zh-CN"/>
        </w:rPr>
        <w:t>万元，主要包括：基本工资、津贴补贴、奖金、绩效工资、机关事业单位基本养老保险缴费、职业年金缴费、其他社会保障缴费、其他工资福利支出、离休费、退休费、抚恤金、生活补助、医疗费补助、奖励金、住房公积金、其他对个人和家庭的补助支出等。</w:t>
      </w:r>
      <w:r>
        <w:rPr>
          <w:rFonts w:hint="eastAsia" w:ascii="仿宋_GB2312" w:hAnsi="仿宋" w:eastAsia="仿宋_GB2312" w:cs="Times New Roman"/>
          <w:sz w:val="32"/>
          <w:szCs w:val="32"/>
          <w:highlight w:val="none"/>
          <w:lang w:val="en-US" w:eastAsia="zh-CN"/>
        </w:rPr>
        <w:br w:type="textWrapping"/>
      </w:r>
      <w:r>
        <w:rPr>
          <w:rFonts w:hint="eastAsia" w:ascii="仿宋_GB2312" w:hAnsi="仿宋" w:eastAsia="仿宋_GB2312" w:cs="Times New Roman"/>
          <w:sz w:val="32"/>
          <w:szCs w:val="32"/>
          <w:highlight w:val="none"/>
          <w:lang w:val="en-US" w:eastAsia="zh-CN"/>
        </w:rPr>
        <w:t>　　公用经费</w:t>
      </w:r>
      <w:r>
        <w:rPr>
          <w:rFonts w:hint="eastAsia" w:ascii="Times New Roman" w:hAnsi="Times New Roman" w:eastAsia="仿宋_GB2312" w:cs="Times New Roman"/>
          <w:sz w:val="32"/>
          <w:szCs w:val="32"/>
          <w:highlight w:val="none"/>
          <w:lang w:val="en-US" w:eastAsia="zh-CN"/>
        </w:rPr>
        <w:t>2526</w:t>
      </w:r>
      <w:r>
        <w:rPr>
          <w:rFonts w:hint="eastAsia" w:ascii="仿宋_GB2312" w:hAnsi="仿宋" w:eastAsia="仿宋_GB2312" w:cs="Times New Roman"/>
          <w:sz w:val="32"/>
          <w:szCs w:val="32"/>
          <w:highlight w:val="none"/>
          <w:lang w:val="en-US" w:eastAsia="zh-CN"/>
        </w:rPr>
        <w:t>万元，主要包括：</w:t>
      </w:r>
      <w:r>
        <w:rPr>
          <w:rFonts w:hint="eastAsia" w:ascii="仿宋_GB2312" w:hAnsi="仿宋" w:eastAsia="仿宋_GB2312" w:cs="Times New Roman"/>
          <w:sz w:val="32"/>
          <w:szCs w:val="32"/>
          <w:highlight w:val="none"/>
          <w:lang w:eastAsia="zh-CN"/>
        </w:rPr>
        <w:t>办公费、印刷费、咨询费、手续费、水费、电费、邮电费、物业管理费、差旅费、维修（护）费、租赁费、会议费、培训费、委托业务费、工会经费、福利费、税金及附加费用、其他商品和服务支出、办公设备购置等。</w:t>
      </w:r>
    </w:p>
    <w:p>
      <w:pPr>
        <w:pStyle w:val="19"/>
        <w:rPr>
          <w:rFonts w:hint="eastAsia"/>
          <w:lang w:val="en-US" w:eastAsia="zh-CN"/>
        </w:rPr>
      </w:pPr>
    </w:p>
    <w:p>
      <w:pPr>
        <w:spacing w:line="600" w:lineRule="exact"/>
        <w:ind w:firstLine="640"/>
        <w:outlineLvl w:val="1"/>
        <w:rPr>
          <w:rStyle w:val="30"/>
          <w:rFonts w:ascii="Times New Roman" w:hAnsi="Times New Roman" w:eastAsia="黑体"/>
          <w:b w:val="0"/>
          <w:color w:val="auto"/>
          <w:highlight w:val="none"/>
        </w:rPr>
      </w:pPr>
      <w:bookmarkStart w:id="66" w:name="_Toc15377215"/>
      <w:bookmarkStart w:id="67" w:name="_Toc157"/>
      <w:bookmarkStart w:id="68" w:name="_Toc32003"/>
      <w:bookmarkStart w:id="69" w:name="_Toc15396609"/>
      <w:r>
        <w:rPr>
          <w:rFonts w:hint="eastAsia" w:ascii="Times New Roman" w:hAnsi="Times New Roman" w:eastAsia="黑体"/>
          <w:color w:val="auto"/>
          <w:sz w:val="32"/>
          <w:szCs w:val="32"/>
          <w:highlight w:val="none"/>
        </w:rPr>
        <w:t>七、</w:t>
      </w:r>
      <w:r>
        <w:rPr>
          <w:rStyle w:val="30"/>
          <w:rFonts w:hint="eastAsia" w:ascii="Times New Roman" w:hAnsi="Times New Roman" w:eastAsia="黑体"/>
          <w:b w:val="0"/>
          <w:color w:val="auto"/>
          <w:highlight w:val="none"/>
        </w:rPr>
        <w:t>财政拨款</w:t>
      </w:r>
      <w:r>
        <w:rPr>
          <w:rStyle w:val="30"/>
          <w:rFonts w:hint="eastAsia" w:ascii="Times New Roman" w:hAnsi="Times New Roman" w:eastAsia="黑体"/>
          <w:color w:val="auto"/>
          <w:highlight w:val="none"/>
        </w:rPr>
        <w:t>“</w:t>
      </w:r>
      <w:r>
        <w:rPr>
          <w:rStyle w:val="30"/>
          <w:rFonts w:hint="eastAsia" w:ascii="Times New Roman" w:hAnsi="Times New Roman" w:eastAsia="黑体"/>
          <w:b w:val="0"/>
          <w:color w:val="auto"/>
          <w:highlight w:val="none"/>
        </w:rPr>
        <w:t>三公”经费支出决算情况说明</w:t>
      </w:r>
      <w:bookmarkEnd w:id="66"/>
      <w:bookmarkEnd w:id="67"/>
      <w:bookmarkEnd w:id="68"/>
      <w:bookmarkEnd w:id="69"/>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70" w:name="_Toc15377216"/>
      <w:r>
        <w:rPr>
          <w:rFonts w:hint="eastAsia" w:ascii="Times New Roman" w:hAnsi="Times New Roman" w:eastAsia="楷体_GB2312" w:cs="楷体_GB2312"/>
          <w:b/>
          <w:color w:val="auto"/>
          <w:sz w:val="32"/>
          <w:szCs w:val="32"/>
          <w:highlight w:val="none"/>
        </w:rPr>
        <w:t>（一）“三公”经费财政拨款支出决算总体情况说明</w:t>
      </w:r>
      <w:bookmarkEnd w:id="70"/>
    </w:p>
    <w:p>
      <w:pPr>
        <w:numPr>
          <w:ilvl w:val="0"/>
          <w:numId w:val="0"/>
        </w:numPr>
        <w:ind w:firstLine="640" w:firstLineChars="20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年度“三公”经费财政拨款支出决算为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万元，较上年度无变化。决算数与预算数持平。</w:t>
      </w: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71" w:name="_Toc15377217"/>
      <w:r>
        <w:rPr>
          <w:rFonts w:hint="eastAsia" w:ascii="Times New Roman" w:hAnsi="Times New Roman" w:eastAsia="楷体_GB2312" w:cs="楷体_GB2312"/>
          <w:b/>
          <w:color w:val="auto"/>
          <w:sz w:val="32"/>
          <w:szCs w:val="32"/>
          <w:highlight w:val="none"/>
        </w:rPr>
        <w:t>（二）“三公”经费财政拨款支出决算具体情况说明</w:t>
      </w:r>
      <w:bookmarkEnd w:id="71"/>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年度“三公”经费财政拨款支出决算中，因公出国（境）费支出决算</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；公务用车购置及运行维护费支出决算</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；公务接待费支出决算</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万元，占</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。具体情况如下：</w:t>
      </w:r>
    </w:p>
    <w:p>
      <w:pPr>
        <w:spacing w:line="600" w:lineRule="exact"/>
        <w:ind w:firstLine="64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仿宋_GB2312"/>
          <w:b/>
          <w:bCs/>
          <w:color w:val="auto"/>
          <w:kern w:val="2"/>
          <w:sz w:val="32"/>
          <w:szCs w:val="32"/>
          <w:highlight w:val="none"/>
          <w:lang w:val="en-US" w:eastAsia="zh-CN" w:bidi="ar-SA"/>
        </w:rPr>
        <w:t>1.因公出国（境）经费支出0万元。</w:t>
      </w:r>
      <w:r>
        <w:rPr>
          <w:rFonts w:hint="eastAsia" w:ascii="仿宋_GB2312" w:hAnsi="仿宋" w:eastAsia="仿宋_GB2312" w:cs="Times New Roman"/>
          <w:sz w:val="32"/>
          <w:szCs w:val="32"/>
          <w:highlight w:val="none"/>
          <w:lang w:val="en-US" w:eastAsia="zh-CN"/>
        </w:rPr>
        <w:t>全年安排因公出国（境）团组</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次，出国（境）</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人。因公出国（境）支出决算与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年持平。</w:t>
      </w:r>
    </w:p>
    <w:p>
      <w:pPr>
        <w:numPr>
          <w:ilvl w:val="0"/>
          <w:numId w:val="0"/>
        </w:numPr>
        <w:ind w:firstLine="642"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仿宋_GB2312"/>
          <w:b/>
          <w:bCs/>
          <w:color w:val="auto"/>
          <w:kern w:val="2"/>
          <w:sz w:val="32"/>
          <w:szCs w:val="32"/>
          <w:highlight w:val="none"/>
          <w:lang w:val="en-US" w:eastAsia="zh-CN" w:bidi="ar-SA"/>
        </w:rPr>
        <w:t>2.公务用车购置及运行维护费支出</w:t>
      </w:r>
      <w:r>
        <w:rPr>
          <w:rFonts w:hint="eastAsia" w:ascii="仿宋_GB2312" w:hAnsi="仿宋_GB2312" w:eastAsia="仿宋_GB2312" w:cs="仿宋_GB2312"/>
          <w:b/>
          <w:bCs/>
          <w:color w:val="auto"/>
          <w:kern w:val="2"/>
          <w:sz w:val="32"/>
          <w:szCs w:val="32"/>
          <w:highlight w:val="none"/>
          <w:lang w:val="en-US" w:eastAsia="zh-CN" w:bidi="ar-SA"/>
        </w:rPr>
        <w:t>0万</w:t>
      </w:r>
      <w:r>
        <w:rPr>
          <w:rFonts w:hint="eastAsia" w:ascii="Times New Roman" w:hAnsi="Times New Roman" w:eastAsia="仿宋_GB2312" w:cs="仿宋_GB2312"/>
          <w:b/>
          <w:bCs/>
          <w:color w:val="auto"/>
          <w:kern w:val="2"/>
          <w:sz w:val="32"/>
          <w:szCs w:val="32"/>
          <w:highlight w:val="none"/>
          <w:lang w:val="en-US" w:eastAsia="zh-CN" w:bidi="ar-SA"/>
        </w:rPr>
        <w:t>元。</w:t>
      </w:r>
      <w:r>
        <w:rPr>
          <w:rFonts w:hint="eastAsia" w:ascii="仿宋_GB2312" w:hAnsi="仿宋" w:eastAsia="仿宋_GB2312" w:cs="Times New Roman"/>
          <w:sz w:val="32"/>
          <w:szCs w:val="32"/>
          <w:highlight w:val="none"/>
          <w:lang w:val="en-US" w:eastAsia="zh-CN"/>
        </w:rPr>
        <w:t>公务用车购置及运行维护费支出决算与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年度持平。</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其中：公务用车购置支出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万元。全年按规定更新购置公务用车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辆。其中：轿车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辆、越野车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辆、载客汽车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辆。截至</w:t>
      </w: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w:t>
      </w:r>
      <w:r>
        <w:rPr>
          <w:rFonts w:hint="eastAsia" w:ascii="Times New Roman" w:hAnsi="Times New Roman" w:eastAsia="仿宋_GB2312" w:cs="Times New Roman"/>
          <w:sz w:val="32"/>
          <w:szCs w:val="32"/>
          <w:highlight w:val="none"/>
          <w:lang w:val="en-US" w:eastAsia="zh-CN"/>
        </w:rPr>
        <w:t>12</w:t>
      </w:r>
      <w:r>
        <w:rPr>
          <w:rFonts w:hint="eastAsia" w:ascii="仿宋_GB2312" w:hAnsi="仿宋" w:eastAsia="仿宋_GB2312" w:cs="Times New Roman"/>
          <w:sz w:val="32"/>
          <w:szCs w:val="32"/>
          <w:highlight w:val="none"/>
          <w:lang w:val="en-US" w:eastAsia="zh-CN"/>
        </w:rPr>
        <w:t>月</w:t>
      </w:r>
      <w:r>
        <w:rPr>
          <w:rFonts w:hint="eastAsia" w:ascii="Times New Roman" w:hAnsi="Times New Roman" w:eastAsia="仿宋_GB2312" w:cs="Times New Roman"/>
          <w:sz w:val="32"/>
          <w:szCs w:val="32"/>
          <w:highlight w:val="none"/>
          <w:lang w:val="en-US" w:eastAsia="zh-CN"/>
        </w:rPr>
        <w:t>31</w:t>
      </w:r>
      <w:r>
        <w:rPr>
          <w:rFonts w:hint="eastAsia" w:ascii="仿宋_GB2312" w:hAnsi="仿宋" w:eastAsia="仿宋_GB2312" w:cs="Times New Roman"/>
          <w:sz w:val="32"/>
          <w:szCs w:val="32"/>
          <w:highlight w:val="none"/>
          <w:lang w:val="en-US" w:eastAsia="zh-CN"/>
        </w:rPr>
        <w:t>日，单位共有公务用车</w:t>
      </w:r>
      <w:r>
        <w:rPr>
          <w:rFonts w:hint="eastAsia" w:ascii="Times New Roman" w:hAnsi="Times New Roman" w:eastAsia="仿宋_GB2312" w:cs="Times New Roman"/>
          <w:sz w:val="32"/>
          <w:szCs w:val="32"/>
          <w:highlight w:val="none"/>
          <w:lang w:val="en-US" w:eastAsia="zh-CN"/>
        </w:rPr>
        <w:t>7</w:t>
      </w:r>
      <w:r>
        <w:rPr>
          <w:rFonts w:hint="eastAsia" w:ascii="仿宋_GB2312" w:hAnsi="仿宋" w:eastAsia="仿宋_GB2312" w:cs="Times New Roman"/>
          <w:sz w:val="32"/>
          <w:szCs w:val="32"/>
          <w:highlight w:val="none"/>
          <w:lang w:val="en-US" w:eastAsia="zh-CN"/>
        </w:rPr>
        <w:t>辆，其中：轿车</w:t>
      </w:r>
      <w:r>
        <w:rPr>
          <w:rFonts w:hint="eastAsia" w:ascii="Times New Roman" w:hAnsi="Times New Roman" w:eastAsia="仿宋_GB2312" w:cs="Times New Roman"/>
          <w:sz w:val="32"/>
          <w:szCs w:val="32"/>
          <w:highlight w:val="none"/>
          <w:lang w:val="en-US" w:eastAsia="zh-CN"/>
        </w:rPr>
        <w:t>3</w:t>
      </w:r>
      <w:r>
        <w:rPr>
          <w:rFonts w:hint="eastAsia" w:ascii="仿宋_GB2312" w:hAnsi="仿宋" w:eastAsia="仿宋_GB2312" w:cs="Times New Roman"/>
          <w:sz w:val="32"/>
          <w:szCs w:val="32"/>
          <w:highlight w:val="none"/>
          <w:lang w:val="en-US" w:eastAsia="zh-CN"/>
        </w:rPr>
        <w:t>辆、越野车</w:t>
      </w:r>
      <w:r>
        <w:rPr>
          <w:rFonts w:hint="eastAsia" w:ascii="Times New Roman" w:hAnsi="Times New Roman" w:eastAsia="仿宋_GB2312" w:cs="Times New Roman"/>
          <w:sz w:val="32"/>
          <w:szCs w:val="32"/>
          <w:highlight w:val="none"/>
          <w:lang w:val="en-US" w:eastAsia="zh-CN"/>
        </w:rPr>
        <w:t>1</w:t>
      </w:r>
      <w:r>
        <w:rPr>
          <w:rFonts w:hint="eastAsia" w:ascii="仿宋_GB2312" w:hAnsi="仿宋" w:eastAsia="仿宋_GB2312" w:cs="Times New Roman"/>
          <w:sz w:val="32"/>
          <w:szCs w:val="32"/>
          <w:highlight w:val="none"/>
          <w:lang w:val="en-US" w:eastAsia="zh-CN"/>
        </w:rPr>
        <w:t>辆、载客汽车</w:t>
      </w:r>
      <w:r>
        <w:rPr>
          <w:rFonts w:hint="eastAsia" w:ascii="Times New Roman" w:hAnsi="Times New Roman" w:eastAsia="仿宋_GB2312" w:cs="Times New Roman"/>
          <w:sz w:val="32"/>
          <w:szCs w:val="32"/>
          <w:highlight w:val="none"/>
          <w:lang w:val="en-US" w:eastAsia="zh-CN"/>
        </w:rPr>
        <w:t>2</w:t>
      </w:r>
      <w:r>
        <w:rPr>
          <w:rFonts w:hint="eastAsia" w:ascii="仿宋_GB2312" w:hAnsi="仿宋" w:eastAsia="仿宋_GB2312" w:cs="Times New Roman"/>
          <w:sz w:val="32"/>
          <w:szCs w:val="32"/>
          <w:highlight w:val="none"/>
          <w:lang w:val="en-US" w:eastAsia="zh-CN"/>
        </w:rPr>
        <w:t>辆、货车</w:t>
      </w:r>
      <w:r>
        <w:rPr>
          <w:rFonts w:hint="eastAsia" w:ascii="Times New Roman" w:hAnsi="Times New Roman" w:eastAsia="仿宋_GB2312" w:cs="Times New Roman"/>
          <w:sz w:val="32"/>
          <w:szCs w:val="32"/>
          <w:highlight w:val="none"/>
          <w:lang w:val="en-US" w:eastAsia="zh-CN"/>
        </w:rPr>
        <w:t>1</w:t>
      </w:r>
      <w:r>
        <w:rPr>
          <w:rFonts w:hint="eastAsia" w:ascii="仿宋_GB2312" w:hAnsi="仿宋" w:eastAsia="仿宋_GB2312" w:cs="Times New Roman"/>
          <w:sz w:val="32"/>
          <w:szCs w:val="32"/>
          <w:highlight w:val="none"/>
          <w:lang w:val="en-US" w:eastAsia="zh-CN"/>
        </w:rPr>
        <w:t>辆。</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公务用车运行维护费支出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w:t>
      </w:r>
    </w:p>
    <w:p>
      <w:pPr>
        <w:numPr>
          <w:ilvl w:val="0"/>
          <w:numId w:val="0"/>
        </w:numPr>
        <w:ind w:firstLine="642"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仿宋_GB2312"/>
          <w:b/>
          <w:bCs/>
          <w:color w:val="auto"/>
          <w:kern w:val="2"/>
          <w:sz w:val="32"/>
          <w:szCs w:val="32"/>
          <w:highlight w:val="none"/>
          <w:lang w:val="en-US" w:eastAsia="zh-CN" w:bidi="ar-SA"/>
        </w:rPr>
        <w:t>3.公务接待费支出</w:t>
      </w:r>
      <w:r>
        <w:rPr>
          <w:rFonts w:hint="eastAsia" w:ascii="仿宋_GB2312" w:hAnsi="仿宋_GB2312" w:eastAsia="仿宋_GB2312" w:cs="仿宋_GB2312"/>
          <w:b/>
          <w:bCs/>
          <w:color w:val="auto"/>
          <w:kern w:val="2"/>
          <w:sz w:val="32"/>
          <w:szCs w:val="32"/>
          <w:highlight w:val="none"/>
          <w:lang w:val="en-US" w:eastAsia="zh-CN" w:bidi="ar-SA"/>
        </w:rPr>
        <w:t>0万</w:t>
      </w:r>
      <w:r>
        <w:rPr>
          <w:rFonts w:hint="eastAsia" w:ascii="Times New Roman" w:hAnsi="Times New Roman" w:eastAsia="仿宋_GB2312" w:cs="仿宋_GB2312"/>
          <w:b/>
          <w:bCs/>
          <w:color w:val="auto"/>
          <w:kern w:val="2"/>
          <w:sz w:val="32"/>
          <w:szCs w:val="32"/>
          <w:highlight w:val="none"/>
          <w:lang w:val="en-US" w:eastAsia="zh-CN" w:bidi="ar-SA"/>
        </w:rPr>
        <w:t>元。</w:t>
      </w:r>
      <w:r>
        <w:rPr>
          <w:rFonts w:hint="eastAsia" w:ascii="仿宋_GB2312" w:hAnsi="仿宋" w:eastAsia="仿宋_GB2312" w:cs="Times New Roman"/>
          <w:sz w:val="32"/>
          <w:szCs w:val="32"/>
          <w:highlight w:val="none"/>
          <w:lang w:val="en-US" w:eastAsia="zh-CN"/>
        </w:rPr>
        <w:t>公务接待费支出决算与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年度持平。其中：</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国内公务接待支出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外事接待支出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万元。外事接待</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批次，</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人次(不包括陪同人员)，共计支出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bookmarkStart w:id="72" w:name="_Toc15396610"/>
      <w:bookmarkStart w:id="73" w:name="_Toc15377218"/>
    </w:p>
    <w:p>
      <w:pPr>
        <w:spacing w:line="600" w:lineRule="exact"/>
        <w:ind w:firstLine="640"/>
        <w:outlineLvl w:val="1"/>
        <w:rPr>
          <w:rStyle w:val="30"/>
          <w:rFonts w:ascii="Times New Roman" w:hAnsi="Times New Roman" w:eastAsia="黑体"/>
          <w:color w:val="auto"/>
          <w:highlight w:val="none"/>
        </w:rPr>
      </w:pPr>
      <w:bookmarkStart w:id="74" w:name="_Toc11290"/>
      <w:bookmarkStart w:id="75" w:name="_Toc28188"/>
      <w:r>
        <w:rPr>
          <w:rFonts w:hint="eastAsia" w:ascii="Times New Roman" w:hAnsi="Times New Roman" w:eastAsia="黑体"/>
          <w:color w:val="auto"/>
          <w:sz w:val="32"/>
          <w:szCs w:val="32"/>
          <w:highlight w:val="none"/>
        </w:rPr>
        <w:t>八、</w:t>
      </w:r>
      <w:r>
        <w:rPr>
          <w:rStyle w:val="30"/>
          <w:rFonts w:hint="eastAsia" w:ascii="Times New Roman" w:hAnsi="Times New Roman" w:eastAsia="黑体"/>
          <w:b w:val="0"/>
          <w:color w:val="auto"/>
          <w:highlight w:val="none"/>
        </w:rPr>
        <w:t>政府性基金预算支出决算情况说明</w:t>
      </w:r>
      <w:bookmarkEnd w:id="72"/>
      <w:bookmarkEnd w:id="73"/>
      <w:bookmarkEnd w:id="74"/>
      <w:bookmarkEnd w:id="75"/>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年度政府性基金预算财政拨款支出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万元，占本年支出合计的</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年度决算数持平。</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 xml:space="preserve"> </w:t>
      </w:r>
    </w:p>
    <w:p>
      <w:pPr>
        <w:numPr>
          <w:ilvl w:val="0"/>
          <w:numId w:val="0"/>
        </w:numPr>
        <w:spacing w:line="600" w:lineRule="exact"/>
        <w:ind w:left="630" w:leftChars="0"/>
        <w:outlineLvl w:val="1"/>
        <w:rPr>
          <w:rStyle w:val="30"/>
          <w:rFonts w:ascii="Times New Roman" w:hAnsi="Times New Roman" w:eastAsia="黑体"/>
          <w:b w:val="0"/>
          <w:color w:val="auto"/>
          <w:highlight w:val="none"/>
        </w:rPr>
      </w:pPr>
      <w:bookmarkStart w:id="76" w:name="_Toc26955"/>
      <w:bookmarkStart w:id="77" w:name="_Toc15396611"/>
      <w:bookmarkStart w:id="78" w:name="_Toc4561"/>
      <w:bookmarkStart w:id="79" w:name="_Toc15377219"/>
      <w:r>
        <w:rPr>
          <w:rStyle w:val="30"/>
          <w:rFonts w:hint="eastAsia" w:ascii="Times New Roman" w:hAnsi="Times New Roman" w:eastAsia="黑体"/>
          <w:b w:val="0"/>
          <w:color w:val="auto"/>
          <w:highlight w:val="none"/>
          <w:lang w:eastAsia="zh-CN"/>
        </w:rPr>
        <w:t>九、</w:t>
      </w:r>
      <w:r>
        <w:rPr>
          <w:rStyle w:val="30"/>
          <w:rFonts w:hint="eastAsia" w:ascii="Times New Roman" w:hAnsi="Times New Roman" w:eastAsia="黑体"/>
          <w:b w:val="0"/>
          <w:color w:val="auto"/>
          <w:highlight w:val="none"/>
        </w:rPr>
        <w:t>国有资本经营预算支出决算情况说明</w:t>
      </w:r>
      <w:bookmarkEnd w:id="76"/>
      <w:bookmarkEnd w:id="77"/>
      <w:bookmarkEnd w:id="78"/>
      <w:bookmarkEnd w:id="79"/>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年度国有资本经营预算财政拨款支出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万元，占本年支出合计的</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年度决算数持平。</w:t>
      </w:r>
    </w:p>
    <w:p>
      <w:pPr>
        <w:pStyle w:val="2"/>
        <w:rPr>
          <w:rFonts w:hint="eastAsia" w:ascii="仿宋_GB2312" w:hAnsi="仿宋_GB2312" w:eastAsia="仿宋_GB2312" w:cs="仿宋_GB2312"/>
          <w:color w:val="auto"/>
          <w:kern w:val="2"/>
          <w:sz w:val="32"/>
          <w:szCs w:val="32"/>
          <w:highlight w:val="none"/>
          <w:lang w:val="en-US" w:eastAsia="zh-CN" w:bidi="ar-SA"/>
        </w:rPr>
      </w:pPr>
    </w:p>
    <w:p>
      <w:pPr>
        <w:numPr>
          <w:ilvl w:val="0"/>
          <w:numId w:val="0"/>
        </w:numPr>
        <w:spacing w:line="600" w:lineRule="exact"/>
        <w:ind w:left="630" w:leftChars="0"/>
        <w:outlineLvl w:val="1"/>
        <w:rPr>
          <w:rStyle w:val="30"/>
          <w:rFonts w:hint="eastAsia" w:ascii="Times New Roman" w:hAnsi="Times New Roman" w:eastAsia="黑体"/>
          <w:b w:val="0"/>
          <w:color w:val="auto"/>
          <w:highlight w:val="none"/>
        </w:rPr>
      </w:pPr>
      <w:bookmarkStart w:id="80" w:name="_Toc15377221"/>
      <w:bookmarkStart w:id="81" w:name="_Toc28647"/>
      <w:bookmarkStart w:id="82" w:name="_Toc15396612"/>
      <w:bookmarkStart w:id="83" w:name="_Toc17708"/>
      <w:r>
        <w:rPr>
          <w:rStyle w:val="30"/>
          <w:rFonts w:hint="eastAsia" w:ascii="Times New Roman" w:hAnsi="Times New Roman" w:eastAsia="黑体"/>
          <w:b w:val="0"/>
          <w:color w:val="auto"/>
          <w:highlight w:val="none"/>
          <w:lang w:eastAsia="zh-CN"/>
        </w:rPr>
        <w:t>十、</w:t>
      </w:r>
      <w:r>
        <w:rPr>
          <w:rStyle w:val="30"/>
          <w:rFonts w:hint="eastAsia" w:ascii="Times New Roman" w:hAnsi="Times New Roman" w:eastAsia="黑体"/>
          <w:b w:val="0"/>
          <w:color w:val="auto"/>
          <w:highlight w:val="none"/>
        </w:rPr>
        <w:t>其他重要事项的情况说明</w:t>
      </w:r>
      <w:bookmarkEnd w:id="80"/>
      <w:bookmarkEnd w:id="81"/>
      <w:bookmarkEnd w:id="82"/>
      <w:bookmarkEnd w:id="83"/>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84" w:name="_Toc15377222"/>
      <w:r>
        <w:rPr>
          <w:rFonts w:hint="eastAsia" w:ascii="Times New Roman" w:hAnsi="Times New Roman" w:eastAsia="楷体_GB2312" w:cs="楷体_GB2312"/>
          <w:b/>
          <w:color w:val="auto"/>
          <w:sz w:val="32"/>
          <w:szCs w:val="32"/>
          <w:highlight w:val="none"/>
        </w:rPr>
        <w:t>（一）机关运行经费支出情况</w:t>
      </w:r>
      <w:bookmarkEnd w:id="84"/>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年度，四川化工职业技术学院机关运行经费支出</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万元，与</w:t>
      </w:r>
      <w:r>
        <w:rPr>
          <w:rFonts w:hint="eastAsia" w:ascii="Times New Roman" w:hAnsi="Times New Roman" w:eastAsia="仿宋_GB2312" w:cs="Times New Roman"/>
          <w:sz w:val="32"/>
          <w:szCs w:val="32"/>
          <w:highlight w:val="none"/>
          <w:lang w:val="en-US" w:eastAsia="zh-CN"/>
        </w:rPr>
        <w:t>2023</w:t>
      </w:r>
      <w:r>
        <w:rPr>
          <w:rFonts w:hint="eastAsia" w:ascii="仿宋_GB2312" w:hAnsi="仿宋" w:eastAsia="仿宋_GB2312" w:cs="Times New Roman"/>
          <w:sz w:val="32"/>
          <w:szCs w:val="32"/>
          <w:highlight w:val="none"/>
          <w:lang w:val="en-US" w:eastAsia="zh-CN"/>
        </w:rPr>
        <w:t>年度决算数持平。</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85" w:name="_Toc15377223"/>
      <w:r>
        <w:rPr>
          <w:rFonts w:hint="eastAsia" w:ascii="Times New Roman" w:hAnsi="Times New Roman" w:eastAsia="楷体_GB2312" w:cs="楷体_GB2312"/>
          <w:b/>
          <w:color w:val="auto"/>
          <w:sz w:val="32"/>
          <w:szCs w:val="32"/>
          <w:highlight w:val="none"/>
        </w:rPr>
        <w:t>（二）政府采购支出情况</w:t>
      </w:r>
      <w:bookmarkEnd w:id="85"/>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年度，四川化工职业技术学院政府采购支出总额</w:t>
      </w:r>
      <w:r>
        <w:rPr>
          <w:rFonts w:hint="eastAsia" w:ascii="Times New Roman" w:hAnsi="Times New Roman" w:eastAsia="仿宋_GB2312" w:cs="Times New Roman"/>
          <w:sz w:val="32"/>
          <w:szCs w:val="32"/>
          <w:highlight w:val="none"/>
          <w:lang w:val="en-US" w:eastAsia="zh-CN"/>
        </w:rPr>
        <w:t>2998.93</w:t>
      </w:r>
      <w:r>
        <w:rPr>
          <w:rFonts w:hint="eastAsia" w:ascii="仿宋_GB2312" w:hAnsi="仿宋" w:eastAsia="仿宋_GB2312" w:cs="Times New Roman"/>
          <w:sz w:val="32"/>
          <w:szCs w:val="32"/>
          <w:highlight w:val="none"/>
          <w:lang w:val="en-US" w:eastAsia="zh-CN"/>
        </w:rPr>
        <w:t>万元，其中：政府采购货物支出</w:t>
      </w:r>
      <w:r>
        <w:rPr>
          <w:rFonts w:hint="eastAsia" w:ascii="Times New Roman" w:hAnsi="Times New Roman" w:eastAsia="仿宋_GB2312" w:cs="Times New Roman"/>
          <w:sz w:val="32"/>
          <w:szCs w:val="32"/>
          <w:highlight w:val="none"/>
          <w:lang w:val="en-US" w:eastAsia="zh-CN"/>
        </w:rPr>
        <w:t>2245.65</w:t>
      </w:r>
      <w:r>
        <w:rPr>
          <w:rFonts w:hint="eastAsia" w:ascii="仿宋_GB2312" w:hAnsi="仿宋" w:eastAsia="仿宋_GB2312" w:cs="Times New Roman"/>
          <w:sz w:val="32"/>
          <w:szCs w:val="32"/>
          <w:highlight w:val="none"/>
          <w:lang w:val="en-US" w:eastAsia="zh-CN"/>
        </w:rPr>
        <w:t>万元、政府采购工程支出0万元、政府采购服务支出</w:t>
      </w:r>
      <w:r>
        <w:rPr>
          <w:rFonts w:hint="eastAsia" w:ascii="Times New Roman" w:hAnsi="Times New Roman" w:eastAsia="仿宋_GB2312" w:cs="Times New Roman"/>
          <w:sz w:val="32"/>
          <w:szCs w:val="32"/>
          <w:highlight w:val="none"/>
          <w:lang w:val="en-US" w:eastAsia="zh-CN"/>
        </w:rPr>
        <w:t>753.28</w:t>
      </w:r>
      <w:r>
        <w:rPr>
          <w:rFonts w:hint="eastAsia" w:ascii="仿宋_GB2312" w:hAnsi="仿宋" w:eastAsia="仿宋_GB2312" w:cs="Times New Roman"/>
          <w:sz w:val="32"/>
          <w:szCs w:val="32"/>
          <w:highlight w:val="none"/>
          <w:lang w:val="en-US" w:eastAsia="zh-CN"/>
        </w:rPr>
        <w:t>万元。主要用于学校教学设备购置。授予中小企业合同金额</w:t>
      </w:r>
      <w:r>
        <w:rPr>
          <w:rFonts w:hint="eastAsia" w:ascii="Times New Roman" w:hAnsi="Times New Roman" w:eastAsia="仿宋_GB2312" w:cs="Times New Roman"/>
          <w:sz w:val="32"/>
          <w:szCs w:val="32"/>
          <w:highlight w:val="none"/>
          <w:lang w:val="en-US" w:eastAsia="zh-CN"/>
        </w:rPr>
        <w:t>2084.8</w:t>
      </w:r>
      <w:r>
        <w:rPr>
          <w:rFonts w:hint="eastAsia" w:ascii="仿宋_GB2312" w:hAnsi="仿宋" w:eastAsia="仿宋_GB2312" w:cs="Times New Roman"/>
          <w:sz w:val="32"/>
          <w:szCs w:val="32"/>
          <w:highlight w:val="none"/>
          <w:lang w:val="en-US" w:eastAsia="zh-CN"/>
        </w:rPr>
        <w:t>万元，占政府采购支出总额的</w:t>
      </w:r>
      <w:r>
        <w:rPr>
          <w:rFonts w:hint="eastAsia" w:ascii="Times New Roman" w:hAnsi="Times New Roman" w:eastAsia="仿宋_GB2312" w:cs="Times New Roman"/>
          <w:sz w:val="32"/>
          <w:szCs w:val="32"/>
          <w:highlight w:val="none"/>
          <w:lang w:val="en-US" w:eastAsia="zh-CN"/>
        </w:rPr>
        <w:t>69.5%</w:t>
      </w:r>
      <w:r>
        <w:rPr>
          <w:rFonts w:hint="eastAsia" w:ascii="仿宋_GB2312" w:hAnsi="仿宋" w:eastAsia="仿宋_GB2312" w:cs="Times New Roman"/>
          <w:sz w:val="32"/>
          <w:szCs w:val="32"/>
          <w:highlight w:val="none"/>
          <w:lang w:val="en-US" w:eastAsia="zh-CN"/>
        </w:rPr>
        <w:t>，其中：授予小微企业合同金额</w:t>
      </w:r>
      <w:r>
        <w:rPr>
          <w:rFonts w:hint="eastAsia" w:ascii="Times New Roman" w:hAnsi="Times New Roman" w:eastAsia="仿宋_GB2312" w:cs="Times New Roman"/>
          <w:sz w:val="32"/>
          <w:szCs w:val="32"/>
          <w:highlight w:val="none"/>
          <w:lang w:val="en-US" w:eastAsia="zh-CN"/>
        </w:rPr>
        <w:t>1951.04</w:t>
      </w:r>
      <w:r>
        <w:rPr>
          <w:rFonts w:hint="eastAsia" w:ascii="仿宋_GB2312" w:hAnsi="仿宋" w:eastAsia="仿宋_GB2312" w:cs="Times New Roman"/>
          <w:sz w:val="32"/>
          <w:szCs w:val="32"/>
          <w:highlight w:val="none"/>
          <w:lang w:val="en-US" w:eastAsia="zh-CN"/>
        </w:rPr>
        <w:t>万元，占政府采购支出总额的</w:t>
      </w:r>
      <w:r>
        <w:rPr>
          <w:rFonts w:hint="eastAsia" w:ascii="Times New Roman" w:hAnsi="Times New Roman" w:eastAsia="仿宋_GB2312" w:cs="Times New Roman"/>
          <w:sz w:val="32"/>
          <w:szCs w:val="32"/>
          <w:highlight w:val="none"/>
          <w:lang w:val="en-US" w:eastAsia="zh-CN"/>
        </w:rPr>
        <w:t>65.1%</w:t>
      </w:r>
      <w:r>
        <w:rPr>
          <w:rFonts w:hint="eastAsia" w:ascii="仿宋_GB2312" w:hAnsi="仿宋" w:eastAsia="仿宋_GB2312" w:cs="Times New Roman"/>
          <w:sz w:val="32"/>
          <w:szCs w:val="32"/>
          <w:highlight w:val="none"/>
          <w:lang w:val="en-US" w:eastAsia="zh-CN"/>
        </w:rPr>
        <w:t>。</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bookmarkStart w:id="86" w:name="_Toc15377224"/>
      <w:r>
        <w:rPr>
          <w:rFonts w:hint="eastAsia" w:ascii="Times New Roman" w:hAnsi="Times New Roman" w:eastAsia="楷体_GB2312" w:cs="楷体_GB2312"/>
          <w:b/>
          <w:color w:val="auto"/>
          <w:sz w:val="32"/>
          <w:szCs w:val="32"/>
          <w:highlight w:val="none"/>
        </w:rPr>
        <w:t>（三）国有资产占有使用情况</w:t>
      </w:r>
      <w:bookmarkEnd w:id="86"/>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截至</w:t>
      </w: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w:t>
      </w:r>
      <w:r>
        <w:rPr>
          <w:rFonts w:hint="eastAsia" w:ascii="Times New Roman" w:hAnsi="Times New Roman" w:eastAsia="仿宋_GB2312" w:cs="Times New Roman"/>
          <w:sz w:val="32"/>
          <w:szCs w:val="32"/>
          <w:highlight w:val="none"/>
          <w:lang w:val="en-US" w:eastAsia="zh-CN"/>
        </w:rPr>
        <w:t>12</w:t>
      </w:r>
      <w:r>
        <w:rPr>
          <w:rFonts w:hint="eastAsia" w:ascii="仿宋_GB2312" w:hAnsi="仿宋" w:eastAsia="仿宋_GB2312" w:cs="Times New Roman"/>
          <w:sz w:val="32"/>
          <w:szCs w:val="32"/>
          <w:highlight w:val="none"/>
          <w:lang w:val="en-US" w:eastAsia="zh-CN"/>
        </w:rPr>
        <w:t>月</w:t>
      </w:r>
      <w:r>
        <w:rPr>
          <w:rFonts w:hint="eastAsia" w:ascii="Times New Roman" w:hAnsi="Times New Roman" w:eastAsia="仿宋_GB2312" w:cs="Times New Roman"/>
          <w:sz w:val="32"/>
          <w:szCs w:val="32"/>
          <w:highlight w:val="none"/>
          <w:lang w:val="en-US" w:eastAsia="zh-CN"/>
        </w:rPr>
        <w:t>31</w:t>
      </w:r>
      <w:r>
        <w:rPr>
          <w:rFonts w:hint="eastAsia" w:ascii="仿宋_GB2312" w:hAnsi="仿宋" w:eastAsia="仿宋_GB2312" w:cs="Times New Roman"/>
          <w:sz w:val="32"/>
          <w:szCs w:val="32"/>
          <w:highlight w:val="none"/>
          <w:lang w:val="en-US" w:eastAsia="zh-CN"/>
        </w:rPr>
        <w:t>日，四川化工职业技术学院共有车辆</w:t>
      </w:r>
      <w:r>
        <w:rPr>
          <w:rFonts w:hint="eastAsia" w:ascii="Times New Roman" w:hAnsi="Times New Roman" w:eastAsia="仿宋_GB2312" w:cs="Times New Roman"/>
          <w:sz w:val="32"/>
          <w:szCs w:val="32"/>
          <w:highlight w:val="none"/>
          <w:lang w:val="en-US" w:eastAsia="zh-CN"/>
        </w:rPr>
        <w:t>7</w:t>
      </w:r>
      <w:r>
        <w:rPr>
          <w:rFonts w:hint="eastAsia" w:ascii="仿宋_GB2312" w:hAnsi="仿宋" w:eastAsia="仿宋_GB2312" w:cs="Times New Roman"/>
          <w:sz w:val="32"/>
          <w:szCs w:val="32"/>
          <w:highlight w:val="none"/>
          <w:lang w:val="en-US" w:eastAsia="zh-CN"/>
        </w:rPr>
        <w:t>辆，其中：主要负责人用车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辆、机要通信用车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辆、应急保障用车</w:t>
      </w:r>
      <w:r>
        <w:rPr>
          <w:rFonts w:hint="eastAsia" w:ascii="Times New Roman" w:hAnsi="Times New Roman" w:eastAsia="仿宋_GB2312" w:cs="Times New Roman"/>
          <w:sz w:val="32"/>
          <w:szCs w:val="32"/>
          <w:highlight w:val="none"/>
          <w:lang w:val="en-US" w:eastAsia="zh-CN"/>
        </w:rPr>
        <w:t>0</w:t>
      </w:r>
      <w:r>
        <w:rPr>
          <w:rFonts w:hint="eastAsia" w:ascii="仿宋_GB2312" w:hAnsi="仿宋" w:eastAsia="仿宋_GB2312" w:cs="Times New Roman"/>
          <w:sz w:val="32"/>
          <w:szCs w:val="32"/>
          <w:highlight w:val="none"/>
          <w:lang w:val="en-US" w:eastAsia="zh-CN"/>
        </w:rPr>
        <w:t>辆、其他用车</w:t>
      </w:r>
      <w:r>
        <w:rPr>
          <w:rFonts w:hint="eastAsia" w:ascii="Times New Roman" w:hAnsi="Times New Roman" w:eastAsia="仿宋_GB2312" w:cs="Times New Roman"/>
          <w:sz w:val="32"/>
          <w:szCs w:val="32"/>
          <w:highlight w:val="none"/>
          <w:lang w:val="en-US" w:eastAsia="zh-CN"/>
        </w:rPr>
        <w:t>7</w:t>
      </w:r>
      <w:r>
        <w:rPr>
          <w:rFonts w:hint="eastAsia" w:ascii="仿宋_GB2312" w:hAnsi="仿宋" w:eastAsia="仿宋_GB2312" w:cs="Times New Roman"/>
          <w:sz w:val="32"/>
          <w:szCs w:val="32"/>
          <w:highlight w:val="none"/>
          <w:lang w:val="en-US" w:eastAsia="zh-CN"/>
        </w:rPr>
        <w:t>辆，其他用车主要是用于保障学校正常运转。单价</w:t>
      </w:r>
      <w:r>
        <w:rPr>
          <w:rFonts w:hint="eastAsia" w:ascii="Times New Roman" w:hAnsi="Times New Roman" w:eastAsia="仿宋_GB2312" w:cs="Times New Roman"/>
          <w:sz w:val="32"/>
          <w:szCs w:val="32"/>
          <w:highlight w:val="none"/>
          <w:lang w:val="en-US" w:eastAsia="zh-CN"/>
        </w:rPr>
        <w:t>100</w:t>
      </w:r>
      <w:r>
        <w:rPr>
          <w:rFonts w:hint="eastAsia" w:ascii="仿宋_GB2312" w:hAnsi="仿宋" w:eastAsia="仿宋_GB2312" w:cs="Times New Roman"/>
          <w:sz w:val="32"/>
          <w:szCs w:val="32"/>
          <w:highlight w:val="none"/>
          <w:lang w:val="en-US" w:eastAsia="zh-CN"/>
        </w:rPr>
        <w:t>万元（含）以上设备（不含车辆）</w:t>
      </w:r>
      <w:r>
        <w:rPr>
          <w:rFonts w:hint="eastAsia" w:ascii="Times New Roman" w:hAnsi="Times New Roman" w:eastAsia="仿宋_GB2312" w:cs="Times New Roman"/>
          <w:sz w:val="32"/>
          <w:szCs w:val="32"/>
          <w:highlight w:val="none"/>
          <w:lang w:val="en-US" w:eastAsia="zh-CN"/>
        </w:rPr>
        <w:t>17</w:t>
      </w:r>
      <w:r>
        <w:rPr>
          <w:rFonts w:hint="eastAsia" w:ascii="仿宋_GB2312" w:hAnsi="仿宋" w:eastAsia="仿宋_GB2312" w:cs="Times New Roman"/>
          <w:sz w:val="32"/>
          <w:szCs w:val="32"/>
          <w:highlight w:val="none"/>
          <w:lang w:val="en-US" w:eastAsia="zh-CN"/>
        </w:rPr>
        <w:t>台（套）。</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2" w:firstLineChars="200"/>
        <w:outlineLvl w:val="2"/>
        <w:rPr>
          <w:rFonts w:hint="eastAsia" w:ascii="Times New Roman" w:hAnsi="Times New Roman" w:eastAsia="楷体_GB2312" w:cs="楷体_GB2312"/>
          <w:b/>
          <w:color w:val="auto"/>
          <w:sz w:val="32"/>
          <w:szCs w:val="32"/>
          <w:highlight w:val="none"/>
        </w:rPr>
      </w:pPr>
      <w:r>
        <w:rPr>
          <w:rFonts w:hint="eastAsia" w:ascii="Times New Roman" w:hAnsi="Times New Roman" w:eastAsia="楷体_GB2312" w:cs="楷体_GB2312"/>
          <w:b/>
          <w:color w:val="auto"/>
          <w:sz w:val="32"/>
          <w:szCs w:val="32"/>
          <w:highlight w:val="none"/>
        </w:rPr>
        <w:t>（四）预算绩效管理情况</w:t>
      </w:r>
    </w:p>
    <w:p>
      <w:pPr>
        <w:numPr>
          <w:ilvl w:val="0"/>
          <w:numId w:val="0"/>
        </w:numPr>
        <w:ind w:firstLine="640" w:firstLineChars="200"/>
        <w:rPr>
          <w:rFonts w:hint="eastAsia" w:ascii="仿宋_GB2312" w:hAnsi="仿宋" w:eastAsia="仿宋_GB2312" w:cs="Times New Roman"/>
          <w:sz w:val="32"/>
          <w:szCs w:val="32"/>
          <w:highlight w:val="none"/>
          <w:lang w:val="en-US" w:eastAsia="zh-CN"/>
        </w:rPr>
      </w:pPr>
      <w:r>
        <w:rPr>
          <w:rFonts w:hint="eastAsia" w:ascii="仿宋_GB2312" w:hAnsi="仿宋" w:eastAsia="仿宋_GB2312" w:cs="Times New Roman"/>
          <w:sz w:val="32"/>
          <w:szCs w:val="32"/>
          <w:highlight w:val="none"/>
          <w:lang w:val="en-US" w:eastAsia="zh-CN"/>
        </w:rPr>
        <w:t>根据预算绩效管理要求，本单位在</w:t>
      </w: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年度预算编制阶段，组织对</w:t>
      </w:r>
      <w:r>
        <w:rPr>
          <w:rFonts w:hint="default" w:ascii="Times New Roman" w:hAnsi="Times New Roman" w:eastAsia="仿宋_GB2312" w:cs="Times New Roman"/>
          <w:sz w:val="32"/>
          <w:szCs w:val="32"/>
          <w:highlight w:val="none"/>
          <w:lang w:val="en-US" w:eastAsia="zh-CN"/>
        </w:rPr>
        <w:t>2024</w:t>
      </w:r>
      <w:r>
        <w:rPr>
          <w:rFonts w:hint="default" w:ascii="仿宋_GB2312" w:hAnsi="仿宋" w:eastAsia="仿宋_GB2312" w:cs="Times New Roman"/>
          <w:sz w:val="32"/>
          <w:szCs w:val="32"/>
          <w:highlight w:val="none"/>
          <w:lang w:val="en-US" w:eastAsia="zh-CN"/>
        </w:rPr>
        <w:t>年教育运行保障经费</w:t>
      </w:r>
      <w:r>
        <w:rPr>
          <w:rFonts w:hint="eastAsia" w:ascii="仿宋_GB2312" w:hAnsi="仿宋"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2024</w:t>
      </w:r>
      <w:r>
        <w:rPr>
          <w:rFonts w:hint="default" w:ascii="仿宋_GB2312" w:hAnsi="仿宋" w:eastAsia="仿宋_GB2312" w:cs="Times New Roman"/>
          <w:sz w:val="32"/>
          <w:szCs w:val="32"/>
          <w:highlight w:val="none"/>
          <w:lang w:val="en-US" w:eastAsia="zh-CN"/>
        </w:rPr>
        <w:t>年四川化工职业技术学院学生宿舍</w:t>
      </w:r>
      <w:r>
        <w:rPr>
          <w:rFonts w:hint="default" w:ascii="Times New Roman" w:hAnsi="Times New Roman" w:eastAsia="仿宋_GB2312" w:cs="Times New Roman"/>
          <w:sz w:val="32"/>
          <w:szCs w:val="32"/>
          <w:highlight w:val="none"/>
          <w:lang w:val="en-US" w:eastAsia="zh-CN"/>
        </w:rPr>
        <w:t>8#</w:t>
      </w:r>
      <w:r>
        <w:rPr>
          <w:rFonts w:hint="default" w:ascii="仿宋_GB2312" w:hAnsi="仿宋" w:eastAsia="仿宋_GB2312" w:cs="Times New Roman"/>
          <w:sz w:val="32"/>
          <w:szCs w:val="32"/>
          <w:highlight w:val="none"/>
          <w:lang w:val="en-US" w:eastAsia="zh-CN"/>
        </w:rPr>
        <w:t>及运动场项目</w:t>
      </w:r>
      <w:r>
        <w:rPr>
          <w:rFonts w:hint="eastAsia" w:ascii="仿宋_GB2312" w:hAnsi="仿宋" w:eastAsia="仿宋_GB2312" w:cs="Times New Roman"/>
          <w:sz w:val="32"/>
          <w:szCs w:val="32"/>
          <w:highlight w:val="none"/>
          <w:lang w:val="en-US" w:eastAsia="zh-CN"/>
        </w:rPr>
        <w:t>、</w:t>
      </w:r>
      <w:r>
        <w:rPr>
          <w:rFonts w:hint="eastAsia" w:ascii="Times New Roman" w:hAnsi="Times New Roman" w:eastAsia="仿宋_GB2312" w:cs="Times New Roman"/>
          <w:sz w:val="32"/>
          <w:szCs w:val="32"/>
          <w:highlight w:val="none"/>
          <w:lang w:val="en-US" w:eastAsia="zh-CN"/>
        </w:rPr>
        <w:t>2024</w:t>
      </w:r>
      <w:r>
        <w:rPr>
          <w:rFonts w:hint="eastAsia" w:ascii="仿宋_GB2312" w:hAnsi="仿宋" w:eastAsia="仿宋_GB2312" w:cs="Times New Roman"/>
          <w:sz w:val="32"/>
          <w:szCs w:val="32"/>
          <w:highlight w:val="none"/>
          <w:lang w:val="en-US" w:eastAsia="zh-CN"/>
        </w:rPr>
        <w:t>年四川化工职业技术学院化工新材料产教融合实训基地项目</w:t>
      </w:r>
      <w:r>
        <w:rPr>
          <w:rFonts w:hint="eastAsia" w:ascii="Times New Roman" w:hAnsi="Times New Roman" w:eastAsia="仿宋_GB2312" w:cs="Times New Roman"/>
          <w:sz w:val="32"/>
          <w:szCs w:val="32"/>
          <w:highlight w:val="none"/>
          <w:lang w:val="en-US" w:eastAsia="zh-CN"/>
        </w:rPr>
        <w:t>3</w:t>
      </w:r>
      <w:r>
        <w:rPr>
          <w:rFonts w:hint="eastAsia" w:ascii="仿宋_GB2312" w:hAnsi="仿宋" w:eastAsia="仿宋_GB2312" w:cs="Times New Roman"/>
          <w:sz w:val="32"/>
          <w:szCs w:val="32"/>
          <w:highlight w:val="none"/>
          <w:lang w:val="en-US" w:eastAsia="zh-CN"/>
        </w:rPr>
        <w:t>个项目开展了预算事前绩效评估，对</w:t>
      </w:r>
      <w:r>
        <w:rPr>
          <w:rFonts w:hint="eastAsia" w:ascii="Times New Roman" w:hAnsi="Times New Roman" w:eastAsia="仿宋_GB2312" w:cs="Times New Roman"/>
          <w:sz w:val="32"/>
          <w:szCs w:val="32"/>
          <w:highlight w:val="none"/>
          <w:lang w:val="en-US" w:eastAsia="zh-CN"/>
        </w:rPr>
        <w:t>21</w:t>
      </w:r>
      <w:r>
        <w:rPr>
          <w:rFonts w:hint="eastAsia" w:ascii="仿宋_GB2312" w:hAnsi="仿宋" w:eastAsia="仿宋_GB2312" w:cs="Times New Roman"/>
          <w:sz w:val="32"/>
          <w:szCs w:val="32"/>
          <w:highlight w:val="none"/>
          <w:lang w:val="en-US" w:eastAsia="zh-CN"/>
        </w:rPr>
        <w:t>个项目编制了绩效目标，预算执行过程中，选取</w:t>
      </w:r>
      <w:r>
        <w:rPr>
          <w:rFonts w:hint="eastAsia" w:ascii="Times New Roman" w:hAnsi="Times New Roman" w:eastAsia="仿宋_GB2312" w:cs="Times New Roman"/>
          <w:sz w:val="32"/>
          <w:szCs w:val="32"/>
          <w:highlight w:val="none"/>
          <w:lang w:val="en-US" w:eastAsia="zh-CN"/>
        </w:rPr>
        <w:t>21</w:t>
      </w:r>
      <w:r>
        <w:rPr>
          <w:rFonts w:hint="eastAsia" w:ascii="仿宋_GB2312" w:hAnsi="仿宋" w:eastAsia="仿宋_GB2312" w:cs="Times New Roman"/>
          <w:sz w:val="32"/>
          <w:szCs w:val="32"/>
          <w:highlight w:val="none"/>
          <w:lang w:val="en-US" w:eastAsia="zh-CN"/>
        </w:rPr>
        <w:t>个项目开展绩效监控。绩效自评报告详见附件。</w:t>
      </w:r>
    </w:p>
    <w:p>
      <w:pPr>
        <w:pStyle w:val="19"/>
        <w:jc w:val="both"/>
        <w:rPr>
          <w:rFonts w:hint="eastAsia" w:ascii="Times New Roman" w:hAnsi="Times New Roman" w:eastAsia="仿宋_GB2312" w:cs="仿宋_GB2312"/>
          <w:color w:val="auto"/>
          <w:kern w:val="2"/>
          <w:sz w:val="32"/>
          <w:szCs w:val="32"/>
          <w:highlight w:val="none"/>
          <w:lang w:val="en-US" w:eastAsia="zh-CN" w:bidi="ar-SA"/>
        </w:rPr>
      </w:pPr>
    </w:p>
    <w:p>
      <w:pPr>
        <w:pStyle w:val="19"/>
        <w:rPr>
          <w:rFonts w:hint="eastAsia" w:ascii="Times New Roman" w:hAnsi="Times New Roman" w:eastAsia="仿宋_GB2312" w:cs="仿宋_GB2312"/>
          <w:color w:val="auto"/>
          <w:kern w:val="2"/>
          <w:sz w:val="32"/>
          <w:szCs w:val="32"/>
          <w:highlight w:val="none"/>
          <w:lang w:val="en-US" w:eastAsia="zh-CN" w:bidi="ar-SA"/>
        </w:rPr>
      </w:pPr>
    </w:p>
    <w:p>
      <w:pPr>
        <w:pStyle w:val="19"/>
        <w:rPr>
          <w:rFonts w:hint="eastAsia" w:ascii="Times New Roman" w:hAnsi="Times New Roman" w:eastAsia="仿宋_GB2312" w:cs="仿宋_GB2312"/>
          <w:color w:val="auto"/>
          <w:kern w:val="2"/>
          <w:sz w:val="32"/>
          <w:szCs w:val="32"/>
          <w:highlight w:val="none"/>
          <w:lang w:val="en-US" w:eastAsia="zh-CN" w:bidi="ar-SA"/>
        </w:rPr>
      </w:pPr>
    </w:p>
    <w:p>
      <w:pPr>
        <w:pStyle w:val="19"/>
        <w:rPr>
          <w:rFonts w:hint="eastAsia" w:ascii="Times New Roman" w:hAnsi="Times New Roman" w:eastAsia="仿宋_GB2312" w:cs="仿宋_GB2312"/>
          <w:color w:val="auto"/>
          <w:kern w:val="2"/>
          <w:sz w:val="32"/>
          <w:szCs w:val="32"/>
          <w:highlight w:val="none"/>
          <w:lang w:val="en-US" w:eastAsia="zh-CN" w:bidi="ar-SA"/>
        </w:rPr>
      </w:pPr>
    </w:p>
    <w:p>
      <w:pPr>
        <w:pStyle w:val="19"/>
        <w:rPr>
          <w:rFonts w:hint="eastAsia" w:ascii="Times New Roman" w:hAnsi="Times New Roman" w:eastAsia="仿宋_GB2312" w:cs="仿宋_GB2312"/>
          <w:color w:val="auto"/>
          <w:kern w:val="2"/>
          <w:sz w:val="32"/>
          <w:szCs w:val="32"/>
          <w:highlight w:val="none"/>
          <w:lang w:val="en-US" w:eastAsia="zh-CN" w:bidi="ar-SA"/>
        </w:rPr>
      </w:pPr>
    </w:p>
    <w:p>
      <w:pPr>
        <w:pStyle w:val="19"/>
        <w:jc w:val="both"/>
        <w:rPr>
          <w:rFonts w:hint="eastAsia" w:ascii="Times New Roman" w:hAnsi="Times New Roman" w:eastAsia="仿宋_GB2312" w:cs="仿宋_GB2312"/>
          <w:color w:val="auto"/>
          <w:kern w:val="2"/>
          <w:sz w:val="32"/>
          <w:szCs w:val="32"/>
          <w:highlight w:val="none"/>
          <w:lang w:val="en-US" w:eastAsia="zh-CN" w:bidi="ar-SA"/>
        </w:rPr>
      </w:pPr>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Fonts w:hint="eastAsia" w:ascii="Times New Roman" w:hAnsi="Times New Roman" w:eastAsia="方正小标宋简体" w:cs="方正小标宋简体"/>
          <w:b w:val="0"/>
          <w:color w:val="auto"/>
          <w:highlight w:val="none"/>
        </w:rPr>
      </w:pPr>
      <w:bookmarkStart w:id="87" w:name="_Toc15377225"/>
      <w:bookmarkStart w:id="88" w:name="_Toc12131"/>
      <w:bookmarkStart w:id="89" w:name="_Toc16366"/>
      <w:bookmarkStart w:id="90" w:name="_Toc15396613"/>
      <w:r>
        <w:rPr>
          <w:rFonts w:hint="eastAsia" w:ascii="Times New Roman" w:hAnsi="Times New Roman" w:eastAsia="方正小标宋简体" w:cs="方正小标宋简体"/>
          <w:b w:val="0"/>
          <w:color w:val="auto"/>
          <w:highlight w:val="none"/>
        </w:rPr>
        <w:t>第</w:t>
      </w:r>
      <w:r>
        <w:rPr>
          <w:rFonts w:hint="eastAsia" w:ascii="Times New Roman" w:hAnsi="Times New Roman" w:eastAsia="方正小标宋简体" w:cs="方正小标宋简体"/>
          <w:b w:val="0"/>
          <w:color w:val="auto"/>
          <w:highlight w:val="none"/>
          <w:lang w:eastAsia="zh-CN"/>
        </w:rPr>
        <w:t>三</w:t>
      </w:r>
      <w:r>
        <w:rPr>
          <w:rFonts w:hint="eastAsia" w:ascii="Times New Roman" w:hAnsi="Times New Roman" w:eastAsia="方正小标宋简体" w:cs="方正小标宋简体"/>
          <w:b w:val="0"/>
          <w:color w:val="auto"/>
          <w:highlight w:val="none"/>
        </w:rPr>
        <w:t>部分</w:t>
      </w:r>
      <w:r>
        <w:rPr>
          <w:rFonts w:hint="eastAsia" w:ascii="Times New Roman" w:hAnsi="Times New Roman" w:eastAsia="方正小标宋简体" w:cs="方正小标宋简体"/>
          <w:b w:val="0"/>
          <w:color w:val="auto"/>
          <w:highlight w:val="none"/>
          <w:lang w:val="en-US" w:eastAsia="zh-CN"/>
        </w:rPr>
        <w:t xml:space="preserve">  </w:t>
      </w:r>
      <w:r>
        <w:rPr>
          <w:rFonts w:hint="eastAsia" w:ascii="Times New Roman" w:hAnsi="Times New Roman" w:eastAsia="方正小标宋简体" w:cs="方正小标宋简体"/>
          <w:b w:val="0"/>
          <w:color w:val="auto"/>
          <w:highlight w:val="none"/>
        </w:rPr>
        <w:t>名词解释</w:t>
      </w:r>
      <w:bookmarkEnd w:id="87"/>
      <w:bookmarkEnd w:id="88"/>
      <w:bookmarkEnd w:id="89"/>
      <w:bookmarkEnd w:id="90"/>
    </w:p>
    <w:p>
      <w:pPr>
        <w:numPr>
          <w:ilvl w:val="0"/>
          <w:numId w:val="0"/>
        </w:numPr>
        <w:ind w:firstLine="640" w:firstLineChars="200"/>
        <w:rPr>
          <w:rFonts w:hint="eastAsia" w:ascii="仿宋_GB2312" w:hAnsi="仿宋" w:eastAsia="仿宋_GB2312" w:cs="Times New Roman"/>
          <w:sz w:val="32"/>
          <w:szCs w:val="32"/>
          <w:highlight w:val="none"/>
          <w:lang w:val="en-US" w:eastAsia="zh-CN"/>
        </w:rPr>
      </w:pP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1.财政拨款收入：指单位从同级财政部门取得的财政预算资金。</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2.事业收入：指事业单位开展专业业务活动及辅助活动取得的收入。</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3.经营收入：指事业单位在专业业务活动及其辅助活动之外开展非独立核算经营活动取得的收入。</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4.其他收入：指单位取得的除上述收入以外的各项收入。</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 xml:space="preserve">5.使用非财政拨款结余：指事业单位使用以前年度积累的非财政拨款结余弥补当年收支差额的金额。 </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 xml:space="preserve">6.年初结转和结余：指以前年度尚未完成、结转到本年按有关规定继续使用的资金。 </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7.结余分配：指事业单位按照会计制度规定缴纳的所得税、提取的专用结余以及转入非财政拨款结余的金额等。</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8.年末结转和结余：指单位按有关规定结转到下年或以后年度继续使用的资金。</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9.教育（类）普通教育（款）高等教育（项）：指经国家批准设立的中央和省、自治区、直辖市各部门所属的全日制普通高等院校（包括研究生）的支出。政府各部门对社会中介组织等举办的各类高等院校的资助，如捐赠、补贴等，也在本科目中反映。</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10.教育（类）职业教育（款）高等职业教育（项）：指经国家批准设立的高等职业大学、专科职业教育等方面的支出。</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11.社会保障和就业（类）行政事业单位养老（款）事业单位离退休（项）：指事业单位开支的离退休经费。</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12.社会保障和就业（类）其他社会保障和就业支出（款）其他社会保障和就业支出（项）：指信息化建设、民政管理事务、补充全国社会保障基金、行政事业单位养老支出、对机关事业单位基本养老保险基金的补助、企业改革补助、就业补助、抚恤、退役安置、社会福利、残疾人事业、其他生活救助等以外其他用于社会保障和就业方面的支出。</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13.债务付息支出（类）地方政府一般债务付息支出（款）地方政府一般债务付息支出（项）：指地方政府用于归还一般债券利息所发生的支出。</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14.基本支出：指为保障机构正常运转、完成日常工作任务而发生的人员支出和公用支出。</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 xml:space="preserve">15.项目支出：指在基本支出之外为完成特定行政任务和事业发展目标所发生的支出。 </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16.经营支出：指事业单位在专业业务活动及其辅助活动之外开展非独立核算经营活动发生的支出。</w:t>
      </w:r>
    </w:p>
    <w:p>
      <w:pPr>
        <w:numPr>
          <w:ilvl w:val="0"/>
          <w:numId w:val="0"/>
        </w:numPr>
        <w:ind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17.“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Style w:val="29"/>
          <w:rFonts w:hint="eastAsia" w:ascii="Times New Roman" w:hAnsi="Times New Roman" w:eastAsia="黑体"/>
          <w:b w:val="0"/>
          <w:bCs/>
          <w:color w:val="auto"/>
          <w:highlight w:val="none"/>
          <w:lang w:eastAsia="zh-CN"/>
        </w:rPr>
      </w:pPr>
      <w:bookmarkStart w:id="91" w:name="_Toc15377226"/>
      <w:r>
        <w:rPr>
          <w:rFonts w:hint="eastAsia" w:ascii="Times New Roman" w:hAnsi="Times New Roman" w:eastAsia="仿宋_GB2312" w:cs="仿宋_GB2312"/>
          <w:color w:val="auto"/>
          <w:kern w:val="2"/>
          <w:sz w:val="32"/>
          <w:szCs w:val="32"/>
          <w:highlight w:val="none"/>
          <w:lang w:val="en-US" w:eastAsia="zh-CN" w:bidi="ar-SA"/>
        </w:rPr>
        <w:br w:type="page"/>
      </w:r>
      <w:bookmarkStart w:id="92" w:name="_Toc15396614"/>
      <w:bookmarkStart w:id="93" w:name="_Toc102"/>
      <w:r>
        <w:rPr>
          <w:rFonts w:hint="eastAsia" w:ascii="Times New Roman" w:hAnsi="Times New Roman" w:eastAsia="方正小标宋简体" w:cs="方正小标宋简体"/>
          <w:b w:val="0"/>
          <w:color w:val="auto"/>
          <w:highlight w:val="none"/>
        </w:rPr>
        <w:t>第四部分</w:t>
      </w:r>
      <w:r>
        <w:rPr>
          <w:rFonts w:hint="eastAsia" w:ascii="Times New Roman" w:hAnsi="Times New Roman" w:eastAsia="方正小标宋简体" w:cs="方正小标宋简体"/>
          <w:b w:val="0"/>
          <w:color w:val="auto"/>
          <w:highlight w:val="none"/>
          <w:lang w:val="en-US" w:eastAsia="zh-CN"/>
        </w:rPr>
        <w:t xml:space="preserve"> </w:t>
      </w:r>
      <w:r>
        <w:rPr>
          <w:rFonts w:hint="eastAsia" w:ascii="Times New Roman" w:hAnsi="Times New Roman" w:eastAsia="方正小标宋简体" w:cs="方正小标宋简体"/>
          <w:b w:val="0"/>
          <w:color w:val="auto"/>
          <w:highlight w:val="none"/>
        </w:rPr>
        <w:t xml:space="preserve"> 附件</w:t>
      </w:r>
      <w:bookmarkEnd w:id="92"/>
      <w:bookmarkEnd w:id="93"/>
    </w:p>
    <w:p>
      <w:pPr>
        <w:keepNext w:val="0"/>
        <w:keepLines w:val="0"/>
        <w:pageBreakBefore w:val="0"/>
        <w:kinsoku/>
        <w:wordWrap/>
        <w:overflowPunct/>
        <w:topLinePunct w:val="0"/>
        <w:autoSpaceDE/>
        <w:autoSpaceDN/>
        <w:bidi w:val="0"/>
        <w:spacing w:line="572" w:lineRule="exact"/>
        <w:jc w:val="left"/>
        <w:textAlignment w:val="auto"/>
        <w:outlineLvl w:val="0"/>
        <w:rPr>
          <w:rFonts w:hint="eastAsia" w:ascii="Times New Roman" w:hAnsi="Times New Roman" w:eastAsia="黑体" w:cs="黑体"/>
          <w:color w:val="FF0000"/>
          <w:sz w:val="32"/>
          <w:szCs w:val="32"/>
          <w:highlight w:val="none"/>
        </w:rPr>
      </w:pPr>
    </w:p>
    <w:p>
      <w:pPr>
        <w:pStyle w:val="3"/>
        <w:keepNext w:val="0"/>
        <w:keepLines w:val="0"/>
        <w:pageBreakBefore w:val="0"/>
        <w:numPr>
          <w:ilvl w:val="0"/>
          <w:numId w:val="0"/>
        </w:numPr>
        <w:kinsoku/>
        <w:wordWrap/>
        <w:overflowPunct/>
        <w:topLinePunct w:val="0"/>
        <w:autoSpaceDE/>
        <w:autoSpaceDN/>
        <w:bidi w:val="0"/>
        <w:spacing w:line="560" w:lineRule="exact"/>
        <w:ind w:firstLine="960" w:firstLineChars="300"/>
        <w:textAlignment w:val="auto"/>
        <w:rPr>
          <w:rFonts w:hint="eastAsia" w:ascii="宋体" w:hAnsi="宋体" w:eastAsia="宋体" w:cs="宋体"/>
          <w:kern w:val="2"/>
          <w:sz w:val="32"/>
          <w:szCs w:val="32"/>
          <w:u w:val="none"/>
          <w:lang w:val="en-US" w:eastAsia="zh-CN" w:bidi="ar"/>
        </w:rPr>
      </w:pPr>
      <w:r>
        <w:rPr>
          <w:rFonts w:hint="eastAsia" w:ascii="宋体" w:hAnsi="宋体" w:eastAsia="宋体" w:cs="宋体"/>
          <w:kern w:val="2"/>
          <w:sz w:val="32"/>
          <w:szCs w:val="32"/>
          <w:u w:val="none"/>
          <w:lang w:val="en-US" w:eastAsia="zh-CN" w:bidi="ar"/>
        </w:rPr>
        <w:t>部门预算项目支出绩效自评表（</w:t>
      </w:r>
      <w:r>
        <w:rPr>
          <w:rFonts w:hint="eastAsia" w:ascii="Times New Roman" w:hAnsi="Times New Roman" w:eastAsia="仿宋_GB2312" w:cs="Times New Roman"/>
          <w:kern w:val="2"/>
          <w:sz w:val="32"/>
          <w:szCs w:val="32"/>
          <w:highlight w:val="none"/>
          <w:lang w:val="en-US" w:eastAsia="zh-CN" w:bidi="ar-SA"/>
        </w:rPr>
        <w:t>2024</w:t>
      </w:r>
      <w:r>
        <w:rPr>
          <w:rFonts w:hint="eastAsia" w:ascii="宋体" w:hAnsi="宋体" w:eastAsia="宋体" w:cs="宋体"/>
          <w:kern w:val="2"/>
          <w:sz w:val="32"/>
          <w:szCs w:val="32"/>
          <w:u w:val="none"/>
          <w:lang w:val="en-US" w:eastAsia="zh-CN" w:bidi="ar"/>
        </w:rPr>
        <w:t>年度）</w:t>
      </w:r>
    </w:p>
    <w:p>
      <w:pPr>
        <w:pStyle w:val="3"/>
        <w:keepNext w:val="0"/>
        <w:keepLines w:val="0"/>
        <w:pageBreakBefore w:val="0"/>
        <w:numPr>
          <w:ilvl w:val="0"/>
          <w:numId w:val="0"/>
        </w:numPr>
        <w:kinsoku/>
        <w:wordWrap/>
        <w:overflowPunct/>
        <w:topLinePunct w:val="0"/>
        <w:autoSpaceDE/>
        <w:autoSpaceDN/>
        <w:bidi w:val="0"/>
        <w:spacing w:line="560" w:lineRule="exact"/>
        <w:ind w:firstLine="960" w:firstLineChars="300"/>
        <w:textAlignment w:val="auto"/>
        <w:rPr>
          <w:rFonts w:hint="eastAsia" w:ascii="宋体" w:hAnsi="宋体" w:eastAsia="宋体" w:cs="宋体"/>
          <w:kern w:val="2"/>
          <w:sz w:val="32"/>
          <w:szCs w:val="32"/>
          <w:u w:val="none"/>
          <w:lang w:val="en-US" w:eastAsia="zh-CN" w:bidi="ar"/>
        </w:rPr>
      </w:pP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仿宋_GB2312" w:cs="仿宋_GB2312"/>
          <w:b w:val="0"/>
          <w:bCs w:val="0"/>
          <w:kern w:val="0"/>
          <w:position w:val="0"/>
          <w:sz w:val="32"/>
          <w:szCs w:val="32"/>
          <w:highlight w:val="none"/>
          <w:lang w:val="en-US" w:eastAsia="zh-CN" w:bidi="ar-SA"/>
        </w:rPr>
      </w:pPr>
      <w:r>
        <w:rPr>
          <w:rFonts w:hint="eastAsia" w:ascii="Times New Roman" w:hAnsi="Times New Roman" w:eastAsia="仿宋_GB2312" w:cs="仿宋_GB2312"/>
          <w:b w:val="0"/>
          <w:bCs w:val="0"/>
          <w:kern w:val="0"/>
          <w:position w:val="0"/>
          <w:sz w:val="32"/>
          <w:szCs w:val="32"/>
          <w:highlight w:val="none"/>
          <w:lang w:val="en-US" w:eastAsia="zh-CN" w:bidi="ar-SA"/>
        </w:rPr>
        <w:t>现代职业教育质量提升计划资金</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学生资助专项资金</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w:t>
      </w:r>
      <w:r>
        <w:rPr>
          <w:rFonts w:hint="default" w:ascii="Times New Roman" w:hAnsi="Times New Roman" w:eastAsia="仿宋_GB2312" w:cs="Times New Roman"/>
          <w:kern w:val="2"/>
          <w:sz w:val="32"/>
          <w:szCs w:val="32"/>
          <w:highlight w:val="none"/>
          <w:lang w:val="en-US" w:eastAsia="zh-CN" w:bidi="ar-SA"/>
        </w:rPr>
        <w:t>23</w:t>
      </w:r>
      <w:r>
        <w:rPr>
          <w:rFonts w:hint="default" w:ascii="Times New Roman" w:hAnsi="Times New Roman" w:eastAsia="仿宋_GB2312" w:cs="仿宋_GB2312"/>
          <w:b w:val="0"/>
          <w:bCs w:val="0"/>
          <w:kern w:val="0"/>
          <w:position w:val="0"/>
          <w:sz w:val="32"/>
          <w:szCs w:val="32"/>
          <w:highlight w:val="none"/>
          <w:lang w:val="en-US" w:eastAsia="zh-CN" w:bidi="ar-SA"/>
        </w:rPr>
        <w:t>年四川化工职业技术学院化工新材料产教融合实训基地项目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2023年四川化工职业技术学院化工工程实训基地项目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2023年后勤运行经费</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2023年双高建设项目(设备购置)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现代职业教育质量提升计划项目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2024年教育运行保障经费</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2024年校园安全保障经费</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2024年后勤运行经费</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2024年四川化工职业技术学院化工新材料产教融合实训基地项目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2024年科研运行保障经费项目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2024年社会服务平台和创新平台建设项目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2024年双高建设项目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2024年四川化工职业技术学院化工工程实训基地项目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2024年四川化工职业技术学院化工工程实训基地配套设施建设项目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2024年四川化工职业技术学院学生宿舍8#及运动场项目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2024年信息化建设及运行维护项目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2024年学生素质工程</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2024年债务还本付息项目</w:t>
      </w:r>
    </w:p>
    <w:p>
      <w:pPr>
        <w:pStyle w:val="3"/>
        <w:keepNext w:val="0"/>
        <w:keepLines w:val="0"/>
        <w:pageBreakBefore w:val="0"/>
        <w:numPr>
          <w:ilvl w:val="0"/>
          <w:numId w:val="2"/>
        </w:numPr>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eastAsia="仿宋_GB2312" w:cs="仿宋_GB2312"/>
          <w:b w:val="0"/>
          <w:bCs w:val="0"/>
          <w:kern w:val="0"/>
          <w:position w:val="0"/>
          <w:sz w:val="32"/>
          <w:szCs w:val="32"/>
          <w:highlight w:val="none"/>
          <w:lang w:val="en-US" w:eastAsia="zh-CN" w:bidi="ar-SA"/>
        </w:rPr>
      </w:pPr>
      <w:r>
        <w:rPr>
          <w:rFonts w:hint="default" w:ascii="Times New Roman" w:hAnsi="Times New Roman" w:eastAsia="仿宋_GB2312" w:cs="仿宋_GB2312"/>
          <w:b w:val="0"/>
          <w:bCs w:val="0"/>
          <w:kern w:val="0"/>
          <w:position w:val="0"/>
          <w:sz w:val="32"/>
          <w:szCs w:val="32"/>
          <w:highlight w:val="none"/>
          <w:lang w:val="en-US" w:eastAsia="zh-CN" w:bidi="ar-SA"/>
        </w:rPr>
        <w:t>2024年双高建设项目(项目类)</w:t>
      </w:r>
    </w:p>
    <w:p>
      <w:pPr>
        <w:pStyle w:val="3"/>
        <w:keepNext w:val="0"/>
        <w:keepLines w:val="0"/>
        <w:pageBreakBefore w:val="0"/>
        <w:numPr>
          <w:ilvl w:val="0"/>
          <w:numId w:val="0"/>
        </w:numPr>
        <w:kinsoku/>
        <w:wordWrap/>
        <w:overflowPunct/>
        <w:topLinePunct w:val="0"/>
        <w:autoSpaceDE/>
        <w:autoSpaceDN/>
        <w:bidi w:val="0"/>
        <w:spacing w:line="560" w:lineRule="exact"/>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42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r>
        <w:drawing>
          <wp:anchor distT="0" distB="0" distL="114300" distR="114300" simplePos="0" relativeHeight="251668480" behindDoc="0" locked="0" layoutInCell="1" allowOverlap="1">
            <wp:simplePos x="0" y="0"/>
            <wp:positionH relativeFrom="column">
              <wp:posOffset>-2540</wp:posOffset>
            </wp:positionH>
            <wp:positionV relativeFrom="paragraph">
              <wp:posOffset>213995</wp:posOffset>
            </wp:positionV>
            <wp:extent cx="5272405" cy="5278120"/>
            <wp:effectExtent l="0" t="0" r="4445" b="17780"/>
            <wp:wrapTopAndBottom/>
            <wp:docPr id="2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true"/>
                    </pic:cNvPicPr>
                  </pic:nvPicPr>
                  <pic:blipFill>
                    <a:blip r:embed="rId16"/>
                    <a:stretch>
                      <a:fillRect/>
                    </a:stretch>
                  </pic:blipFill>
                  <pic:spPr>
                    <a:xfrm>
                      <a:off x="0" y="0"/>
                      <a:ext cx="5272405" cy="5278120"/>
                    </a:xfrm>
                    <a:prstGeom prst="rect">
                      <a:avLst/>
                    </a:prstGeom>
                    <a:noFill/>
                    <a:ln>
                      <a:noFill/>
                    </a:ln>
                  </pic:spPr>
                </pic:pic>
              </a:graphicData>
            </a:graphic>
          </wp:anchor>
        </w:drawing>
      </w: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3"/>
        <w:keepNext w:val="0"/>
        <w:keepLines w:val="0"/>
        <w:pageBreakBefore w:val="0"/>
        <w:numPr>
          <w:ilvl w:val="0"/>
          <w:numId w:val="0"/>
        </w:numPr>
        <w:kinsoku/>
        <w:wordWrap/>
        <w:overflowPunct/>
        <w:topLinePunct w:val="0"/>
        <w:autoSpaceDE/>
        <w:autoSpaceDN/>
        <w:bidi w:val="0"/>
        <w:spacing w:line="560" w:lineRule="exact"/>
        <w:ind w:firstLine="640" w:firstLineChars="200"/>
        <w:textAlignment w:val="auto"/>
        <w:rPr>
          <w:rFonts w:hint="eastAsia" w:ascii="Times New Roman" w:hAnsi="Times New Roman" w:eastAsia="仿宋_GB2312" w:cs="仿宋_GB2312"/>
          <w:b w:val="0"/>
          <w:bCs w:val="0"/>
          <w:kern w:val="0"/>
          <w:position w:val="0"/>
          <w:sz w:val="32"/>
          <w:szCs w:val="32"/>
          <w:highlight w:val="none"/>
          <w:lang w:val="en-US" w:eastAsia="zh-CN" w:bidi="ar-SA"/>
        </w:rPr>
      </w:pPr>
    </w:p>
    <w:p>
      <w:pPr>
        <w:pStyle w:val="8"/>
      </w:pPr>
    </w:p>
    <w:p>
      <w:pPr>
        <w:pStyle w:val="8"/>
      </w:pPr>
    </w:p>
    <w:p>
      <w:pPr>
        <w:pStyle w:val="8"/>
      </w:pPr>
    </w:p>
    <w:p>
      <w:pPr>
        <w:pStyle w:val="8"/>
      </w:pPr>
    </w:p>
    <w:p>
      <w:pPr>
        <w:pStyle w:val="8"/>
        <w:rPr>
          <w:rFonts w:hint="eastAsia" w:ascii="Times New Roman" w:hAnsi="Times New Roman" w:cs="宋体"/>
          <w:color w:val="FF0000"/>
          <w:kern w:val="0"/>
          <w:sz w:val="32"/>
          <w:szCs w:val="32"/>
          <w:highlight w:val="yellow"/>
          <w:shd w:val="clear" w:color="auto" w:fill="FFFFFF"/>
          <w:lang w:val="zh-CN"/>
        </w:rPr>
      </w:pPr>
      <w:r>
        <w:drawing>
          <wp:inline distT="0" distB="0" distL="114300" distR="114300">
            <wp:extent cx="5270500" cy="4385945"/>
            <wp:effectExtent l="0" t="0" r="6350" b="14605"/>
            <wp:docPr id="6"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true"/>
                    </pic:cNvPicPr>
                  </pic:nvPicPr>
                  <pic:blipFill>
                    <a:blip r:embed="rId17"/>
                    <a:stretch>
                      <a:fillRect/>
                    </a:stretch>
                  </pic:blipFill>
                  <pic:spPr>
                    <a:xfrm>
                      <a:off x="0" y="0"/>
                      <a:ext cx="5270500" cy="4385945"/>
                    </a:xfrm>
                    <a:prstGeom prst="rect">
                      <a:avLst/>
                    </a:prstGeom>
                    <a:noFill/>
                    <a:ln>
                      <a:noFill/>
                    </a:ln>
                  </pic:spPr>
                </pic:pic>
              </a:graphicData>
            </a:graphic>
          </wp:inline>
        </w:drawing>
      </w:r>
    </w:p>
    <w:p>
      <w:pPr>
        <w:rPr>
          <w:rFonts w:hint="eastAsia" w:ascii="Times New Roman" w:hAnsi="Times New Roman" w:eastAsia="黑体" w:cs="黑体"/>
          <w:color w:val="auto"/>
          <w:kern w:val="0"/>
          <w:sz w:val="32"/>
          <w:szCs w:val="32"/>
          <w:highlight w:val="none"/>
          <w:shd w:val="clear" w:color="auto" w:fill="FFFFFF"/>
          <w:lang w:val="zh-CN"/>
        </w:rPr>
      </w:pPr>
      <w:r>
        <w:rPr>
          <w:rFonts w:hint="eastAsia" w:ascii="Times New Roman" w:hAnsi="Times New Roman" w:eastAsia="黑体" w:cs="黑体"/>
          <w:color w:val="auto"/>
          <w:kern w:val="0"/>
          <w:sz w:val="32"/>
          <w:szCs w:val="32"/>
          <w:highlight w:val="none"/>
          <w:shd w:val="clear" w:color="auto" w:fill="FFFFFF"/>
          <w:lang w:val="zh-CN"/>
        </w:rPr>
        <w:br w:type="page"/>
      </w:r>
      <w:r>
        <w:drawing>
          <wp:inline distT="0" distB="0" distL="114300" distR="114300">
            <wp:extent cx="5270500" cy="4985385"/>
            <wp:effectExtent l="0" t="0" r="6350" b="5715"/>
            <wp:docPr id="7"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true"/>
                    </pic:cNvPicPr>
                  </pic:nvPicPr>
                  <pic:blipFill>
                    <a:blip r:embed="rId18"/>
                    <a:stretch>
                      <a:fillRect/>
                    </a:stretch>
                  </pic:blipFill>
                  <pic:spPr>
                    <a:xfrm>
                      <a:off x="0" y="0"/>
                      <a:ext cx="5270500" cy="49853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bookmarkStart w:id="94" w:name="_Toc15396618"/>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r>
        <w:drawing>
          <wp:anchor distT="0" distB="0" distL="114300" distR="114300" simplePos="0" relativeHeight="251664384" behindDoc="0" locked="0" layoutInCell="1" allowOverlap="1">
            <wp:simplePos x="0" y="0"/>
            <wp:positionH relativeFrom="column">
              <wp:posOffset>26670</wp:posOffset>
            </wp:positionH>
            <wp:positionV relativeFrom="paragraph">
              <wp:posOffset>163830</wp:posOffset>
            </wp:positionV>
            <wp:extent cx="5270500" cy="5118735"/>
            <wp:effectExtent l="0" t="0" r="6350" b="5715"/>
            <wp:wrapTopAndBottom/>
            <wp:docPr id="8"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true"/>
                    </pic:cNvPicPr>
                  </pic:nvPicPr>
                  <pic:blipFill>
                    <a:blip r:embed="rId19"/>
                    <a:stretch>
                      <a:fillRect/>
                    </a:stretch>
                  </pic:blipFill>
                  <pic:spPr>
                    <a:xfrm>
                      <a:off x="0" y="0"/>
                      <a:ext cx="5270500" cy="511873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r>
        <w:drawing>
          <wp:anchor distT="0" distB="0" distL="114300" distR="114300" simplePos="0" relativeHeight="251665408" behindDoc="0" locked="0" layoutInCell="1" allowOverlap="1">
            <wp:simplePos x="0" y="0"/>
            <wp:positionH relativeFrom="column">
              <wp:posOffset>149225</wp:posOffset>
            </wp:positionH>
            <wp:positionV relativeFrom="paragraph">
              <wp:posOffset>1466215</wp:posOffset>
            </wp:positionV>
            <wp:extent cx="5270500" cy="4168140"/>
            <wp:effectExtent l="0" t="0" r="6350" b="3810"/>
            <wp:wrapTopAndBottom/>
            <wp:docPr id="9"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true"/>
                    </pic:cNvPicPr>
                  </pic:nvPicPr>
                  <pic:blipFill>
                    <a:blip r:embed="rId20"/>
                    <a:stretch>
                      <a:fillRect/>
                    </a:stretch>
                  </pic:blipFill>
                  <pic:spPr>
                    <a:xfrm>
                      <a:off x="0" y="0"/>
                      <a:ext cx="5270500" cy="416814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pPr>
    </w:p>
    <w:p>
      <w:pPr>
        <w:pStyle w:val="19"/>
      </w:pPr>
    </w:p>
    <w:p>
      <w:pPr>
        <w:pStyle w:val="19"/>
      </w:pPr>
    </w:p>
    <w:p>
      <w:pPr>
        <w:pStyle w:val="19"/>
      </w:pPr>
    </w:p>
    <w:p>
      <w:pPr>
        <w:pStyle w:val="19"/>
      </w:pPr>
      <w:r>
        <w:drawing>
          <wp:anchor distT="0" distB="0" distL="114300" distR="114300" simplePos="0" relativeHeight="251666432" behindDoc="0" locked="0" layoutInCell="1" allowOverlap="1">
            <wp:simplePos x="0" y="0"/>
            <wp:positionH relativeFrom="column">
              <wp:posOffset>54610</wp:posOffset>
            </wp:positionH>
            <wp:positionV relativeFrom="paragraph">
              <wp:posOffset>-137795</wp:posOffset>
            </wp:positionV>
            <wp:extent cx="5270500" cy="4168140"/>
            <wp:effectExtent l="0" t="0" r="6350" b="3810"/>
            <wp:wrapTopAndBottom/>
            <wp:docPr id="12"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true"/>
                    </pic:cNvPicPr>
                  </pic:nvPicPr>
                  <pic:blipFill>
                    <a:blip r:embed="rId21"/>
                    <a:stretch>
                      <a:fillRect/>
                    </a:stretch>
                  </pic:blipFill>
                  <pic:spPr>
                    <a:xfrm>
                      <a:off x="0" y="0"/>
                      <a:ext cx="5270500" cy="4168140"/>
                    </a:xfrm>
                    <a:prstGeom prst="rect">
                      <a:avLst/>
                    </a:prstGeom>
                    <a:noFill/>
                    <a:ln>
                      <a:noFill/>
                    </a:ln>
                  </pic:spPr>
                </pic:pic>
              </a:graphicData>
            </a:graphic>
          </wp:anchor>
        </w:drawing>
      </w:r>
    </w:p>
    <w:p>
      <w:pPr>
        <w:pStyle w:val="19"/>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r>
        <w:rPr>
          <w:rFonts w:hint="eastAsia" w:ascii="Times New Roman" w:hAnsi="Times New Roman" w:eastAsia="仿宋_GB2312" w:cs="仿宋_GB2312"/>
          <w:b w:val="0"/>
          <w:bCs w:val="0"/>
          <w:kern w:val="0"/>
          <w:position w:val="0"/>
          <w:sz w:val="32"/>
          <w:szCs w:val="32"/>
          <w:highlight w:val="none"/>
          <w:lang w:val="en-US" w:eastAsia="zh-CN" w:bidi="ar-SA"/>
        </w:rPr>
        <w:br w:type="page"/>
      </w: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r>
        <w:drawing>
          <wp:anchor distT="0" distB="0" distL="114300" distR="114300" simplePos="0" relativeHeight="251667456" behindDoc="0" locked="0" layoutInCell="1" allowOverlap="1">
            <wp:simplePos x="0" y="0"/>
            <wp:positionH relativeFrom="column">
              <wp:posOffset>99060</wp:posOffset>
            </wp:positionH>
            <wp:positionV relativeFrom="paragraph">
              <wp:posOffset>-42545</wp:posOffset>
            </wp:positionV>
            <wp:extent cx="5270500" cy="4852670"/>
            <wp:effectExtent l="0" t="0" r="6350" b="5080"/>
            <wp:wrapTopAndBottom/>
            <wp:docPr id="13"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true"/>
                    </pic:cNvPicPr>
                  </pic:nvPicPr>
                  <pic:blipFill>
                    <a:blip r:embed="rId22"/>
                    <a:stretch>
                      <a:fillRect/>
                    </a:stretch>
                  </pic:blipFill>
                  <pic:spPr>
                    <a:xfrm>
                      <a:off x="0" y="0"/>
                      <a:ext cx="5270500" cy="485267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仿宋_GB2312"/>
          <w:b w:val="0"/>
          <w:bCs w:val="0"/>
          <w:kern w:val="0"/>
          <w:position w:val="0"/>
          <w:sz w:val="32"/>
          <w:szCs w:val="32"/>
          <w:highlight w:val="none"/>
          <w:lang w:val="en-US" w:eastAsia="zh-CN" w:bidi="ar-SA"/>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r>
        <w:drawing>
          <wp:inline distT="0" distB="0" distL="114300" distR="114300">
            <wp:extent cx="5270500" cy="5361305"/>
            <wp:effectExtent l="0" t="0" r="6350" b="10795"/>
            <wp:docPr id="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true"/>
                    </pic:cNvPicPr>
                  </pic:nvPicPr>
                  <pic:blipFill>
                    <a:blip r:embed="rId23"/>
                    <a:stretch>
                      <a:fillRect/>
                    </a:stretch>
                  </pic:blipFill>
                  <pic:spPr>
                    <a:xfrm>
                      <a:off x="0" y="0"/>
                      <a:ext cx="5270500" cy="5361305"/>
                    </a:xfrm>
                    <a:prstGeom prst="rect">
                      <a:avLst/>
                    </a:prstGeom>
                    <a:noFill/>
                    <a:ln>
                      <a:noFill/>
                    </a:ln>
                  </pic:spPr>
                </pic:pic>
              </a:graphicData>
            </a:graphic>
          </wp:inline>
        </w:drawing>
      </w: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r>
        <w:drawing>
          <wp:inline distT="0" distB="0" distL="114300" distR="114300">
            <wp:extent cx="5270500" cy="4852670"/>
            <wp:effectExtent l="0" t="0" r="6350" b="5080"/>
            <wp:docPr id="15"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true"/>
                    </pic:cNvPicPr>
                  </pic:nvPicPr>
                  <pic:blipFill>
                    <a:blip r:embed="rId24"/>
                    <a:stretch>
                      <a:fillRect/>
                    </a:stretch>
                  </pic:blipFill>
                  <pic:spPr>
                    <a:xfrm>
                      <a:off x="0" y="0"/>
                      <a:ext cx="5270500" cy="4852670"/>
                    </a:xfrm>
                    <a:prstGeom prst="rect">
                      <a:avLst/>
                    </a:prstGeom>
                    <a:noFill/>
                    <a:ln>
                      <a:noFill/>
                    </a:ln>
                  </pic:spPr>
                </pic:pic>
              </a:graphicData>
            </a:graphic>
          </wp:inline>
        </w:drawing>
      </w: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r>
        <w:drawing>
          <wp:inline distT="0" distB="0" distL="114300" distR="114300">
            <wp:extent cx="5270500" cy="4658360"/>
            <wp:effectExtent l="0" t="0" r="6350" b="8890"/>
            <wp:docPr id="16"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true"/>
                    </pic:cNvPicPr>
                  </pic:nvPicPr>
                  <pic:blipFill>
                    <a:blip r:embed="rId25"/>
                    <a:stretch>
                      <a:fillRect/>
                    </a:stretch>
                  </pic:blipFill>
                  <pic:spPr>
                    <a:xfrm>
                      <a:off x="0" y="0"/>
                      <a:ext cx="5270500" cy="465836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4985385"/>
            <wp:effectExtent l="0" t="0" r="6350" b="5715"/>
            <wp:docPr id="14"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true"/>
                    </pic:cNvPicPr>
                  </pic:nvPicPr>
                  <pic:blipFill>
                    <a:blip r:embed="rId26"/>
                    <a:stretch>
                      <a:fillRect/>
                    </a:stretch>
                  </pic:blipFill>
                  <pic:spPr>
                    <a:xfrm>
                      <a:off x="0" y="0"/>
                      <a:ext cx="5270500" cy="4985385"/>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6221730"/>
            <wp:effectExtent l="0" t="0" r="6350" b="7620"/>
            <wp:docPr id="18"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true"/>
                    </pic:cNvPicPr>
                  </pic:nvPicPr>
                  <pic:blipFill>
                    <a:blip r:embed="rId27"/>
                    <a:stretch>
                      <a:fillRect/>
                    </a:stretch>
                  </pic:blipFill>
                  <pic:spPr>
                    <a:xfrm>
                      <a:off x="0" y="0"/>
                      <a:ext cx="5270500" cy="622173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5482590"/>
            <wp:effectExtent l="0" t="0" r="6350" b="3810"/>
            <wp:docPr id="19"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true"/>
                    </pic:cNvPicPr>
                  </pic:nvPicPr>
                  <pic:blipFill>
                    <a:blip r:embed="rId28"/>
                    <a:stretch>
                      <a:fillRect/>
                    </a:stretch>
                  </pic:blipFill>
                  <pic:spPr>
                    <a:xfrm>
                      <a:off x="0" y="0"/>
                      <a:ext cx="5270500" cy="548259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5130800"/>
            <wp:effectExtent l="0" t="0" r="6350" b="12700"/>
            <wp:docPr id="20"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true"/>
                    </pic:cNvPicPr>
                  </pic:nvPicPr>
                  <pic:blipFill>
                    <a:blip r:embed="rId29"/>
                    <a:stretch>
                      <a:fillRect/>
                    </a:stretch>
                  </pic:blipFill>
                  <pic:spPr>
                    <a:xfrm>
                      <a:off x="0" y="0"/>
                      <a:ext cx="5270500" cy="513080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5070475"/>
            <wp:effectExtent l="0" t="0" r="6350" b="15875"/>
            <wp:docPr id="21"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true"/>
                    </pic:cNvPicPr>
                  </pic:nvPicPr>
                  <pic:blipFill>
                    <a:blip r:embed="rId30"/>
                    <a:stretch>
                      <a:fillRect/>
                    </a:stretch>
                  </pic:blipFill>
                  <pic:spPr>
                    <a:xfrm>
                      <a:off x="0" y="0"/>
                      <a:ext cx="5270500" cy="5070475"/>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4979670"/>
            <wp:effectExtent l="0" t="0" r="6350" b="11430"/>
            <wp:docPr id="22"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true"/>
                    </pic:cNvPicPr>
                  </pic:nvPicPr>
                  <pic:blipFill>
                    <a:blip r:embed="rId31"/>
                    <a:stretch>
                      <a:fillRect/>
                    </a:stretch>
                  </pic:blipFill>
                  <pic:spPr>
                    <a:xfrm>
                      <a:off x="0" y="0"/>
                      <a:ext cx="5270500" cy="497967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4537075"/>
            <wp:effectExtent l="0" t="0" r="6350" b="15875"/>
            <wp:docPr id="23"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true"/>
                    </pic:cNvPicPr>
                  </pic:nvPicPr>
                  <pic:blipFill>
                    <a:blip r:embed="rId32"/>
                    <a:stretch>
                      <a:fillRect/>
                    </a:stretch>
                  </pic:blipFill>
                  <pic:spPr>
                    <a:xfrm>
                      <a:off x="0" y="0"/>
                      <a:ext cx="5270500" cy="4537075"/>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p>
    <w:p>
      <w:pPr>
        <w:widowControl/>
        <w:jc w:val="center"/>
        <w:rPr>
          <w:rFonts w:hint="eastAsia" w:ascii="Times New Roman" w:hAnsi="Times New Roman" w:eastAsia="黑体"/>
          <w:color w:val="auto"/>
          <w:sz w:val="44"/>
          <w:szCs w:val="44"/>
          <w:highlight w:val="none"/>
        </w:rPr>
      </w:pPr>
      <w:r>
        <w:drawing>
          <wp:inline distT="0" distB="0" distL="114300" distR="114300">
            <wp:extent cx="5270500" cy="5712460"/>
            <wp:effectExtent l="0" t="0" r="6350" b="2540"/>
            <wp:docPr id="24"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true"/>
                    </pic:cNvPicPr>
                  </pic:nvPicPr>
                  <pic:blipFill>
                    <a:blip r:embed="rId33"/>
                    <a:stretch>
                      <a:fillRect/>
                    </a:stretch>
                  </pic:blipFill>
                  <pic:spPr>
                    <a:xfrm>
                      <a:off x="0" y="0"/>
                      <a:ext cx="5270500" cy="5712460"/>
                    </a:xfrm>
                    <a:prstGeom prst="rect">
                      <a:avLst/>
                    </a:prstGeom>
                    <a:noFill/>
                    <a:ln>
                      <a:noFill/>
                    </a:ln>
                  </pic:spPr>
                </pic:pic>
              </a:graphicData>
            </a:graphic>
          </wp:inline>
        </w:drawing>
      </w:r>
    </w:p>
    <w:p>
      <w:pPr>
        <w:widowControl/>
        <w:jc w:val="center"/>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5494655"/>
            <wp:effectExtent l="0" t="0" r="6350" b="10795"/>
            <wp:docPr id="25"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true"/>
                    </pic:cNvPicPr>
                  </pic:nvPicPr>
                  <pic:blipFill>
                    <a:blip r:embed="rId34"/>
                    <a:stretch>
                      <a:fillRect/>
                    </a:stretch>
                  </pic:blipFill>
                  <pic:spPr>
                    <a:xfrm>
                      <a:off x="0" y="0"/>
                      <a:ext cx="5270500" cy="5494655"/>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4349750"/>
            <wp:effectExtent l="0" t="0" r="6350" b="12700"/>
            <wp:docPr id="26"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true"/>
                    </pic:cNvPicPr>
                  </pic:nvPicPr>
                  <pic:blipFill>
                    <a:blip r:embed="rId35"/>
                    <a:stretch>
                      <a:fillRect/>
                    </a:stretch>
                  </pic:blipFill>
                  <pic:spPr>
                    <a:xfrm>
                      <a:off x="0" y="0"/>
                      <a:ext cx="5270500" cy="434975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r>
        <w:drawing>
          <wp:inline distT="0" distB="0" distL="114300" distR="114300">
            <wp:extent cx="5270500" cy="4900930"/>
            <wp:effectExtent l="0" t="0" r="6350" b="13970"/>
            <wp:docPr id="27"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true"/>
                    </pic:cNvPicPr>
                  </pic:nvPicPr>
                  <pic:blipFill>
                    <a:blip r:embed="rId36"/>
                    <a:stretch>
                      <a:fillRect/>
                    </a:stretch>
                  </pic:blipFill>
                  <pic:spPr>
                    <a:xfrm>
                      <a:off x="0" y="0"/>
                      <a:ext cx="5270500" cy="4900930"/>
                    </a:xfrm>
                    <a:prstGeom prst="rect">
                      <a:avLst/>
                    </a:prstGeom>
                    <a:noFill/>
                    <a:ln>
                      <a:noFill/>
                    </a:ln>
                  </pic:spPr>
                </pic:pic>
              </a:graphicData>
            </a:graphic>
          </wp:inline>
        </w:drawing>
      </w: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19"/>
        <w:rPr>
          <w:rFonts w:hint="eastAsia" w:ascii="Times New Roman" w:hAnsi="Times New Roman" w:eastAsia="黑体"/>
          <w:color w:val="auto"/>
          <w:sz w:val="44"/>
          <w:szCs w:val="44"/>
          <w:highlight w:val="none"/>
        </w:rPr>
      </w:pPr>
    </w:p>
    <w:p>
      <w:pPr>
        <w:pStyle w:val="5"/>
        <w:keepNext/>
        <w:keepLines/>
        <w:pageBreakBefore w:val="0"/>
        <w:widowControl w:val="0"/>
        <w:kinsoku/>
        <w:wordWrap/>
        <w:overflowPunct/>
        <w:topLinePunct w:val="0"/>
        <w:autoSpaceDE/>
        <w:autoSpaceDN/>
        <w:bidi w:val="0"/>
        <w:adjustRightInd/>
        <w:snapToGrid/>
        <w:spacing w:line="579" w:lineRule="auto"/>
        <w:jc w:val="center"/>
        <w:textAlignment w:val="auto"/>
        <w:rPr>
          <w:rFonts w:hint="eastAsia" w:ascii="Times New Roman" w:hAnsi="Times New Roman" w:eastAsia="仿宋_GB2312" w:cs="仿宋_GB2312"/>
          <w:color w:val="auto"/>
          <w:sz w:val="32"/>
          <w:szCs w:val="32"/>
          <w:highlight w:val="none"/>
        </w:rPr>
      </w:pPr>
      <w:bookmarkStart w:id="95" w:name="_Toc22773"/>
      <w:r>
        <w:rPr>
          <w:rFonts w:hint="eastAsia" w:ascii="Times New Roman" w:hAnsi="Times New Roman" w:eastAsia="方正小标宋简体" w:cs="方正小标宋简体"/>
          <w:b w:val="0"/>
          <w:color w:val="auto"/>
          <w:highlight w:val="none"/>
        </w:rPr>
        <w:t>第五部分 附表</w:t>
      </w:r>
      <w:bookmarkEnd w:id="91"/>
      <w:bookmarkEnd w:id="94"/>
      <w:bookmarkEnd w:id="95"/>
      <w:bookmarkStart w:id="96" w:name="_Toc15396619"/>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97" w:name="_Toc15569"/>
      <w:r>
        <w:rPr>
          <w:rFonts w:hint="eastAsia" w:ascii="仿宋_GB2312" w:hAnsi="仿宋" w:eastAsia="仿宋_GB2312" w:cs="Times New Roman"/>
          <w:sz w:val="32"/>
          <w:szCs w:val="32"/>
          <w:highlight w:val="none"/>
          <w:lang w:val="en-US" w:eastAsia="zh-CN"/>
        </w:rPr>
        <w:t>一、收入支出决算总表</w:t>
      </w:r>
      <w:bookmarkEnd w:id="96"/>
      <w:bookmarkEnd w:id="97"/>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98" w:name="_Toc22102"/>
      <w:bookmarkStart w:id="99" w:name="_Toc15396620"/>
      <w:r>
        <w:rPr>
          <w:rFonts w:hint="eastAsia" w:ascii="仿宋_GB2312" w:hAnsi="仿宋" w:eastAsia="仿宋_GB2312" w:cs="Times New Roman"/>
          <w:sz w:val="32"/>
          <w:szCs w:val="32"/>
          <w:highlight w:val="none"/>
          <w:lang w:val="en-US" w:eastAsia="zh-CN"/>
        </w:rPr>
        <w:t>二、收入决算表</w:t>
      </w:r>
      <w:bookmarkEnd w:id="98"/>
      <w:bookmarkEnd w:id="99"/>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00" w:name="_Toc15396621"/>
      <w:bookmarkStart w:id="101" w:name="_Toc20845"/>
      <w:r>
        <w:rPr>
          <w:rFonts w:hint="eastAsia" w:ascii="仿宋_GB2312" w:hAnsi="仿宋" w:eastAsia="仿宋_GB2312" w:cs="Times New Roman"/>
          <w:sz w:val="32"/>
          <w:szCs w:val="32"/>
          <w:highlight w:val="none"/>
          <w:lang w:val="en-US" w:eastAsia="zh-CN"/>
        </w:rPr>
        <w:t>三、支出决算表</w:t>
      </w:r>
      <w:bookmarkEnd w:id="100"/>
      <w:bookmarkEnd w:id="101"/>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02" w:name="_Toc1128"/>
      <w:bookmarkStart w:id="103" w:name="_Toc15396622"/>
      <w:r>
        <w:rPr>
          <w:rFonts w:hint="eastAsia" w:ascii="仿宋_GB2312" w:hAnsi="仿宋" w:eastAsia="仿宋_GB2312" w:cs="Times New Roman"/>
          <w:sz w:val="32"/>
          <w:szCs w:val="32"/>
          <w:highlight w:val="none"/>
          <w:lang w:val="en-US" w:eastAsia="zh-CN"/>
        </w:rPr>
        <w:t>四、财政拨款收入支出决算总表</w:t>
      </w:r>
      <w:bookmarkEnd w:id="102"/>
      <w:bookmarkEnd w:id="103"/>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04" w:name="_Toc19746"/>
      <w:bookmarkStart w:id="105" w:name="_Toc15396623"/>
      <w:r>
        <w:rPr>
          <w:rFonts w:hint="eastAsia" w:ascii="仿宋_GB2312" w:hAnsi="仿宋" w:eastAsia="仿宋_GB2312" w:cs="Times New Roman"/>
          <w:sz w:val="32"/>
          <w:szCs w:val="32"/>
          <w:highlight w:val="none"/>
          <w:lang w:val="en-US" w:eastAsia="zh-CN"/>
        </w:rPr>
        <w:t>五、财政拨款支出决算明细表</w:t>
      </w:r>
      <w:bookmarkEnd w:id="104"/>
      <w:bookmarkEnd w:id="105"/>
      <w:bookmarkStart w:id="106" w:name="_Toc15396624"/>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07" w:name="_Toc8860"/>
      <w:r>
        <w:rPr>
          <w:rFonts w:hint="eastAsia" w:ascii="仿宋_GB2312" w:hAnsi="仿宋" w:eastAsia="仿宋_GB2312" w:cs="Times New Roman"/>
          <w:sz w:val="32"/>
          <w:szCs w:val="32"/>
          <w:highlight w:val="none"/>
          <w:lang w:val="en-US" w:eastAsia="zh-CN"/>
        </w:rPr>
        <w:t>六、一般公共预算财政拨款支出决算表</w:t>
      </w:r>
      <w:bookmarkEnd w:id="106"/>
      <w:bookmarkEnd w:id="107"/>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08" w:name="_Toc21799"/>
      <w:bookmarkStart w:id="109" w:name="_Toc15396625"/>
      <w:r>
        <w:rPr>
          <w:rFonts w:hint="eastAsia" w:ascii="仿宋_GB2312" w:hAnsi="仿宋" w:eastAsia="仿宋_GB2312" w:cs="Times New Roman"/>
          <w:sz w:val="32"/>
          <w:szCs w:val="32"/>
          <w:highlight w:val="none"/>
          <w:lang w:val="en-US" w:eastAsia="zh-CN"/>
        </w:rPr>
        <w:t>七、一般公共预算财政拨款支出决算明细表</w:t>
      </w:r>
      <w:bookmarkEnd w:id="108"/>
      <w:bookmarkEnd w:id="109"/>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10" w:name="_Toc15396626"/>
      <w:bookmarkStart w:id="111" w:name="_Toc7884"/>
      <w:r>
        <w:rPr>
          <w:rFonts w:hint="eastAsia" w:ascii="仿宋_GB2312" w:hAnsi="仿宋" w:eastAsia="仿宋_GB2312" w:cs="Times New Roman"/>
          <w:sz w:val="32"/>
          <w:szCs w:val="32"/>
          <w:highlight w:val="none"/>
          <w:lang w:val="en-US" w:eastAsia="zh-CN"/>
        </w:rPr>
        <w:t>八、一般公共预算财政拨款基本支出决算表</w:t>
      </w:r>
      <w:bookmarkEnd w:id="110"/>
      <w:bookmarkEnd w:id="111"/>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12" w:name="_Toc28541"/>
      <w:bookmarkStart w:id="113" w:name="_Toc15396627"/>
      <w:r>
        <w:rPr>
          <w:rFonts w:hint="eastAsia" w:ascii="仿宋_GB2312" w:hAnsi="仿宋" w:eastAsia="仿宋_GB2312" w:cs="Times New Roman"/>
          <w:sz w:val="32"/>
          <w:szCs w:val="32"/>
          <w:highlight w:val="none"/>
          <w:lang w:val="en-US" w:eastAsia="zh-CN"/>
        </w:rPr>
        <w:t>九、一般公共预算财政拨款项目支出决算表</w:t>
      </w:r>
      <w:bookmarkEnd w:id="112"/>
      <w:bookmarkEnd w:id="113"/>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14" w:name="_Toc15396628"/>
      <w:bookmarkStart w:id="115" w:name="_Toc16444"/>
      <w:r>
        <w:rPr>
          <w:rFonts w:hint="eastAsia" w:ascii="仿宋_GB2312" w:hAnsi="仿宋" w:eastAsia="仿宋_GB2312" w:cs="Times New Roman"/>
          <w:sz w:val="32"/>
          <w:szCs w:val="32"/>
          <w:highlight w:val="none"/>
          <w:lang w:val="en-US" w:eastAsia="zh-CN"/>
        </w:rPr>
        <w:t>十、</w:t>
      </w:r>
      <w:bookmarkEnd w:id="114"/>
      <w:r>
        <w:rPr>
          <w:rFonts w:hint="eastAsia" w:ascii="仿宋_GB2312" w:hAnsi="仿宋" w:eastAsia="仿宋_GB2312" w:cs="Times New Roman"/>
          <w:sz w:val="32"/>
          <w:szCs w:val="32"/>
          <w:highlight w:val="none"/>
          <w:lang w:val="en-US" w:eastAsia="zh-CN"/>
        </w:rPr>
        <w:t>政府性基金预算财政拨款收入支出决算表</w:t>
      </w:r>
      <w:bookmarkEnd w:id="115"/>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16" w:name="_Toc15396629"/>
      <w:bookmarkStart w:id="117" w:name="_Toc25208"/>
      <w:r>
        <w:rPr>
          <w:rFonts w:hint="eastAsia" w:ascii="仿宋_GB2312" w:hAnsi="仿宋" w:eastAsia="仿宋_GB2312" w:cs="Times New Roman"/>
          <w:sz w:val="32"/>
          <w:szCs w:val="32"/>
          <w:highlight w:val="none"/>
          <w:lang w:val="en-US" w:eastAsia="zh-CN"/>
        </w:rPr>
        <w:t>十一、</w:t>
      </w:r>
      <w:bookmarkEnd w:id="116"/>
      <w:r>
        <w:rPr>
          <w:rFonts w:hint="eastAsia" w:ascii="仿宋_GB2312" w:hAnsi="仿宋" w:eastAsia="仿宋_GB2312" w:cs="Times New Roman"/>
          <w:sz w:val="32"/>
          <w:szCs w:val="32"/>
          <w:highlight w:val="none"/>
          <w:lang w:val="en-US" w:eastAsia="zh-CN"/>
        </w:rPr>
        <w:t>国有资本经营预算财政拨款收入支出决算表</w:t>
      </w:r>
      <w:bookmarkEnd w:id="117"/>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18" w:name="_Toc15396630"/>
      <w:bookmarkStart w:id="119" w:name="_Toc26506"/>
      <w:r>
        <w:rPr>
          <w:rFonts w:hint="eastAsia" w:ascii="仿宋_GB2312" w:hAnsi="仿宋" w:eastAsia="仿宋_GB2312" w:cs="Times New Roman"/>
          <w:sz w:val="32"/>
          <w:szCs w:val="32"/>
          <w:highlight w:val="none"/>
          <w:lang w:val="en-US" w:eastAsia="zh-CN"/>
        </w:rPr>
        <w:t>十二、</w:t>
      </w:r>
      <w:bookmarkEnd w:id="118"/>
      <w:r>
        <w:rPr>
          <w:rFonts w:hint="eastAsia" w:ascii="仿宋_GB2312" w:hAnsi="仿宋" w:eastAsia="仿宋_GB2312" w:cs="Times New Roman"/>
          <w:sz w:val="32"/>
          <w:szCs w:val="32"/>
          <w:highlight w:val="none"/>
          <w:lang w:val="en-US" w:eastAsia="zh-CN"/>
        </w:rPr>
        <w:t>国有资本经营预算财政拨款支出决算表</w:t>
      </w:r>
      <w:bookmarkEnd w:id="119"/>
    </w:p>
    <w:p>
      <w:pPr>
        <w:numPr>
          <w:ilvl w:val="0"/>
          <w:numId w:val="0"/>
        </w:numPr>
        <w:ind w:firstLine="640" w:firstLineChars="200"/>
        <w:rPr>
          <w:rFonts w:hint="eastAsia" w:ascii="仿宋_GB2312" w:hAnsi="仿宋" w:eastAsia="仿宋_GB2312" w:cs="Times New Roman"/>
          <w:sz w:val="32"/>
          <w:szCs w:val="32"/>
          <w:highlight w:val="none"/>
          <w:lang w:val="en-US" w:eastAsia="zh-CN"/>
        </w:rPr>
      </w:pPr>
      <w:bookmarkStart w:id="120" w:name="_Toc15396631"/>
      <w:bookmarkStart w:id="121" w:name="_Toc22897"/>
      <w:r>
        <w:rPr>
          <w:rFonts w:hint="eastAsia" w:ascii="仿宋_GB2312" w:hAnsi="仿宋" w:eastAsia="仿宋_GB2312" w:cs="Times New Roman"/>
          <w:sz w:val="32"/>
          <w:szCs w:val="32"/>
          <w:highlight w:val="none"/>
          <w:lang w:val="en-US" w:eastAsia="zh-CN"/>
        </w:rPr>
        <w:t>十三、</w:t>
      </w:r>
      <w:bookmarkEnd w:id="120"/>
      <w:r>
        <w:rPr>
          <w:rFonts w:hint="eastAsia" w:ascii="仿宋_GB2312" w:hAnsi="仿宋" w:eastAsia="仿宋_GB2312" w:cs="Times New Roman"/>
          <w:sz w:val="32"/>
          <w:szCs w:val="32"/>
          <w:highlight w:val="none"/>
          <w:lang w:val="en-US" w:eastAsia="zh-CN"/>
        </w:rPr>
        <w:t>财政拨款“三公”经费支出决算表</w:t>
      </w:r>
      <w:bookmarkEnd w:id="121"/>
    </w:p>
    <w:p>
      <w:pPr>
        <w:numPr>
          <w:ilvl w:val="0"/>
          <w:numId w:val="0"/>
        </w:numPr>
        <w:ind w:firstLine="420" w:firstLineChars="200"/>
        <w:rPr>
          <w:rFonts w:hint="eastAsia" w:ascii="Times New Roman" w:hAnsi="Times New Roman"/>
          <w:lang w:eastAsia="zh-CN"/>
        </w:rPr>
      </w:pPr>
    </w:p>
    <w:sectPr>
      <w:footerReference r:id="rId8" w:type="first"/>
      <w:footerReference r:id="rId7"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00007A87" w:usb1="80000000" w:usb2="00000008" w:usb3="00000000" w:csb0="400001FF" w:csb1="FFFF0000"/>
  </w:font>
  <w:font w:name="宋体">
    <w:panose1 w:val="02010600030101010101"/>
    <w:charset w:val="50"/>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仿宋_GB2312">
    <w:panose1 w:val="02010609030101010101"/>
    <w:charset w:val="86"/>
    <w:family w:val="auto"/>
    <w:pitch w:val="default"/>
    <w:sig w:usb0="00000001" w:usb1="080E0000" w:usb2="00000000" w:usb3="00000000" w:csb0="00040000" w:csb1="00000000"/>
  </w:font>
  <w:font w:name="Cambria">
    <w:altName w:val="Noto Sans Syriac Eastern"/>
    <w:panose1 w:val="02040503050406030204"/>
    <w:charset w:val="00"/>
    <w:family w:val="roman"/>
    <w:pitch w:val="default"/>
    <w:sig w:usb0="00000000" w:usb1="00000000" w:usb2="02000000" w:usb3="00000000" w:csb0="2000019F" w:csb1="00000000"/>
  </w:font>
  <w:font w:name="仿宋">
    <w:panose1 w:val="02010609060101010101"/>
    <w:charset w:val="86"/>
    <w:family w:val="modern"/>
    <w:pitch w:val="default"/>
    <w:sig w:usb0="800002BF" w:usb1="38CF7CFA" w:usb2="00000016" w:usb3="00000000" w:csb0="00040001" w:csb1="00000000"/>
  </w:font>
  <w:font w:name="??">
    <w:altName w:val="仿宋"/>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A00002BF" w:usb1="184F6CFA" w:usb2="00000012" w:usb3="00000000" w:csb0="00040001" w:csb1="00000000"/>
  </w:font>
  <w:font w:name="楷体_GB2312">
    <w:panose1 w:val="02010609030101010101"/>
    <w:charset w:val="86"/>
    <w:family w:val="auto"/>
    <w:pitch w:val="default"/>
    <w:sig w:usb0="00000001" w:usb1="080E0000" w:usb2="00000000" w:usb3="00000000" w:csb0="00040000" w:csb1="00000000"/>
  </w:font>
  <w:font w:name="DejaVu Sans">
    <w:panose1 w:val="020B0603030804020204"/>
    <w:charset w:val="00"/>
    <w:family w:val="auto"/>
    <w:pitch w:val="default"/>
    <w:sig w:usb0="E7006EFF" w:usb1="D200FDFF" w:usb2="0A246029" w:usb3="0400200C" w:csb0="600001FF" w:csb1="DFFF0000"/>
  </w:font>
  <w:font w:name="NanumGothic">
    <w:panose1 w:val="020D0604000000000000"/>
    <w:charset w:val="81"/>
    <w:family w:val="auto"/>
    <w:pitch w:val="default"/>
    <w:sig w:usb0="900002A7" w:usb1="29D7FCFB" w:usb2="00000010" w:usb3="00000000" w:csb0="00080001" w:csb1="00000000"/>
  </w:font>
  <w:font w:name="Noto Sans Syriac Eastern">
    <w:panose1 w:val="02040503050306020203"/>
    <w:charset w:val="86"/>
    <w:family w:val="auto"/>
    <w:pitch w:val="default"/>
    <w:sig w:usb0="00000000" w:usb1="00000000" w:usb2="00000080" w:usb3="00000000" w:csb0="203E0161" w:csb1="D7FF0000"/>
  </w:font>
  <w:font w:name="方正宋体S-超大字符集">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hint="eastAsia" w:eastAsia="宋体"/>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WAAAAZHJzL1BLAQIUABQA&#10;AAAIAIdO4kCzSVju0AAAAAUBAAAPAAAAAAAAAAEAIAAAADgAAABkcnMvZG93bnJldi54bWxQSwEC&#10;FAAUAAAACACHTuJAK7DaKcoCAADuBQAADgAAAAAAAAABACAAAAA1AQAAZHJzL2Uyb0RvYy54bWxQ&#10;SwUGAAAAAAYABgBZAQAAcQY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WAAAAZHJzL1BLAQIUABQA&#10;AAAIAIdO4kCzSVju0AAAAAUBAAAPAAAAAAAAAAEAIAAAADgAAABkcnMvZG93bnJldi54bWxQSwEC&#10;FAAUAAAACACHTuJA95mRVcoCAADuBQAADgAAAAAAAAABACAAAAA1AQAAZHJzL2Uyb0RvYy54bWxQ&#10;SwUGAAAAAAYABgBZAQAAcQY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hint="eastAsia" w:eastAsia="宋体"/>
        <w:lang w:val="en-US" w:eastAsia="zh-CN"/>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WAAAAZHJzL1BLAQIUABQA&#10;AAAIAIdO4kCzSVju0AAAAAUBAAAPAAAAAAAAAAEAIAAAADgAAABkcnMvZG93bnJldi54bWxQSwEC&#10;FAAUAAAACACHTuJAxST/F8oCAADuBQAADgAAAAAAAAABACAAAAA1AQAAZHJzL2Uyb0RvYy54bWxQ&#10;SwUGAAAAAAYABgBZAQAAcQY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4</w:t>
                    </w:r>
                    <w:r>
                      <w:fldChar w:fldCharType="end"/>
                    </w:r>
                  </w:p>
                </w:txbxContent>
              </v:textbox>
            </v:shape>
          </w:pict>
        </mc:Fallback>
      </mc:AlternateContent>
    </w:r>
  </w:p>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false" anchor="t" anchorCtr="false" forceAA="false" upright="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s0lY7tAAAAAFAQAADwAAAAAAAAABACAAAAA4AAAAZHJzL2Rvd25yZXYueG1sUEsBAhQA&#10;FAAAAAgAh07iQAQdMEAdAgAAKwQAAA4AAAAAAAAAAQAgAAAANQ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8242C5"/>
    <w:multiLevelType w:val="singleLevel"/>
    <w:tmpl w:val="BB8242C5"/>
    <w:lvl w:ilvl="0" w:tentative="0">
      <w:start w:val="1"/>
      <w:numFmt w:val="chineseCounting"/>
      <w:suff w:val="nothing"/>
      <w:lvlText w:val="%1、"/>
      <w:lvlJc w:val="left"/>
      <w:rPr>
        <w:rFonts w:hint="eastAsia"/>
      </w:rPr>
    </w:lvl>
  </w:abstractNum>
  <w:abstractNum w:abstractNumId="1">
    <w:nsid w:val="3D4F2C72"/>
    <w:multiLevelType w:val="singleLevel"/>
    <w:tmpl w:val="3D4F2C72"/>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false"/>
  <w:bordersDoNotSurroundFooter w:val="false"/>
  <w:documentProtection w:enforcement="0"/>
  <w:defaultTabStop w:val="420"/>
  <w:drawingGridHorizontalSpacing w:val="105"/>
  <w:drawingGridVerticalSpacing w:val="156"/>
  <w:displayHorizontalDrawingGridEvery w:val="1"/>
  <w:displayVerticalDrawingGridEvery w:val="1"/>
  <w:noPunctuationKerning w:val="true"/>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4633"/>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A5EC2"/>
    <w:rsid w:val="015975B8"/>
    <w:rsid w:val="01A55D49"/>
    <w:rsid w:val="02FEBE30"/>
    <w:rsid w:val="04916F1E"/>
    <w:rsid w:val="061E35DE"/>
    <w:rsid w:val="066E0107"/>
    <w:rsid w:val="07996F6E"/>
    <w:rsid w:val="07DFD8BA"/>
    <w:rsid w:val="09867E8F"/>
    <w:rsid w:val="0A2032A3"/>
    <w:rsid w:val="0CA8290A"/>
    <w:rsid w:val="0CEE7674"/>
    <w:rsid w:val="0D35B1ED"/>
    <w:rsid w:val="0E254B6B"/>
    <w:rsid w:val="0ED40E53"/>
    <w:rsid w:val="0EF600FC"/>
    <w:rsid w:val="0F98263C"/>
    <w:rsid w:val="101860EC"/>
    <w:rsid w:val="101F47CC"/>
    <w:rsid w:val="10C055FF"/>
    <w:rsid w:val="11694EBD"/>
    <w:rsid w:val="11772AA4"/>
    <w:rsid w:val="118107EC"/>
    <w:rsid w:val="12E24EE2"/>
    <w:rsid w:val="13D50BC4"/>
    <w:rsid w:val="14B17F78"/>
    <w:rsid w:val="165E0673"/>
    <w:rsid w:val="16B831D5"/>
    <w:rsid w:val="16BB723D"/>
    <w:rsid w:val="1742077C"/>
    <w:rsid w:val="17E50567"/>
    <w:rsid w:val="18210806"/>
    <w:rsid w:val="186504BB"/>
    <w:rsid w:val="19980B9F"/>
    <w:rsid w:val="19A445FC"/>
    <w:rsid w:val="1BE8440E"/>
    <w:rsid w:val="1D155CEE"/>
    <w:rsid w:val="1D1638FE"/>
    <w:rsid w:val="1E312DEB"/>
    <w:rsid w:val="1E740ACF"/>
    <w:rsid w:val="1FF35744"/>
    <w:rsid w:val="1FF6BC77"/>
    <w:rsid w:val="20C7564E"/>
    <w:rsid w:val="2186353C"/>
    <w:rsid w:val="23860B96"/>
    <w:rsid w:val="240371BF"/>
    <w:rsid w:val="244F3473"/>
    <w:rsid w:val="24C97D99"/>
    <w:rsid w:val="25A718F0"/>
    <w:rsid w:val="25BB59F6"/>
    <w:rsid w:val="260F557C"/>
    <w:rsid w:val="26970054"/>
    <w:rsid w:val="2737014C"/>
    <w:rsid w:val="281408E2"/>
    <w:rsid w:val="29F3375E"/>
    <w:rsid w:val="29FD04D3"/>
    <w:rsid w:val="2BFF7BC6"/>
    <w:rsid w:val="2C8A61B5"/>
    <w:rsid w:val="2DF04E50"/>
    <w:rsid w:val="2E586DFA"/>
    <w:rsid w:val="2F040D46"/>
    <w:rsid w:val="2F6B035B"/>
    <w:rsid w:val="2FAE5751"/>
    <w:rsid w:val="2FB1A395"/>
    <w:rsid w:val="2FD9A7D8"/>
    <w:rsid w:val="2FDBF714"/>
    <w:rsid w:val="30AB6865"/>
    <w:rsid w:val="319F7F4E"/>
    <w:rsid w:val="32BD1EF1"/>
    <w:rsid w:val="3304709D"/>
    <w:rsid w:val="33A773CB"/>
    <w:rsid w:val="349D6851"/>
    <w:rsid w:val="36AA5135"/>
    <w:rsid w:val="36BE0DA7"/>
    <w:rsid w:val="376B6AA6"/>
    <w:rsid w:val="376D39B2"/>
    <w:rsid w:val="37E16F03"/>
    <w:rsid w:val="37F53A3B"/>
    <w:rsid w:val="37FFB0C4"/>
    <w:rsid w:val="389B6C89"/>
    <w:rsid w:val="38D469F0"/>
    <w:rsid w:val="39627CCD"/>
    <w:rsid w:val="397BAF1F"/>
    <w:rsid w:val="3AB79AF3"/>
    <w:rsid w:val="3AE834C0"/>
    <w:rsid w:val="3B15279C"/>
    <w:rsid w:val="3B7EF35A"/>
    <w:rsid w:val="3B8810DA"/>
    <w:rsid w:val="3B9FDB6C"/>
    <w:rsid w:val="3BF5BC2F"/>
    <w:rsid w:val="3CEBA265"/>
    <w:rsid w:val="3D98207C"/>
    <w:rsid w:val="3DEE7CF3"/>
    <w:rsid w:val="3E740A63"/>
    <w:rsid w:val="3E78745D"/>
    <w:rsid w:val="3EE17838"/>
    <w:rsid w:val="3EEF29B3"/>
    <w:rsid w:val="3F55381A"/>
    <w:rsid w:val="3F7F7599"/>
    <w:rsid w:val="3FBBCEF9"/>
    <w:rsid w:val="3FDD421E"/>
    <w:rsid w:val="3FF4CAE0"/>
    <w:rsid w:val="3FF7B227"/>
    <w:rsid w:val="3FFE17ED"/>
    <w:rsid w:val="415C36FF"/>
    <w:rsid w:val="44403849"/>
    <w:rsid w:val="44DA5F13"/>
    <w:rsid w:val="44E268DA"/>
    <w:rsid w:val="450D13D7"/>
    <w:rsid w:val="45506656"/>
    <w:rsid w:val="486A6C7A"/>
    <w:rsid w:val="4A627F82"/>
    <w:rsid w:val="4B0E749A"/>
    <w:rsid w:val="4B2477C4"/>
    <w:rsid w:val="4B4F25DA"/>
    <w:rsid w:val="4BE068DB"/>
    <w:rsid w:val="4D577224"/>
    <w:rsid w:val="4D57E552"/>
    <w:rsid w:val="4DBF1CEB"/>
    <w:rsid w:val="4DF0007C"/>
    <w:rsid w:val="4EAB630A"/>
    <w:rsid w:val="4ECE2238"/>
    <w:rsid w:val="4F833267"/>
    <w:rsid w:val="4FE9BD67"/>
    <w:rsid w:val="4FFB052F"/>
    <w:rsid w:val="537E6D0A"/>
    <w:rsid w:val="53F74C96"/>
    <w:rsid w:val="540F15B4"/>
    <w:rsid w:val="55170BA8"/>
    <w:rsid w:val="553218C9"/>
    <w:rsid w:val="567E1AA5"/>
    <w:rsid w:val="56E47B74"/>
    <w:rsid w:val="57175D52"/>
    <w:rsid w:val="57BD3DD4"/>
    <w:rsid w:val="5AF92295"/>
    <w:rsid w:val="5B250254"/>
    <w:rsid w:val="5BDD79E6"/>
    <w:rsid w:val="5BF561CA"/>
    <w:rsid w:val="5BFF5DFC"/>
    <w:rsid w:val="5CD71FC4"/>
    <w:rsid w:val="5D1F11B5"/>
    <w:rsid w:val="5D695134"/>
    <w:rsid w:val="5DA83F5F"/>
    <w:rsid w:val="5DAE1B18"/>
    <w:rsid w:val="5DE7D9E5"/>
    <w:rsid w:val="5ECEC941"/>
    <w:rsid w:val="5FBF9FF3"/>
    <w:rsid w:val="5FCD4E2C"/>
    <w:rsid w:val="5FEF394A"/>
    <w:rsid w:val="5FF67715"/>
    <w:rsid w:val="62BF3928"/>
    <w:rsid w:val="631F8F46"/>
    <w:rsid w:val="63B3701E"/>
    <w:rsid w:val="647F5392"/>
    <w:rsid w:val="65E66580"/>
    <w:rsid w:val="664B1D71"/>
    <w:rsid w:val="664B4E8E"/>
    <w:rsid w:val="66794D96"/>
    <w:rsid w:val="67277B67"/>
    <w:rsid w:val="67AA3209"/>
    <w:rsid w:val="698D0931"/>
    <w:rsid w:val="6A7FE5F3"/>
    <w:rsid w:val="6B053271"/>
    <w:rsid w:val="6BDD78B3"/>
    <w:rsid w:val="6C4A05C8"/>
    <w:rsid w:val="6C8742B8"/>
    <w:rsid w:val="6DBF5E93"/>
    <w:rsid w:val="6DF3C5C1"/>
    <w:rsid w:val="6DFF077E"/>
    <w:rsid w:val="6E714EF0"/>
    <w:rsid w:val="6E7E3605"/>
    <w:rsid w:val="6E7FDCC7"/>
    <w:rsid w:val="6ED6A62E"/>
    <w:rsid w:val="6EE00B15"/>
    <w:rsid w:val="6F6FB3EB"/>
    <w:rsid w:val="6F8731EA"/>
    <w:rsid w:val="6FCE6052"/>
    <w:rsid w:val="6FD57C00"/>
    <w:rsid w:val="6FEFFFD8"/>
    <w:rsid w:val="6FF5CC65"/>
    <w:rsid w:val="6FFB47EC"/>
    <w:rsid w:val="6FFF034A"/>
    <w:rsid w:val="70484440"/>
    <w:rsid w:val="70840239"/>
    <w:rsid w:val="712A28F1"/>
    <w:rsid w:val="715C0E4B"/>
    <w:rsid w:val="71992E7C"/>
    <w:rsid w:val="72233669"/>
    <w:rsid w:val="72734D90"/>
    <w:rsid w:val="73160E6D"/>
    <w:rsid w:val="7332FE48"/>
    <w:rsid w:val="73AB61DA"/>
    <w:rsid w:val="73AD73D5"/>
    <w:rsid w:val="73B6EB34"/>
    <w:rsid w:val="73FA497D"/>
    <w:rsid w:val="744731E5"/>
    <w:rsid w:val="74BBD01D"/>
    <w:rsid w:val="74ED5379"/>
    <w:rsid w:val="75DEEEC2"/>
    <w:rsid w:val="75E32345"/>
    <w:rsid w:val="76E3355F"/>
    <w:rsid w:val="76FF5125"/>
    <w:rsid w:val="776F6FFA"/>
    <w:rsid w:val="778769C8"/>
    <w:rsid w:val="77A75DCA"/>
    <w:rsid w:val="77DC22F5"/>
    <w:rsid w:val="783E271A"/>
    <w:rsid w:val="78616DE9"/>
    <w:rsid w:val="78AB42A0"/>
    <w:rsid w:val="78E875D7"/>
    <w:rsid w:val="79086DAD"/>
    <w:rsid w:val="79D7FD79"/>
    <w:rsid w:val="79EE5BA4"/>
    <w:rsid w:val="79FF62F9"/>
    <w:rsid w:val="7A894339"/>
    <w:rsid w:val="7AD284E8"/>
    <w:rsid w:val="7AFF7572"/>
    <w:rsid w:val="7B6C7DFB"/>
    <w:rsid w:val="7BBFBED0"/>
    <w:rsid w:val="7BC3E394"/>
    <w:rsid w:val="7C1F3737"/>
    <w:rsid w:val="7CBFC87B"/>
    <w:rsid w:val="7CEA8D10"/>
    <w:rsid w:val="7CFE0F48"/>
    <w:rsid w:val="7D272ABC"/>
    <w:rsid w:val="7D7EC23E"/>
    <w:rsid w:val="7E8ADEBF"/>
    <w:rsid w:val="7EEF11D3"/>
    <w:rsid w:val="7EFE4840"/>
    <w:rsid w:val="7F0971A6"/>
    <w:rsid w:val="7F1D62E7"/>
    <w:rsid w:val="7F3F679B"/>
    <w:rsid w:val="7F4FC4EF"/>
    <w:rsid w:val="7F5E4D54"/>
    <w:rsid w:val="7F6E0135"/>
    <w:rsid w:val="7F79F205"/>
    <w:rsid w:val="7FA30C79"/>
    <w:rsid w:val="7FA79C44"/>
    <w:rsid w:val="7FAE1A1C"/>
    <w:rsid w:val="7FAF8ABF"/>
    <w:rsid w:val="7FB7269E"/>
    <w:rsid w:val="7FC96657"/>
    <w:rsid w:val="7FDA9588"/>
    <w:rsid w:val="7FDF220F"/>
    <w:rsid w:val="7FEDC5F7"/>
    <w:rsid w:val="7FEDD9DE"/>
    <w:rsid w:val="7FF5890D"/>
    <w:rsid w:val="7FF93490"/>
    <w:rsid w:val="99FF2014"/>
    <w:rsid w:val="A6DD0D7F"/>
    <w:rsid w:val="ACFF4FBB"/>
    <w:rsid w:val="ADC6F725"/>
    <w:rsid w:val="B77B52C9"/>
    <w:rsid w:val="B7CF06AB"/>
    <w:rsid w:val="B7CFA926"/>
    <w:rsid w:val="B7F8786B"/>
    <w:rsid w:val="BABB6AA1"/>
    <w:rsid w:val="BB2F4199"/>
    <w:rsid w:val="BCFFB442"/>
    <w:rsid w:val="BD079C78"/>
    <w:rsid w:val="BD733540"/>
    <w:rsid w:val="BDAF3718"/>
    <w:rsid w:val="BF3735D5"/>
    <w:rsid w:val="BF7F09AC"/>
    <w:rsid w:val="BFD475C3"/>
    <w:rsid w:val="BFDE5EA6"/>
    <w:rsid w:val="BFF733F7"/>
    <w:rsid w:val="CF6FC6F3"/>
    <w:rsid w:val="CFD3D3D7"/>
    <w:rsid w:val="CFDF1009"/>
    <w:rsid w:val="D7D7B16A"/>
    <w:rsid w:val="D8D6DB89"/>
    <w:rsid w:val="DB6F4CAB"/>
    <w:rsid w:val="DB777682"/>
    <w:rsid w:val="DD1FB521"/>
    <w:rsid w:val="DEFBFEAE"/>
    <w:rsid w:val="DF1F3B80"/>
    <w:rsid w:val="DF6F9789"/>
    <w:rsid w:val="DFE9BE81"/>
    <w:rsid w:val="DFFFA9E8"/>
    <w:rsid w:val="E5793A69"/>
    <w:rsid w:val="E5F4E9DC"/>
    <w:rsid w:val="E70FE695"/>
    <w:rsid w:val="EB2E368B"/>
    <w:rsid w:val="ECF7F3C0"/>
    <w:rsid w:val="ECFED1BC"/>
    <w:rsid w:val="ED1D69BB"/>
    <w:rsid w:val="ED7FD312"/>
    <w:rsid w:val="EF2E1AC6"/>
    <w:rsid w:val="EF53993F"/>
    <w:rsid w:val="EF6FD633"/>
    <w:rsid w:val="EFBFB2F4"/>
    <w:rsid w:val="EFBFFA21"/>
    <w:rsid w:val="F0A9F099"/>
    <w:rsid w:val="F2BEBCB8"/>
    <w:rsid w:val="F36FB518"/>
    <w:rsid w:val="F3DE1A04"/>
    <w:rsid w:val="F3F722E5"/>
    <w:rsid w:val="F4FBCD07"/>
    <w:rsid w:val="F5EB65DF"/>
    <w:rsid w:val="FA5F1E70"/>
    <w:rsid w:val="FA5FDB97"/>
    <w:rsid w:val="FB7F486A"/>
    <w:rsid w:val="FBF72D49"/>
    <w:rsid w:val="FBFF5B2E"/>
    <w:rsid w:val="FD5F5E7C"/>
    <w:rsid w:val="FD7FFE2B"/>
    <w:rsid w:val="FDEE196B"/>
    <w:rsid w:val="FDFE6575"/>
    <w:rsid w:val="FEDFDDC2"/>
    <w:rsid w:val="FEED32F6"/>
    <w:rsid w:val="FEF781DD"/>
    <w:rsid w:val="FF3F7E3F"/>
    <w:rsid w:val="FF7F0225"/>
    <w:rsid w:val="FFBA12D7"/>
    <w:rsid w:val="FFCBD314"/>
    <w:rsid w:val="FFDFF91C"/>
    <w:rsid w:val="FFDFFAEE"/>
    <w:rsid w:val="FFEF6777"/>
    <w:rsid w:val="FFF9B57B"/>
    <w:rsid w:val="FFFD61D9"/>
    <w:rsid w:val="FFFD8F59"/>
    <w:rsid w:val="FFFF2BB1"/>
    <w:rsid w:val="FFFFB04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29"/>
    <w:qFormat/>
    <w:uiPriority w:val="9"/>
    <w:pPr>
      <w:keepNext/>
      <w:keepLines/>
      <w:spacing w:before="340" w:after="330" w:line="578" w:lineRule="auto"/>
      <w:outlineLvl w:val="0"/>
    </w:pPr>
    <w:rPr>
      <w:b/>
      <w:bCs/>
      <w:kern w:val="44"/>
      <w:sz w:val="44"/>
      <w:szCs w:val="44"/>
    </w:rPr>
  </w:style>
  <w:style w:type="paragraph" w:styleId="6">
    <w:name w:val="heading 2"/>
    <w:basedOn w:val="1"/>
    <w:next w:val="1"/>
    <w:link w:val="30"/>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7">
    <w:name w:val="heading 3"/>
    <w:basedOn w:val="1"/>
    <w:next w:val="1"/>
    <w:link w:val="33"/>
    <w:unhideWhenUsed/>
    <w:qFormat/>
    <w:uiPriority w:val="9"/>
    <w:pPr>
      <w:keepNext/>
      <w:keepLines/>
      <w:spacing w:before="260" w:after="260" w:line="416" w:lineRule="auto"/>
      <w:outlineLvl w:val="2"/>
    </w:pPr>
    <w:rPr>
      <w:b/>
      <w:bCs/>
      <w:sz w:val="32"/>
      <w:szCs w:val="32"/>
    </w:rPr>
  </w:style>
  <w:style w:type="character" w:default="1" w:styleId="16">
    <w:name w:val="Default Paragraph Font"/>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3"/>
    <w:semiHidden/>
    <w:qFormat/>
    <w:uiPriority w:val="0"/>
    <w:pPr>
      <w:snapToGrid w:val="0"/>
      <w:jc w:val="left"/>
    </w:pPr>
    <w:rPr>
      <w:sz w:val="18"/>
      <w:szCs w:val="18"/>
    </w:rPr>
  </w:style>
  <w:style w:type="paragraph" w:styleId="3">
    <w:name w:val="Body Text First Indent 2"/>
    <w:basedOn w:val="4"/>
    <w:unhideWhenUsed/>
    <w:qFormat/>
    <w:uiPriority w:val="99"/>
    <w:pPr>
      <w:ind w:firstLine="420" w:firstLineChars="200"/>
    </w:pPr>
  </w:style>
  <w:style w:type="paragraph" w:styleId="4">
    <w:name w:val="Body Text Indent"/>
    <w:basedOn w:val="1"/>
    <w:next w:val="3"/>
    <w:qFormat/>
    <w:uiPriority w:val="0"/>
    <w:pPr>
      <w:spacing w:after="120"/>
      <w:ind w:leftChars="200"/>
    </w:pPr>
    <w:rPr>
      <w:rFonts w:ascii="仿宋_GB2312"/>
      <w:szCs w:val="32"/>
    </w:rPr>
  </w:style>
  <w:style w:type="paragraph" w:styleId="8">
    <w:name w:val="Body Text"/>
    <w:basedOn w:val="1"/>
    <w:link w:val="26"/>
    <w:qFormat/>
    <w:uiPriority w:val="99"/>
    <w:pPr>
      <w:spacing w:beforeLines="30"/>
    </w:pPr>
    <w:rPr>
      <w:rFonts w:ascii="仿宋_GB2312" w:eastAsia="仿宋_GB2312"/>
      <w:kern w:val="0"/>
      <w:sz w:val="30"/>
    </w:r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2"/>
    <w:semiHidden/>
    <w:unhideWhenUsed/>
    <w:qFormat/>
    <w:uiPriority w:val="99"/>
    <w:rPr>
      <w:sz w:val="18"/>
      <w:szCs w:val="18"/>
    </w:rPr>
  </w:style>
  <w:style w:type="paragraph" w:styleId="11">
    <w:name w:val="footer"/>
    <w:basedOn w:val="1"/>
    <w:link w:val="24"/>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2"/>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oc 2"/>
    <w:basedOn w:val="1"/>
    <w:next w:val="1"/>
    <w:unhideWhenUsed/>
    <w:qFormat/>
    <w:uiPriority w:val="39"/>
    <w:pPr>
      <w:tabs>
        <w:tab w:val="right" w:leader="dot" w:pos="8296"/>
      </w:tabs>
      <w:ind w:left="420" w:leftChars="200"/>
    </w:pPr>
  </w:style>
  <w:style w:type="character" w:styleId="17">
    <w:name w:val="Strong"/>
    <w:basedOn w:val="16"/>
    <w:qFormat/>
    <w:uiPriority w:val="99"/>
    <w:rPr>
      <w:b/>
    </w:rPr>
  </w:style>
  <w:style w:type="character" w:styleId="18">
    <w:name w:val="Hyperlink"/>
    <w:basedOn w:val="16"/>
    <w:unhideWhenUsed/>
    <w:qFormat/>
    <w:uiPriority w:val="99"/>
    <w:rPr>
      <w:color w:val="0000FF" w:themeColor="hyperlink"/>
      <w:u w:val="single"/>
      <w14:textFill>
        <w14:solidFill>
          <w14:schemeClr w14:val="hlink"/>
        </w14:solidFill>
      </w14:textFill>
    </w:rPr>
  </w:style>
  <w:style w:type="paragraph" w:customStyle="1" w:styleId="19">
    <w:name w:val="BodyText"/>
    <w:basedOn w:val="1"/>
    <w:qFormat/>
    <w:uiPriority w:val="0"/>
    <w:pPr>
      <w:jc w:val="center"/>
      <w:textAlignment w:val="baseline"/>
    </w:pPr>
    <w:rPr>
      <w:rFonts w:ascii="宋体" w:hAnsi="宋体"/>
      <w:kern w:val="0"/>
      <w:sz w:val="16"/>
      <w:szCs w:val="16"/>
      <w:lang w:val="zh-CN" w:eastAsia="zh-CN" w:bidi="ar-SA"/>
    </w:rPr>
  </w:style>
  <w:style w:type="paragraph" w:customStyle="1" w:styleId="20">
    <w:name w:val="标题 5（有编号）（绿盟科技）"/>
    <w:next w:val="1"/>
    <w:qFormat/>
    <w:uiPriority w:val="99"/>
    <w:pPr>
      <w:keepNext/>
      <w:keepLines/>
      <w:widowControl w:val="0"/>
      <w:spacing w:before="280" w:after="156" w:line="377" w:lineRule="auto"/>
      <w:jc w:val="left"/>
      <w:outlineLvl w:val="4"/>
    </w:pPr>
    <w:rPr>
      <w:rFonts w:ascii="Arial" w:hAnsi="Arial" w:eastAsia="黑体" w:cs="Times New Roman"/>
      <w:b/>
      <w:kern w:val="2"/>
      <w:sz w:val="24"/>
      <w:szCs w:val="28"/>
      <w:lang w:val="en-US" w:eastAsia="zh-CN" w:bidi="ar-SA"/>
    </w:rPr>
  </w:style>
  <w:style w:type="character" w:customStyle="1" w:styleId="21">
    <w:name w:val="Header Char"/>
    <w:basedOn w:val="16"/>
    <w:semiHidden/>
    <w:qFormat/>
    <w:uiPriority w:val="99"/>
    <w:rPr>
      <w:rFonts w:ascii="Times New Roman" w:hAnsi="Times New Roman"/>
      <w:sz w:val="18"/>
      <w:szCs w:val="18"/>
    </w:rPr>
  </w:style>
  <w:style w:type="character" w:customStyle="1" w:styleId="22">
    <w:name w:val="页眉 Char"/>
    <w:link w:val="12"/>
    <w:semiHidden/>
    <w:qFormat/>
    <w:locked/>
    <w:uiPriority w:val="99"/>
    <w:rPr>
      <w:sz w:val="18"/>
    </w:rPr>
  </w:style>
  <w:style w:type="character" w:customStyle="1" w:styleId="23">
    <w:name w:val="Footer Char"/>
    <w:basedOn w:val="16"/>
    <w:semiHidden/>
    <w:qFormat/>
    <w:uiPriority w:val="99"/>
    <w:rPr>
      <w:rFonts w:ascii="Times New Roman" w:hAnsi="Times New Roman"/>
      <w:sz w:val="18"/>
      <w:szCs w:val="18"/>
    </w:rPr>
  </w:style>
  <w:style w:type="character" w:customStyle="1" w:styleId="24">
    <w:name w:val="页脚 Char"/>
    <w:link w:val="11"/>
    <w:qFormat/>
    <w:locked/>
    <w:uiPriority w:val="99"/>
    <w:rPr>
      <w:sz w:val="18"/>
    </w:rPr>
  </w:style>
  <w:style w:type="character" w:customStyle="1" w:styleId="25">
    <w:name w:val="Body Text Char"/>
    <w:basedOn w:val="16"/>
    <w:semiHidden/>
    <w:qFormat/>
    <w:uiPriority w:val="99"/>
    <w:rPr>
      <w:rFonts w:ascii="Times New Roman" w:hAnsi="Times New Roman"/>
      <w:szCs w:val="24"/>
    </w:rPr>
  </w:style>
  <w:style w:type="character" w:customStyle="1" w:styleId="26">
    <w:name w:val="正文文本 Char"/>
    <w:link w:val="8"/>
    <w:qFormat/>
    <w:locked/>
    <w:uiPriority w:val="99"/>
    <w:rPr>
      <w:rFonts w:ascii="仿宋_GB2312" w:hAnsi="Times New Roman" w:eastAsia="仿宋_GB2312"/>
      <w:sz w:val="24"/>
    </w:rPr>
  </w:style>
  <w:style w:type="paragraph" w:customStyle="1" w:styleId="27">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8">
    <w:name w:val="List Paragraph"/>
    <w:basedOn w:val="1"/>
    <w:qFormat/>
    <w:uiPriority w:val="34"/>
    <w:pPr>
      <w:ind w:firstLine="420" w:firstLineChars="200"/>
    </w:pPr>
  </w:style>
  <w:style w:type="character" w:customStyle="1" w:styleId="29">
    <w:name w:val="标题 1 Char"/>
    <w:basedOn w:val="16"/>
    <w:link w:val="5"/>
    <w:qFormat/>
    <w:uiPriority w:val="9"/>
    <w:rPr>
      <w:rFonts w:ascii="Times New Roman" w:hAnsi="Times New Roman"/>
      <w:b/>
      <w:bCs/>
      <w:kern w:val="44"/>
      <w:sz w:val="44"/>
      <w:szCs w:val="44"/>
    </w:rPr>
  </w:style>
  <w:style w:type="character" w:customStyle="1" w:styleId="30">
    <w:name w:val="标题 2 Char"/>
    <w:basedOn w:val="16"/>
    <w:link w:val="6"/>
    <w:qFormat/>
    <w:uiPriority w:val="9"/>
    <w:rPr>
      <w:rFonts w:asciiTheme="majorHAnsi" w:hAnsiTheme="majorHAnsi" w:eastAsiaTheme="majorEastAsia" w:cstheme="majorBidi"/>
      <w:b/>
      <w:bCs/>
      <w:kern w:val="2"/>
      <w:sz w:val="32"/>
      <w:szCs w:val="32"/>
    </w:rPr>
  </w:style>
  <w:style w:type="paragraph" w:customStyle="1" w:styleId="31">
    <w:name w:val="TOC 标题1"/>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2">
    <w:name w:val="批注框文本 Char"/>
    <w:basedOn w:val="16"/>
    <w:link w:val="10"/>
    <w:semiHidden/>
    <w:qFormat/>
    <w:uiPriority w:val="99"/>
    <w:rPr>
      <w:rFonts w:ascii="Times New Roman" w:hAnsi="Times New Roman"/>
      <w:kern w:val="2"/>
      <w:sz w:val="18"/>
      <w:szCs w:val="18"/>
    </w:rPr>
  </w:style>
  <w:style w:type="character" w:customStyle="1" w:styleId="33">
    <w:name w:val="标题 3 Char"/>
    <w:basedOn w:val="16"/>
    <w:link w:val="7"/>
    <w:qFormat/>
    <w:uiPriority w:val="9"/>
    <w:rPr>
      <w:rFonts w:ascii="Times New Roman" w:hAnsi="Times New Roman"/>
      <w:b/>
      <w:bCs/>
      <w:kern w:val="2"/>
      <w:sz w:val="32"/>
      <w:szCs w:val="32"/>
    </w:rPr>
  </w:style>
  <w:style w:type="paragraph" w:customStyle="1" w:styleId="34">
    <w:name w:val="TOC Heading"/>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5">
    <w:name w:val="四号正文"/>
    <w:basedOn w:val="1"/>
    <w:qFormat/>
    <w:uiPriority w:val="0"/>
    <w:pPr>
      <w:spacing w:line="360" w:lineRule="auto"/>
    </w:pPr>
    <w:rPr>
      <w:rFonts w:ascii="??" w:hAnsi="??" w:eastAsia="宋体"/>
      <w:color w:val="000000"/>
      <w:kern w:val="0"/>
      <w:sz w:val="28"/>
      <w:szCs w:val="21"/>
      <w:lang w:val="zh-CN" w:eastAsia="zh-CN"/>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chart" Target="charts/chart6.xml"/><Relationship Id="rId14" Type="http://schemas.openxmlformats.org/officeDocument/2006/relationships/chart" Target="charts/chart5.xml"/><Relationship Id="rId13" Type="http://schemas.openxmlformats.org/officeDocument/2006/relationships/chart" Target="charts/chart4.xml"/><Relationship Id="rId12" Type="http://schemas.openxmlformats.org/officeDocument/2006/relationships/chart" Target="charts/chart3.xml"/><Relationship Id="rId11" Type="http://schemas.openxmlformats.org/officeDocument/2006/relationships/chart" Target="charts/chart2.xml"/><Relationship Id="rId10" Type="http://schemas.openxmlformats.org/officeDocument/2006/relationships/chart" Target="charts/chart1.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manualLayout>
          <c:layoutTarget val="inner"/>
          <c:xMode val="edge"/>
          <c:yMode val="edge"/>
          <c:x val="0.110130530206769"/>
          <c:y val="0.0074386312918423"/>
          <c:w val="0.867113318701629"/>
          <c:h val="0.569600793454004"/>
        </c:manualLayout>
      </c:layout>
      <c:barChart>
        <c:barDir val="col"/>
        <c:grouping val="clustered"/>
        <c:varyColors val="false"/>
        <c:ser>
          <c:idx val="0"/>
          <c:order val="0"/>
          <c:tx>
            <c:strRef>
              <c:f>Sheet1!$B$1</c:f>
              <c:strCache>
                <c:ptCount val="1"/>
                <c:pt idx="0">
                  <c:v>收入、支出总额</c:v>
                </c:pt>
              </c:strCache>
            </c:strRef>
          </c:tx>
          <c:spPr>
            <a:solidFill>
              <a:schemeClr val="accent1"/>
            </a:solidFill>
            <a:ln>
              <a:noFill/>
            </a:ln>
            <a:effectLst/>
          </c:spPr>
          <c:invertIfNegative val="false"/>
          <c:dLbls>
            <c:spPr>
              <a:noFill/>
              <a:ln>
                <a:noFill/>
              </a:ln>
              <a:effectLst/>
            </c:spPr>
            <c:txPr>
              <a:bodyPr rot="0" spcFirstLastPara="0" vertOverflow="ellipsis" vert="horz" wrap="square" lIns="38100" tIns="19050" rIns="38100" bIns="19050" anchor="ctr" anchorCtr="true"/>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false"/>
            <c:showVal val="true"/>
            <c:showCatName val="false"/>
            <c:showSerName val="false"/>
            <c:showPercent val="false"/>
            <c:showBubbleSize val="false"/>
            <c:showLeaderLines val="false"/>
            <c:extLst>
              <c:ext xmlns:c15="http://schemas.microsoft.com/office/drawing/2012/chart" uri="{CE6537A1-D6FC-4f65-9D91-7224C49458BB}">
                <c15:layout/>
                <c15:showLeaderLines val="false"/>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false"/>
            <c:dispEq val="false"/>
          </c:trendline>
          <c:cat>
            <c:strRef>
              <c:f>Sheet1!$A$2:$A$3</c:f>
              <c:strCache>
                <c:ptCount val="2"/>
                <c:pt idx="0">
                  <c:v>2023年</c:v>
                </c:pt>
                <c:pt idx="1">
                  <c:v>2024年</c:v>
                </c:pt>
              </c:strCache>
            </c:strRef>
          </c:cat>
          <c:val>
            <c:numRef>
              <c:f>Sheet1!$B$2:$B$3</c:f>
              <c:numCache>
                <c:formatCode>General</c:formatCode>
                <c:ptCount val="2"/>
                <c:pt idx="0">
                  <c:v>26404.06</c:v>
                </c:pt>
                <c:pt idx="1">
                  <c:v>33892.73</c:v>
                </c:pt>
              </c:numCache>
            </c:numRef>
          </c:val>
        </c:ser>
        <c:dLbls>
          <c:showLegendKey val="false"/>
          <c:showVal val="true"/>
          <c:showCatName val="false"/>
          <c:showSerName val="false"/>
          <c:showPercent val="false"/>
          <c:showBubbleSize val="false"/>
        </c:dLbls>
        <c:gapWidth val="219"/>
        <c:overlap val="-27"/>
        <c:axId val="422482432"/>
        <c:axId val="423982720"/>
      </c:barChart>
      <c:catAx>
        <c:axId val="422482432"/>
        <c:scaling>
          <c:orientation val="minMax"/>
        </c:scaling>
        <c:delete val="false"/>
        <c:axPos val="b"/>
        <c:numFmt formatCode="General" sourceLinked="true"/>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true"/>
          <a:lstStyle/>
          <a:p>
            <a:pPr>
              <a:defRPr lang="zh-CN" sz="900" b="0" i="0" u="none" strike="noStrike" kern="1200" baseline="0">
                <a:solidFill>
                  <a:schemeClr val="tx1">
                    <a:lumMod val="65000"/>
                    <a:lumOff val="35000"/>
                  </a:schemeClr>
                </a:solidFill>
                <a:latin typeface="+mn-lt"/>
                <a:ea typeface="+mn-ea"/>
                <a:cs typeface="+mn-cs"/>
              </a:defRPr>
            </a:pPr>
          </a:p>
        </c:txPr>
        <c:crossAx val="423982720"/>
        <c:crosses val="autoZero"/>
        <c:auto val="true"/>
        <c:lblAlgn val="ctr"/>
        <c:lblOffset val="100"/>
        <c:noMultiLvlLbl val="false"/>
      </c:catAx>
      <c:valAx>
        <c:axId val="423982720"/>
        <c:scaling>
          <c:orientation val="minMax"/>
          <c:min val="12000"/>
        </c:scaling>
        <c:delete val="false"/>
        <c:axPos val="l"/>
        <c:majorGridlines>
          <c:spPr>
            <a:ln w="9525" cap="flat" cmpd="sng" algn="ctr">
              <a:solidFill>
                <a:schemeClr val="tx1">
                  <a:lumMod val="15000"/>
                  <a:lumOff val="85000"/>
                </a:schemeClr>
              </a:solidFill>
              <a:round/>
            </a:ln>
            <a:effectLst/>
          </c:spPr>
        </c:majorGridlines>
        <c:numFmt formatCode="General" sourceLinked="true"/>
        <c:majorTickMark val="out"/>
        <c:minorTickMark val="none"/>
        <c:tickLblPos val="nextTo"/>
        <c:spPr>
          <a:noFill/>
          <a:ln>
            <a:noFill/>
          </a:ln>
          <a:effectLst/>
        </c:spPr>
        <c:txPr>
          <a:bodyPr rot="-60000000" spcFirstLastPara="0" vertOverflow="ellipsis" vert="horz" wrap="square" anchor="ctr" anchorCtr="true"/>
          <a:lstStyle/>
          <a:p>
            <a:pPr>
              <a:defRPr lang="zh-CN" sz="900" b="0" i="0" u="none" strike="noStrike" kern="1200" baseline="0">
                <a:solidFill>
                  <a:schemeClr val="tx1">
                    <a:lumMod val="65000"/>
                    <a:lumOff val="35000"/>
                  </a:schemeClr>
                </a:solidFill>
                <a:latin typeface="+mn-lt"/>
                <a:ea typeface="+mn-ea"/>
                <a:cs typeface="+mn-cs"/>
              </a:defRPr>
            </a:pPr>
          </a:p>
        </c:txPr>
        <c:crossAx val="422482432"/>
        <c:crosses val="autoZero"/>
        <c:crossBetween val="between"/>
      </c:valAx>
      <c:dTable>
        <c:showHorzBorder val="true"/>
        <c:showVertBorder val="true"/>
        <c:showOutline val="true"/>
        <c:showKeys val="true"/>
        <c:spPr>
          <a:noFill/>
          <a:ln w="9525" cap="flat" cmpd="sng" algn="ctr">
            <a:solidFill>
              <a:schemeClr val="tx1">
                <a:lumMod val="15000"/>
                <a:lumOff val="85000"/>
              </a:schemeClr>
            </a:solidFill>
            <a:round/>
          </a:ln>
          <a:effectLst/>
        </c:spPr>
        <c:txPr>
          <a:bodyPr rot="0" spcFirstLastPara="0" vertOverflow="ellipsis" vert="horz" wrap="square" anchor="ctr" anchorCtr="true"/>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legend>
      <c:legendPos val="b"/>
      <c:legendEntry>
        <c:idx val="1"/>
        <c:delete val="true"/>
      </c:legendEntry>
      <c:layout/>
      <c:overlay val="false"/>
      <c:spPr>
        <a:noFill/>
        <a:ln>
          <a:noFill/>
        </a:ln>
        <a:effectLst/>
      </c:spPr>
      <c:txPr>
        <a:bodyPr rot="0" spcFirstLastPara="0" vertOverflow="ellipsis" vert="horz" wrap="square" anchor="ctr" anchorCtr="true"/>
        <a:lstStyle/>
        <a:p>
          <a:pPr>
            <a:defRPr lang="zh-CN" sz="900" b="0" i="0" u="none" strike="noStrike" kern="1200" baseline="0">
              <a:solidFill>
                <a:schemeClr val="tx1">
                  <a:lumMod val="65000"/>
                  <a:lumOff val="35000"/>
                </a:schemeClr>
              </a:solidFill>
              <a:latin typeface="+mn-lt"/>
              <a:ea typeface="+mn-ea"/>
              <a:cs typeface="+mn-cs"/>
            </a:defRPr>
          </a:pPr>
        </a:p>
      </c:txPr>
    </c:legend>
    <c:plotVisOnly val="true"/>
    <c:dispBlanksAs val="gap"/>
    <c:showDLblsOverMax val="false"/>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false"/>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title>
      <c:layout/>
      <c:overlay val="false"/>
      <c:txPr>
        <a:bodyPr rot="0" spcFirstLastPara="0" vertOverflow="ellipsis" vert="horz" wrap="square" anchor="ctr" anchorCtr="true"/>
        <a:lstStyle/>
        <a:p>
          <a:pPr>
            <a:defRPr lang="zh-CN" sz="1800" b="1" i="0" u="none" strike="noStrike" kern="1200" baseline="0">
              <a:solidFill>
                <a:schemeClr val="tx1"/>
              </a:solidFill>
              <a:latin typeface="+mn-lt"/>
              <a:ea typeface="+mn-ea"/>
              <a:cs typeface="+mn-cs"/>
            </a:defRPr>
          </a:pPr>
        </a:p>
      </c:txPr>
    </c:title>
    <c:autoTitleDeleted val="false"/>
    <c:plotArea>
      <c:layout>
        <c:manualLayout>
          <c:layoutTarget val="inner"/>
          <c:xMode val="edge"/>
          <c:yMode val="edge"/>
          <c:x val="0.0826005297375391"/>
          <c:y val="0.202274509803922"/>
          <c:w val="0.658781603660005"/>
          <c:h val="0.684202270381837"/>
        </c:manualLayout>
      </c:layout>
      <c:pieChart>
        <c:varyColors val="true"/>
        <c:ser>
          <c:idx val="0"/>
          <c:order val="0"/>
          <c:tx>
            <c:strRef>
              <c:f>Sheet1!$B$1</c:f>
              <c:strCache>
                <c:ptCount val="1"/>
                <c:pt idx="0">
                  <c:v>收入决算结构</c:v>
                </c:pt>
              </c:strCache>
            </c:strRef>
          </c:tx>
          <c:explosion val="0"/>
          <c:dPt>
            <c:idx val="0"/>
            <c:bubble3D val="false"/>
          </c:dPt>
          <c:dPt>
            <c:idx val="1"/>
            <c:bubble3D val="false"/>
          </c:dPt>
          <c:dPt>
            <c:idx val="2"/>
            <c:bubble3D val="false"/>
          </c:dPt>
          <c:dPt>
            <c:idx val="3"/>
            <c:bubble3D val="false"/>
          </c:dPt>
          <c:dLbls>
            <c:spPr>
              <a:noFill/>
              <a:ln>
                <a:noFill/>
              </a:ln>
              <a:effectLst/>
            </c:spPr>
            <c:txPr>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p>
            </c:txPr>
            <c:dLblPos val="bestFit"/>
            <c:showLegendKey val="false"/>
            <c:showVal val="true"/>
            <c:showCatName val="false"/>
            <c:showSerName val="false"/>
            <c:showPercent val="false"/>
            <c:showBubbleSize val="false"/>
            <c:showLeaderLines val="true"/>
            <c:extLst>
              <c:ext xmlns:c15="http://schemas.microsoft.com/office/drawing/2012/chart" uri="{CE6537A1-D6FC-4f65-9D91-7224C49458BB}">
                <c15:layout/>
                <c15:showLeaderLines val="true"/>
                <c15:leaderLines/>
              </c:ext>
            </c:extLst>
          </c:dLbls>
          <c:cat>
            <c:strRef>
              <c:f>Sheet1!$A$2:$A$5</c:f>
              <c:strCache>
                <c:ptCount val="4"/>
                <c:pt idx="0">
                  <c:v>财政拨款收入</c:v>
                </c:pt>
                <c:pt idx="1">
                  <c:v>教育事业收入</c:v>
                </c:pt>
                <c:pt idx="2">
                  <c:v>经营收入</c:v>
                </c:pt>
                <c:pt idx="3">
                  <c:v>其他收入</c:v>
                </c:pt>
              </c:strCache>
            </c:strRef>
          </c:cat>
          <c:val>
            <c:numRef>
              <c:f>Sheet1!$B$2:$B$5</c:f>
              <c:numCache>
                <c:formatCode>General</c:formatCode>
                <c:ptCount val="4"/>
                <c:pt idx="0">
                  <c:v>24261.18</c:v>
                </c:pt>
                <c:pt idx="1">
                  <c:v>7041.87</c:v>
                </c:pt>
                <c:pt idx="2">
                  <c:v>372.85</c:v>
                </c:pt>
                <c:pt idx="3">
                  <c:v>2161.54</c:v>
                </c:pt>
              </c:numCache>
            </c:numRef>
          </c:val>
        </c:ser>
        <c:dLbls>
          <c:showLegendKey val="false"/>
          <c:showVal val="true"/>
          <c:showCatName val="false"/>
          <c:showSerName val="false"/>
          <c:showPercent val="false"/>
          <c:showBubbleSize val="false"/>
          <c:showLeaderLines val="true"/>
        </c:dLbls>
        <c:firstSliceAng val="0"/>
      </c:pieChart>
      <c:spPr>
        <a:noFill/>
        <a:ln>
          <a:noFill/>
        </a:ln>
        <a:effectLst/>
      </c:spPr>
    </c:plotArea>
    <c:legend>
      <c:legendPos val="r"/>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365518901998555"/>
          <c:y val="0.0582043343653251"/>
        </c:manualLayout>
      </c:layout>
      <c:overlay val="false"/>
      <c:txPr>
        <a:bodyPr rot="0" spcFirstLastPara="0" vertOverflow="ellipsis" vert="horz" wrap="square" anchor="ctr" anchorCtr="true"/>
        <a:lstStyle/>
        <a:p>
          <a:pPr>
            <a:defRPr lang="zh-CN" sz="1800" b="1" i="0" u="none" strike="noStrike" kern="1200" baseline="0">
              <a:solidFill>
                <a:schemeClr val="tx1"/>
              </a:solidFill>
              <a:latin typeface="+mn-lt"/>
              <a:ea typeface="+mn-ea"/>
              <a:cs typeface="+mn-cs"/>
            </a:defRPr>
          </a:pPr>
        </a:p>
      </c:txPr>
    </c:title>
    <c:autoTitleDeleted val="false"/>
    <c:plotArea>
      <c:layout>
        <c:manualLayout>
          <c:layoutTarget val="inner"/>
          <c:xMode val="edge"/>
          <c:yMode val="edge"/>
          <c:x val="0.222311581988924"/>
          <c:y val="0.223739938080495"/>
          <c:w val="0.399104261979292"/>
          <c:h val="0.684202270381837"/>
        </c:manualLayout>
      </c:layout>
      <c:pieChart>
        <c:varyColors val="true"/>
        <c:ser>
          <c:idx val="0"/>
          <c:order val="0"/>
          <c:tx>
            <c:strRef>
              <c:f>Sheet1!$B$1</c:f>
              <c:strCache>
                <c:ptCount val="1"/>
                <c:pt idx="0">
                  <c:v>支出决算情况</c:v>
                </c:pt>
              </c:strCache>
            </c:strRef>
          </c:tx>
          <c:explosion val="0"/>
          <c:dPt>
            <c:idx val="0"/>
            <c:bubble3D val="false"/>
          </c:dPt>
          <c:dPt>
            <c:idx val="1"/>
            <c:bubble3D val="false"/>
          </c:dPt>
          <c:dPt>
            <c:idx val="2"/>
            <c:bubble3D val="false"/>
          </c:dPt>
          <c:dLbls>
            <c:spPr>
              <a:noFill/>
              <a:ln>
                <a:noFill/>
              </a:ln>
              <a:effectLst/>
            </c:spPr>
            <c:txPr>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p>
            </c:txPr>
            <c:dLblPos val="bestFit"/>
            <c:showLegendKey val="false"/>
            <c:showVal val="true"/>
            <c:showCatName val="false"/>
            <c:showSerName val="false"/>
            <c:showPercent val="false"/>
            <c:showBubbleSize val="false"/>
            <c:showLeaderLines val="true"/>
            <c:extLst>
              <c:ext xmlns:c15="http://schemas.microsoft.com/office/drawing/2012/chart" uri="{CE6537A1-D6FC-4f65-9D91-7224C49458BB}">
                <c15:layout/>
                <c15:showLeaderLines val="true"/>
                <c15:leaderLines/>
              </c:ext>
            </c:extLst>
          </c:dLbls>
          <c:cat>
            <c:strRef>
              <c:f>Sheet1!$A$2:$A$4</c:f>
              <c:strCache>
                <c:ptCount val="3"/>
                <c:pt idx="0">
                  <c:v>基本支出</c:v>
                </c:pt>
                <c:pt idx="1">
                  <c:v>项目支出</c:v>
                </c:pt>
                <c:pt idx="2">
                  <c:v>经营支出</c:v>
                </c:pt>
              </c:strCache>
            </c:strRef>
          </c:cat>
          <c:val>
            <c:numRef>
              <c:f>Sheet1!$B$2:$B$4</c:f>
              <c:numCache>
                <c:formatCode>General</c:formatCode>
                <c:ptCount val="3"/>
                <c:pt idx="0">
                  <c:v>18942.56</c:v>
                </c:pt>
                <c:pt idx="1">
                  <c:v>14345.37</c:v>
                </c:pt>
                <c:pt idx="2">
                  <c:v>336.96</c:v>
                </c:pt>
              </c:numCache>
            </c:numRef>
          </c:val>
        </c:ser>
        <c:dLbls>
          <c:showLegendKey val="false"/>
          <c:showVal val="true"/>
          <c:showCatName val="false"/>
          <c:showSerName val="false"/>
          <c:showPercent val="false"/>
          <c:showBubbleSize val="false"/>
          <c:showLeaderLines val="true"/>
        </c:dLbls>
        <c:firstSliceAng val="0"/>
      </c:pieChart>
    </c:plotArea>
    <c:legend>
      <c:legendPos val="r"/>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true"/>
    <c:dispBlanksAs val="gap"/>
    <c:showDLblsOverMax val="false"/>
  </c:chart>
  <c:txPr>
    <a:bodyPr/>
    <a:lstStyle/>
    <a:p>
      <a:pPr>
        <a:defRPr lang="zh-CN"/>
      </a:pPr>
    </a:p>
  </c:txPr>
  <c:externalData r:id="rId1">
    <c:autoUpdate val="false"/>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autoTitleDeleted val="true"/>
    <c:plotArea>
      <c:layout/>
      <c:barChart>
        <c:barDir val="col"/>
        <c:grouping val="clustered"/>
        <c:varyColors val="false"/>
        <c:ser>
          <c:idx val="0"/>
          <c:order val="0"/>
          <c:tx>
            <c:strRef>
              <c:f>Sheet1!$B$1</c:f>
              <c:strCache>
                <c:ptCount val="1"/>
                <c:pt idx="0">
                  <c:v>财政拨款收、支总额</c:v>
                </c:pt>
              </c:strCache>
            </c:strRef>
          </c:tx>
          <c:invertIfNegative val="false"/>
          <c:dLbls>
            <c:delete val="true"/>
          </c:dLbls>
          <c:cat>
            <c:strRef>
              <c:f>Sheet1!$A$2:$A$3</c:f>
              <c:strCache>
                <c:ptCount val="2"/>
                <c:pt idx="0">
                  <c:v>2023年</c:v>
                </c:pt>
                <c:pt idx="1">
                  <c:v>2024年</c:v>
                </c:pt>
              </c:strCache>
            </c:strRef>
          </c:cat>
          <c:val>
            <c:numRef>
              <c:f>Sheet1!$B$2:$B$3</c:f>
              <c:numCache>
                <c:formatCode>General</c:formatCode>
                <c:ptCount val="2"/>
                <c:pt idx="0">
                  <c:v>16828.44</c:v>
                </c:pt>
                <c:pt idx="1">
                  <c:v>24261.18</c:v>
                </c:pt>
              </c:numCache>
            </c:numRef>
          </c:val>
        </c:ser>
        <c:dLbls>
          <c:showLegendKey val="false"/>
          <c:showVal val="false"/>
          <c:showCatName val="false"/>
          <c:showSerName val="false"/>
          <c:showPercent val="false"/>
          <c:showBubbleSize val="false"/>
        </c:dLbls>
        <c:gapWidth val="150"/>
        <c:overlap val="0"/>
        <c:axId val="422275584"/>
        <c:axId val="426381248"/>
        <c:extLst>
          <c:ext xmlns:c15="http://schemas.microsoft.com/office/drawing/2012/chart" uri="{02D57815-91ED-43cb-92C2-25804820EDAC}">
            <c15:filteredBarSeries>
              <c15:ser>
                <c:idx val="1"/>
                <c:order val="1"/>
                <c:tx>
                  <c:strRef>
                    <c:extLst>
                      <c:ext uri="{02D57815-91ED-43cb-92C2-25804820EDAC}">
                        <c15:formulaRef>
                          <c15:sqref>Sheet1!#REF!</c15:sqref>
                        </c15:formulaRef>
                      </c:ext>
                    </c:extLst>
                    <c:strCache>
                      <c:ptCount val="1"/>
                      <c:pt idx="0">
                        <c:v/>
                      </c:pt>
                    </c:strCache>
                  </c:strRef>
                </c:tx>
                <c:invertIfNegative val="false"/>
                <c:dLbls>
                  <c:delete val="true"/>
                </c:dLbls>
                <c:cat>
                  <c:strRef>
                    <c:extLst>
                      <c:ext uri="{02D57815-91ED-43cb-92C2-25804820EDAC}">
                        <c15:fullRef>
                          <c15:sqref/>
                        </c15:fullRef>
                        <c15:formulaRef>
                          <c15:sqref>Sheet1!$A$2:$A$3</c15:sqref>
                        </c15:formulaRef>
                      </c:ext>
                    </c:extLst>
                    <c:strCache>
                      <c:ptCount val="2"/>
                      <c:pt idx="0">
                        <c:v>2023年</c:v>
                      </c:pt>
                      <c:pt idx="1">
                        <c:v>2024年</c:v>
                      </c:pt>
                    </c:strCache>
                  </c:strRef>
                </c:cat>
                <c:val>
                  <c:numRef>
                    <c:extLst>
                      <c:ext uri="{02D57815-91ED-43cb-92C2-25804820EDAC}">
                        <c15:formulaRef>
                          <c15:sqref>Sheet1!#REF!</c15:sqref>
                        </c15:formulaRef>
                      </c:ext>
                    </c:extLst>
                    <c:numCache>
                      <c:formatCode>General</c:formatCode>
                      <c:ptCount val="1"/>
                      <c:pt idx="0">
                        <c:v>1</c:v>
                      </c:pt>
                    </c:numCache>
                  </c:numRef>
                </c:val>
              </c15:ser>
            </c15:filteredBarSeries>
          </c:ext>
        </c:extLst>
      </c:barChart>
      <c:catAx>
        <c:axId val="422275584"/>
        <c:scaling>
          <c:orientation val="minMax"/>
        </c:scaling>
        <c:delete val="false"/>
        <c:axPos val="b"/>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426381248"/>
        <c:crosses val="autoZero"/>
        <c:auto val="true"/>
        <c:lblAlgn val="ctr"/>
        <c:lblOffset val="100"/>
        <c:noMultiLvlLbl val="false"/>
      </c:catAx>
      <c:valAx>
        <c:axId val="426381248"/>
        <c:scaling>
          <c:orientation val="minMax"/>
          <c:min val="10000"/>
        </c:scaling>
        <c:delete val="false"/>
        <c:axPos val="l"/>
        <c:majorGridlines/>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422275584"/>
        <c:crosses val="autoZero"/>
        <c:crossBetween val="between"/>
      </c:valAx>
      <c:dTable>
        <c:showHorzBorder val="true"/>
        <c:showVertBorder val="true"/>
        <c:showOutline val="true"/>
        <c:showKeys val="tru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dTable>
    </c:plotArea>
    <c:plotVisOnly val="true"/>
    <c:dispBlanksAs val="gap"/>
    <c:showDLblsOverMax val="false"/>
  </c:chart>
  <c:txPr>
    <a:bodyPr/>
    <a:lstStyle/>
    <a:p>
      <a:pPr>
        <a:defRPr lang="zh-CN"/>
      </a:pPr>
    </a:p>
  </c:txPr>
  <c:externalData r:id="rId1">
    <c:autoUpdate val="false"/>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title>
      <c:layout/>
      <c:overlay val="false"/>
      <c:txPr>
        <a:bodyPr rot="0" spcFirstLastPara="0" vertOverflow="ellipsis" vert="horz" wrap="square" anchor="ctr" anchorCtr="true"/>
        <a:lstStyle/>
        <a:p>
          <a:pPr>
            <a:defRPr lang="zh-CN" sz="1800" b="1" i="0" u="none" strike="noStrike" kern="1200" baseline="0">
              <a:solidFill>
                <a:schemeClr val="tx1"/>
              </a:solidFill>
              <a:latin typeface="+mn-lt"/>
              <a:ea typeface="+mn-ea"/>
              <a:cs typeface="+mn-cs"/>
            </a:defRPr>
          </a:pPr>
        </a:p>
      </c:txPr>
    </c:title>
    <c:autoTitleDeleted val="false"/>
    <c:plotArea>
      <c:layout/>
      <c:barChart>
        <c:barDir val="col"/>
        <c:grouping val="clustered"/>
        <c:varyColors val="false"/>
        <c:ser>
          <c:idx val="0"/>
          <c:order val="0"/>
          <c:tx>
            <c:strRef>
              <c:f>Sheet1!$B$1</c:f>
              <c:strCache>
                <c:ptCount val="1"/>
                <c:pt idx="0">
                  <c:v>一般公共预算财政拨款支出决算变动</c:v>
                </c:pt>
              </c:strCache>
            </c:strRef>
          </c:tx>
          <c:invertIfNegative val="false"/>
          <c:dLbls>
            <c:delete val="true"/>
          </c:dLbls>
          <c:cat>
            <c:strRef>
              <c:f>Sheet1!$A$2:$A$3</c:f>
              <c:strCache>
                <c:ptCount val="2"/>
                <c:pt idx="0">
                  <c:v>2023年</c:v>
                </c:pt>
                <c:pt idx="1">
                  <c:v>2024年</c:v>
                </c:pt>
              </c:strCache>
            </c:strRef>
          </c:cat>
          <c:val>
            <c:numRef>
              <c:f>Sheet1!$B$2:$B$3</c:f>
              <c:numCache>
                <c:formatCode>General</c:formatCode>
                <c:ptCount val="2"/>
                <c:pt idx="0">
                  <c:v>16828.44</c:v>
                </c:pt>
                <c:pt idx="1">
                  <c:v>24261.18</c:v>
                </c:pt>
              </c:numCache>
            </c:numRef>
          </c:val>
        </c:ser>
        <c:dLbls>
          <c:showLegendKey val="false"/>
          <c:showVal val="false"/>
          <c:showCatName val="false"/>
          <c:showSerName val="false"/>
          <c:showPercent val="false"/>
          <c:showBubbleSize val="false"/>
        </c:dLbls>
        <c:gapWidth val="150"/>
        <c:overlap val="0"/>
        <c:axId val="422481920"/>
        <c:axId val="426383552"/>
      </c:barChart>
      <c:catAx>
        <c:axId val="422481920"/>
        <c:scaling>
          <c:orientation val="minMax"/>
        </c:scaling>
        <c:delete val="false"/>
        <c:axPos val="b"/>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426383552"/>
        <c:crosses val="autoZero"/>
        <c:auto val="true"/>
        <c:lblAlgn val="ctr"/>
        <c:lblOffset val="100"/>
        <c:noMultiLvlLbl val="false"/>
      </c:catAx>
      <c:valAx>
        <c:axId val="426383552"/>
        <c:scaling>
          <c:orientation val="minMax"/>
          <c:min val="10000"/>
        </c:scaling>
        <c:delete val="false"/>
        <c:axPos val="l"/>
        <c:majorGridlines/>
        <c:numFmt formatCode="General" sourceLinked="true"/>
        <c:majorTickMark val="out"/>
        <c:minorTickMark val="none"/>
        <c:tickLblPos val="nextTo"/>
        <c:txPr>
          <a:bodyPr rot="-6000000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crossAx val="422481920"/>
        <c:crosses val="autoZero"/>
        <c:crossBetween val="between"/>
      </c:valAx>
      <c:dTable>
        <c:showHorzBorder val="true"/>
        <c:showVertBorder val="true"/>
        <c:showOutline val="true"/>
        <c:showKeys val="tru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dTable>
    </c:plotArea>
    <c:plotVisOnly val="true"/>
    <c:dispBlanksAs val="gap"/>
    <c:showDLblsOverMax val="false"/>
  </c:chart>
  <c:txPr>
    <a:bodyPr/>
    <a:lstStyle/>
    <a:p>
      <a:pPr>
        <a:defRPr lang="zh-CN"/>
      </a:pPr>
    </a:p>
  </c:txPr>
  <c:externalData r:id="rId1">
    <c:autoUpdate val="false"/>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hart>
    <c:title>
      <c:layout/>
      <c:overlay val="false"/>
      <c:txPr>
        <a:bodyPr rot="0" spcFirstLastPara="0" vertOverflow="ellipsis" vert="horz" wrap="square" anchor="ctr" anchorCtr="true"/>
        <a:lstStyle/>
        <a:p>
          <a:pPr>
            <a:defRPr lang="zh-CN" sz="1800" b="1" i="0" u="none" strike="noStrike" kern="1200" baseline="0">
              <a:solidFill>
                <a:schemeClr val="tx1"/>
              </a:solidFill>
              <a:latin typeface="+mn-lt"/>
              <a:ea typeface="+mn-ea"/>
              <a:cs typeface="+mn-cs"/>
            </a:defRPr>
          </a:pPr>
        </a:p>
      </c:txPr>
    </c:title>
    <c:autoTitleDeleted val="false"/>
    <c:plotArea>
      <c:layout/>
      <c:pieChart>
        <c:varyColors val="true"/>
        <c:ser>
          <c:idx val="0"/>
          <c:order val="0"/>
          <c:tx>
            <c:strRef>
              <c:f>Sheet1!$B$1</c:f>
              <c:strCache>
                <c:ptCount val="1"/>
                <c:pt idx="0">
                  <c:v>一般公共预算财政拨款支出决算结构</c:v>
                </c:pt>
              </c:strCache>
            </c:strRef>
          </c:tx>
          <c:explosion val="0"/>
          <c:dPt>
            <c:idx val="0"/>
            <c:bubble3D val="false"/>
          </c:dPt>
          <c:dPt>
            <c:idx val="1"/>
            <c:bubble3D val="false"/>
          </c:dPt>
          <c:dPt>
            <c:idx val="2"/>
            <c:bubble3D val="false"/>
          </c:dPt>
          <c:dLbls>
            <c:spPr>
              <a:noFill/>
              <a:ln>
                <a:noFill/>
              </a:ln>
              <a:effectLst/>
            </c:spPr>
            <c:txPr>
              <a:bodyPr rot="0" spcFirstLastPara="0" vertOverflow="ellipsis" vert="horz" wrap="square" lIns="38100" tIns="19050" rIns="38100" bIns="19050" anchor="ctr" anchorCtr="true"/>
              <a:lstStyle/>
              <a:p>
                <a:pPr>
                  <a:defRPr lang="zh-CN" sz="1000" b="0" i="0" u="none" strike="noStrike" kern="1200" baseline="0">
                    <a:solidFill>
                      <a:schemeClr val="tx1"/>
                    </a:solidFill>
                    <a:latin typeface="+mn-lt"/>
                    <a:ea typeface="+mn-ea"/>
                    <a:cs typeface="+mn-cs"/>
                  </a:defRPr>
                </a:pPr>
              </a:p>
            </c:txPr>
            <c:dLblPos val="bestFit"/>
            <c:showLegendKey val="false"/>
            <c:showVal val="true"/>
            <c:showCatName val="false"/>
            <c:showSerName val="false"/>
            <c:showPercent val="false"/>
            <c:showBubbleSize val="false"/>
            <c:showLeaderLines val="true"/>
            <c:extLst>
              <c:ext xmlns:c15="http://schemas.microsoft.com/office/drawing/2012/chart" uri="{CE6537A1-D6FC-4f65-9D91-7224C49458BB}">
                <c15:layout/>
                <c15:showLeaderLines val="true"/>
                <c15:leaderLines/>
              </c:ext>
            </c:extLst>
          </c:dLbls>
          <c:cat>
            <c:strRef>
              <c:f>Sheet1!$A$2:$A$4</c:f>
              <c:strCache>
                <c:ptCount val="3"/>
                <c:pt idx="0">
                  <c:v>教育支出（类）</c:v>
                </c:pt>
                <c:pt idx="1">
                  <c:v>住房保障支出（类）</c:v>
                </c:pt>
                <c:pt idx="2">
                  <c:v>社会保障和就业（类）</c:v>
                </c:pt>
              </c:strCache>
            </c:strRef>
          </c:cat>
          <c:val>
            <c:numRef>
              <c:f>Sheet1!$B$2:$B$4</c:f>
              <c:numCache>
                <c:formatCode>#,##0.00</c:formatCode>
                <c:ptCount val="3"/>
                <c:pt idx="0">
                  <c:v>21446.13</c:v>
                </c:pt>
                <c:pt idx="1">
                  <c:v>1610.42</c:v>
                </c:pt>
                <c:pt idx="2">
                  <c:v>1204.64</c:v>
                </c:pt>
              </c:numCache>
            </c:numRef>
          </c:val>
        </c:ser>
        <c:dLbls>
          <c:showLegendKey val="false"/>
          <c:showVal val="true"/>
          <c:showCatName val="false"/>
          <c:showSerName val="false"/>
          <c:showPercent val="false"/>
          <c:showBubbleSize val="false"/>
          <c:showLeaderLines val="true"/>
        </c:dLbls>
        <c:firstSliceAng val="0"/>
      </c:pieChart>
    </c:plotArea>
    <c:legend>
      <c:legendPos val="r"/>
      <c:layout>
        <c:manualLayout>
          <c:xMode val="edge"/>
          <c:yMode val="edge"/>
          <c:x val="0.681194317360944"/>
          <c:y val="0.370485036119711"/>
        </c:manualLayout>
      </c:layout>
      <c:overlay val="false"/>
      <c:txPr>
        <a:bodyPr rot="0" spcFirstLastPara="0" vertOverflow="ellipsis" vert="horz" wrap="square" anchor="ctr" anchorCtr="true"/>
        <a:lstStyle/>
        <a:p>
          <a:pPr>
            <a:defRPr lang="zh-CN" sz="1000" b="0" i="0" u="none" strike="noStrike" kern="1200" baseline="0">
              <a:solidFill>
                <a:schemeClr val="tx1"/>
              </a:solidFill>
              <a:latin typeface="+mn-lt"/>
              <a:ea typeface="+mn-ea"/>
              <a:cs typeface="+mn-cs"/>
            </a:defRPr>
          </a:pPr>
        </a:p>
      </c:txPr>
    </c:legend>
    <c:plotVisOnly val="false"/>
    <c:dispBlanksAs val="gap"/>
    <c:showDLblsOverMax val="false"/>
  </c:chart>
  <c:txPr>
    <a:bodyPr/>
    <a:lstStyle/>
    <a:p>
      <a:pPr>
        <a:defRPr lang="zh-CN"/>
      </a:pPr>
    </a:p>
  </c:txPr>
  <c:externalData r:id="rId1">
    <c:autoUpdate val="false"/>
  </c:externalData>
</c:chartSpace>
</file>

<file path=word/charts/colors1.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true">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42</Pages>
  <Words>6004</Words>
  <Characters>6618</Characters>
  <Lines>61</Lines>
  <Paragraphs>17</Paragraphs>
  <TotalTime>12</TotalTime>
  <ScaleCrop>false</ScaleCrop>
  <LinksUpToDate>false</LinksUpToDate>
  <CharactersWithSpaces>6795</CharactersWithSpaces>
  <Application>WPS Office_11.8.2.9793_F1E327BC-269C-435d-A152-05C5408002CA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2020-08-09T17:49:00Z</dcterms:created>
  <dc:creator>曹颖</dc:creator>
  <cp:lastModifiedBy>user</cp:lastModifiedBy>
  <cp:lastPrinted>2025-08-07T01:34:00Z</cp:lastPrinted>
  <dcterms:modified xsi:type="dcterms:W3CDTF">2025-09-09T09:55:42Z</dcterms:modified>
  <dc:title>四川省***</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2052-11.8.2.9793</vt:lpwstr>
  </property>
  <property fmtid="{D5CDD505-2E9C-101B-9397-08002B2CF9AE}" pid="3" name="ICV">
    <vt:lpwstr>B0415C874B784F72BF62D81DD34E661F_13</vt:lpwstr>
  </property>
  <property fmtid="{D5CDD505-2E9C-101B-9397-08002B2CF9AE}" pid="4" name="KSOTemplateDocerSaveRecord">
    <vt:lpwstr>eyJoZGlkIjoiZDU0NTEwM2I3OGQzMTc2ZjhkYWM0ZGQwNTgwMTViYTkiLCJ1c2VySWQiOiI0NDE1MjAzNzcifQ==</vt:lpwstr>
  </property>
</Properties>
</file>