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eastAsia" w:ascii="Times New Roman" w:hAnsi="Times New Roman" w:eastAsia="方正小标宋简体" w:cs="Times New Roman"/>
          <w:color w:val="auto"/>
          <w:kern w:val="2"/>
          <w:sz w:val="72"/>
          <w:szCs w:val="72"/>
          <w:highlight w:val="none"/>
          <w:lang w:val="en-US" w:eastAsia="zh-CN" w:bidi="ar-SA"/>
        </w:rPr>
      </w:pPr>
      <w:bookmarkStart w:id="0" w:name="_Toc15378441"/>
      <w:bookmarkStart w:id="1" w:name="_Toc15377425"/>
      <w:bookmarkStart w:id="2" w:name="_Toc15306267"/>
      <w:bookmarkStart w:id="3" w:name="_Toc15396597"/>
      <w:bookmarkStart w:id="4" w:name="_Toc15377193"/>
      <w:bookmarkStart w:id="5" w:name="_Toc15396475"/>
    </w:p>
    <w:p>
      <w:pPr>
        <w:pStyle w:val="6"/>
        <w:rPr>
          <w:rFonts w:hint="eastAsia" w:ascii="Times New Roman" w:hAnsi="Times New Roman" w:eastAsia="方正小标宋简体" w:cs="Times New Roman"/>
          <w:color w:val="auto"/>
          <w:kern w:val="2"/>
          <w:sz w:val="72"/>
          <w:szCs w:val="72"/>
          <w:highlight w:val="none"/>
          <w:lang w:val="en-US" w:eastAsia="zh-CN" w:bidi="ar-SA"/>
        </w:rPr>
      </w:pPr>
    </w:p>
    <w:p>
      <w:pPr>
        <w:pStyle w:val="6"/>
        <w:rPr>
          <w:rFonts w:hint="eastAsia" w:ascii="Times New Roman" w:hAnsi="Times New Roman" w:eastAsia="方正小标宋简体" w:cs="Times New Roman"/>
          <w:color w:val="auto"/>
          <w:kern w:val="2"/>
          <w:sz w:val="72"/>
          <w:szCs w:val="72"/>
          <w:highlight w:val="none"/>
          <w:lang w:val="en-US" w:eastAsia="zh-CN" w:bidi="ar-SA"/>
        </w:rPr>
      </w:pPr>
    </w:p>
    <w:p>
      <w:pPr>
        <w:adjustRightInd w:val="0"/>
        <w:snapToGrid w:val="0"/>
        <w:spacing w:line="360" w:lineRule="auto"/>
        <w:jc w:val="center"/>
        <w:outlineLvl w:val="0"/>
        <w:rPr>
          <w:rFonts w:hint="eastAsia" w:ascii="黑体" w:hAnsi="黑体" w:eastAsia="黑体" w:cs="黑体"/>
          <w:b w:val="0"/>
          <w:bCs w:val="0"/>
          <w:sz w:val="72"/>
          <w:szCs w:val="72"/>
        </w:rPr>
      </w:pPr>
      <w:r>
        <w:rPr>
          <w:rFonts w:hint="default" w:ascii="Times New Roman" w:hAnsi="Times New Roman" w:eastAsia="黑体" w:cs="Times New Roman"/>
          <w:b w:val="0"/>
          <w:bCs w:val="0"/>
          <w:sz w:val="72"/>
          <w:szCs w:val="72"/>
        </w:rPr>
        <w:t>202</w:t>
      </w:r>
      <w:r>
        <w:rPr>
          <w:rFonts w:hint="default" w:ascii="Times New Roman" w:hAnsi="Times New Roman" w:eastAsia="黑体" w:cs="Times New Roman"/>
          <w:b w:val="0"/>
          <w:bCs w:val="0"/>
          <w:sz w:val="72"/>
          <w:szCs w:val="72"/>
          <w:lang w:val="en-US" w:eastAsia="zh-CN"/>
        </w:rPr>
        <w:t>4</w:t>
      </w:r>
      <w:r>
        <w:rPr>
          <w:rFonts w:hint="eastAsia" w:ascii="黑体" w:hAnsi="黑体" w:eastAsia="黑体" w:cs="黑体"/>
          <w:b w:val="0"/>
          <w:bCs w:val="0"/>
          <w:sz w:val="72"/>
          <w:szCs w:val="72"/>
        </w:rPr>
        <w:t>年度</w:t>
      </w:r>
    </w:p>
    <w:p>
      <w:pPr>
        <w:adjustRightInd w:val="0"/>
        <w:snapToGrid w:val="0"/>
        <w:spacing w:line="360" w:lineRule="auto"/>
        <w:jc w:val="center"/>
        <w:outlineLvl w:val="0"/>
        <w:rPr>
          <w:rFonts w:hint="eastAsia" w:ascii="黑体" w:hAnsi="黑体" w:eastAsia="黑体" w:cs="黑体"/>
          <w:b w:val="0"/>
          <w:bCs w:val="0"/>
          <w:sz w:val="72"/>
          <w:szCs w:val="72"/>
          <w:lang w:val="en-US" w:eastAsia="zh-CN"/>
        </w:rPr>
      </w:pPr>
      <w:r>
        <w:rPr>
          <w:rFonts w:hint="eastAsia" w:ascii="黑体" w:hAnsi="黑体" w:eastAsia="黑体" w:cs="黑体"/>
          <w:b w:val="0"/>
          <w:bCs w:val="0"/>
          <w:sz w:val="72"/>
          <w:szCs w:val="72"/>
          <w:lang w:val="en-US" w:eastAsia="zh-CN"/>
        </w:rPr>
        <w:t>四川工商职业技术学院</w:t>
      </w:r>
    </w:p>
    <w:p>
      <w:pPr>
        <w:adjustRightInd w:val="0"/>
        <w:snapToGrid w:val="0"/>
        <w:spacing w:line="360" w:lineRule="auto"/>
        <w:jc w:val="center"/>
        <w:outlineLvl w:val="0"/>
        <w:rPr>
          <w:rFonts w:hint="eastAsia" w:ascii="黑体" w:hAnsi="黑体" w:eastAsia="黑体"/>
          <w:b/>
          <w:bCs/>
          <w:sz w:val="48"/>
          <w:szCs w:val="48"/>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r>
        <w:rPr>
          <w:rFonts w:hint="eastAsia" w:ascii="黑体" w:hAnsi="黑体" w:eastAsia="黑体" w:cs="黑体"/>
          <w:b w:val="0"/>
          <w:bCs w:val="0"/>
          <w:sz w:val="72"/>
          <w:szCs w:val="72"/>
        </w:rPr>
        <w:t>单位决算</w:t>
      </w:r>
    </w:p>
    <w:bookmarkEnd w:id="0"/>
    <w:bookmarkEnd w:id="1"/>
    <w:bookmarkEnd w:id="2"/>
    <w:bookmarkEnd w:id="3"/>
    <w:bookmarkEnd w:id="4"/>
    <w:bookmarkEnd w:id="5"/>
    <w:p>
      <w:pPr>
        <w:widowControl/>
        <w:jc w:val="center"/>
        <w:rPr>
          <w:rFonts w:ascii="黑体" w:hAnsi="黑体" w:eastAsia="黑体" w:cstheme="minorBidi"/>
          <w:b w:val="0"/>
          <w:bCs w:val="0"/>
          <w:sz w:val="44"/>
          <w:szCs w:val="44"/>
        </w:rPr>
      </w:pPr>
      <w:bookmarkStart w:id="6" w:name="_Toc15396599"/>
      <w:bookmarkStart w:id="7" w:name="_Toc15377196"/>
      <w:r>
        <w:rPr>
          <w:rFonts w:hint="eastAsia" w:ascii="黑体" w:hAnsi="黑体" w:eastAsia="黑体"/>
          <w:b w:val="0"/>
          <w:bCs w:val="0"/>
          <w:sz w:val="44"/>
          <w:szCs w:val="44"/>
        </w:rPr>
        <w:t>目录</w:t>
      </w:r>
    </w:p>
    <w:p>
      <w:pPr>
        <w:pStyle w:val="13"/>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公开时间：202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年9月</w:t>
      </w: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日</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30"/>
          <w:szCs w:val="30"/>
        </w:rPr>
        <w:t>第一部分 单位概况</w:t>
      </w:r>
      <w:r>
        <w:rPr>
          <w:rFonts w:hint="eastAsia" w:ascii="黑体" w:hAnsi="黑体" w:eastAsia="黑体" w:cs="黑体"/>
          <w:b w:val="0"/>
          <w:bCs w:val="0"/>
          <w:sz w:val="24"/>
          <w:lang w:val="en-US" w:eastAsia="zh-CN"/>
        </w:rPr>
        <w:t>..............................................</w:t>
      </w:r>
      <w:r>
        <w:rPr>
          <w:rFonts w:hint="eastAsia" w:ascii="黑体" w:hAnsi="黑体" w:eastAsia="黑体" w:cs="黑体"/>
          <w:b w:val="0"/>
          <w:bCs w:val="0"/>
          <w:sz w:val="24"/>
          <w:szCs w:val="24"/>
          <w:lang w:val="en-US" w:eastAsia="zh-CN"/>
        </w:rPr>
        <w:t>1</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一、</w:t>
      </w:r>
      <w:r>
        <w:rPr>
          <w:rFonts w:hint="eastAsia" w:ascii="黑体" w:hAnsi="黑体" w:eastAsia="黑体" w:cs="黑体"/>
          <w:b w:val="0"/>
          <w:bCs w:val="0"/>
          <w:sz w:val="24"/>
          <w:szCs w:val="24"/>
          <w:lang w:eastAsia="zh-CN"/>
        </w:rPr>
        <w:t>单位</w:t>
      </w:r>
      <w:r>
        <w:rPr>
          <w:rFonts w:hint="eastAsia" w:ascii="黑体" w:hAnsi="黑体" w:eastAsia="黑体" w:cs="黑体"/>
          <w:b w:val="0"/>
          <w:bCs w:val="0"/>
          <w:sz w:val="24"/>
          <w:szCs w:val="24"/>
          <w:lang w:val="en-US" w:eastAsia="zh-CN"/>
        </w:rPr>
        <w:t>职责...............................................1</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二、机构设置</w:t>
      </w:r>
      <w:r>
        <w:rPr>
          <w:rFonts w:hint="eastAsia" w:ascii="黑体" w:hAnsi="黑体" w:eastAsia="黑体" w:cs="黑体"/>
          <w:b w:val="0"/>
          <w:bCs w:val="0"/>
          <w:sz w:val="24"/>
          <w:szCs w:val="24"/>
          <w:lang w:val="en-US" w:eastAsia="zh-CN"/>
        </w:rPr>
        <w:t>....................................................2</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lang w:val="en-US" w:eastAsia="zh-CN"/>
        </w:rPr>
      </w:pPr>
      <w:r>
        <w:rPr>
          <w:rFonts w:hint="eastAsia" w:ascii="黑体" w:hAnsi="黑体" w:eastAsia="黑体" w:cs="黑体"/>
          <w:b w:val="0"/>
          <w:bCs w:val="0"/>
          <w:sz w:val="30"/>
          <w:szCs w:val="30"/>
        </w:rPr>
        <w:t>第二部分 202</w:t>
      </w:r>
      <w:r>
        <w:rPr>
          <w:rFonts w:hint="eastAsia" w:ascii="黑体" w:hAnsi="黑体" w:eastAsia="黑体" w:cs="黑体"/>
          <w:b w:val="0"/>
          <w:bCs w:val="0"/>
          <w:sz w:val="30"/>
          <w:szCs w:val="30"/>
          <w:lang w:val="en-US" w:eastAsia="zh-CN"/>
        </w:rPr>
        <w:t>4</w:t>
      </w:r>
      <w:r>
        <w:rPr>
          <w:rFonts w:hint="eastAsia" w:ascii="黑体" w:hAnsi="黑体" w:eastAsia="黑体" w:cs="黑体"/>
          <w:b w:val="0"/>
          <w:bCs w:val="0"/>
          <w:sz w:val="30"/>
          <w:szCs w:val="30"/>
        </w:rPr>
        <w:t>年度单位决算情况说明</w:t>
      </w:r>
      <w:r>
        <w:rPr>
          <w:rFonts w:hint="eastAsia" w:ascii="黑体" w:hAnsi="黑体" w:eastAsia="黑体" w:cs="黑体"/>
          <w:b w:val="0"/>
          <w:bCs w:val="0"/>
          <w:sz w:val="24"/>
          <w:lang w:val="en-US" w:eastAsia="zh-CN"/>
        </w:rPr>
        <w:t>..........................3</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一、收入支出决算总体情况说明</w:t>
      </w:r>
      <w:r>
        <w:rPr>
          <w:rFonts w:hint="eastAsia" w:ascii="黑体" w:hAnsi="黑体" w:eastAsia="黑体" w:cs="黑体"/>
          <w:b w:val="0"/>
          <w:bCs w:val="0"/>
          <w:sz w:val="24"/>
          <w:szCs w:val="24"/>
          <w:lang w:val="en-US" w:eastAsia="zh-CN"/>
        </w:rPr>
        <w:t>....................................3</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二、收入决算情况说明</w:t>
      </w:r>
      <w:r>
        <w:rPr>
          <w:rFonts w:hint="eastAsia" w:ascii="黑体" w:hAnsi="黑体" w:eastAsia="黑体" w:cs="黑体"/>
          <w:b w:val="0"/>
          <w:bCs w:val="0"/>
          <w:sz w:val="24"/>
          <w:szCs w:val="24"/>
          <w:lang w:val="en-US" w:eastAsia="zh-CN"/>
        </w:rPr>
        <w:t>...........................................4</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三、支出决算情况说明</w:t>
      </w:r>
      <w:r>
        <w:rPr>
          <w:rFonts w:hint="eastAsia" w:ascii="黑体" w:hAnsi="黑体" w:eastAsia="黑体" w:cs="黑体"/>
          <w:b w:val="0"/>
          <w:bCs w:val="0"/>
          <w:sz w:val="24"/>
          <w:szCs w:val="24"/>
          <w:lang w:val="en-US" w:eastAsia="zh-CN"/>
        </w:rPr>
        <w:t>............................................4</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四、财政拨款收入支出决算总体情况说明</w:t>
      </w:r>
      <w:r>
        <w:rPr>
          <w:rFonts w:hint="eastAsia" w:ascii="黑体" w:hAnsi="黑体" w:eastAsia="黑体" w:cs="黑体"/>
          <w:b w:val="0"/>
          <w:bCs w:val="0"/>
          <w:sz w:val="24"/>
          <w:szCs w:val="24"/>
          <w:lang w:val="en-US" w:eastAsia="zh-CN"/>
        </w:rPr>
        <w:t>............................5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五、一般公共预算财政拨款支出决算情况说明</w:t>
      </w:r>
      <w:r>
        <w:rPr>
          <w:rFonts w:hint="eastAsia" w:ascii="黑体" w:hAnsi="黑体" w:eastAsia="黑体" w:cs="黑体"/>
          <w:b w:val="0"/>
          <w:bCs w:val="0"/>
          <w:sz w:val="24"/>
          <w:szCs w:val="24"/>
          <w:lang w:val="en-US" w:eastAsia="zh-CN"/>
        </w:rPr>
        <w:t>........................5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六、一般公共预算财政拨款基本支出决算情况说明</w:t>
      </w:r>
      <w:r>
        <w:rPr>
          <w:rFonts w:hint="eastAsia" w:ascii="黑体" w:hAnsi="黑体" w:eastAsia="黑体" w:cs="黑体"/>
          <w:b w:val="0"/>
          <w:bCs w:val="0"/>
          <w:sz w:val="24"/>
          <w:szCs w:val="24"/>
          <w:lang w:val="en-US" w:eastAsia="zh-CN"/>
        </w:rPr>
        <w:t>....................7</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七、财政拨款“三公”经费支出决算情况说明</w:t>
      </w:r>
      <w:r>
        <w:rPr>
          <w:rFonts w:hint="eastAsia" w:ascii="黑体" w:hAnsi="黑体" w:eastAsia="黑体" w:cs="黑体"/>
          <w:b w:val="0"/>
          <w:bCs w:val="0"/>
          <w:sz w:val="24"/>
          <w:szCs w:val="24"/>
          <w:lang w:val="en-US" w:eastAsia="zh-CN"/>
        </w:rPr>
        <w:t>........................7</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八、政府性基金预算支出决算情况说明</w:t>
      </w:r>
      <w:r>
        <w:rPr>
          <w:rFonts w:hint="eastAsia" w:ascii="黑体" w:hAnsi="黑体" w:eastAsia="黑体" w:cs="黑体"/>
          <w:b w:val="0"/>
          <w:bCs w:val="0"/>
          <w:sz w:val="24"/>
          <w:szCs w:val="24"/>
          <w:lang w:val="en-US" w:eastAsia="zh-CN"/>
        </w:rPr>
        <w:t>..............................9</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九、国有资本经营预算支出决算情况说明</w:t>
      </w:r>
      <w:r>
        <w:rPr>
          <w:rFonts w:hint="eastAsia" w:ascii="黑体" w:hAnsi="黑体" w:eastAsia="黑体" w:cs="黑体"/>
          <w:b w:val="0"/>
          <w:bCs w:val="0"/>
          <w:sz w:val="24"/>
          <w:szCs w:val="24"/>
          <w:lang w:val="en-US" w:eastAsia="zh-CN"/>
        </w:rPr>
        <w:t>............................9</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十、其他重要事项的情况说明</w:t>
      </w:r>
      <w:r>
        <w:rPr>
          <w:rFonts w:hint="eastAsia" w:ascii="黑体" w:hAnsi="黑体" w:eastAsia="黑体" w:cs="黑体"/>
          <w:b w:val="0"/>
          <w:bCs w:val="0"/>
          <w:sz w:val="24"/>
          <w:szCs w:val="24"/>
          <w:lang w:val="en-US" w:eastAsia="zh-CN"/>
        </w:rPr>
        <w:t>......................................9</w:t>
      </w:r>
      <w:r>
        <w:rPr>
          <w:rFonts w:hint="eastAsia" w:ascii="黑体" w:hAnsi="黑体" w:eastAsia="黑体" w:cs="黑体"/>
          <w:b w:val="0"/>
          <w:bCs w:val="0"/>
          <w:sz w:val="30"/>
          <w:szCs w:val="30"/>
        </w:rPr>
        <w:t>第三部分 名词解释</w:t>
      </w:r>
      <w:r>
        <w:rPr>
          <w:rFonts w:hint="eastAsia" w:ascii="黑体" w:hAnsi="黑体" w:eastAsia="黑体" w:cs="黑体"/>
          <w:b w:val="0"/>
          <w:bCs w:val="0"/>
          <w:sz w:val="24"/>
          <w:lang w:val="en-US" w:eastAsia="zh-CN"/>
        </w:rPr>
        <w:t>.............................................12</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30"/>
          <w:szCs w:val="30"/>
        </w:rPr>
        <w:t>第四部分 附件</w:t>
      </w:r>
      <w:r>
        <w:rPr>
          <w:rFonts w:hint="eastAsia" w:ascii="黑体" w:hAnsi="黑体" w:eastAsia="黑体" w:cs="黑体"/>
          <w:b w:val="0"/>
          <w:bCs w:val="0"/>
          <w:sz w:val="30"/>
          <w:szCs w:val="30"/>
          <w:lang w:val="en-US" w:eastAsia="zh-CN"/>
        </w:rPr>
        <w:t>......................................</w:t>
      </w:r>
      <w:r>
        <w:rPr>
          <w:rFonts w:hint="eastAsia" w:ascii="黑体" w:hAnsi="黑体" w:eastAsia="黑体" w:cs="黑体"/>
          <w:b w:val="0"/>
          <w:bCs w:val="0"/>
          <w:sz w:val="24"/>
          <w:szCs w:val="24"/>
          <w:lang w:val="en-US" w:eastAsia="zh-CN"/>
        </w:rPr>
        <w:t>...14</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30"/>
          <w:szCs w:val="30"/>
        </w:rPr>
        <w:t>第五部分 附表</w:t>
      </w:r>
      <w:r>
        <w:rPr>
          <w:rFonts w:hint="eastAsia" w:ascii="黑体" w:hAnsi="黑体" w:eastAsia="黑体" w:cs="黑体"/>
          <w:b w:val="0"/>
          <w:bCs w:val="0"/>
          <w:sz w:val="30"/>
          <w:szCs w:val="30"/>
          <w:lang w:val="en-US" w:eastAsia="zh-CN"/>
        </w:rPr>
        <w:t>........................................</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一、收入支出决算总表</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二、收入决算表</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三、支出决算表</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四、财政拨款收入支出决算总表</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五、财政拨款支出决算明细表</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六、一般公共预算财政拨款支出决算表</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七、一般公共预算财政拨款支出决算明细表</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八、一般公共预算财政拨款基本支出决算明细表</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九、一般公共预算财政拨款项目支出决算表</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十、政府性基金预算财政拨款收入支出决算表</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十一、国有资本经营预算财政拨款收入支出决算表</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十二、国有资本经营预算财政拨款支出决算表</w:t>
      </w:r>
      <w:r>
        <w:rPr>
          <w:rFonts w:hint="eastAsia" w:ascii="黑体" w:hAnsi="黑体" w:eastAsia="黑体" w:cs="黑体"/>
          <w:b w:val="0"/>
          <w:bCs w:val="0"/>
          <w:sz w:val="24"/>
          <w:szCs w:val="24"/>
          <w:lang w:val="en-US" w:eastAsia="zh-CN"/>
        </w:rPr>
        <w:t>.......................15</w:t>
      </w:r>
    </w:p>
    <w:p>
      <w:pPr>
        <w:keepNext/>
        <w:keepLines/>
        <w:pageBreakBefore w:val="0"/>
        <w:widowControl w:val="0"/>
        <w:tabs>
          <w:tab w:val="right" w:leader="middleDot" w:pos="8295"/>
        </w:tabs>
        <w:kinsoku/>
        <w:wordWrap/>
        <w:overflowPunct/>
        <w:topLinePunct w:val="0"/>
        <w:autoSpaceDE/>
        <w:autoSpaceDN/>
        <w:bidi w:val="0"/>
        <w:adjustRightInd/>
        <w:snapToGrid/>
        <w:spacing w:before="0" w:after="0" w:line="15" w:lineRule="auto"/>
        <w:jc w:val="distribute"/>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rPr>
        <w:t>十三、财政拨款“三公”经费支出决算表</w:t>
      </w:r>
      <w:r>
        <w:rPr>
          <w:rFonts w:hint="eastAsia" w:ascii="黑体" w:hAnsi="黑体" w:eastAsia="黑体" w:cs="黑体"/>
          <w:b w:val="0"/>
          <w:bCs w:val="0"/>
          <w:sz w:val="24"/>
          <w:szCs w:val="24"/>
          <w:lang w:val="en-US" w:eastAsia="zh-CN"/>
        </w:rPr>
        <w:t>...........................15</w:t>
      </w:r>
    </w:p>
    <w:p>
      <w:pPr>
        <w:rPr>
          <w:rFonts w:hint="eastAsia"/>
          <w:b w:val="0"/>
          <w:bCs w:val="0"/>
          <w:lang w:val="en-US" w:eastAsia="zh-CN"/>
        </w:rPr>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pPr>
    </w:p>
    <w:p>
      <w:pPr>
        <w:pStyle w:val="3"/>
        <w:jc w:val="center"/>
        <w:rPr>
          <w:rFonts w:ascii="Times New Roman" w:hAnsi="Times New Roman" w:eastAsia="黑体"/>
          <w:color w:val="auto"/>
          <w:sz w:val="32"/>
          <w:szCs w:val="32"/>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bookmarkEnd w:id="6"/>
      <w:bookmarkEnd w:id="7"/>
      <w:r>
        <w:rPr>
          <w:rFonts w:hint="eastAsia" w:ascii="黑体" w:hAnsi="黑体" w:eastAsia="黑体"/>
          <w:b w:val="0"/>
          <w:bCs/>
        </w:rPr>
        <w:t>单位</w:t>
      </w:r>
      <w:r>
        <w:rPr>
          <w:rStyle w:val="36"/>
          <w:rFonts w:hint="eastAsia" w:ascii="黑体" w:hAnsi="黑体" w:eastAsia="黑体"/>
          <w:b w:val="0"/>
          <w:bCs/>
        </w:rPr>
        <w:t>概况</w:t>
      </w:r>
    </w:p>
    <w:p>
      <w:pPr>
        <w:pStyle w:val="4"/>
        <w:rPr>
          <w:rFonts w:hint="eastAsia" w:ascii="Times New Roman" w:hAnsi="Times New Roman" w:eastAsia="黑体"/>
          <w:b w:val="0"/>
          <w:color w:val="auto"/>
          <w:highlight w:val="none"/>
          <w:lang w:eastAsia="zh-CN"/>
        </w:rPr>
      </w:pPr>
      <w:bookmarkStart w:id="8" w:name="_Toc15396600"/>
      <w:bookmarkStart w:id="9" w:name="_Toc15377197"/>
      <w:r>
        <w:rPr>
          <w:rFonts w:hint="eastAsia" w:ascii="Times New Roman" w:hAnsi="Times New Roman" w:eastAsia="黑体"/>
          <w:b w:val="0"/>
          <w:color w:val="auto"/>
          <w:highlight w:val="none"/>
        </w:rPr>
        <w:t>一、</w:t>
      </w:r>
      <w:bookmarkEnd w:id="8"/>
      <w:bookmarkEnd w:id="9"/>
      <w:r>
        <w:rPr>
          <w:rFonts w:hint="eastAsia" w:ascii="Times New Roman" w:hAnsi="Times New Roman" w:eastAsia="黑体"/>
          <w:b w:val="0"/>
          <w:color w:val="auto"/>
          <w:highlight w:val="none"/>
          <w:lang w:eastAsia="zh-CN"/>
        </w:rPr>
        <w:t>单位职责</w:t>
      </w:r>
    </w:p>
    <w:p>
      <w:pPr>
        <w:ind w:firstLine="640"/>
        <w:rPr>
          <w:rFonts w:hint="default" w:ascii="Times New Roman" w:hAnsi="Times New Roman" w:eastAsia="仿宋_GB2312" w:cs="Times New Roman"/>
          <w:lang w:eastAsia="zh-CN"/>
        </w:rPr>
      </w:pPr>
      <w:r>
        <w:rPr>
          <w:rFonts w:hint="default" w:ascii="Times New Roman" w:hAnsi="Times New Roman" w:eastAsia="仿宋_GB2312" w:cs="Times New Roman"/>
          <w:color w:val="000000"/>
          <w:sz w:val="32"/>
          <w:szCs w:val="32"/>
        </w:rPr>
        <w:t>四川工商职业技术学院是一所隶属于四川省经济和信息化厅的全日制公办高职院校。始建于1959年，前身为国家级重点中专四川省轻工业学校（四川省工艺美术学校），2001年经四川省人民政府批准独立升格为高职学院。</w:t>
      </w:r>
      <w:r>
        <w:rPr>
          <w:rFonts w:hint="default" w:ascii="Times New Roman" w:hAnsi="Times New Roman" w:eastAsia="仿宋_GB2312" w:cs="Times New Roman"/>
          <w:color w:val="000000"/>
          <w:sz w:val="32"/>
          <w:szCs w:val="32"/>
          <w:lang w:val="en-US" w:eastAsia="zh-CN" w:bidi="ar"/>
        </w:rPr>
        <w:t>学校位于都江堰市，占地800余亩，是全省唯一高校青年马克思主义者培训基地、全国高校唯一Micro Focus授权软件测试培训认证中心、中国搪瓷行业唯一人才培养基地、中国印刷行业高技能人才培训基地、工信部工业互联网人才培养基地、全国高校双创特色训练基地、全省研学旅行实践营地。</w:t>
      </w:r>
      <w:r>
        <w:rPr>
          <w:rFonts w:hint="default" w:ascii="Times New Roman" w:hAnsi="Times New Roman" w:eastAsia="仿宋_GB2312" w:cs="Times New Roman"/>
          <w:color w:val="000000"/>
          <w:sz w:val="32"/>
          <w:szCs w:val="32"/>
          <w:lang w:val="en-US" w:eastAsia="zh-CN"/>
        </w:rPr>
        <w:t>学校</w:t>
      </w:r>
      <w:r>
        <w:rPr>
          <w:rFonts w:hint="default" w:ascii="Times New Roman" w:hAnsi="Times New Roman" w:eastAsia="仿宋_GB2312" w:cs="Times New Roman"/>
          <w:color w:val="000000"/>
          <w:sz w:val="32"/>
          <w:szCs w:val="32"/>
          <w:lang w:val="en-US" w:eastAsia="zh-CN" w:bidi="ar"/>
        </w:rPr>
        <w:t>始终坚持立德树人根本任务，秉承“明德强技 行健精艺”校训，弘扬“负重自强 永争一流”精神，发扬“产教融合”优良办学传统，努力办好人民满意的教育</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主要招收三年制高职专科（对象为普通高中、中职学校毕业生）</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合作招生本科，</w:t>
      </w:r>
      <w:r>
        <w:rPr>
          <w:rFonts w:hint="default" w:ascii="Times New Roman" w:hAnsi="Times New Roman" w:eastAsia="仿宋_GB2312" w:cs="Times New Roman"/>
          <w:color w:val="000000"/>
          <w:sz w:val="32"/>
          <w:szCs w:val="32"/>
        </w:rPr>
        <w:t>兼招成人专科。</w:t>
      </w:r>
      <w:r>
        <w:rPr>
          <w:rFonts w:hint="default" w:ascii="Times New Roman" w:hAnsi="Times New Roman" w:eastAsia="仿宋_GB2312" w:cs="Times New Roman"/>
          <w:color w:val="000000"/>
          <w:sz w:val="32"/>
          <w:szCs w:val="32"/>
          <w:highlight w:val="none"/>
        </w:rPr>
        <w:t>开设</w:t>
      </w:r>
      <w:r>
        <w:rPr>
          <w:rFonts w:hint="default" w:ascii="Times New Roman" w:hAnsi="Times New Roman" w:eastAsia="仿宋_GB2312" w:cs="Times New Roman"/>
          <w:color w:val="000000"/>
          <w:sz w:val="32"/>
          <w:szCs w:val="32"/>
          <w:highlight w:val="none"/>
          <w:lang w:eastAsia="zh-CN"/>
        </w:rPr>
        <w:t>了</w:t>
      </w:r>
      <w:r>
        <w:rPr>
          <w:rFonts w:hint="default" w:ascii="Times New Roman" w:hAnsi="Times New Roman" w:eastAsia="仿宋_GB2312" w:cs="Times New Roman"/>
          <w:color w:val="000000"/>
          <w:sz w:val="32"/>
          <w:szCs w:val="32"/>
          <w:highlight w:val="none"/>
          <w:lang w:val="en-US" w:eastAsia="zh-CN"/>
        </w:rPr>
        <w:t>2个职教本科试点专业，40余</w:t>
      </w:r>
      <w:r>
        <w:rPr>
          <w:rFonts w:hint="default" w:ascii="Times New Roman" w:hAnsi="Times New Roman" w:eastAsia="仿宋_GB2312" w:cs="Times New Roman"/>
          <w:color w:val="000000"/>
          <w:sz w:val="32"/>
          <w:szCs w:val="32"/>
          <w:highlight w:val="none"/>
        </w:rPr>
        <w:t>个高职专业</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rPr>
        <w:t>食品生物、产品艺术设计、工商企业管理为国家骨干专业；机电一体化、电子商务、旅游管理、软件技术、印刷媒体技术、艺术设计为省级重点专业。</w:t>
      </w:r>
      <w:r>
        <w:rPr>
          <w:rFonts w:hint="default" w:ascii="Times New Roman" w:hAnsi="Times New Roman" w:eastAsia="仿宋_GB2312" w:cs="Times New Roman"/>
          <w:color w:val="000000"/>
          <w:sz w:val="32"/>
          <w:szCs w:val="32"/>
          <w:lang w:val="en-US" w:eastAsia="zh-CN" w:bidi="ar"/>
        </w:rPr>
        <w:t>学校积极开展国际化办学，与10余所海外院校开展交流合作。</w:t>
      </w:r>
    </w:p>
    <w:p>
      <w:pPr>
        <w:pStyle w:val="4"/>
        <w:rPr>
          <w:rStyle w:val="30"/>
          <w:rFonts w:ascii="Times New Roman" w:hAnsi="Times New Roman"/>
          <w:b w:val="0"/>
          <w:bCs w:val="0"/>
          <w:color w:val="000000" w:themeColor="text1"/>
          <w:highlight w:val="none"/>
          <w14:textFill>
            <w14:solidFill>
              <w14:schemeClr w14:val="tx1"/>
            </w14:solidFill>
          </w14:textFill>
        </w:rPr>
      </w:pPr>
      <w:bookmarkStart w:id="10" w:name="_Toc15377200"/>
      <w:bookmarkStart w:id="11" w:name="_Toc15396601"/>
      <w:r>
        <w:rPr>
          <w:rFonts w:hint="eastAsia" w:ascii="Times New Roman" w:hAnsi="Times New Roman" w:eastAsia="黑体"/>
          <w:b w:val="0"/>
          <w:color w:val="000000" w:themeColor="text1"/>
          <w:highlight w:val="none"/>
          <w14:textFill>
            <w14:solidFill>
              <w14:schemeClr w14:val="tx1"/>
            </w14:solidFill>
          </w14:textFill>
        </w:rPr>
        <w:t>二、机</w:t>
      </w:r>
      <w:r>
        <w:rPr>
          <w:rStyle w:val="30"/>
          <w:rFonts w:hint="eastAsia" w:ascii="Times New Roman" w:hAnsi="Times New Roman" w:eastAsia="黑体"/>
          <w:b w:val="0"/>
          <w:bCs w:val="0"/>
          <w:color w:val="000000" w:themeColor="text1"/>
          <w:highlight w:val="none"/>
          <w14:textFill>
            <w14:solidFill>
              <w14:schemeClr w14:val="tx1"/>
            </w14:solidFill>
          </w14:textFill>
        </w:rPr>
        <w:t>构设置</w:t>
      </w:r>
      <w:bookmarkEnd w:id="10"/>
      <w:bookmarkEnd w:id="11"/>
    </w:p>
    <w:p>
      <w:pPr>
        <w:bidi w:val="0"/>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rPr>
        <w:t>四川工商职业技术学院</w:t>
      </w:r>
      <w:r>
        <w:rPr>
          <w:rFonts w:hint="default" w:ascii="Times New Roman" w:hAnsi="Times New Roman" w:eastAsia="仿宋_GB2312" w:cs="Times New Roman"/>
          <w:sz w:val="32"/>
          <w:szCs w:val="32"/>
        </w:rPr>
        <w:t>是省级财政二级预算单位，下属决算单位0个。学</w:t>
      </w:r>
      <w:r>
        <w:rPr>
          <w:rFonts w:hint="default" w:ascii="Times New Roman" w:hAnsi="Times New Roman" w:eastAsia="仿宋_GB2312" w:cs="Times New Roman"/>
          <w:sz w:val="32"/>
          <w:szCs w:val="32"/>
          <w:lang w:eastAsia="zh-CN"/>
        </w:rPr>
        <w:t>校</w:t>
      </w:r>
      <w:r>
        <w:rPr>
          <w:rFonts w:hint="default" w:ascii="Times New Roman" w:hAnsi="Times New Roman" w:eastAsia="仿宋_GB2312" w:cs="Times New Roman"/>
          <w:sz w:val="32"/>
          <w:szCs w:val="32"/>
        </w:rPr>
        <w:t>内部下设有9个教学单位</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sz w:val="32"/>
          <w:szCs w:val="32"/>
          <w:lang w:val="en-US" w:eastAsia="zh-CN"/>
        </w:rPr>
        <w:t>23</w:t>
      </w:r>
      <w:r>
        <w:rPr>
          <w:rFonts w:hint="default" w:ascii="Times New Roman" w:hAnsi="Times New Roman" w:eastAsia="仿宋_GB2312" w:cs="Times New Roman"/>
          <w:sz w:val="32"/>
          <w:szCs w:val="32"/>
        </w:rPr>
        <w:t>个服务管理职能部门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分别是：</w:t>
      </w:r>
      <w:r>
        <w:rPr>
          <w:rFonts w:hint="default" w:ascii="Times New Roman" w:hAnsi="Times New Roman" w:eastAsia="仿宋_GB2312" w:cs="Times New Roman"/>
          <w:sz w:val="32"/>
          <w:szCs w:val="32"/>
        </w:rPr>
        <w:t>轻工工程学院、设计艺术学院、智能制造与信息工程学院、经济管理学院（职业经理人学院）、都江堰电子商务学院、国际旅游与体育学院、碳达峰碳中和技术学院、马克思主义学院、人文社科基础教育学院</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党委行政办公室</w:t>
      </w:r>
      <w:r>
        <w:rPr>
          <w:rFonts w:hint="default" w:ascii="Times New Roman" w:hAnsi="Times New Roman" w:eastAsia="仿宋_GB2312" w:cs="Times New Roman"/>
          <w:sz w:val="32"/>
          <w:szCs w:val="32"/>
        </w:rPr>
        <w:t>、党委组织部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人事教师工作处）、党委宣传统战部、纪委办公室（监察审计处）、政策法规与发展规划处、党委学生工作部（学生工作处）、心理健康教育中心、信息中心、教师发展中心、武装部（保卫处）、教务处（实践教学中心、质量办）、双高办、计划财务处（招投标办）、总务处、重大项目办、招生就业处、科技处、对外交流合作处、图书情报馆、继续教育部、工会办公室、离退休工作处、团委</w:t>
      </w:r>
      <w:r>
        <w:rPr>
          <w:rFonts w:hint="default" w:ascii="Times New Roman" w:hAnsi="Times New Roman" w:eastAsia="仿宋_GB2312" w:cs="Times New Roman"/>
          <w:sz w:val="32"/>
          <w:szCs w:val="32"/>
        </w:rPr>
        <w:t>。</w:t>
      </w:r>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3"/>
        <w:jc w:val="center"/>
        <w:rPr>
          <w:rFonts w:ascii="Times New Roman" w:hAnsi="Times New Roman"/>
          <w:color w:val="auto"/>
          <w:highlight w:val="none"/>
        </w:rPr>
      </w:pPr>
      <w:bookmarkStart w:id="12" w:name="_Toc15377204"/>
      <w:bookmarkStart w:id="13"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eastAsia="方正小标宋简体" w:cs="方正小标宋简体"/>
          <w:b w:val="0"/>
          <w:color w:val="auto"/>
          <w:highlight w:val="none"/>
          <w:lang w:eastAsia="zh-CN"/>
        </w:rPr>
        <w:t>单位</w:t>
      </w:r>
      <w:r>
        <w:rPr>
          <w:rFonts w:hint="eastAsia" w:ascii="Times New Roman" w:hAnsi="Times New Roman" w:eastAsia="方正小标宋简体" w:cs="方正小标宋简体"/>
          <w:b w:val="0"/>
          <w:color w:val="auto"/>
          <w:highlight w:val="none"/>
        </w:rPr>
        <w:t>决算情况说明</w:t>
      </w:r>
      <w:bookmarkEnd w:id="12"/>
      <w:bookmarkEnd w:id="13"/>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14" w:name="_Toc15377205"/>
      <w:bookmarkStart w:id="15"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0"/>
          <w:rFonts w:hint="eastAsia" w:ascii="Times New Roman" w:hAnsi="Times New Roman" w:eastAsia="黑体"/>
          <w:b w:val="0"/>
          <w:color w:val="auto"/>
          <w:highlight w:val="none"/>
        </w:rPr>
        <w:t>入支出决算总体情况说明</w:t>
      </w:r>
      <w:bookmarkEnd w:id="14"/>
      <w:bookmarkEnd w:id="15"/>
    </w:p>
    <w:p>
      <w:pPr>
        <w:spacing w:line="360" w:lineRule="auto"/>
        <w:ind w:firstLine="640" w:firstLineChars="200"/>
        <w:rPr>
          <w:rFonts w:hint="default" w:ascii="Times New Roman" w:hAnsi="Times New Roman" w:eastAsia="仿宋_GB2312" w:cs="Times New Roman"/>
          <w:color w:val="000000" w:themeColor="text1"/>
          <w:sz w:val="32"/>
          <w:szCs w:val="32"/>
          <w:lang w:val="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202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年度</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学院收入总</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计</w:t>
      </w:r>
      <w:r>
        <w:rPr>
          <w:rFonts w:hint="default" w:ascii="Times New Roman" w:hAnsi="Times New Roman" w:eastAsia="仿宋_GB2312" w:cs="Times New Roman"/>
          <w:sz w:val="32"/>
          <w:szCs w:val="32"/>
        </w:rPr>
        <w:t>25796.34</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万元，比202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年度收入总</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计26161.85</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万元</w:t>
      </w:r>
      <w:r>
        <w:rPr>
          <w:rFonts w:hint="default" w:ascii="Times New Roman" w:hAnsi="Times New Roman" w:eastAsia="仿宋_GB2312" w:cs="Times New Roman"/>
          <w:color w:val="auto"/>
          <w:sz w:val="32"/>
          <w:szCs w:val="32"/>
          <w:highlight w:val="none"/>
        </w:rPr>
        <w:t>减少</w:t>
      </w:r>
      <w:r>
        <w:rPr>
          <w:rFonts w:hint="default" w:ascii="Times New Roman" w:hAnsi="Times New Roman" w:eastAsia="仿宋_GB2312" w:cs="Times New Roman"/>
          <w:color w:val="000000"/>
          <w:sz w:val="32"/>
          <w:szCs w:val="32"/>
          <w:highlight w:val="none"/>
          <w:lang w:val="en-US" w:eastAsia="zh-CN"/>
        </w:rPr>
        <w:t>365.51</w:t>
      </w:r>
      <w:r>
        <w:rPr>
          <w:rFonts w:hint="default" w:ascii="Times New Roman" w:hAnsi="Times New Roman" w:eastAsia="仿宋_GB2312" w:cs="Times New Roman"/>
          <w:color w:val="000000"/>
          <w:sz w:val="32"/>
          <w:szCs w:val="32"/>
          <w:highlight w:val="none"/>
        </w:rPr>
        <w:t>万元</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收入总计</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下降</w:t>
      </w:r>
      <w:r>
        <w:rPr>
          <w:rFonts w:hint="default" w:ascii="Times New Roman" w:hAnsi="Times New Roman" w:eastAsia="仿宋_GB2312" w:cs="Times New Roman"/>
          <w:color w:val="000000"/>
          <w:sz w:val="32"/>
          <w:szCs w:val="32"/>
          <w:highlight w:val="none"/>
          <w:lang w:val="en-US" w:eastAsia="zh-CN"/>
        </w:rPr>
        <w:t>1.4</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主要</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变动原因：一</w:t>
      </w:r>
      <w:r>
        <w:rPr>
          <w:rFonts w:hint="default" w:ascii="Times New Roman" w:hAnsi="Times New Roman" w:eastAsia="仿宋_GB2312" w:cs="Times New Roman"/>
          <w:color w:val="000000" w:themeColor="text1"/>
          <w:sz w:val="32"/>
          <w:szCs w:val="32"/>
          <w14:textFill>
            <w14:solidFill>
              <w14:schemeClr w14:val="tx1"/>
            </w14:solidFill>
          </w14:textFill>
        </w:rPr>
        <w:t>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w:t>
      </w:r>
      <w:r>
        <w:rPr>
          <w:rFonts w:hint="default" w:ascii="Times New Roman" w:hAnsi="Times New Roman" w:eastAsia="仿宋_GB2312" w:cs="Times New Roman"/>
          <w:color w:val="000000" w:themeColor="text1"/>
          <w:sz w:val="32"/>
          <w:szCs w:val="32"/>
          <w14:textFill>
            <w14:solidFill>
              <w14:schemeClr w14:val="tx1"/>
            </w14:solidFill>
          </w14:textFill>
        </w:rPr>
        <w:t>一般公共预算</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财政</w:t>
      </w:r>
      <w:r>
        <w:rPr>
          <w:rFonts w:hint="default" w:ascii="Times New Roman" w:hAnsi="Times New Roman" w:eastAsia="仿宋_GB2312" w:cs="Times New Roman"/>
          <w:color w:val="000000" w:themeColor="text1"/>
          <w:sz w:val="32"/>
          <w:szCs w:val="32"/>
          <w14:textFill>
            <w14:solidFill>
              <w14:schemeClr w14:val="tx1"/>
            </w14:solidFill>
          </w14:textFill>
        </w:rPr>
        <w:t>拨款</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增加571.35万元；二是</w:t>
      </w:r>
      <w:r>
        <w:rPr>
          <w:rFonts w:hint="default" w:ascii="Times New Roman" w:hAnsi="Times New Roman" w:eastAsia="仿宋_GB2312" w:cs="Times New Roman"/>
          <w:i w:val="0"/>
          <w:iCs w:val="0"/>
          <w:caps w:val="0"/>
          <w:color w:val="000000" w:themeColor="text1"/>
          <w:spacing w:val="0"/>
          <w:sz w:val="32"/>
          <w:szCs w:val="32"/>
          <w:shd w:val="clear" w:fill="FFFFFF"/>
          <w:lang w:val="en-US" w:eastAsia="zh-CN"/>
          <w14:textFill>
            <w14:solidFill>
              <w14:schemeClr w14:val="tx1"/>
            </w14:solidFill>
          </w14:textFill>
        </w:rPr>
        <w:t>事业收入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减少</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626.46万元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三是其他收入</w:t>
      </w:r>
      <w:r>
        <w:rPr>
          <w:rFonts w:hint="default" w:ascii="Times New Roman" w:hAnsi="Times New Roman" w:eastAsia="仿宋_GB2312" w:cs="Times New Roman"/>
          <w:color w:val="000000"/>
          <w:sz w:val="32"/>
          <w:szCs w:val="32"/>
          <w:highlight w:val="none"/>
          <w:lang w:val="en-US" w:eastAsia="zh-CN"/>
        </w:rPr>
        <w:t>（</w:t>
      </w:r>
      <w:r>
        <w:rPr>
          <w:rFonts w:hint="default" w:ascii="Times New Roman" w:hAnsi="Times New Roman" w:eastAsia="仿宋_GB2312" w:cs="Times New Roman"/>
          <w:color w:val="000000"/>
          <w:sz w:val="32"/>
          <w:szCs w:val="32"/>
          <w:highlight w:val="none"/>
          <w:lang w:eastAsia="zh-CN"/>
        </w:rPr>
        <w:t>单位资金</w:t>
      </w:r>
      <w:r>
        <w:rPr>
          <w:rFonts w:hint="default" w:ascii="Times New Roman" w:hAnsi="Times New Roman" w:eastAsia="仿宋_GB2312" w:cs="Times New Roman"/>
          <w:color w:val="000000"/>
          <w:sz w:val="32"/>
          <w:szCs w:val="32"/>
          <w:highlight w:val="none"/>
          <w:lang w:val="en-US" w:eastAsia="zh-CN"/>
        </w:rPr>
        <w:t>中长期贷款</w:t>
      </w:r>
      <w:r>
        <w:rPr>
          <w:rFonts w:hint="default" w:ascii="Times New Roman" w:hAnsi="Times New Roman" w:eastAsia="仿宋_GB2312" w:cs="Times New Roman"/>
          <w:color w:val="000000"/>
          <w:sz w:val="32"/>
          <w:szCs w:val="32"/>
          <w:highlight w:val="none"/>
          <w:lang w:eastAsia="zh-CN"/>
        </w:rPr>
        <w:t>）减少</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310.41万元</w:t>
      </w:r>
      <w:r>
        <w:rPr>
          <w:rFonts w:hint="default" w:ascii="Times New Roman" w:hAnsi="Times New Roman" w:eastAsia="仿宋_GB2312" w:cs="Times New Roman"/>
          <w:color w:val="000000" w:themeColor="text1"/>
          <w:sz w:val="32"/>
          <w:szCs w:val="32"/>
          <w14:textFill>
            <w14:solidFill>
              <w14:schemeClr w14:val="tx1"/>
            </w14:solidFill>
          </w14:textFill>
        </w:rPr>
        <w:t>。</w:t>
      </w:r>
    </w:p>
    <w:p>
      <w:pPr>
        <w:spacing w:line="360" w:lineRule="auto"/>
        <w:ind w:firstLine="56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2024年度，学院</w:t>
      </w:r>
      <w:r>
        <w:rPr>
          <w:rFonts w:hint="default" w:ascii="Times New Roman" w:hAnsi="Times New Roman" w:eastAsia="仿宋_GB2312" w:cs="Times New Roman"/>
          <w:color w:val="000000" w:themeColor="text1"/>
          <w:sz w:val="32"/>
          <w:szCs w:val="32"/>
          <w:lang w:val="zh-CN"/>
          <w14:textFill>
            <w14:solidFill>
              <w14:schemeClr w14:val="tx1"/>
            </w14:solidFill>
          </w14:textFill>
        </w:rPr>
        <w:t>支出总</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计</w:t>
      </w:r>
      <w:r>
        <w:rPr>
          <w:rFonts w:hint="default" w:ascii="Times New Roman" w:hAnsi="Times New Roman" w:eastAsia="仿宋_GB2312" w:cs="Times New Roman"/>
          <w:sz w:val="32"/>
          <w:szCs w:val="32"/>
        </w:rPr>
        <w:t>25796.34</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万元，比202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年度</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支出</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总</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计26161.85</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万元</w:t>
      </w:r>
      <w:r>
        <w:rPr>
          <w:rFonts w:hint="default" w:ascii="Times New Roman" w:hAnsi="Times New Roman" w:eastAsia="仿宋_GB2312" w:cs="Times New Roman"/>
          <w:color w:val="auto"/>
          <w:sz w:val="32"/>
          <w:szCs w:val="32"/>
          <w:highlight w:val="none"/>
        </w:rPr>
        <w:t>减少</w:t>
      </w:r>
      <w:r>
        <w:rPr>
          <w:rFonts w:hint="default" w:ascii="Times New Roman" w:hAnsi="Times New Roman" w:eastAsia="仿宋_GB2312" w:cs="Times New Roman"/>
          <w:color w:val="000000"/>
          <w:sz w:val="32"/>
          <w:szCs w:val="32"/>
          <w:highlight w:val="none"/>
          <w:lang w:val="en-US" w:eastAsia="zh-CN"/>
        </w:rPr>
        <w:t>365.51</w:t>
      </w:r>
      <w:r>
        <w:rPr>
          <w:rFonts w:hint="default" w:ascii="Times New Roman" w:hAnsi="Times New Roman" w:eastAsia="仿宋_GB2312" w:cs="Times New Roman"/>
          <w:color w:val="000000"/>
          <w:sz w:val="32"/>
          <w:szCs w:val="32"/>
          <w:highlight w:val="none"/>
        </w:rPr>
        <w:t>万元</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支出总计</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下降</w:t>
      </w:r>
      <w:r>
        <w:rPr>
          <w:rFonts w:hint="default" w:ascii="Times New Roman" w:hAnsi="Times New Roman" w:eastAsia="仿宋_GB2312" w:cs="Times New Roman"/>
          <w:color w:val="000000"/>
          <w:sz w:val="32"/>
          <w:szCs w:val="32"/>
          <w:highlight w:val="none"/>
          <w:lang w:val="en-US" w:eastAsia="zh-CN"/>
        </w:rPr>
        <w:t>1.4</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主要变动原因</w:t>
      </w:r>
      <w:r>
        <w:rPr>
          <w:rFonts w:hint="default" w:ascii="Times New Roman" w:hAnsi="Times New Roman" w:eastAsia="仿宋_GB2312" w:cs="Times New Roman"/>
          <w:color w:val="000000"/>
          <w:sz w:val="32"/>
          <w:szCs w:val="32"/>
          <w:highlight w:val="none"/>
          <w:lang w:val="en-US" w:eastAsia="zh-CN"/>
        </w:rPr>
        <w:t>是2024年度</w:t>
      </w:r>
      <w:r>
        <w:rPr>
          <w:rFonts w:hint="default" w:ascii="Times New Roman" w:hAnsi="Times New Roman" w:eastAsia="仿宋_GB2312" w:cs="Times New Roman"/>
          <w:color w:val="000000"/>
          <w:sz w:val="32"/>
          <w:szCs w:val="32"/>
          <w:highlight w:val="none"/>
          <w:lang w:eastAsia="zh-CN"/>
        </w:rPr>
        <w:t>专用设备和软件购置</w:t>
      </w:r>
      <w:r>
        <w:rPr>
          <w:rFonts w:hint="default" w:ascii="Times New Roman" w:hAnsi="Times New Roman" w:eastAsia="仿宋_GB2312" w:cs="Times New Roman"/>
          <w:color w:val="000000"/>
          <w:sz w:val="32"/>
          <w:szCs w:val="32"/>
          <w:highlight w:val="none"/>
          <w:lang w:val="en-US" w:eastAsia="zh-CN"/>
        </w:rPr>
        <w:t>减少</w:t>
      </w:r>
      <w:r>
        <w:rPr>
          <w:rFonts w:hint="default" w:ascii="Times New Roman" w:hAnsi="Times New Roman" w:eastAsia="仿宋_GB2312" w:cs="Times New Roman"/>
          <w:color w:val="000000"/>
          <w:sz w:val="32"/>
          <w:szCs w:val="32"/>
          <w:highlight w:val="none"/>
          <w:lang w:val="zh-CN"/>
        </w:rPr>
        <w:t>。</w:t>
      </w:r>
    </w:p>
    <w:p>
      <w:pPr>
        <w:spacing w:line="600" w:lineRule="exact"/>
        <w:ind w:firstLine="1280" w:firstLineChars="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图1：收、支决算总计变动情况图</w:t>
      </w:r>
    </w:p>
    <w:p>
      <w:pPr>
        <w:adjustRightInd w:val="0"/>
        <w:snapToGrid w:val="0"/>
        <w:spacing w:line="360" w:lineRule="auto"/>
        <w:ind w:right="480" w:firstLine="600"/>
        <w:jc w:val="center"/>
        <w:rPr>
          <w:rFonts w:hint="eastAsia" w:ascii="仿宋_GB2312" w:hAnsi="仿宋_GB2312" w:eastAsia="仿宋_GB2312" w:cs="仿宋_GB2312"/>
          <w:color w:val="000000"/>
          <w:sz w:val="24"/>
          <w:lang w:val="zh-CN"/>
        </w:rPr>
      </w:pP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lang w:val="zh-CN"/>
        </w:rPr>
        <w:t>(单位：万元)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仿宋_GB2312" w:cs="仿宋_GB2312"/>
          <w:color w:val="auto"/>
          <w:sz w:val="32"/>
          <w:szCs w:val="32"/>
          <w:highlight w:val="none"/>
        </w:rPr>
      </w:pPr>
      <w:r>
        <w:drawing>
          <wp:inline distT="0" distB="0" distL="114300" distR="114300">
            <wp:extent cx="4943475" cy="3018155"/>
            <wp:effectExtent l="4445" t="4445" r="5080" b="6350"/>
            <wp:docPr id="18"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16" w:name="_Toc15377206"/>
      <w:bookmarkStart w:id="17" w:name="_Toc15396604"/>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二、收入决算情况说明</w:t>
      </w:r>
      <w:bookmarkEnd w:id="16"/>
      <w:bookmarkEnd w:id="17"/>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2024年度本年收入合计</w:t>
      </w:r>
      <w:r>
        <w:rPr>
          <w:rFonts w:hint="default" w:ascii="Times New Roman" w:hAnsi="Times New Roman" w:eastAsia="仿宋_GB2312" w:cs="Times New Roman"/>
          <w:sz w:val="32"/>
          <w:szCs w:val="32"/>
        </w:rPr>
        <w:t>25796.34万元，其中：一般公共预算财政拨款收入18601.72</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72.1</w:t>
      </w:r>
      <w:r>
        <w:rPr>
          <w:rFonts w:hint="default" w:ascii="Times New Roman" w:hAnsi="Times New Roman" w:eastAsia="仿宋_GB2312" w:cs="Times New Roman"/>
          <w:color w:val="auto"/>
          <w:sz w:val="32"/>
          <w:szCs w:val="32"/>
          <w:highlight w:val="none"/>
          <w:lang w:eastAsia="zh-CN"/>
        </w:rPr>
        <w:t>%；事业收入</w:t>
      </w:r>
      <w:r>
        <w:rPr>
          <w:rFonts w:hint="default" w:ascii="Times New Roman" w:hAnsi="Times New Roman" w:eastAsia="仿宋_GB2312" w:cs="Times New Roman"/>
          <w:sz w:val="32"/>
          <w:szCs w:val="32"/>
        </w:rPr>
        <w:t>6661.45</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25.8</w:t>
      </w:r>
      <w:r>
        <w:rPr>
          <w:rFonts w:hint="default" w:ascii="Times New Roman" w:hAnsi="Times New Roman" w:eastAsia="仿宋_GB2312" w:cs="Times New Roman"/>
          <w:color w:val="auto"/>
          <w:sz w:val="32"/>
          <w:szCs w:val="32"/>
          <w:highlight w:val="none"/>
          <w:lang w:eastAsia="zh-CN"/>
        </w:rPr>
        <w:t>%；其他收入</w:t>
      </w:r>
      <w:r>
        <w:rPr>
          <w:rFonts w:hint="default" w:ascii="Times New Roman" w:hAnsi="Times New Roman" w:eastAsia="仿宋_GB2312" w:cs="Times New Roman"/>
          <w:sz w:val="32"/>
          <w:szCs w:val="32"/>
        </w:rPr>
        <w:t>533.17</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color w:val="auto"/>
          <w:sz w:val="32"/>
          <w:szCs w:val="32"/>
          <w:highlight w:val="none"/>
          <w:lang w:eastAsia="zh-CN"/>
        </w:rPr>
        <w:t>%。</w:t>
      </w:r>
    </w:p>
    <w:p>
      <w:pPr>
        <w:spacing w:line="600" w:lineRule="exact"/>
        <w:ind w:firstLine="2560" w:firstLineChars="800"/>
        <w:rPr>
          <w:rFonts w:hint="default" w:ascii="Times New Roman" w:hAnsi="Times New Roman" w:eastAsia="仿宋" w:cs="Times New Roman"/>
          <w:sz w:val="32"/>
          <w:szCs w:val="32"/>
        </w:rPr>
      </w:pPr>
      <w:bookmarkStart w:id="18" w:name="_Toc15396605"/>
      <w:bookmarkStart w:id="19" w:name="_Toc15377207"/>
      <w:r>
        <w:rPr>
          <w:rFonts w:hint="default" w:ascii="Times New Roman" w:hAnsi="Times New Roman" w:eastAsia="仿宋" w:cs="Times New Roman"/>
          <w:sz w:val="32"/>
          <w:szCs w:val="32"/>
        </w:rPr>
        <w:t>图2：收入决算结构图</w:t>
      </w:r>
    </w:p>
    <w:p>
      <w:pPr>
        <w:adjustRightInd w:val="0"/>
        <w:snapToGrid w:val="0"/>
        <w:spacing w:line="360" w:lineRule="auto"/>
        <w:ind w:right="480" w:firstLine="600"/>
        <w:jc w:val="center"/>
        <w:rPr>
          <w:rFonts w:hint="default" w:ascii="Times New Roman" w:hAnsi="Times New Roman" w:eastAsia="仿宋_GB2312" w:cs="Times New Roman"/>
          <w:color w:val="000000"/>
          <w:sz w:val="24"/>
          <w:lang w:val="zh-CN"/>
        </w:rPr>
      </w:pPr>
      <w:r>
        <w:rPr>
          <w:rFonts w:hint="default" w:ascii="Times New Roman" w:hAnsi="Times New Roman" w:eastAsia="仿宋_GB2312" w:cs="Times New Roman"/>
          <w:color w:val="000000"/>
          <w:sz w:val="24"/>
          <w:lang w:val="en-US" w:eastAsia="zh-CN"/>
        </w:rPr>
        <w:t xml:space="preserve">                                                 </w:t>
      </w:r>
      <w:r>
        <w:rPr>
          <w:rFonts w:hint="default" w:ascii="Times New Roman" w:hAnsi="Times New Roman" w:eastAsia="仿宋_GB2312" w:cs="Times New Roman"/>
          <w:color w:val="000000"/>
          <w:sz w:val="24"/>
          <w:lang w:val="zh-CN"/>
        </w:rPr>
        <w:t>(单位：万元)</w:t>
      </w:r>
    </w:p>
    <w:p>
      <w:pPr>
        <w:pStyle w:val="2"/>
        <w:rPr>
          <w:rFonts w:hint="eastAsia"/>
          <w:lang w:val="zh-CN"/>
        </w:rPr>
      </w:pPr>
      <w:r>
        <w:drawing>
          <wp:inline distT="0" distB="0" distL="114300" distR="114300">
            <wp:extent cx="4847590" cy="2289810"/>
            <wp:effectExtent l="4445" t="5080" r="5715" b="10160"/>
            <wp:docPr id="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0"/>
          <w:rFonts w:hint="eastAsia" w:ascii="Times New Roman" w:hAnsi="Times New Roman" w:eastAsia="黑体"/>
          <w:b w:val="0"/>
          <w:color w:val="auto"/>
          <w:highlight w:val="none"/>
        </w:rPr>
        <w:t>出决算情况说明</w:t>
      </w:r>
      <w:bookmarkEnd w:id="18"/>
      <w:bookmarkEnd w:id="19"/>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2024年度本年支出合计</w:t>
      </w:r>
      <w:r>
        <w:rPr>
          <w:rFonts w:hint="default" w:ascii="Times New Roman" w:hAnsi="Times New Roman" w:eastAsia="仿宋_GB2312" w:cs="Times New Roman"/>
          <w:sz w:val="32"/>
          <w:szCs w:val="32"/>
        </w:rPr>
        <w:t>25796.34</w:t>
      </w:r>
      <w:r>
        <w:rPr>
          <w:rFonts w:hint="default" w:ascii="Times New Roman" w:hAnsi="Times New Roman" w:eastAsia="仿宋_GB2312" w:cs="Times New Roman"/>
          <w:color w:val="auto"/>
          <w:sz w:val="32"/>
          <w:szCs w:val="32"/>
          <w:highlight w:val="none"/>
          <w:lang w:eastAsia="zh-CN"/>
        </w:rPr>
        <w:t>万元，其中：基本支出</w:t>
      </w:r>
      <w:r>
        <w:rPr>
          <w:rFonts w:hint="default" w:ascii="Times New Roman" w:hAnsi="Times New Roman" w:eastAsia="仿宋_GB2312" w:cs="Times New Roman"/>
          <w:sz w:val="32"/>
          <w:szCs w:val="32"/>
        </w:rPr>
        <w:t>16045.32</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62.</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color w:val="auto"/>
          <w:sz w:val="32"/>
          <w:szCs w:val="32"/>
          <w:highlight w:val="none"/>
          <w:lang w:eastAsia="zh-CN"/>
        </w:rPr>
        <w:t>%；项目支出</w:t>
      </w:r>
      <w:r>
        <w:rPr>
          <w:rFonts w:hint="default" w:ascii="Times New Roman" w:hAnsi="Times New Roman" w:eastAsia="仿宋_GB2312" w:cs="Times New Roman"/>
          <w:sz w:val="32"/>
          <w:szCs w:val="32"/>
        </w:rPr>
        <w:t>9751.02</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37.8</w:t>
      </w:r>
      <w:r>
        <w:rPr>
          <w:rFonts w:hint="default" w:ascii="Times New Roman" w:hAnsi="Times New Roman" w:eastAsia="仿宋_GB2312" w:cs="Times New Roman"/>
          <w:color w:val="auto"/>
          <w:sz w:val="32"/>
          <w:szCs w:val="32"/>
          <w:highlight w:val="none"/>
          <w:lang w:eastAsia="zh-CN"/>
        </w:rPr>
        <w:t>%。</w:t>
      </w:r>
    </w:p>
    <w:p>
      <w:pPr>
        <w:spacing w:line="600" w:lineRule="exact"/>
        <w:ind w:firstLine="2880" w:firstLineChars="900"/>
        <w:rPr>
          <w:rFonts w:hint="eastAsia" w:ascii="仿宋_GB2312" w:hAnsi="仿宋_GB2312" w:eastAsia="仿宋_GB2312" w:cs="仿宋_GB2312"/>
          <w:b w:val="0"/>
          <w:bCs w:val="0"/>
          <w:sz w:val="32"/>
          <w:szCs w:val="32"/>
        </w:rPr>
      </w:pPr>
      <w:bookmarkStart w:id="20" w:name="_Toc15377208"/>
      <w:bookmarkStart w:id="21" w:name="_Toc15396606"/>
      <w:r>
        <w:rPr>
          <w:rFonts w:hint="eastAsia" w:ascii="仿宋_GB2312" w:hAnsi="仿宋_GB2312" w:eastAsia="仿宋_GB2312" w:cs="仿宋_GB2312"/>
          <w:b w:val="0"/>
          <w:bCs w:val="0"/>
          <w:sz w:val="32"/>
          <w:szCs w:val="32"/>
        </w:rPr>
        <w:t>图3：支出决算结构图</w:t>
      </w:r>
    </w:p>
    <w:p>
      <w:pPr>
        <w:adjustRightInd w:val="0"/>
        <w:snapToGrid w:val="0"/>
        <w:spacing w:line="360" w:lineRule="auto"/>
        <w:ind w:right="480" w:firstLine="600"/>
        <w:jc w:val="center"/>
        <w:rPr>
          <w:rFonts w:hint="eastAsia" w:ascii="仿宋_GB2312" w:hAnsi="仿宋_GB2312" w:eastAsia="仿宋_GB2312" w:cs="仿宋_GB2312"/>
          <w:color w:val="000000"/>
          <w:sz w:val="24"/>
          <w:lang w:val="zh-CN"/>
        </w:rPr>
      </w:pP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lang w:val="zh-CN"/>
        </w:rPr>
        <w:t>(单位：万元)</w:t>
      </w:r>
    </w:p>
    <w:p>
      <w:pPr>
        <w:pStyle w:val="2"/>
      </w:pPr>
      <w:r>
        <w:drawing>
          <wp:inline distT="0" distB="0" distL="114300" distR="114300">
            <wp:extent cx="4905375" cy="1958340"/>
            <wp:effectExtent l="4445" t="4445" r="5080" b="18415"/>
            <wp:docPr id="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keepNext w:val="0"/>
        <w:keepLines w:val="0"/>
        <w:pageBreakBefore w:val="0"/>
        <w:widowControl w:val="0"/>
        <w:kinsoku/>
        <w:wordWrap/>
        <w:overflowPunct/>
        <w:topLinePunct w:val="0"/>
        <w:autoSpaceDE/>
        <w:autoSpaceDN/>
        <w:bidi w:val="0"/>
        <w:spacing w:line="360" w:lineRule="auto"/>
        <w:ind w:firstLine="640" w:firstLineChars="200"/>
        <w:textAlignment w:val="auto"/>
        <w:outlineLvl w:val="1"/>
        <w:rPr>
          <w:rStyle w:val="30"/>
          <w:rFonts w:ascii="Times New Roman" w:hAnsi="Times New Roman" w:eastAsia="黑体"/>
          <w:b w:val="0"/>
          <w:color w:val="000000" w:themeColor="text1"/>
          <w:highlight w:val="none"/>
          <w14:textFill>
            <w14:solidFill>
              <w14:schemeClr w14:val="tx1"/>
            </w14:solidFill>
          </w14:textFill>
        </w:rPr>
      </w:pPr>
      <w:r>
        <w:rPr>
          <w:rFonts w:hint="eastAsia" w:ascii="Times New Roman" w:hAnsi="Times New Roman" w:eastAsia="黑体"/>
          <w:color w:val="000000" w:themeColor="text1"/>
          <w:sz w:val="32"/>
          <w:szCs w:val="32"/>
          <w:highlight w:val="none"/>
          <w14:textFill>
            <w14:solidFill>
              <w14:schemeClr w14:val="tx1"/>
            </w14:solidFill>
          </w14:textFill>
        </w:rPr>
        <w:t>四、财</w:t>
      </w:r>
      <w:r>
        <w:rPr>
          <w:rStyle w:val="30"/>
          <w:rFonts w:hint="eastAsia" w:ascii="Times New Roman" w:hAnsi="Times New Roman" w:eastAsia="黑体"/>
          <w:b w:val="0"/>
          <w:color w:val="000000" w:themeColor="text1"/>
          <w:highlight w:val="none"/>
          <w14:textFill>
            <w14:solidFill>
              <w14:schemeClr w14:val="tx1"/>
            </w14:solidFill>
          </w14:textFill>
        </w:rPr>
        <w:t>政拨款收入支出决算总体情况说明</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2024年度财政拨款收入、支出总计均为</w:t>
      </w:r>
      <w:r>
        <w:rPr>
          <w:rFonts w:hint="default" w:ascii="Times New Roman" w:hAnsi="Times New Roman" w:eastAsia="仿宋_GB2312" w:cs="Times New Roman"/>
          <w:sz w:val="32"/>
          <w:szCs w:val="32"/>
        </w:rPr>
        <w:t>18601.72</w:t>
      </w:r>
      <w:r>
        <w:rPr>
          <w:rFonts w:hint="default" w:ascii="Times New Roman" w:hAnsi="Times New Roman" w:eastAsia="仿宋_GB2312" w:cs="Times New Roman"/>
          <w:color w:val="auto"/>
          <w:kern w:val="2"/>
          <w:sz w:val="32"/>
          <w:szCs w:val="32"/>
          <w:highlight w:val="none"/>
          <w:lang w:val="en-US" w:eastAsia="zh-CN" w:bidi="ar-SA"/>
        </w:rPr>
        <w:t>万元。与2023年度相比，财政拨款收入总计、支出总计均增加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571.35万元</w:t>
      </w:r>
      <w:r>
        <w:rPr>
          <w:rFonts w:hint="default" w:ascii="Times New Roman" w:hAnsi="Times New Roman" w:eastAsia="仿宋_GB2312" w:cs="Times New Roman"/>
          <w:color w:val="auto"/>
          <w:kern w:val="2"/>
          <w:sz w:val="32"/>
          <w:szCs w:val="32"/>
          <w:highlight w:val="none"/>
          <w:lang w:val="en-US" w:eastAsia="zh-CN" w:bidi="ar-SA"/>
        </w:rPr>
        <w:t>，增长3.2%。主要变动原因是</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高职院校生均补助资金收支增加。</w:t>
      </w:r>
    </w:p>
    <w:p>
      <w:pPr>
        <w:adjustRightInd w:val="0"/>
        <w:snapToGrid w:val="0"/>
        <w:spacing w:line="360" w:lineRule="auto"/>
        <w:ind w:firstLine="1280" w:firstLineChars="400"/>
        <w:rPr>
          <w:rFonts w:hint="default" w:ascii="Times New Roman" w:hAnsi="Times New Roman" w:eastAsia="仿宋_GB2312" w:cs="Times New Roman"/>
          <w:sz w:val="32"/>
          <w:szCs w:val="32"/>
          <w:lang w:val="en-US" w:eastAsia="zh-CN"/>
        </w:rPr>
      </w:pPr>
      <w:bookmarkStart w:id="22" w:name="_Toc15377209"/>
      <w:bookmarkStart w:id="23" w:name="_Toc15396607"/>
      <w:r>
        <w:rPr>
          <w:rFonts w:hint="default" w:ascii="Times New Roman" w:hAnsi="Times New Roman" w:eastAsia="仿宋_GB2312" w:cs="Times New Roman"/>
          <w:sz w:val="32"/>
          <w:szCs w:val="32"/>
        </w:rPr>
        <w:t>图4：财政拨款收、支决算总计变动情况</w:t>
      </w:r>
      <w:r>
        <w:rPr>
          <w:rFonts w:hint="default" w:ascii="Times New Roman" w:hAnsi="Times New Roman" w:eastAsia="仿宋_GB2312" w:cs="Times New Roman"/>
          <w:sz w:val="32"/>
          <w:szCs w:val="32"/>
          <w:lang w:val="en-US" w:eastAsia="zh-CN"/>
        </w:rPr>
        <w:t xml:space="preserve"> </w:t>
      </w:r>
    </w:p>
    <w:p>
      <w:pPr>
        <w:adjustRightInd w:val="0"/>
        <w:snapToGrid w:val="0"/>
        <w:spacing w:line="360" w:lineRule="auto"/>
        <w:ind w:right="480" w:firstLine="600"/>
        <w:jc w:val="center"/>
        <w:rPr>
          <w:rFonts w:hint="default" w:ascii="Times New Roman" w:hAnsi="Times New Roman" w:eastAsia="仿宋_GB2312" w:cs="Times New Roman"/>
          <w:color w:val="000000"/>
          <w:sz w:val="24"/>
          <w:lang w:val="zh-CN"/>
        </w:rPr>
      </w:pPr>
      <w:r>
        <w:rPr>
          <w:rFonts w:hint="default" w:ascii="Times New Roman" w:hAnsi="Times New Roman" w:eastAsia="仿宋_GB2312" w:cs="Times New Roman"/>
          <w:color w:val="000000"/>
          <w:sz w:val="24"/>
          <w:lang w:val="en-US" w:eastAsia="zh-CN"/>
        </w:rPr>
        <w:t xml:space="preserve">                                                 </w:t>
      </w:r>
      <w:r>
        <w:rPr>
          <w:rFonts w:hint="default" w:ascii="Times New Roman" w:hAnsi="Times New Roman" w:eastAsia="仿宋_GB2312" w:cs="Times New Roman"/>
          <w:color w:val="000000"/>
          <w:sz w:val="24"/>
          <w:lang w:val="zh-CN"/>
        </w:rPr>
        <w:t>(单位：万元)</w:t>
      </w:r>
    </w:p>
    <w:p>
      <w:pPr>
        <w:pStyle w:val="2"/>
      </w:pPr>
      <w:r>
        <w:drawing>
          <wp:inline distT="0" distB="0" distL="114300" distR="114300">
            <wp:extent cx="4943475" cy="3179445"/>
            <wp:effectExtent l="4445" t="4445" r="5080" b="16510"/>
            <wp:docPr id="8"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keepNext w:val="0"/>
        <w:keepLines w:val="0"/>
        <w:pageBreakBefore w:val="0"/>
        <w:widowControl w:val="0"/>
        <w:kinsoku/>
        <w:wordWrap/>
        <w:overflowPunct/>
        <w:topLinePunct w:val="0"/>
        <w:autoSpaceDE/>
        <w:autoSpaceDN/>
        <w:bidi w:val="0"/>
        <w:spacing w:line="360" w:lineRule="auto"/>
        <w:ind w:firstLine="640" w:firstLineChars="200"/>
        <w:textAlignment w:val="auto"/>
        <w:outlineLvl w:val="1"/>
        <w:rPr>
          <w:rStyle w:val="30"/>
          <w:rFonts w:ascii="Times New Roman" w:hAnsi="Times New Roman" w:eastAsia="黑体"/>
          <w:b w:val="0"/>
          <w:color w:val="auto"/>
          <w:highlight w:val="none"/>
        </w:rPr>
      </w:pPr>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般公共预算财政拨款支出决算情况说明</w:t>
      </w:r>
      <w:bookmarkEnd w:id="22"/>
      <w:bookmarkEnd w:id="23"/>
    </w:p>
    <w:p>
      <w:pPr>
        <w:keepNext w:val="0"/>
        <w:keepLines w:val="0"/>
        <w:pageBreakBefore w:val="0"/>
        <w:widowControl w:val="0"/>
        <w:kinsoku/>
        <w:wordWrap/>
        <w:overflowPunct/>
        <w:topLinePunct w:val="0"/>
        <w:autoSpaceDE/>
        <w:autoSpaceDN/>
        <w:bidi w:val="0"/>
        <w:spacing w:line="360" w:lineRule="auto"/>
        <w:ind w:firstLine="642" w:firstLineChars="200"/>
        <w:textAlignment w:val="auto"/>
        <w:outlineLvl w:val="2"/>
        <w:rPr>
          <w:rFonts w:hint="eastAsia" w:ascii="Times New Roman" w:hAnsi="Times New Roman" w:eastAsia="楷体_GB2312" w:cs="楷体_GB2312"/>
          <w:b/>
          <w:color w:val="auto"/>
          <w:sz w:val="32"/>
          <w:szCs w:val="32"/>
          <w:highlight w:val="none"/>
        </w:rPr>
      </w:pPr>
      <w:bookmarkStart w:id="24"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4"/>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sz w:val="32"/>
          <w:szCs w:val="32"/>
        </w:rPr>
        <w:t>18601.72</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rPr>
        <w:t>72.1</w:t>
      </w:r>
      <w:r>
        <w:rPr>
          <w:rFonts w:hint="default" w:ascii="Times New Roman" w:hAnsi="Times New Roman" w:eastAsia="仿宋_GB2312" w:cs="Times New Roman"/>
          <w:color w:val="auto"/>
          <w:kern w:val="2"/>
          <w:sz w:val="32"/>
          <w:szCs w:val="32"/>
          <w:highlight w:val="none"/>
          <w:lang w:val="en-US" w:eastAsia="zh-CN" w:bidi="ar-SA"/>
        </w:rPr>
        <w:t>%。与2023年度相比，一般公共预算财政拨款支出增加</w:t>
      </w:r>
      <w:r>
        <w:rPr>
          <w:rFonts w:hint="default" w:ascii="Times New Roman" w:hAnsi="Times New Roman" w:eastAsia="仿宋" w:cs="Times New Roman"/>
          <w:color w:val="000000" w:themeColor="text1"/>
          <w:sz w:val="32"/>
          <w:szCs w:val="32"/>
          <w:lang w:val="en-US" w:eastAsia="zh-CN"/>
          <w14:textFill>
            <w14:solidFill>
              <w14:schemeClr w14:val="tx1"/>
            </w14:solidFill>
          </w14:textFill>
        </w:rPr>
        <w:t>571.35</w:t>
      </w:r>
      <w:r>
        <w:rPr>
          <w:rFonts w:hint="default" w:ascii="Times New Roman" w:hAnsi="Times New Roman" w:eastAsia="仿宋_GB2312" w:cs="Times New Roman"/>
          <w:color w:val="auto"/>
          <w:kern w:val="2"/>
          <w:sz w:val="32"/>
          <w:szCs w:val="32"/>
          <w:highlight w:val="none"/>
          <w:lang w:val="en-US" w:eastAsia="zh-CN" w:bidi="ar-SA"/>
        </w:rPr>
        <w:t>万元，增长</w:t>
      </w:r>
      <w:r>
        <w:rPr>
          <w:rFonts w:hint="default" w:ascii="Times New Roman" w:hAnsi="Times New Roman" w:eastAsia="仿宋" w:cs="Times New Roman"/>
          <w:color w:val="auto"/>
          <w:kern w:val="2"/>
          <w:sz w:val="32"/>
          <w:szCs w:val="32"/>
          <w:highlight w:val="none"/>
          <w:lang w:val="en-US" w:eastAsia="zh-CN" w:bidi="ar-SA"/>
        </w:rPr>
        <w:t>3.2</w:t>
      </w:r>
      <w:r>
        <w:rPr>
          <w:rFonts w:hint="default" w:ascii="Times New Roman" w:hAnsi="Times New Roman" w:eastAsia="仿宋_GB2312" w:cs="Times New Roman"/>
          <w:color w:val="auto"/>
          <w:kern w:val="2"/>
          <w:sz w:val="32"/>
          <w:szCs w:val="32"/>
          <w:highlight w:val="none"/>
          <w:lang w:val="en-US" w:eastAsia="zh-CN" w:bidi="ar-SA"/>
        </w:rPr>
        <w:t>%。主要变动原因</w:t>
      </w:r>
      <w:r>
        <w:rPr>
          <w:rFonts w:hint="default" w:ascii="Times New Roman" w:hAnsi="Times New Roman" w:eastAsia="仿宋" w:cs="Times New Roman"/>
          <w:color w:val="auto"/>
          <w:kern w:val="2"/>
          <w:sz w:val="32"/>
          <w:szCs w:val="32"/>
          <w:highlight w:val="none"/>
          <w:lang w:val="en-US" w:eastAsia="zh-CN" w:bidi="ar-SA"/>
        </w:rPr>
        <w:t>是</w:t>
      </w:r>
      <w:r>
        <w:rPr>
          <w:rFonts w:hint="default" w:ascii="Times New Roman" w:hAnsi="Times New Roman" w:eastAsia="仿宋" w:cs="Times New Roman"/>
          <w:color w:val="000000" w:themeColor="text1"/>
          <w:sz w:val="32"/>
          <w:szCs w:val="32"/>
          <w:highlight w:val="none"/>
          <w:lang w:val="en-US" w:eastAsia="zh-CN"/>
          <w14:textFill>
            <w14:solidFill>
              <w14:schemeClr w14:val="tx1"/>
            </w14:solidFill>
          </w14:textFill>
        </w:rPr>
        <w:t>高职院校生均补助资金收支增加。</w:t>
      </w:r>
    </w:p>
    <w:p>
      <w:pPr>
        <w:spacing w:line="600" w:lineRule="exact"/>
        <w:rPr>
          <w:rFonts w:hint="default" w:ascii="Times New Roman" w:hAnsi="Times New Roman" w:eastAsia="仿宋_GB2312" w:cs="Times New Roman"/>
          <w:color w:val="auto"/>
          <w:kern w:val="2"/>
          <w:sz w:val="32"/>
          <w:szCs w:val="32"/>
          <w:highlight w:val="none"/>
          <w:lang w:val="en-US" w:eastAsia="zh-CN" w:bidi="ar-SA"/>
        </w:rPr>
      </w:pPr>
    </w:p>
    <w:p>
      <w:pPr>
        <w:spacing w:line="600" w:lineRule="exact"/>
        <w:ind w:firstLine="960" w:firstLineChars="300"/>
        <w:rPr>
          <w:rFonts w:hint="default" w:ascii="Times New Roman" w:hAnsi="Times New Roman" w:eastAsia="仿宋" w:cs="Times New Roman"/>
          <w:sz w:val="32"/>
          <w:szCs w:val="32"/>
        </w:rPr>
      </w:pPr>
      <w:bookmarkStart w:id="25" w:name="_Toc15377211"/>
      <w:r>
        <w:rPr>
          <w:rFonts w:hint="default" w:ascii="Times New Roman" w:hAnsi="Times New Roman" w:eastAsia="仿宋" w:cs="Times New Roman"/>
          <w:sz w:val="32"/>
          <w:szCs w:val="32"/>
        </w:rPr>
        <w:t>图5：一般公共预算财政拨款支出决算变动情况</w:t>
      </w:r>
    </w:p>
    <w:p>
      <w:pPr>
        <w:adjustRightInd w:val="0"/>
        <w:snapToGrid w:val="0"/>
        <w:spacing w:line="360" w:lineRule="auto"/>
        <w:ind w:right="480" w:firstLine="600"/>
        <w:jc w:val="center"/>
        <w:rPr>
          <w:rFonts w:hint="default" w:ascii="Times New Roman" w:hAnsi="Times New Roman" w:eastAsia="仿宋_GB2312" w:cs="Times New Roman"/>
          <w:color w:val="000000"/>
          <w:sz w:val="24"/>
          <w:lang w:val="zh-CN"/>
        </w:rPr>
      </w:pPr>
      <w:r>
        <w:rPr>
          <w:rFonts w:hint="default" w:ascii="Times New Roman" w:hAnsi="Times New Roman" w:eastAsia="仿宋_GB2312" w:cs="Times New Roman"/>
          <w:color w:val="000000"/>
          <w:sz w:val="24"/>
          <w:lang w:val="en-US" w:eastAsia="zh-CN"/>
        </w:rPr>
        <w:t xml:space="preserve">                                                 </w:t>
      </w:r>
      <w:r>
        <w:rPr>
          <w:rFonts w:hint="default" w:ascii="Times New Roman" w:hAnsi="Times New Roman" w:eastAsia="仿宋_GB2312" w:cs="Times New Roman"/>
          <w:color w:val="000000"/>
          <w:sz w:val="24"/>
          <w:lang w:val="zh-CN"/>
        </w:rPr>
        <w:t>(单位：万元)</w:t>
      </w:r>
    </w:p>
    <w:p>
      <w:pPr>
        <w:pStyle w:val="2"/>
      </w:pPr>
      <w:r>
        <w:drawing>
          <wp:inline distT="0" distB="0" distL="114300" distR="114300">
            <wp:extent cx="4943475" cy="2952115"/>
            <wp:effectExtent l="4445" t="4445" r="5080" b="15240"/>
            <wp:docPr id="9"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（二）一般公共预算财政拨款支出决算结构情况</w:t>
      </w:r>
      <w:bookmarkEnd w:id="25"/>
    </w:p>
    <w:p>
      <w:pPr>
        <w:spacing w:line="600" w:lineRule="exact"/>
        <w:ind w:firstLine="640"/>
        <w:rPr>
          <w:rFonts w:hint="default" w:ascii="Times New Roman" w:hAnsi="Times New Roman" w:eastAsia="仿宋_GB2312" w:cs="Times New Roman"/>
          <w:b/>
          <w:bCs/>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sz w:val="32"/>
          <w:szCs w:val="32"/>
        </w:rPr>
        <w:t>18601.72</w:t>
      </w:r>
      <w:r>
        <w:rPr>
          <w:rFonts w:hint="default" w:ascii="Times New Roman" w:hAnsi="Times New Roman" w:eastAsia="仿宋_GB2312" w:cs="Times New Roman"/>
          <w:color w:val="auto"/>
          <w:kern w:val="2"/>
          <w:sz w:val="32"/>
          <w:szCs w:val="32"/>
          <w:highlight w:val="none"/>
          <w:lang w:val="en-US" w:eastAsia="zh-CN" w:bidi="ar-SA"/>
        </w:rPr>
        <w:t>万元，主要用于以下方面：教育支出</w:t>
      </w:r>
      <w:r>
        <w:rPr>
          <w:rFonts w:hint="default" w:ascii="Times New Roman" w:hAnsi="Times New Roman" w:eastAsia="仿宋_GB2312" w:cs="Times New Roman"/>
          <w:sz w:val="32"/>
          <w:szCs w:val="32"/>
        </w:rPr>
        <w:t>18601.72</w:t>
      </w:r>
      <w:r>
        <w:rPr>
          <w:rFonts w:hint="default" w:ascii="Times New Roman" w:hAnsi="Times New Roman" w:eastAsia="仿宋_GB2312" w:cs="Times New Roman"/>
          <w:color w:val="auto"/>
          <w:kern w:val="2"/>
          <w:sz w:val="32"/>
          <w:szCs w:val="32"/>
          <w:highlight w:val="none"/>
          <w:lang w:val="en-US" w:eastAsia="zh-CN" w:bidi="ar-SA"/>
        </w:rPr>
        <w:t>万元，占100%。</w:t>
      </w:r>
    </w:p>
    <w:p>
      <w:pPr>
        <w:spacing w:line="600" w:lineRule="exact"/>
        <w:ind w:firstLine="1280" w:firstLineChars="400"/>
        <w:rPr>
          <w:rFonts w:hint="default" w:ascii="Times New Roman" w:hAnsi="Times New Roman" w:eastAsia="仿宋_GB2312" w:cs="Times New Roman"/>
          <w:sz w:val="32"/>
          <w:szCs w:val="32"/>
        </w:rPr>
      </w:pPr>
      <w:bookmarkStart w:id="26" w:name="_Toc15377212"/>
      <w:r>
        <w:rPr>
          <w:rFonts w:hint="default" w:ascii="Times New Roman" w:hAnsi="Times New Roman" w:eastAsia="仿宋_GB2312" w:cs="Times New Roman"/>
          <w:sz w:val="32"/>
          <w:szCs w:val="32"/>
        </w:rPr>
        <w:t>图6：一般公共预算财政拨款支出决算结构</w:t>
      </w:r>
    </w:p>
    <w:p>
      <w:pPr>
        <w:adjustRightInd w:val="0"/>
        <w:snapToGrid w:val="0"/>
        <w:spacing w:line="360" w:lineRule="auto"/>
        <w:ind w:right="480" w:firstLine="600"/>
        <w:jc w:val="center"/>
        <w:rPr>
          <w:rFonts w:hint="default" w:ascii="Times New Roman" w:hAnsi="Times New Roman" w:eastAsia="仿宋_GB2312" w:cs="Times New Roman"/>
          <w:color w:val="000000"/>
          <w:sz w:val="24"/>
          <w:lang w:val="zh-CN"/>
        </w:rPr>
      </w:pPr>
      <w:r>
        <w:rPr>
          <w:rFonts w:hint="default" w:ascii="Times New Roman" w:hAnsi="Times New Roman" w:eastAsia="仿宋_GB2312" w:cs="Times New Roman"/>
          <w:color w:val="000000"/>
          <w:sz w:val="24"/>
          <w:lang w:val="en-US" w:eastAsia="zh-CN"/>
        </w:rPr>
        <w:t xml:space="preserve">                                                 </w:t>
      </w:r>
      <w:r>
        <w:rPr>
          <w:rFonts w:hint="default" w:ascii="Times New Roman" w:hAnsi="Times New Roman" w:eastAsia="仿宋_GB2312" w:cs="Times New Roman"/>
          <w:color w:val="000000"/>
          <w:sz w:val="24"/>
          <w:lang w:val="zh-CN"/>
        </w:rPr>
        <w:t>(单位：万元)</w:t>
      </w:r>
    </w:p>
    <w:p>
      <w:pPr>
        <w:pStyle w:val="2"/>
      </w:pPr>
      <w:r>
        <w:drawing>
          <wp:inline distT="0" distB="0" distL="114300" distR="114300">
            <wp:extent cx="4953000" cy="2757170"/>
            <wp:effectExtent l="4445" t="4445" r="14605" b="19685"/>
            <wp:docPr id="10"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（三）一般公共预算财政拨款支出决算具体情况</w:t>
      </w:r>
      <w:bookmarkEnd w:id="26"/>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bookmarkStart w:id="27" w:name="_Toc15378460"/>
      <w:bookmarkStart w:id="28" w:name="_Toc15377444"/>
      <w:bookmarkStart w:id="29" w:name="_Toc15377213"/>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2024年度一般公共预算财政拨款支出决算数为</w:t>
      </w:r>
      <w:r>
        <w:rPr>
          <w:rFonts w:hint="default" w:ascii="Times New Roman" w:hAnsi="Times New Roman" w:eastAsia="仿宋_GB2312" w:cs="Times New Roman"/>
          <w:sz w:val="32"/>
          <w:szCs w:val="32"/>
        </w:rPr>
        <w:t>18601.72</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color w:val="auto"/>
          <w:kern w:val="2"/>
          <w:sz w:val="32"/>
          <w:szCs w:val="32"/>
          <w:highlight w:val="none"/>
          <w:lang w:val="en-US" w:eastAsia="zh-CN" w:bidi="ar-SA"/>
        </w:rPr>
        <w:t>，完成预算97.9%。其中：</w:t>
      </w:r>
      <w:bookmarkEnd w:id="27"/>
      <w:bookmarkEnd w:id="28"/>
      <w:bookmarkEnd w:id="29"/>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1.教育（类）</w:t>
      </w:r>
      <w:r>
        <w:rPr>
          <w:rStyle w:val="18"/>
          <w:rFonts w:hint="default" w:ascii="Times New Roman" w:hAnsi="Times New Roman" w:eastAsia="仿宋_GB2312" w:cs="Times New Roman"/>
          <w:b w:val="0"/>
          <w:bCs/>
          <w:sz w:val="32"/>
          <w:szCs w:val="32"/>
          <w:lang w:val="en-US" w:eastAsia="zh-CN"/>
        </w:rPr>
        <w:t>职业教育</w:t>
      </w:r>
      <w:r>
        <w:rPr>
          <w:rFonts w:hint="default" w:ascii="Times New Roman" w:hAnsi="Times New Roman" w:eastAsia="仿宋_GB2312" w:cs="Times New Roman"/>
          <w:color w:val="auto"/>
          <w:kern w:val="2"/>
          <w:sz w:val="32"/>
          <w:szCs w:val="32"/>
          <w:highlight w:val="none"/>
          <w:lang w:val="en-US" w:eastAsia="zh-CN" w:bidi="ar-SA"/>
        </w:rPr>
        <w:t>（款）</w:t>
      </w:r>
      <w:r>
        <w:rPr>
          <w:rStyle w:val="18"/>
          <w:rFonts w:hint="default" w:ascii="Times New Roman" w:hAnsi="Times New Roman" w:eastAsia="仿宋_GB2312" w:cs="Times New Roman"/>
          <w:b w:val="0"/>
          <w:bCs/>
          <w:sz w:val="32"/>
          <w:szCs w:val="32"/>
          <w:lang w:val="en-US" w:eastAsia="zh-CN"/>
        </w:rPr>
        <w:t>高等职业教育</w:t>
      </w:r>
      <w:r>
        <w:rPr>
          <w:rFonts w:hint="default" w:ascii="Times New Roman" w:hAnsi="Times New Roman" w:eastAsia="仿宋_GB2312" w:cs="Times New Roman"/>
          <w:color w:val="auto"/>
          <w:kern w:val="2"/>
          <w:sz w:val="32"/>
          <w:szCs w:val="32"/>
          <w:highlight w:val="none"/>
          <w:lang w:val="en-US" w:eastAsia="zh-CN" w:bidi="ar-SA"/>
        </w:rPr>
        <w:t>（项）: 支出决算为</w:t>
      </w:r>
      <w:r>
        <w:rPr>
          <w:rFonts w:hint="default" w:ascii="Times New Roman" w:hAnsi="Times New Roman" w:eastAsia="仿宋_GB2312" w:cs="Times New Roman"/>
          <w:sz w:val="32"/>
          <w:szCs w:val="32"/>
        </w:rPr>
        <w:t>18601.72</w:t>
      </w:r>
      <w:r>
        <w:rPr>
          <w:rFonts w:hint="default" w:ascii="Times New Roman" w:hAnsi="Times New Roman" w:eastAsia="仿宋_GB2312" w:cs="Times New Roman"/>
          <w:color w:val="auto"/>
          <w:kern w:val="2"/>
          <w:sz w:val="32"/>
          <w:szCs w:val="32"/>
          <w:highlight w:val="none"/>
          <w:lang w:val="en-US" w:eastAsia="zh-CN" w:bidi="ar-SA"/>
        </w:rPr>
        <w:t>万元，完成预算97.9%，决算数小于预算数的主要原因是</w:t>
      </w:r>
      <w:r>
        <w:rPr>
          <w:rFonts w:hint="default" w:ascii="Times New Roman" w:hAnsi="Times New Roman" w:eastAsia="仿宋_GB2312" w:cs="Times New Roman"/>
          <w:color w:val="000000"/>
          <w:sz w:val="32"/>
          <w:szCs w:val="32"/>
          <w:lang w:val="en-US" w:eastAsia="zh-CN"/>
        </w:rPr>
        <w:t>部分项目仍在实施中，在规定范围内将项目资金结转至2024年。</w:t>
      </w:r>
    </w:p>
    <w:p>
      <w:pPr>
        <w:tabs>
          <w:tab w:val="right" w:pos="8306"/>
        </w:tabs>
        <w:spacing w:line="600" w:lineRule="exact"/>
        <w:ind w:firstLine="640"/>
        <w:outlineLvl w:val="1"/>
        <w:rPr>
          <w:rStyle w:val="30"/>
          <w:rFonts w:ascii="Times New Roman" w:hAnsi="Times New Roman"/>
          <w:color w:val="auto"/>
          <w:highlight w:val="none"/>
        </w:rPr>
      </w:pPr>
      <w:bookmarkStart w:id="30" w:name="_Toc15377214"/>
      <w:bookmarkStart w:id="31"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般公共预算财政拨款基本支出决算情况说明</w:t>
      </w:r>
      <w:bookmarkEnd w:id="30"/>
      <w:bookmarkEnd w:id="31"/>
      <w:r>
        <w:rPr>
          <w:rStyle w:val="30"/>
          <w:rFonts w:ascii="Times New Roman" w:hAnsi="Times New Roman" w:eastAsia="黑体"/>
          <w:b w:val="0"/>
          <w:color w:val="auto"/>
          <w:highlight w:val="none"/>
        </w:rPr>
        <w:tab/>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2024年度一般公共预算财政拨款基本支出</w:t>
      </w:r>
      <w:r>
        <w:rPr>
          <w:rFonts w:hint="default" w:ascii="Times New Roman" w:hAnsi="Times New Roman" w:eastAsia="仿宋_GB2312" w:cs="Times New Roman"/>
          <w:sz w:val="32"/>
          <w:szCs w:val="32"/>
        </w:rPr>
        <w:t>12729.15</w:t>
      </w:r>
      <w:r>
        <w:rPr>
          <w:rFonts w:hint="default" w:ascii="Times New Roman" w:hAnsi="Times New Roman" w:eastAsia="仿宋_GB2312" w:cs="Times New Roman"/>
          <w:color w:val="auto"/>
          <w:kern w:val="2"/>
          <w:sz w:val="32"/>
          <w:szCs w:val="32"/>
          <w:highlight w:val="none"/>
          <w:lang w:val="en-US" w:eastAsia="zh-CN" w:bidi="ar-SA"/>
        </w:rPr>
        <w:t>万元，其中：</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人员经费</w:t>
      </w:r>
      <w:r>
        <w:rPr>
          <w:rFonts w:hint="default" w:ascii="Times New Roman" w:hAnsi="Times New Roman" w:eastAsia="仿宋_GB2312" w:cs="Times New Roman"/>
          <w:sz w:val="32"/>
          <w:szCs w:val="32"/>
        </w:rPr>
        <w:t>11172.08</w:t>
      </w:r>
      <w:r>
        <w:rPr>
          <w:rFonts w:hint="default" w:ascii="Times New Roman" w:hAnsi="Times New Roman" w:eastAsia="仿宋_GB2312" w:cs="Times New Roman"/>
          <w:color w:val="auto"/>
          <w:kern w:val="2"/>
          <w:sz w:val="32"/>
          <w:szCs w:val="32"/>
          <w:highlight w:val="none"/>
          <w:lang w:val="en-US" w:eastAsia="zh-CN" w:bidi="ar-SA"/>
        </w:rPr>
        <w:t>万元，主要包括：基本工资、绩效工资、机关事业单位基本养老保险缴费、职业年金缴费、</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职工基本医疗保险缴费</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auto"/>
          <w:kern w:val="2"/>
          <w:sz w:val="32"/>
          <w:szCs w:val="32"/>
          <w:highlight w:val="none"/>
          <w:lang w:val="en-US" w:eastAsia="zh-CN" w:bidi="ar-SA"/>
        </w:rPr>
        <w:t>其他社会保障缴费、住房公积金、其他工资福利支出、离休费、生活补助。</w:t>
      </w:r>
      <w:r>
        <w:rPr>
          <w:rFonts w:hint="default" w:ascii="Times New Roman" w:hAnsi="Times New Roman" w:eastAsia="仿宋_GB2312" w:cs="Times New Roman"/>
          <w:color w:val="auto"/>
          <w:kern w:val="2"/>
          <w:sz w:val="32"/>
          <w:szCs w:val="32"/>
          <w:highlight w:val="none"/>
          <w:lang w:val="en-US" w:eastAsia="zh-CN" w:bidi="ar-SA"/>
        </w:rPr>
        <w:br w:type="textWrapping"/>
      </w:r>
      <w:r>
        <w:rPr>
          <w:rFonts w:hint="default" w:ascii="Times New Roman" w:hAnsi="Times New Roman" w:eastAsia="仿宋_GB2312" w:cs="Times New Roman"/>
          <w:color w:val="FF0000"/>
          <w:kern w:val="2"/>
          <w:sz w:val="32"/>
          <w:szCs w:val="32"/>
          <w:highlight w:val="none"/>
          <w:lang w:val="en-US" w:eastAsia="zh-CN" w:bidi="ar-SA"/>
        </w:rPr>
        <w:t>　　</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公用经费</w:t>
      </w:r>
      <w:r>
        <w:rPr>
          <w:rFonts w:hint="default" w:ascii="Times New Roman" w:hAnsi="Times New Roman" w:eastAsia="仿宋_GB2312" w:cs="Times New Roman"/>
          <w:color w:val="000000" w:themeColor="text1"/>
          <w:sz w:val="32"/>
          <w:szCs w:val="32"/>
          <w14:textFill>
            <w14:solidFill>
              <w14:schemeClr w14:val="tx1"/>
            </w14:solidFill>
          </w14:textFill>
        </w:rPr>
        <w:t>1557.07</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w:t>
      </w:r>
      <w:r>
        <w:rPr>
          <w:rFonts w:hint="default" w:ascii="Times New Roman" w:hAnsi="Times New Roman" w:eastAsia="仿宋_GB2312" w:cs="Times New Roman"/>
          <w:color w:val="auto"/>
          <w:kern w:val="2"/>
          <w:sz w:val="32"/>
          <w:szCs w:val="32"/>
          <w:highlight w:val="none"/>
          <w:lang w:val="en-US" w:eastAsia="zh-CN" w:bidi="ar-SA"/>
        </w:rPr>
        <w:t>主要包括：办公费、水费、电费、邮电费、物业管理费、差旅费、培训费、工会经费、其他商品和服务支出。</w:t>
      </w:r>
    </w:p>
    <w:p>
      <w:pPr>
        <w:spacing w:line="600" w:lineRule="exact"/>
        <w:ind w:firstLine="640"/>
        <w:outlineLvl w:val="1"/>
        <w:rPr>
          <w:rStyle w:val="30"/>
          <w:rFonts w:ascii="Times New Roman" w:hAnsi="Times New Roman" w:eastAsia="黑体"/>
          <w:b w:val="0"/>
          <w:color w:val="000000" w:themeColor="text1"/>
          <w:highlight w:val="none"/>
          <w14:textFill>
            <w14:solidFill>
              <w14:schemeClr w14:val="tx1"/>
            </w14:solidFill>
          </w14:textFill>
        </w:rPr>
      </w:pPr>
      <w:bookmarkStart w:id="32" w:name="_Toc15396609"/>
      <w:bookmarkStart w:id="33" w:name="_Toc15377215"/>
      <w:r>
        <w:rPr>
          <w:rFonts w:hint="eastAsia" w:ascii="Times New Roman" w:hAnsi="Times New Roman" w:eastAsia="黑体"/>
          <w:color w:val="000000" w:themeColor="text1"/>
          <w:sz w:val="32"/>
          <w:szCs w:val="32"/>
          <w:highlight w:val="none"/>
          <w14:textFill>
            <w14:solidFill>
              <w14:schemeClr w14:val="tx1"/>
            </w14:solidFill>
          </w14:textFill>
        </w:rPr>
        <w:t>七、</w:t>
      </w:r>
      <w:r>
        <w:rPr>
          <w:rStyle w:val="30"/>
          <w:rFonts w:hint="eastAsia" w:ascii="Times New Roman" w:hAnsi="Times New Roman" w:eastAsia="黑体"/>
          <w:b w:val="0"/>
          <w:color w:val="000000" w:themeColor="text1"/>
          <w:highlight w:val="none"/>
          <w14:textFill>
            <w14:solidFill>
              <w14:schemeClr w14:val="tx1"/>
            </w14:solidFill>
          </w14:textFill>
        </w:rPr>
        <w:t>财政拨款</w:t>
      </w:r>
      <w:r>
        <w:rPr>
          <w:rStyle w:val="30"/>
          <w:rFonts w:hint="eastAsia" w:ascii="Times New Roman" w:hAnsi="Times New Roman" w:eastAsia="黑体"/>
          <w:color w:val="000000" w:themeColor="text1"/>
          <w:highlight w:val="none"/>
          <w14:textFill>
            <w14:solidFill>
              <w14:schemeClr w14:val="tx1"/>
            </w14:solidFill>
          </w14:textFill>
        </w:rPr>
        <w:t>“</w:t>
      </w:r>
      <w:r>
        <w:rPr>
          <w:rStyle w:val="30"/>
          <w:rFonts w:hint="eastAsia" w:ascii="Times New Roman" w:hAnsi="Times New Roman" w:eastAsia="黑体"/>
          <w:b w:val="0"/>
          <w:color w:val="000000" w:themeColor="text1"/>
          <w:highlight w:val="none"/>
          <w14:textFill>
            <w14:solidFill>
              <w14:schemeClr w14:val="tx1"/>
            </w14:solidFill>
          </w14:textFill>
        </w:rPr>
        <w:t>三公”经费支出决算情况说明</w:t>
      </w:r>
      <w:bookmarkEnd w:id="32"/>
      <w:bookmarkEnd w:id="33"/>
    </w:p>
    <w:p>
      <w:pPr>
        <w:spacing w:line="600" w:lineRule="exact"/>
        <w:ind w:firstLine="642" w:firstLineChars="200"/>
        <w:outlineLvl w:val="2"/>
        <w:rPr>
          <w:rFonts w:hint="eastAsia" w:ascii="Times New Roman" w:hAnsi="Times New Roman" w:eastAsia="楷体_GB2312" w:cs="楷体_GB2312"/>
          <w:b/>
          <w:bCs w:val="0"/>
          <w:color w:val="000000" w:themeColor="text1"/>
          <w:sz w:val="32"/>
          <w:szCs w:val="32"/>
          <w:highlight w:val="none"/>
          <w14:textFill>
            <w14:solidFill>
              <w14:schemeClr w14:val="tx1"/>
            </w14:solidFill>
          </w14:textFill>
        </w:rPr>
      </w:pPr>
      <w:bookmarkStart w:id="34" w:name="_Toc15377216"/>
      <w:r>
        <w:rPr>
          <w:rFonts w:hint="eastAsia" w:ascii="Times New Roman" w:hAnsi="Times New Roman" w:eastAsia="楷体_GB2312" w:cs="楷体_GB2312"/>
          <w:b/>
          <w:bCs w:val="0"/>
          <w:color w:val="000000" w:themeColor="text1"/>
          <w:sz w:val="32"/>
          <w:szCs w:val="32"/>
          <w:highlight w:val="none"/>
          <w14:textFill>
            <w14:solidFill>
              <w14:schemeClr w14:val="tx1"/>
            </w14:solidFill>
          </w14:textFill>
        </w:rPr>
        <w:t>（一）“三公”经费财政拨款支出决算总体情况说明</w:t>
      </w:r>
      <w:bookmarkEnd w:id="34"/>
    </w:p>
    <w:p>
      <w:pPr>
        <w:spacing w:line="600" w:lineRule="exact"/>
        <w:ind w:firstLine="640"/>
        <w:rPr>
          <w:rFonts w:hint="default" w:ascii="Times New Roman" w:hAnsi="Times New Roman" w:eastAsia="仿宋_GB2312" w:cs="Times New Roman"/>
          <w:b w:val="0"/>
          <w:bCs/>
          <w:color w:val="0000FF"/>
          <w:kern w:val="2"/>
          <w:sz w:val="32"/>
          <w:szCs w:val="32"/>
          <w:highlight w:val="none"/>
          <w:lang w:val="en-US" w:eastAsia="zh-CN" w:bidi="ar-SA"/>
        </w:rPr>
      </w:pPr>
      <w:r>
        <w:rPr>
          <w:rFonts w:hint="default" w:ascii="Times New Roman" w:hAnsi="Times New Roman" w:eastAsia="仿宋_GB2312" w:cs="Times New Roman"/>
          <w:b w:val="0"/>
          <w:bCs/>
          <w:color w:val="auto"/>
          <w:kern w:val="2"/>
          <w:sz w:val="32"/>
          <w:szCs w:val="32"/>
          <w:highlight w:val="none"/>
          <w:lang w:val="en-US" w:eastAsia="zh-CN" w:bidi="ar-SA"/>
        </w:rPr>
        <w:t>2024年度“三公”经费财政拨款支出决算为</w:t>
      </w:r>
      <w:r>
        <w:rPr>
          <w:rFonts w:hint="default" w:ascii="Times New Roman" w:hAnsi="Times New Roman" w:eastAsia="仿宋_GB2312" w:cs="Times New Roman"/>
          <w:b w:val="0"/>
          <w:bCs/>
          <w:sz w:val="32"/>
          <w:szCs w:val="32"/>
        </w:rPr>
        <w:t>0</w:t>
      </w:r>
      <w:r>
        <w:rPr>
          <w:rFonts w:hint="default" w:ascii="Times New Roman" w:hAnsi="Times New Roman" w:eastAsia="仿宋_GB2312" w:cs="Times New Roman"/>
          <w:b w:val="0"/>
          <w:bCs/>
          <w:color w:val="auto"/>
          <w:kern w:val="2"/>
          <w:sz w:val="32"/>
          <w:szCs w:val="32"/>
          <w:highlight w:val="none"/>
          <w:lang w:val="en-US" w:eastAsia="zh-CN" w:bidi="ar-SA"/>
        </w:rPr>
        <w:t>万元</w:t>
      </w:r>
      <w:r>
        <w:rPr>
          <w:rFonts w:hint="default" w:ascii="Times New Roman" w:hAnsi="Times New Roman" w:eastAsia="仿宋_GB2312" w:cs="Times New Roman"/>
          <w:b w:val="0"/>
          <w:bCs/>
          <w:color w:val="000000" w:themeColor="text1"/>
          <w:kern w:val="2"/>
          <w:sz w:val="32"/>
          <w:szCs w:val="32"/>
          <w:highlight w:val="none"/>
          <w:lang w:val="en-US" w:eastAsia="zh-CN" w:bidi="ar-SA"/>
          <w14:textFill>
            <w14:solidFill>
              <w14:schemeClr w14:val="tx1"/>
            </w14:solidFill>
          </w14:textFill>
        </w:rPr>
        <w:t>，</w:t>
      </w:r>
      <w:r>
        <w:rPr>
          <w:rFonts w:hint="eastAsia" w:ascii="Times New Roman" w:hAnsi="Times New Roman" w:eastAsia="仿宋_GB2312" w:cs="Times New Roman"/>
          <w:b w:val="0"/>
          <w:bCs/>
          <w:color w:val="000000" w:themeColor="text1"/>
          <w:kern w:val="2"/>
          <w:sz w:val="32"/>
          <w:szCs w:val="32"/>
          <w:highlight w:val="none"/>
          <w:lang w:val="en-US" w:eastAsia="zh-CN" w:bidi="ar-SA"/>
          <w14:textFill>
            <w14:solidFill>
              <w14:schemeClr w14:val="tx1"/>
            </w14:solidFill>
          </w14:textFill>
        </w:rPr>
        <w:t>与2023年度决算数持平</w:t>
      </w:r>
      <w:r>
        <w:rPr>
          <w:rFonts w:hint="default" w:ascii="Times New Roman" w:hAnsi="Times New Roman" w:eastAsia="仿宋_GB2312" w:cs="Times New Roman"/>
          <w:b w:val="0"/>
          <w:bCs/>
          <w:color w:val="000000" w:themeColor="text1"/>
          <w:kern w:val="2"/>
          <w:sz w:val="32"/>
          <w:szCs w:val="32"/>
          <w:highlight w:val="none"/>
          <w:lang w:val="en-US" w:eastAsia="zh-CN" w:bidi="ar-SA"/>
          <w14:textFill>
            <w14:solidFill>
              <w14:schemeClr w14:val="tx1"/>
            </w14:solidFill>
          </w14:textFill>
        </w:rPr>
        <w:t>。决算数与预算数持平的主要原因是</w:t>
      </w:r>
      <w:r>
        <w:rPr>
          <w:rFonts w:hint="default" w:ascii="Times New Roman" w:hAnsi="Times New Roman" w:eastAsia="仿宋_GB2312" w:cs="Times New Roman"/>
          <w:b w:val="0"/>
          <w:bCs/>
          <w:color w:val="000000" w:themeColor="text1"/>
          <w:sz w:val="32"/>
          <w:szCs w:val="32"/>
          <w14:textFill>
            <w14:solidFill>
              <w14:schemeClr w14:val="tx1"/>
            </w14:solidFill>
          </w14:textFill>
        </w:rPr>
        <w:t>202</w:t>
      </w:r>
      <w:r>
        <w:rPr>
          <w:rFonts w:hint="default" w:ascii="Times New Roman" w:hAnsi="Times New Roman" w:eastAsia="仿宋_GB2312" w:cs="Times New Roman"/>
          <w:b w:val="0"/>
          <w:bCs/>
          <w:color w:val="000000" w:themeColor="text1"/>
          <w:sz w:val="32"/>
          <w:szCs w:val="32"/>
          <w:lang w:val="en-US" w:eastAsia="zh-CN"/>
          <w14:textFill>
            <w14:solidFill>
              <w14:schemeClr w14:val="tx1"/>
            </w14:solidFill>
          </w14:textFill>
        </w:rPr>
        <w:t>4</w:t>
      </w:r>
      <w:r>
        <w:rPr>
          <w:rFonts w:hint="default" w:ascii="Times New Roman" w:hAnsi="Times New Roman" w:eastAsia="仿宋_GB2312" w:cs="Times New Roman"/>
          <w:b w:val="0"/>
          <w:bCs/>
          <w:color w:val="000000" w:themeColor="text1"/>
          <w:sz w:val="32"/>
          <w:szCs w:val="32"/>
          <w14:textFill>
            <w14:solidFill>
              <w14:schemeClr w14:val="tx1"/>
            </w14:solidFill>
          </w14:textFill>
        </w:rPr>
        <w:t>年财政拨款未安排</w:t>
      </w:r>
      <w:r>
        <w:rPr>
          <w:rFonts w:hint="default" w:ascii="Times New Roman" w:hAnsi="Times New Roman" w:eastAsia="仿宋_GB2312" w:cs="Times New Roman"/>
          <w:b w:val="0"/>
          <w:bCs/>
          <w:color w:val="000000" w:themeColor="text1"/>
          <w:kern w:val="2"/>
          <w:sz w:val="32"/>
          <w:szCs w:val="32"/>
          <w:highlight w:val="none"/>
          <w:lang w:val="en-US" w:eastAsia="zh-CN" w:bidi="ar-SA"/>
          <w14:textFill>
            <w14:solidFill>
              <w14:schemeClr w14:val="tx1"/>
            </w14:solidFill>
          </w14:textFill>
        </w:rPr>
        <w:t>“三公”经费，</w:t>
      </w:r>
      <w:r>
        <w:rPr>
          <w:rFonts w:hint="default" w:ascii="Times New Roman" w:hAnsi="Times New Roman" w:eastAsia="仿宋_GB2312" w:cs="Times New Roman"/>
          <w:b w:val="0"/>
          <w:bCs/>
          <w:color w:val="000000" w:themeColor="text1"/>
          <w:sz w:val="32"/>
          <w:szCs w:val="32"/>
          <w14:textFill>
            <w14:solidFill>
              <w14:schemeClr w14:val="tx1"/>
            </w14:solidFill>
          </w14:textFill>
        </w:rPr>
        <w:t>全部通过教育事业收入安排此部分费用。</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5"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35"/>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2024年度“三公”经费财政拨款支出决算中，因公出国（境）费支出决算</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万元，占0%；公务用车购置及运行维护费支出决算</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万元，占0%；公务接待费支出决算</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万元，占0%。具体情况如下：</w:t>
      </w:r>
    </w:p>
    <w:p>
      <w:pPr>
        <w:spacing w:line="600" w:lineRule="exact"/>
        <w:ind w:firstLine="1292" w:firstLineChars="404"/>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图7：“三公”经费财政拨款支出结构</w:t>
      </w:r>
    </w:p>
    <w:p>
      <w:pPr>
        <w:adjustRightInd w:val="0"/>
        <w:snapToGrid w:val="0"/>
        <w:spacing w:line="360" w:lineRule="auto"/>
        <w:ind w:right="480" w:firstLine="600"/>
        <w:jc w:val="center"/>
        <w:rPr>
          <w:rFonts w:hint="default" w:ascii="Times New Roman" w:hAnsi="Times New Roman" w:eastAsia="仿宋_GB2312" w:cs="Times New Roman"/>
          <w:color w:val="000000"/>
          <w:sz w:val="24"/>
          <w:lang w:val="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color w:val="000000"/>
          <w:sz w:val="24"/>
          <w:lang w:val="zh-CN"/>
        </w:rPr>
        <w:t>(单位：万元)</w:t>
      </w:r>
    </w:p>
    <w:p>
      <w:pPr>
        <w:pStyle w:val="2"/>
        <w:rPr>
          <w:rFonts w:hint="default"/>
          <w:lang w:val="en-US" w:eastAsia="zh-CN"/>
        </w:rPr>
      </w:pPr>
      <w:r>
        <w:drawing>
          <wp:inline distT="0" distB="0" distL="114300" distR="114300">
            <wp:extent cx="4895215" cy="1824355"/>
            <wp:effectExtent l="4445" t="4445" r="15240" b="19050"/>
            <wp:docPr id="12"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1.因公出国（境）经费支出0万元。</w:t>
      </w:r>
      <w:r>
        <w:rPr>
          <w:rFonts w:hint="default" w:ascii="Times New Roman" w:hAnsi="Times New Roman" w:eastAsia="仿宋_GB2312" w:cs="Times New Roman"/>
          <w:color w:val="auto"/>
          <w:kern w:val="2"/>
          <w:sz w:val="32"/>
          <w:szCs w:val="32"/>
          <w:highlight w:val="none"/>
          <w:lang w:val="en-US" w:eastAsia="zh-CN" w:bidi="ar-SA"/>
        </w:rPr>
        <w:t>全年安排因公出国（境）团组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次，出国（境）</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人。因公出国（境）支出决算</w:t>
      </w:r>
      <w:r>
        <w:rPr>
          <w:rFonts w:hint="eastAsia" w:ascii="Times New Roman" w:hAnsi="Times New Roman" w:eastAsia="仿宋_GB2312" w:cs="Times New Roman"/>
          <w:color w:val="auto"/>
          <w:kern w:val="2"/>
          <w:sz w:val="32"/>
          <w:szCs w:val="32"/>
          <w:highlight w:val="none"/>
          <w:lang w:val="en-US" w:eastAsia="zh-CN" w:bidi="ar-SA"/>
        </w:rPr>
        <w:t>与2023年度决算数持平</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b w:val="0"/>
          <w:bCs/>
          <w:sz w:val="32"/>
          <w:szCs w:val="32"/>
        </w:rPr>
        <w:t>主要原因</w:t>
      </w:r>
      <w:r>
        <w:rPr>
          <w:rFonts w:hint="default" w:ascii="Times New Roman" w:hAnsi="Times New Roman" w:eastAsia="仿宋_GB2312" w:cs="Times New Roman"/>
          <w:b w:val="0"/>
          <w:bCs/>
          <w:sz w:val="32"/>
          <w:szCs w:val="32"/>
          <w:lang w:val="en-US" w:eastAsia="zh-CN"/>
        </w:rPr>
        <w:t>是</w:t>
      </w:r>
      <w:r>
        <w:rPr>
          <w:rFonts w:hint="default" w:ascii="Times New Roman" w:hAnsi="Times New Roman" w:eastAsia="仿宋_GB2312" w:cs="Times New Roman"/>
          <w:b w:val="0"/>
          <w:bCs/>
          <w:color w:val="000000"/>
          <w:sz w:val="32"/>
          <w:szCs w:val="32"/>
        </w:rPr>
        <w:t>202</w:t>
      </w:r>
      <w:r>
        <w:rPr>
          <w:rFonts w:hint="default" w:ascii="Times New Roman" w:hAnsi="Times New Roman" w:eastAsia="仿宋_GB2312" w:cs="Times New Roman"/>
          <w:b w:val="0"/>
          <w:bCs/>
          <w:color w:val="000000"/>
          <w:sz w:val="32"/>
          <w:szCs w:val="32"/>
          <w:lang w:val="en-US" w:eastAsia="zh-CN"/>
        </w:rPr>
        <w:t>4</w:t>
      </w:r>
      <w:r>
        <w:rPr>
          <w:rFonts w:hint="default" w:ascii="Times New Roman" w:hAnsi="Times New Roman" w:eastAsia="仿宋_GB2312" w:cs="Times New Roman"/>
          <w:b w:val="0"/>
          <w:bCs/>
          <w:color w:val="000000"/>
          <w:sz w:val="32"/>
          <w:szCs w:val="32"/>
        </w:rPr>
        <w:t>年财政拨款未安排</w:t>
      </w:r>
      <w:r>
        <w:rPr>
          <w:rFonts w:hint="default" w:ascii="Times New Roman" w:hAnsi="Times New Roman" w:eastAsia="仿宋_GB2312" w:cs="Times New Roman"/>
          <w:b w:val="0"/>
          <w:bCs w:val="0"/>
          <w:color w:val="auto"/>
          <w:kern w:val="2"/>
          <w:sz w:val="32"/>
          <w:szCs w:val="32"/>
          <w:highlight w:val="none"/>
          <w:lang w:val="en-US" w:eastAsia="zh-CN" w:bidi="ar-SA"/>
        </w:rPr>
        <w:t>因公出国（境）经费</w:t>
      </w:r>
      <w:r>
        <w:rPr>
          <w:rFonts w:hint="default" w:ascii="Times New Roman" w:hAnsi="Times New Roman" w:eastAsia="仿宋_GB2312" w:cs="Times New Roman"/>
          <w:color w:val="auto"/>
          <w:kern w:val="2"/>
          <w:sz w:val="32"/>
          <w:szCs w:val="32"/>
          <w:highlight w:val="none"/>
          <w:lang w:val="en-US" w:eastAsia="zh-CN" w:bidi="ar-SA"/>
        </w:rPr>
        <w:t>。</w:t>
      </w:r>
    </w:p>
    <w:p>
      <w:pPr>
        <w:numPr>
          <w:ilvl w:val="0"/>
          <w:numId w:val="0"/>
        </w:numPr>
        <w:spacing w:line="600" w:lineRule="exact"/>
        <w:ind w:firstLine="642"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2.公务用车购置及运行维护费支出0万元。</w:t>
      </w:r>
      <w:r>
        <w:rPr>
          <w:rFonts w:hint="default" w:ascii="Times New Roman" w:hAnsi="Times New Roman" w:eastAsia="仿宋_GB2312" w:cs="Times New Roman"/>
          <w:color w:val="auto"/>
          <w:kern w:val="2"/>
          <w:sz w:val="32"/>
          <w:szCs w:val="32"/>
          <w:highlight w:val="none"/>
          <w:lang w:val="en-US" w:eastAsia="zh-CN" w:bidi="ar-SA"/>
        </w:rPr>
        <w:t>公务用车购置及运行维护费支出决算</w:t>
      </w:r>
      <w:r>
        <w:rPr>
          <w:rFonts w:hint="eastAsia" w:ascii="Times New Roman" w:hAnsi="Times New Roman" w:eastAsia="仿宋_GB2312" w:cs="Times New Roman"/>
          <w:color w:val="auto"/>
          <w:kern w:val="2"/>
          <w:sz w:val="32"/>
          <w:szCs w:val="32"/>
          <w:highlight w:val="none"/>
          <w:lang w:val="en-US" w:eastAsia="zh-CN" w:bidi="ar-SA"/>
        </w:rPr>
        <w:t>与2023年度决算数持平</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b w:val="0"/>
          <w:bCs/>
          <w:sz w:val="32"/>
          <w:szCs w:val="32"/>
        </w:rPr>
        <w:t>主要原因</w:t>
      </w:r>
      <w:r>
        <w:rPr>
          <w:rFonts w:hint="default" w:ascii="Times New Roman" w:hAnsi="Times New Roman" w:eastAsia="仿宋_GB2312" w:cs="Times New Roman"/>
          <w:b w:val="0"/>
          <w:bCs/>
          <w:sz w:val="32"/>
          <w:szCs w:val="32"/>
          <w:lang w:val="en-US" w:eastAsia="zh-CN"/>
        </w:rPr>
        <w:t>是</w:t>
      </w:r>
      <w:r>
        <w:rPr>
          <w:rFonts w:hint="default" w:ascii="Times New Roman" w:hAnsi="Times New Roman" w:eastAsia="仿宋_GB2312" w:cs="Times New Roman"/>
          <w:b w:val="0"/>
          <w:bCs/>
          <w:color w:val="000000"/>
          <w:sz w:val="32"/>
          <w:szCs w:val="32"/>
        </w:rPr>
        <w:t>202</w:t>
      </w:r>
      <w:r>
        <w:rPr>
          <w:rFonts w:hint="default" w:ascii="Times New Roman" w:hAnsi="Times New Roman" w:eastAsia="仿宋_GB2312" w:cs="Times New Roman"/>
          <w:b w:val="0"/>
          <w:bCs/>
          <w:color w:val="000000"/>
          <w:sz w:val="32"/>
          <w:szCs w:val="32"/>
          <w:lang w:val="en-US" w:eastAsia="zh-CN"/>
        </w:rPr>
        <w:t>4</w:t>
      </w:r>
      <w:r>
        <w:rPr>
          <w:rFonts w:hint="default" w:ascii="Times New Roman" w:hAnsi="Times New Roman" w:eastAsia="仿宋_GB2312" w:cs="Times New Roman"/>
          <w:b w:val="0"/>
          <w:bCs/>
          <w:color w:val="000000"/>
          <w:sz w:val="32"/>
          <w:szCs w:val="32"/>
        </w:rPr>
        <w:t>年财政拨款未安排</w:t>
      </w:r>
      <w:r>
        <w:rPr>
          <w:rFonts w:hint="default" w:ascii="Times New Roman" w:hAnsi="Times New Roman" w:eastAsia="仿宋_GB2312" w:cs="Times New Roman"/>
          <w:b w:val="0"/>
          <w:bCs/>
          <w:sz w:val="32"/>
          <w:szCs w:val="32"/>
        </w:rPr>
        <w:t>公务用车购置及运行维护</w:t>
      </w:r>
      <w:r>
        <w:rPr>
          <w:rFonts w:hint="default" w:ascii="Times New Roman" w:hAnsi="Times New Roman" w:eastAsia="仿宋_GB2312" w:cs="Times New Roman"/>
          <w:b w:val="0"/>
          <w:bCs/>
          <w:color w:val="000000"/>
          <w:sz w:val="32"/>
          <w:szCs w:val="32"/>
        </w:rPr>
        <w:t>经费，全部通过教育事业收入安排此部分费用。</w:t>
      </w:r>
    </w:p>
    <w:p>
      <w:pPr>
        <w:numPr>
          <w:ilvl w:val="0"/>
          <w:numId w:val="0"/>
        </w:numPr>
        <w:spacing w:line="600" w:lineRule="exact"/>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其中：</w:t>
      </w:r>
      <w:r>
        <w:rPr>
          <w:rFonts w:hint="default" w:ascii="Times New Roman" w:hAnsi="Times New Roman" w:eastAsia="仿宋_GB2312" w:cs="Times New Roman"/>
          <w:b/>
          <w:bCs/>
          <w:color w:val="auto"/>
          <w:kern w:val="2"/>
          <w:sz w:val="32"/>
          <w:szCs w:val="32"/>
          <w:highlight w:val="none"/>
          <w:lang w:val="en-US" w:eastAsia="zh-CN" w:bidi="ar-SA"/>
        </w:rPr>
        <w:t>公务用车购置支出</w:t>
      </w:r>
      <w:r>
        <w:rPr>
          <w:rFonts w:hint="default" w:ascii="Times New Roman" w:hAnsi="Times New Roman" w:eastAsia="仿宋_GB2312" w:cs="Times New Roman"/>
          <w:b/>
          <w:bCs/>
          <w:sz w:val="32"/>
          <w:szCs w:val="32"/>
        </w:rPr>
        <w:t>0</w:t>
      </w:r>
      <w:r>
        <w:rPr>
          <w:rFonts w:hint="default" w:ascii="Times New Roman" w:hAnsi="Times New Roman" w:eastAsia="仿宋_GB2312" w:cs="Times New Roman"/>
          <w:b/>
          <w:bCs/>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全年按规定更新购置公务用车0辆，其中：轿车0辆、金额0万元，越野车0辆、金额0万元，载客汽车0辆、金额0万元。截至2024年12月31日，单位共有公务用车4辆，其中：轿车3辆、</w:t>
      </w:r>
      <w:r>
        <w:rPr>
          <w:rFonts w:hint="eastAsia" w:ascii="Times New Roman" w:hAnsi="Times New Roman" w:eastAsia="仿宋_GB2312" w:cs="Times New Roman"/>
          <w:color w:val="auto"/>
          <w:kern w:val="2"/>
          <w:sz w:val="32"/>
          <w:szCs w:val="32"/>
          <w:highlight w:val="none"/>
          <w:lang w:val="en-US" w:eastAsia="zh-CN" w:bidi="ar-SA"/>
        </w:rPr>
        <w:t>越野车0辆、</w:t>
      </w:r>
      <w:r>
        <w:rPr>
          <w:rFonts w:hint="default" w:ascii="Times New Roman" w:hAnsi="Times New Roman" w:eastAsia="仿宋_GB2312" w:cs="Times New Roman"/>
          <w:color w:val="auto"/>
          <w:kern w:val="2"/>
          <w:sz w:val="32"/>
          <w:szCs w:val="32"/>
          <w:highlight w:val="none"/>
          <w:lang w:val="en-US" w:eastAsia="zh-CN" w:bidi="ar-SA"/>
        </w:rPr>
        <w:t>载客汽车1辆。</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公务用车运行维护费支出</w:t>
      </w:r>
      <w:r>
        <w:rPr>
          <w:rFonts w:hint="default" w:ascii="Times New Roman" w:hAnsi="Times New Roman" w:eastAsia="仿宋_GB2312" w:cs="Times New Roman"/>
          <w:b/>
          <w:bCs/>
          <w:sz w:val="32"/>
          <w:szCs w:val="32"/>
        </w:rPr>
        <w:t>0</w:t>
      </w:r>
      <w:r>
        <w:rPr>
          <w:rFonts w:hint="default" w:ascii="Times New Roman" w:hAnsi="Times New Roman" w:eastAsia="仿宋_GB2312" w:cs="Times New Roman"/>
          <w:b/>
          <w:bCs/>
          <w:color w:val="auto"/>
          <w:kern w:val="2"/>
          <w:sz w:val="32"/>
          <w:szCs w:val="32"/>
          <w:highlight w:val="none"/>
          <w:lang w:val="en-US" w:eastAsia="zh-CN" w:bidi="ar-SA"/>
        </w:rPr>
        <w:t>万元。</w:t>
      </w:r>
    </w:p>
    <w:p>
      <w:pPr>
        <w:numPr>
          <w:ilvl w:val="0"/>
          <w:numId w:val="0"/>
        </w:numPr>
        <w:spacing w:line="600" w:lineRule="exact"/>
        <w:ind w:firstLine="642"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3.公务接待费支出0万元。</w:t>
      </w:r>
      <w:r>
        <w:rPr>
          <w:rFonts w:hint="default" w:ascii="Times New Roman" w:hAnsi="Times New Roman" w:eastAsia="仿宋_GB2312" w:cs="Times New Roman"/>
          <w:color w:val="auto"/>
          <w:kern w:val="2"/>
          <w:sz w:val="32"/>
          <w:szCs w:val="32"/>
          <w:highlight w:val="none"/>
          <w:lang w:val="en-US" w:eastAsia="zh-CN" w:bidi="ar-SA"/>
        </w:rPr>
        <w:t>公务接待费支出决算</w:t>
      </w:r>
      <w:r>
        <w:rPr>
          <w:rFonts w:hint="eastAsia" w:ascii="Times New Roman" w:hAnsi="Times New Roman" w:eastAsia="仿宋_GB2312" w:cs="Times New Roman"/>
          <w:color w:val="auto"/>
          <w:kern w:val="2"/>
          <w:sz w:val="32"/>
          <w:szCs w:val="32"/>
          <w:highlight w:val="none"/>
          <w:lang w:val="en-US" w:eastAsia="zh-CN" w:bidi="ar-SA"/>
        </w:rPr>
        <w:t>与2023年度决算数持平</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b w:val="0"/>
          <w:bCs/>
          <w:color w:val="000000"/>
          <w:sz w:val="32"/>
          <w:szCs w:val="32"/>
        </w:rPr>
        <w:t>202</w:t>
      </w:r>
      <w:r>
        <w:rPr>
          <w:rFonts w:hint="default" w:ascii="Times New Roman" w:hAnsi="Times New Roman" w:eastAsia="仿宋_GB2312" w:cs="Times New Roman"/>
          <w:b w:val="0"/>
          <w:bCs/>
          <w:color w:val="000000"/>
          <w:sz w:val="32"/>
          <w:szCs w:val="32"/>
          <w:lang w:val="en-US" w:eastAsia="zh-CN"/>
        </w:rPr>
        <w:t>4</w:t>
      </w:r>
      <w:r>
        <w:rPr>
          <w:rFonts w:hint="default" w:ascii="Times New Roman" w:hAnsi="Times New Roman" w:eastAsia="仿宋_GB2312" w:cs="Times New Roman"/>
          <w:b w:val="0"/>
          <w:bCs/>
          <w:color w:val="000000"/>
          <w:sz w:val="32"/>
          <w:szCs w:val="32"/>
        </w:rPr>
        <w:t>年财政拨款未安排</w:t>
      </w:r>
      <w:r>
        <w:rPr>
          <w:rFonts w:hint="default" w:ascii="Times New Roman" w:hAnsi="Times New Roman" w:eastAsia="仿宋_GB2312" w:cs="Times New Roman"/>
          <w:b w:val="0"/>
          <w:bCs/>
          <w:sz w:val="32"/>
          <w:szCs w:val="32"/>
        </w:rPr>
        <w:t>公务</w:t>
      </w:r>
      <w:r>
        <w:rPr>
          <w:rFonts w:hint="default" w:ascii="Times New Roman" w:hAnsi="Times New Roman" w:eastAsia="仿宋_GB2312" w:cs="Times New Roman"/>
          <w:b w:val="0"/>
          <w:bCs/>
          <w:sz w:val="32"/>
          <w:szCs w:val="32"/>
          <w:lang w:eastAsia="zh-CN"/>
        </w:rPr>
        <w:t>接待</w:t>
      </w:r>
      <w:r>
        <w:rPr>
          <w:rFonts w:hint="default" w:ascii="Times New Roman" w:hAnsi="Times New Roman" w:eastAsia="仿宋_GB2312" w:cs="Times New Roman"/>
          <w:b w:val="0"/>
          <w:bCs/>
          <w:color w:val="000000"/>
          <w:sz w:val="32"/>
          <w:szCs w:val="32"/>
        </w:rPr>
        <w:t>费，全部通过教育事业收入安排此部分费用。</w:t>
      </w:r>
      <w:r>
        <w:rPr>
          <w:rFonts w:hint="default" w:ascii="Times New Roman" w:hAnsi="Times New Roman" w:eastAsia="仿宋_GB2312" w:cs="Times New Roman"/>
          <w:color w:val="auto"/>
          <w:kern w:val="2"/>
          <w:sz w:val="32"/>
          <w:szCs w:val="32"/>
          <w:highlight w:val="none"/>
          <w:lang w:val="en-US" w:eastAsia="zh-CN" w:bidi="ar-SA"/>
        </w:rPr>
        <w:t>其中：</w:t>
      </w:r>
    </w:p>
    <w:p>
      <w:pPr>
        <w:numPr>
          <w:ilvl w:val="0"/>
          <w:numId w:val="0"/>
        </w:numPr>
        <w:spacing w:line="600" w:lineRule="exact"/>
        <w:ind w:firstLine="642"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国内公务接待支出</w:t>
      </w:r>
      <w:r>
        <w:rPr>
          <w:rFonts w:hint="default" w:ascii="Times New Roman" w:hAnsi="Times New Roman" w:eastAsia="仿宋_GB2312" w:cs="Times New Roman"/>
          <w:b/>
          <w:bCs/>
          <w:sz w:val="32"/>
          <w:szCs w:val="32"/>
        </w:rPr>
        <w:t>0</w:t>
      </w:r>
      <w:r>
        <w:rPr>
          <w:rFonts w:hint="default" w:ascii="Times New Roman" w:hAnsi="Times New Roman" w:eastAsia="仿宋_GB2312" w:cs="Times New Roman"/>
          <w:b/>
          <w:bCs/>
          <w:color w:val="auto"/>
          <w:kern w:val="2"/>
          <w:sz w:val="32"/>
          <w:szCs w:val="32"/>
          <w:highlight w:val="none"/>
          <w:lang w:val="en-US" w:eastAsia="zh-CN" w:bidi="ar-SA"/>
        </w:rPr>
        <w:t>万元</w:t>
      </w:r>
      <w:r>
        <w:rPr>
          <w:rFonts w:hint="eastAsia" w:ascii="Times New Roman" w:hAnsi="Times New Roman" w:eastAsia="仿宋_GB2312" w:cs="Times New Roman"/>
          <w:b/>
          <w:bCs/>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国内公务接待</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批次，</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人次（不包括陪同人员），共计支出0万元</w:t>
      </w:r>
      <w:r>
        <w:rPr>
          <w:rFonts w:hint="eastAsia" w:ascii="Times New Roman" w:hAnsi="Times New Roman" w:eastAsia="仿宋_GB2312" w:cs="Times New Roman"/>
          <w:color w:val="auto"/>
          <w:kern w:val="2"/>
          <w:sz w:val="32"/>
          <w:szCs w:val="32"/>
          <w:highlight w:val="none"/>
          <w:lang w:val="en-US" w:eastAsia="zh-CN" w:bidi="ar-SA"/>
        </w:rPr>
        <w:t>。</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外事接待支出</w:t>
      </w:r>
      <w:r>
        <w:rPr>
          <w:rFonts w:hint="default" w:ascii="Times New Roman" w:hAnsi="Times New Roman" w:eastAsia="仿宋_GB2312" w:cs="Times New Roman"/>
          <w:b/>
          <w:bCs/>
          <w:sz w:val="32"/>
          <w:szCs w:val="32"/>
        </w:rPr>
        <w:t>0</w:t>
      </w:r>
      <w:r>
        <w:rPr>
          <w:rFonts w:hint="default" w:ascii="Times New Roman" w:hAnsi="Times New Roman" w:eastAsia="仿宋_GB2312" w:cs="Times New Roman"/>
          <w:b/>
          <w:bCs/>
          <w:color w:val="auto"/>
          <w:kern w:val="2"/>
          <w:sz w:val="32"/>
          <w:szCs w:val="32"/>
          <w:highlight w:val="none"/>
          <w:lang w:val="en-US" w:eastAsia="zh-CN" w:bidi="ar-SA"/>
        </w:rPr>
        <w:t>万元</w:t>
      </w:r>
      <w:r>
        <w:rPr>
          <w:rFonts w:hint="eastAsia" w:ascii="Times New Roman" w:hAnsi="Times New Roman" w:eastAsia="仿宋_GB2312" w:cs="Times New Roman"/>
          <w:b/>
          <w:bCs/>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外事接待</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批次，</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人次（不包括陪同人员），共计支出0万元。</w:t>
      </w:r>
      <w:bookmarkStart w:id="36" w:name="_Toc15377218"/>
      <w:bookmarkStart w:id="37" w:name="_Toc15396610"/>
    </w:p>
    <w:p>
      <w:pPr>
        <w:spacing w:line="600" w:lineRule="exact"/>
        <w:ind w:firstLine="640"/>
        <w:outlineLvl w:val="1"/>
        <w:rPr>
          <w:rStyle w:val="30"/>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30"/>
          <w:rFonts w:hint="eastAsia" w:ascii="Times New Roman" w:hAnsi="Times New Roman" w:eastAsia="黑体"/>
          <w:b w:val="0"/>
          <w:color w:val="auto"/>
          <w:highlight w:val="none"/>
        </w:rPr>
        <w:t>政府性基金预算支出决算情况说明</w:t>
      </w:r>
      <w:bookmarkEnd w:id="36"/>
      <w:bookmarkEnd w:id="37"/>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2024年度政府性基金预算财政拨款支出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%。与2023年度决算数持平。</w:t>
      </w:r>
    </w:p>
    <w:p>
      <w:pPr>
        <w:numPr>
          <w:ilvl w:val="0"/>
          <w:numId w:val="0"/>
        </w:numPr>
        <w:spacing w:line="600" w:lineRule="exact"/>
        <w:ind w:left="630" w:leftChars="0"/>
        <w:outlineLvl w:val="1"/>
        <w:rPr>
          <w:rStyle w:val="30"/>
          <w:rFonts w:ascii="Times New Roman" w:hAnsi="Times New Roman" w:eastAsia="黑体"/>
          <w:b w:val="0"/>
          <w:color w:val="auto"/>
          <w:highlight w:val="none"/>
        </w:rPr>
      </w:pPr>
      <w:bookmarkStart w:id="38" w:name="_Toc15377219"/>
      <w:bookmarkStart w:id="39" w:name="_Toc15396611"/>
      <w:r>
        <w:rPr>
          <w:rStyle w:val="30"/>
          <w:rFonts w:hint="eastAsia" w:ascii="Times New Roman" w:hAnsi="Times New Roman" w:eastAsia="黑体"/>
          <w:b w:val="0"/>
          <w:color w:val="auto"/>
          <w:highlight w:val="none"/>
          <w:lang w:eastAsia="zh-CN"/>
        </w:rPr>
        <w:t>九、</w:t>
      </w:r>
      <w:r>
        <w:rPr>
          <w:rStyle w:val="30"/>
          <w:rFonts w:hint="eastAsia" w:ascii="Times New Roman" w:hAnsi="Times New Roman" w:eastAsia="黑体"/>
          <w:b w:val="0"/>
          <w:color w:val="auto"/>
          <w:highlight w:val="none"/>
        </w:rPr>
        <w:t>国有资本经营预算支出决算情况说明</w:t>
      </w:r>
      <w:bookmarkEnd w:id="38"/>
      <w:bookmarkEnd w:id="39"/>
    </w:p>
    <w:p>
      <w:pPr>
        <w:spacing w:line="600" w:lineRule="exact"/>
        <w:ind w:firstLine="640"/>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2024年度国有资本经营预算财政拨款支出</w:t>
      </w:r>
      <w:r>
        <w:rPr>
          <w:rFonts w:hint="default" w:ascii="Times New Roman" w:hAnsi="Times New Roman" w:eastAsia="仿宋" w:cs="Times New Roman"/>
          <w:sz w:val="32"/>
          <w:szCs w:val="32"/>
        </w:rPr>
        <w:t>0</w:t>
      </w:r>
      <w:r>
        <w:rPr>
          <w:rFonts w:hint="default" w:ascii="Times New Roman" w:hAnsi="Times New Roman" w:eastAsia="仿宋" w:cs="Times New Roman"/>
          <w:color w:val="auto"/>
          <w:kern w:val="2"/>
          <w:sz w:val="32"/>
          <w:szCs w:val="32"/>
          <w:highlight w:val="none"/>
          <w:lang w:val="en-US" w:eastAsia="zh-CN" w:bidi="ar-SA"/>
        </w:rPr>
        <w:t>万元，占本年支出合计的</w:t>
      </w:r>
      <w:r>
        <w:rPr>
          <w:rFonts w:hint="default" w:ascii="Times New Roman" w:hAnsi="Times New Roman" w:eastAsia="仿宋" w:cs="Times New Roman"/>
          <w:sz w:val="32"/>
          <w:szCs w:val="32"/>
        </w:rPr>
        <w:t>0</w:t>
      </w:r>
      <w:r>
        <w:rPr>
          <w:rFonts w:hint="default" w:ascii="Times New Roman" w:hAnsi="Times New Roman" w:eastAsia="仿宋"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与2023年度决算数持平</w:t>
      </w:r>
      <w:r>
        <w:rPr>
          <w:rFonts w:hint="default" w:ascii="Times New Roman" w:hAnsi="Times New Roman" w:eastAsia="仿宋" w:cs="Times New Roman"/>
          <w:color w:val="auto"/>
          <w:kern w:val="2"/>
          <w:sz w:val="32"/>
          <w:szCs w:val="32"/>
          <w:highlight w:val="none"/>
          <w:lang w:val="en-US" w:eastAsia="zh-CN" w:bidi="ar-SA"/>
        </w:rPr>
        <w:t>。</w:t>
      </w:r>
    </w:p>
    <w:p>
      <w:pPr>
        <w:numPr>
          <w:ilvl w:val="0"/>
          <w:numId w:val="0"/>
        </w:numPr>
        <w:spacing w:line="600" w:lineRule="exact"/>
        <w:ind w:left="630" w:leftChars="0"/>
        <w:outlineLvl w:val="1"/>
        <w:rPr>
          <w:rStyle w:val="30"/>
          <w:rFonts w:hint="eastAsia" w:ascii="Times New Roman" w:hAnsi="Times New Roman" w:eastAsia="黑体"/>
          <w:b w:val="0"/>
          <w:color w:val="auto"/>
          <w:highlight w:val="none"/>
        </w:rPr>
      </w:pPr>
      <w:bookmarkStart w:id="40" w:name="_Toc15396612"/>
      <w:bookmarkStart w:id="41" w:name="_Toc15377221"/>
      <w:r>
        <w:rPr>
          <w:rStyle w:val="30"/>
          <w:rFonts w:hint="eastAsia" w:ascii="Times New Roman" w:hAnsi="Times New Roman" w:eastAsia="黑体"/>
          <w:b w:val="0"/>
          <w:color w:val="auto"/>
          <w:highlight w:val="none"/>
          <w:lang w:eastAsia="zh-CN"/>
        </w:rPr>
        <w:t>十、</w:t>
      </w:r>
      <w:r>
        <w:rPr>
          <w:rStyle w:val="30"/>
          <w:rFonts w:hint="eastAsia" w:ascii="Times New Roman" w:hAnsi="Times New Roman" w:eastAsia="黑体"/>
          <w:b w:val="0"/>
          <w:color w:val="auto"/>
          <w:highlight w:val="none"/>
        </w:rPr>
        <w:t>其他重要事项的情况说明</w:t>
      </w:r>
      <w:bookmarkEnd w:id="40"/>
      <w:bookmarkEnd w:id="41"/>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2" w:name="_Toc15377222"/>
      <w:r>
        <w:rPr>
          <w:rFonts w:hint="eastAsia" w:ascii="Times New Roman" w:hAnsi="Times New Roman" w:eastAsia="楷体_GB2312" w:cs="楷体_GB2312"/>
          <w:b/>
          <w:color w:val="auto"/>
          <w:sz w:val="32"/>
          <w:szCs w:val="32"/>
          <w:highlight w:val="none"/>
        </w:rPr>
        <w:t>（一）机关运行经费支出情况</w:t>
      </w:r>
      <w:bookmarkEnd w:id="42"/>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sz w:val="32"/>
          <w:szCs w:val="32"/>
        </w:rPr>
        <w:t>四川工商职业技术学院</w:t>
      </w:r>
      <w:r>
        <w:rPr>
          <w:rFonts w:hint="default" w:ascii="Times New Roman" w:hAnsi="Times New Roman" w:eastAsia="仿宋_GB2312" w:cs="Times New Roman"/>
          <w:color w:val="auto"/>
          <w:kern w:val="2"/>
          <w:sz w:val="32"/>
          <w:szCs w:val="32"/>
          <w:highlight w:val="none"/>
          <w:lang w:val="en-US" w:eastAsia="zh-CN" w:bidi="ar-SA"/>
        </w:rPr>
        <w:t>机关运行经费支出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万元，与2023年度决算数持平。</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3" w:name="_Toc15377223"/>
      <w:r>
        <w:rPr>
          <w:rFonts w:hint="eastAsia" w:ascii="Times New Roman" w:hAnsi="Times New Roman" w:eastAsia="楷体_GB2312" w:cs="楷体_GB2312"/>
          <w:b/>
          <w:color w:val="auto"/>
          <w:sz w:val="32"/>
          <w:szCs w:val="32"/>
          <w:highlight w:val="none"/>
        </w:rPr>
        <w:t>（二）政府采购支出情况</w:t>
      </w:r>
      <w:bookmarkEnd w:id="43"/>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sz w:val="32"/>
          <w:szCs w:val="32"/>
        </w:rPr>
        <w:t>四川工商职业技术学院</w:t>
      </w:r>
      <w:r>
        <w:rPr>
          <w:rFonts w:hint="default" w:ascii="Times New Roman" w:hAnsi="Times New Roman" w:eastAsia="仿宋_GB2312" w:cs="Times New Roman"/>
          <w:color w:val="auto"/>
          <w:kern w:val="2"/>
          <w:sz w:val="32"/>
          <w:szCs w:val="32"/>
          <w:highlight w:val="none"/>
          <w:lang w:val="en-US" w:eastAsia="zh-CN" w:bidi="ar-SA"/>
        </w:rPr>
        <w:t>政府采购支出总额</w:t>
      </w:r>
      <w:r>
        <w:rPr>
          <w:rFonts w:hint="default" w:ascii="Times New Roman" w:hAnsi="Times New Roman" w:eastAsia="仿宋_GB2312" w:cs="Times New Roman"/>
          <w:sz w:val="32"/>
          <w:szCs w:val="32"/>
        </w:rPr>
        <w:t>1418.57</w:t>
      </w:r>
      <w:r>
        <w:rPr>
          <w:rFonts w:hint="default" w:ascii="Times New Roman" w:hAnsi="Times New Roman" w:eastAsia="仿宋_GB2312" w:cs="Times New Roman"/>
          <w:color w:val="auto"/>
          <w:kern w:val="2"/>
          <w:sz w:val="32"/>
          <w:szCs w:val="32"/>
          <w:highlight w:val="none"/>
          <w:lang w:val="en-US" w:eastAsia="zh-CN" w:bidi="ar-SA"/>
        </w:rPr>
        <w:t>万元，其中：政府采购货物支出</w:t>
      </w:r>
      <w:r>
        <w:rPr>
          <w:rFonts w:hint="default" w:ascii="Times New Roman" w:hAnsi="Times New Roman" w:eastAsia="仿宋_GB2312" w:cs="Times New Roman"/>
          <w:sz w:val="32"/>
          <w:szCs w:val="32"/>
        </w:rPr>
        <w:t>712.1</w:t>
      </w:r>
      <w:r>
        <w:rPr>
          <w:rFonts w:hint="default" w:ascii="Times New Roman" w:hAnsi="Times New Roman" w:eastAsia="仿宋_GB2312" w:cs="Times New Roman"/>
          <w:color w:val="auto"/>
          <w:kern w:val="2"/>
          <w:sz w:val="32"/>
          <w:szCs w:val="32"/>
          <w:highlight w:val="none"/>
          <w:lang w:val="en-US" w:eastAsia="zh-CN" w:bidi="ar-SA"/>
        </w:rPr>
        <w:t>万元、政府采购工程支出</w:t>
      </w:r>
      <w:r>
        <w:rPr>
          <w:rFonts w:hint="default" w:ascii="Times New Roman" w:hAnsi="Times New Roman" w:eastAsia="仿宋_GB2312" w:cs="Times New Roman"/>
          <w:sz w:val="32"/>
          <w:szCs w:val="32"/>
        </w:rPr>
        <w:t>267.86</w:t>
      </w:r>
      <w:r>
        <w:rPr>
          <w:rFonts w:hint="default" w:ascii="Times New Roman" w:hAnsi="Times New Roman" w:eastAsia="仿宋_GB2312" w:cs="Times New Roman"/>
          <w:color w:val="auto"/>
          <w:kern w:val="2"/>
          <w:sz w:val="32"/>
          <w:szCs w:val="32"/>
          <w:highlight w:val="none"/>
          <w:lang w:val="en-US" w:eastAsia="zh-CN" w:bidi="ar-SA"/>
        </w:rPr>
        <w:t>万元、政府采购服务支出</w:t>
      </w:r>
      <w:r>
        <w:rPr>
          <w:rFonts w:hint="default" w:ascii="Times New Roman" w:hAnsi="Times New Roman" w:eastAsia="仿宋_GB2312" w:cs="Times New Roman"/>
          <w:sz w:val="32"/>
          <w:szCs w:val="32"/>
        </w:rPr>
        <w:t>438.61</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b w:val="0"/>
          <w:bCs w:val="0"/>
          <w:sz w:val="32"/>
          <w:szCs w:val="32"/>
        </w:rPr>
        <w:t>主要用于</w:t>
      </w:r>
      <w:r>
        <w:rPr>
          <w:rFonts w:hint="default" w:ascii="Times New Roman" w:hAnsi="Times New Roman" w:eastAsia="仿宋_GB2312" w:cs="Times New Roman"/>
          <w:b w:val="0"/>
          <w:bCs w:val="0"/>
          <w:sz w:val="32"/>
          <w:szCs w:val="32"/>
          <w:lang w:val="en-US" w:eastAsia="zh-CN"/>
        </w:rPr>
        <w:t>教学实训平台建设、办公设备和系统采购、物业管理、保安服务、污水处理、公务用车购置及运行维护、图书购置、电力扩容、学生公寓床更新、校园节能灯改造等</w:t>
      </w:r>
      <w:r>
        <w:rPr>
          <w:rFonts w:hint="default" w:ascii="Times New Roman" w:hAnsi="Times New Roman" w:eastAsia="仿宋_GB2312" w:cs="Times New Roman"/>
          <w:b w:val="0"/>
          <w:bCs w:val="0"/>
          <w:sz w:val="32"/>
          <w:szCs w:val="32"/>
          <w:lang w:eastAsia="zh-CN"/>
        </w:rPr>
        <w:t>项目</w:t>
      </w:r>
      <w:r>
        <w:rPr>
          <w:rFonts w:hint="default" w:ascii="Times New Roman" w:hAnsi="Times New Roman" w:eastAsia="仿宋_GB2312" w:cs="Times New Roman"/>
          <w:color w:val="auto"/>
          <w:kern w:val="2"/>
          <w:sz w:val="32"/>
          <w:szCs w:val="32"/>
          <w:highlight w:val="none"/>
          <w:lang w:val="en-US" w:eastAsia="zh-CN" w:bidi="ar-SA"/>
        </w:rPr>
        <w:t>。授予中小企业合同金额</w:t>
      </w:r>
      <w:r>
        <w:rPr>
          <w:rFonts w:hint="default" w:ascii="Times New Roman" w:hAnsi="Times New Roman" w:eastAsia="仿宋_GB2312" w:cs="Times New Roman"/>
          <w:sz w:val="32"/>
          <w:szCs w:val="32"/>
        </w:rPr>
        <w:t>1009.73</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rPr>
        <w:t>71.</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color w:val="auto"/>
          <w:kern w:val="2"/>
          <w:sz w:val="32"/>
          <w:szCs w:val="32"/>
          <w:highlight w:val="none"/>
          <w:lang w:val="en-US" w:eastAsia="zh-CN" w:bidi="ar-SA"/>
        </w:rPr>
        <w:t>%，其中：授予小微企业合同金额</w:t>
      </w:r>
      <w:r>
        <w:rPr>
          <w:rFonts w:hint="default" w:ascii="Times New Roman" w:hAnsi="Times New Roman" w:eastAsia="仿宋_GB2312" w:cs="Times New Roman"/>
          <w:sz w:val="32"/>
          <w:szCs w:val="32"/>
        </w:rPr>
        <w:t>861.83</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rPr>
        <w:t>60.</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4" w:name="_Toc15377224"/>
      <w:r>
        <w:rPr>
          <w:rFonts w:hint="eastAsia" w:ascii="Times New Roman" w:hAnsi="Times New Roman" w:eastAsia="楷体_GB2312" w:cs="楷体_GB2312"/>
          <w:b/>
          <w:color w:val="auto"/>
          <w:sz w:val="32"/>
          <w:szCs w:val="32"/>
          <w:highlight w:val="none"/>
        </w:rPr>
        <w:t>（三）国有资产占有使用情况</w:t>
      </w:r>
      <w:bookmarkEnd w:id="44"/>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截至2024年12月31日，</w:t>
      </w:r>
      <w:r>
        <w:rPr>
          <w:rFonts w:hint="default" w:ascii="Times New Roman" w:hAnsi="Times New Roman" w:eastAsia="仿宋_GB2312" w:cs="Times New Roman"/>
          <w:sz w:val="32"/>
          <w:szCs w:val="32"/>
        </w:rPr>
        <w:t>四川工商职业技术学院</w:t>
      </w:r>
      <w:r>
        <w:rPr>
          <w:rFonts w:hint="default" w:ascii="Times New Roman" w:hAnsi="Times New Roman" w:eastAsia="仿宋_GB2312" w:cs="Times New Roman"/>
          <w:color w:val="auto"/>
          <w:kern w:val="2"/>
          <w:sz w:val="32"/>
          <w:szCs w:val="32"/>
          <w:highlight w:val="none"/>
          <w:lang w:val="en-US" w:eastAsia="zh-CN" w:bidi="ar-SA"/>
        </w:rPr>
        <w:t>共有车辆</w:t>
      </w:r>
      <w:r>
        <w:rPr>
          <w:rFonts w:hint="default" w:ascii="Times New Roman" w:hAnsi="Times New Roman" w:eastAsia="仿宋_GB2312" w:cs="Times New Roman"/>
          <w:sz w:val="32"/>
          <w:szCs w:val="32"/>
        </w:rPr>
        <w:t>4</w:t>
      </w:r>
      <w:r>
        <w:rPr>
          <w:rFonts w:hint="default" w:ascii="Times New Roman" w:hAnsi="Times New Roman" w:eastAsia="仿宋_GB2312" w:cs="Times New Roman"/>
          <w:color w:val="auto"/>
          <w:kern w:val="2"/>
          <w:sz w:val="32"/>
          <w:szCs w:val="32"/>
          <w:highlight w:val="none"/>
          <w:lang w:val="en-US" w:eastAsia="zh-CN" w:bidi="ar-SA"/>
        </w:rPr>
        <w:t>辆，其中：主要负责人用车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辆、机要通信用车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辆、应急保障用车</w:t>
      </w:r>
      <w:r>
        <w:rPr>
          <w:rFonts w:hint="default" w:ascii="Times New Roman" w:hAnsi="Times New Roman" w:eastAsia="仿宋_GB2312" w:cs="Times New Roman"/>
          <w:sz w:val="32"/>
          <w:szCs w:val="32"/>
        </w:rPr>
        <w:t>2</w:t>
      </w:r>
      <w:r>
        <w:rPr>
          <w:rFonts w:hint="default" w:ascii="Times New Roman" w:hAnsi="Times New Roman" w:eastAsia="仿宋_GB2312" w:cs="Times New Roman"/>
          <w:color w:val="auto"/>
          <w:kern w:val="2"/>
          <w:sz w:val="32"/>
          <w:szCs w:val="32"/>
          <w:highlight w:val="none"/>
          <w:lang w:val="en-US" w:eastAsia="zh-CN" w:bidi="ar-SA"/>
        </w:rPr>
        <w:t>辆、其他用车</w:t>
      </w:r>
      <w:r>
        <w:rPr>
          <w:rFonts w:hint="default" w:ascii="Times New Roman" w:hAnsi="Times New Roman" w:eastAsia="仿宋_GB2312" w:cs="Times New Roman"/>
          <w:sz w:val="32"/>
          <w:szCs w:val="32"/>
        </w:rPr>
        <w:t>2</w:t>
      </w:r>
      <w:r>
        <w:rPr>
          <w:rFonts w:hint="default" w:ascii="Times New Roman" w:hAnsi="Times New Roman" w:eastAsia="仿宋_GB2312" w:cs="Times New Roman"/>
          <w:color w:val="auto"/>
          <w:kern w:val="2"/>
          <w:sz w:val="32"/>
          <w:szCs w:val="32"/>
          <w:highlight w:val="none"/>
          <w:lang w:val="en-US" w:eastAsia="zh-CN" w:bidi="ar-SA"/>
        </w:rPr>
        <w:t>辆，其他用车主要是</w:t>
      </w:r>
      <w:r>
        <w:rPr>
          <w:rFonts w:hint="default" w:ascii="Times New Roman" w:hAnsi="Times New Roman" w:eastAsia="仿宋_GB2312" w:cs="Times New Roman"/>
          <w:sz w:val="32"/>
          <w:szCs w:val="32"/>
        </w:rPr>
        <w:t>用于</w:t>
      </w:r>
      <w:r>
        <w:rPr>
          <w:rFonts w:hint="default" w:ascii="Times New Roman" w:hAnsi="Times New Roman" w:eastAsia="仿宋_GB2312" w:cs="Times New Roman"/>
          <w:sz w:val="32"/>
          <w:szCs w:val="32"/>
          <w:lang w:val="en-US" w:eastAsia="zh-CN"/>
        </w:rPr>
        <w:t>向上级主管单位工作联系及对外招生就业工作使用</w:t>
      </w:r>
      <w:r>
        <w:rPr>
          <w:rFonts w:hint="default" w:ascii="Times New Roman" w:hAnsi="Times New Roman" w:eastAsia="仿宋_GB2312" w:cs="Times New Roman"/>
          <w:color w:val="auto"/>
          <w:kern w:val="2"/>
          <w:sz w:val="32"/>
          <w:szCs w:val="32"/>
          <w:highlight w:val="none"/>
          <w:lang w:val="en-US" w:eastAsia="zh-CN" w:bidi="ar-SA"/>
        </w:rPr>
        <w:t>。单价100万元（含）以上设备（不含车辆）</w:t>
      </w:r>
      <w:r>
        <w:rPr>
          <w:rFonts w:hint="default" w:ascii="Times New Roman" w:hAnsi="Times New Roman" w:eastAsia="仿宋_GB2312" w:cs="Times New Roman"/>
          <w:sz w:val="32"/>
          <w:szCs w:val="32"/>
        </w:rPr>
        <w:t>8</w:t>
      </w:r>
      <w:r>
        <w:rPr>
          <w:rFonts w:hint="default" w:ascii="Times New Roman" w:hAnsi="Times New Roman" w:eastAsia="仿宋_GB2312" w:cs="Times New Roman"/>
          <w:color w:val="auto"/>
          <w:kern w:val="2"/>
          <w:sz w:val="32"/>
          <w:szCs w:val="32"/>
          <w:highlight w:val="none"/>
          <w:lang w:val="en-US" w:eastAsia="zh-CN" w:bidi="ar-SA"/>
        </w:rPr>
        <w:t>台（套）。</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auto"/>
          <w:kern w:val="2"/>
          <w:sz w:val="32"/>
          <w:szCs w:val="32"/>
          <w:highlight w:val="none"/>
          <w:lang w:val="en-US" w:eastAsia="zh-CN" w:bidi="ar-SA"/>
        </w:rPr>
        <w:t>根据预算绩效管理要求，学院在2024年度预算编制阶段，组织对</w:t>
      </w:r>
      <w:r>
        <w:rPr>
          <w:rFonts w:hint="eastAsia" w:eastAsia="仿宋_GB2312" w:cs="Times New Roman"/>
          <w:color w:val="auto"/>
          <w:kern w:val="2"/>
          <w:sz w:val="32"/>
          <w:szCs w:val="32"/>
          <w:highlight w:val="none"/>
          <w:lang w:val="en-US" w:eastAsia="zh-CN" w:bidi="ar-SA"/>
        </w:rPr>
        <w:t>0</w:t>
      </w:r>
      <w:r>
        <w:rPr>
          <w:rFonts w:hint="default" w:ascii="Times New Roman" w:hAnsi="Times New Roman" w:eastAsia="仿宋_GB2312" w:cs="Times New Roman"/>
          <w:color w:val="auto"/>
          <w:kern w:val="2"/>
          <w:sz w:val="32"/>
          <w:szCs w:val="32"/>
          <w:highlight w:val="none"/>
          <w:lang w:val="en-US" w:eastAsia="zh-CN" w:bidi="ar-SA"/>
        </w:rPr>
        <w:t>个项目开展了预算事前绩效评估</w:t>
      </w:r>
      <w:r>
        <w:rPr>
          <w:rFonts w:hint="eastAsia" w:eastAsia="仿宋_GB2312" w:cs="Times New Roman"/>
          <w:color w:val="auto"/>
          <w:kern w:val="2"/>
          <w:sz w:val="32"/>
          <w:szCs w:val="32"/>
          <w:highlight w:val="none"/>
          <w:lang w:val="en-US" w:eastAsia="zh-CN" w:bidi="ar-SA"/>
        </w:rPr>
        <w:t>，组织对</w:t>
      </w:r>
      <w:r>
        <w:rPr>
          <w:rFonts w:hint="default" w:ascii="Times New Roman" w:hAnsi="Times New Roman" w:eastAsia="仿宋_GB2312" w:cs="Times New Roman"/>
          <w:sz w:val="32"/>
          <w:szCs w:val="32"/>
        </w:rPr>
        <w:t>工资性支出</w:t>
      </w:r>
      <w:r>
        <w:rPr>
          <w:rFonts w:hint="default" w:ascii="Times New Roman" w:hAnsi="Times New Roman" w:eastAsia="仿宋_GB2312" w:cs="Times New Roman"/>
          <w:sz w:val="32"/>
          <w:szCs w:val="32"/>
          <w:lang w:eastAsia="zh-CN"/>
        </w:rPr>
        <w:t>、其他人员支出、</w:t>
      </w:r>
      <w:r>
        <w:rPr>
          <w:rFonts w:hint="default" w:ascii="Times New Roman" w:hAnsi="Times New Roman" w:eastAsia="仿宋_GB2312" w:cs="Times New Roman"/>
          <w:sz w:val="32"/>
          <w:szCs w:val="32"/>
          <w:lang w:val="en-US" w:eastAsia="zh-CN"/>
        </w:rPr>
        <w:t>单位缴费、离退休费支出、其他支出、日常公用经费、非定额公用经费、现代职业教育质量提升计划资金、学生资助专项资金、2023年学生资助经费、2023年教学采购、基于医学知识图谱及电子病历的疾病智能筛查技术研究、现代职业教育质量提升计划资金（延续项目）、偿还债务本息（2024）、青年马克思主义者培训大楼建设、学生资助经费（2024）、2024年教学采购（双高建设）、2024年产教融合项目(双高建设）、2024年教学经费（双高建设）、教学运行经费（2023年结转）、基于功能微生物强化剂开发的浓香型白酒吡嗪类物质增量关键、阿坝片区欠发达县域工业产业发展能力提升培训班</w:t>
      </w:r>
      <w:r>
        <w:rPr>
          <w:rFonts w:hint="default" w:ascii="Times New Roman" w:hAnsi="Times New Roman" w:eastAsia="仿宋_GB2312" w:cs="Times New Roman"/>
          <w:color w:val="auto"/>
          <w:kern w:val="2"/>
          <w:sz w:val="32"/>
          <w:szCs w:val="32"/>
          <w:highlight w:val="none"/>
          <w:lang w:val="en-US" w:eastAsia="zh-CN" w:bidi="ar-SA"/>
        </w:rPr>
        <w:t>等22个项目编制了绩效目标，预算执行过程中，选取22个项目开展绩效监控，</w:t>
      </w:r>
      <w:r>
        <w:rPr>
          <w:rFonts w:hint="default" w:ascii="Times New Roman" w:hAnsi="Times New Roman" w:eastAsia="仿宋_GB2312" w:cs="Times New Roman"/>
          <w:sz w:val="32"/>
          <w:szCs w:val="32"/>
        </w:rPr>
        <w:t>组织对</w:t>
      </w:r>
      <w:r>
        <w:rPr>
          <w:rFonts w:hint="default"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rPr>
        <w:t>个项目开展绩效自评，</w:t>
      </w:r>
      <w:r>
        <w:rPr>
          <w:rFonts w:hint="default" w:ascii="Times New Roman" w:hAnsi="Times New Roman" w:eastAsia="仿宋_GB2312" w:cs="Times New Roman"/>
          <w:color w:val="000000"/>
          <w:sz w:val="32"/>
          <w:szCs w:val="32"/>
          <w:highlight w:val="none"/>
        </w:rPr>
        <w:t>学院202</w:t>
      </w:r>
      <w:r>
        <w:rPr>
          <w:rFonts w:hint="default" w:ascii="Times New Roman" w:hAnsi="Times New Roman" w:eastAsia="仿宋_GB2312" w:cs="Times New Roman"/>
          <w:color w:val="000000"/>
          <w:sz w:val="32"/>
          <w:szCs w:val="32"/>
          <w:highlight w:val="none"/>
          <w:lang w:val="en-US" w:eastAsia="zh-CN"/>
        </w:rPr>
        <w:t>4</w:t>
      </w:r>
      <w:r>
        <w:rPr>
          <w:rFonts w:hint="default" w:ascii="Times New Roman" w:hAnsi="Times New Roman" w:eastAsia="仿宋_GB2312" w:cs="Times New Roman"/>
          <w:color w:val="000000"/>
          <w:sz w:val="32"/>
          <w:szCs w:val="32"/>
          <w:highlight w:val="none"/>
        </w:rPr>
        <w:t>年整体支出绩效自评得分</w:t>
      </w:r>
      <w:r>
        <w:rPr>
          <w:rFonts w:hint="default" w:ascii="Times New Roman" w:hAnsi="Times New Roman" w:eastAsia="仿宋_GB2312" w:cs="Times New Roman"/>
          <w:color w:val="000000"/>
          <w:sz w:val="32"/>
          <w:szCs w:val="32"/>
          <w:highlight w:val="none"/>
          <w:lang w:val="en-US" w:eastAsia="zh-CN"/>
        </w:rPr>
        <w:t>88</w:t>
      </w:r>
      <w:r>
        <w:rPr>
          <w:rFonts w:hint="default" w:ascii="Times New Roman" w:hAnsi="Times New Roman" w:eastAsia="仿宋_GB2312" w:cs="Times New Roman"/>
          <w:color w:val="000000"/>
          <w:sz w:val="32"/>
          <w:szCs w:val="32"/>
          <w:highlight w:val="none"/>
        </w:rPr>
        <w:t>分</w:t>
      </w:r>
      <w:r>
        <w:rPr>
          <w:rFonts w:hint="default" w:ascii="Times New Roman" w:hAnsi="Times New Roman" w:eastAsia="仿宋_GB2312" w:cs="Times New Roman"/>
          <w:color w:val="000000"/>
          <w:sz w:val="32"/>
          <w:szCs w:val="32"/>
          <w:highlight w:val="none"/>
          <w:lang w:eastAsia="zh-CN"/>
        </w:rPr>
        <w:t>，</w:t>
      </w:r>
      <w:r>
        <w:rPr>
          <w:rFonts w:hint="eastAsia" w:eastAsia="仿宋_GB2312" w:cs="Times New Roman"/>
          <w:color w:val="000000"/>
          <w:sz w:val="32"/>
          <w:szCs w:val="32"/>
          <w:highlight w:val="none"/>
          <w:lang w:val="en-US" w:eastAsia="zh-CN"/>
        </w:rPr>
        <w:t>特定目标类部门预算项目支出绩效自评表</w:t>
      </w:r>
      <w:r>
        <w:rPr>
          <w:rFonts w:hint="default" w:ascii="Times New Roman" w:hAnsi="Times New Roman" w:eastAsia="仿宋_GB2312" w:cs="Times New Roman"/>
          <w:sz w:val="32"/>
          <w:szCs w:val="32"/>
        </w:rPr>
        <w:t>详见第四部分附件。</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rPr>
          <w:rFonts w:hint="eastAsia" w:ascii="Times New Roman" w:hAnsi="Times New Roman" w:eastAsia="仿宋_GB2312" w:cs="仿宋_GB2312"/>
          <w:color w:val="auto"/>
          <w:kern w:val="2"/>
          <w:sz w:val="32"/>
          <w:szCs w:val="32"/>
          <w:highlight w:val="none"/>
          <w:lang w:val="en-US" w:eastAsia="zh-CN" w:bidi="ar-SA"/>
        </w:rPr>
      </w:pPr>
    </w:p>
    <w:p>
      <w:pPr>
        <w:spacing w:line="600" w:lineRule="exact"/>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45" w:name="_Toc15396613"/>
      <w:bookmarkStart w:id="46" w:name="_Toc15377225"/>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1"/>
        </w:numPr>
        <w:spacing w:line="600" w:lineRule="exact"/>
        <w:jc w:val="center"/>
        <w:outlineLvl w:val="0"/>
        <w:rPr>
          <w:rFonts w:hint="eastAsia" w:ascii="Times New Roman" w:hAnsi="Times New Roman" w:eastAsia="黑体"/>
          <w:color w:val="auto"/>
          <w:sz w:val="44"/>
          <w:szCs w:val="44"/>
          <w:highlight w:val="none"/>
        </w:rPr>
      </w:pP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5"/>
      <w:bookmarkEnd w:id="46"/>
    </w:p>
    <w:p>
      <w:pPr>
        <w:pStyle w:val="2"/>
        <w:numPr>
          <w:ilvl w:val="0"/>
          <w:numId w:val="0"/>
        </w:numPr>
        <w:ind w:leftChars="0"/>
      </w:pP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2.事业收入：指事业单位开展专业业务活动及辅助活动取得的收入。</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3.经营收入：指事业单位在专业业务活动及其辅助活动之外开展非独立核算经营活动取得的收入。</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4.其他收入：指单位取得的除上述收入以外的各项收入。</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 xml:space="preserve">5.使用非财政拨款结余（含专用结余）：指事业单位使用以前年度积累的非财政拨款结余弥补当年收支差额的金额。 </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 xml:space="preserve">6.年初结转和结余：指以前年度尚未完成、结转到本年按有关规定继续使用的资金。 </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7.结余分配：指事业单位按照会计制度规定缴纳的所得税、提取的专用结余以及转入非财政拨款结余的金额等。</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8.年末结转和结余：指单位按有关规定结转到下年或以后年度继续使用的资金。</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color w:val="auto"/>
          <w:kern w:val="2"/>
          <w:sz w:val="32"/>
          <w:szCs w:val="32"/>
          <w:highlight w:val="none"/>
          <w:lang w:val="en-US" w:eastAsia="zh-CN" w:bidi="ar-SA"/>
        </w:rPr>
        <w:t>9.</w:t>
      </w:r>
      <w:r>
        <w:rPr>
          <w:rFonts w:hint="default" w:ascii="Times New Roman" w:hAnsi="Times New Roman" w:eastAsia="仿宋_GB2312" w:cs="Times New Roman"/>
          <w:sz w:val="32"/>
          <w:szCs w:val="32"/>
        </w:rPr>
        <w:t>教育（类）</w:t>
      </w:r>
      <w:r>
        <w:rPr>
          <w:rFonts w:hint="default" w:ascii="Times New Roman" w:hAnsi="Times New Roman" w:eastAsia="仿宋_GB2312" w:cs="Times New Roman"/>
          <w:sz w:val="32"/>
          <w:szCs w:val="32"/>
          <w:lang w:val="en-US" w:eastAsia="zh-CN"/>
        </w:rPr>
        <w:t>职业教育</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val="en-US" w:eastAsia="zh-CN"/>
        </w:rPr>
        <w:t>高等职业教育（</w:t>
      </w:r>
      <w:r>
        <w:rPr>
          <w:rFonts w:hint="default" w:ascii="Times New Roman" w:hAnsi="Times New Roman" w:eastAsia="仿宋_GB2312" w:cs="Times New Roman"/>
          <w:sz w:val="32"/>
          <w:szCs w:val="32"/>
        </w:rPr>
        <w:t>项）：指</w:t>
      </w:r>
      <w:r>
        <w:rPr>
          <w:rFonts w:hint="default" w:ascii="Times New Roman" w:hAnsi="Times New Roman" w:eastAsia="仿宋_GB2312" w:cs="Times New Roman"/>
          <w:sz w:val="32"/>
          <w:szCs w:val="32"/>
          <w:lang w:val="en-US" w:eastAsia="zh-CN"/>
        </w:rPr>
        <w:t>经国家批准设立的专科职业教育等方面的支出</w:t>
      </w:r>
      <w:r>
        <w:rPr>
          <w:rFonts w:hint="default" w:ascii="Times New Roman" w:hAnsi="Times New Roman" w:eastAsia="仿宋_GB2312" w:cs="Times New Roman"/>
          <w:sz w:val="32"/>
          <w:szCs w:val="32"/>
        </w:rPr>
        <w:t>。</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10.基本支出：指为保障机构正常运转、完成日常工作任务而发生的人员支出和公用支出。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 xml:space="preserve">11.项目支出：指在基本支出之外为完成特定行政任务和事业发展目标所发生的支出。 </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12.“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13.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rPr>
          <w:rFonts w:hint="eastAsia" w:ascii="Times New Roman" w:hAnsi="Times New Roman" w:eastAsia="黑体"/>
          <w:color w:val="auto"/>
          <w:sz w:val="44"/>
          <w:szCs w:val="44"/>
          <w:highlight w:val="none"/>
        </w:rPr>
      </w:pPr>
      <w:bookmarkStart w:id="47"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48"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48"/>
    </w:p>
    <w:p>
      <w:pPr>
        <w:pStyle w:val="2"/>
        <w:rPr>
          <w:rFonts w:hint="eastAsia"/>
        </w:rPr>
      </w:pPr>
    </w:p>
    <w:p>
      <w:pPr>
        <w:spacing w:line="600" w:lineRule="exact"/>
        <w:ind w:firstLine="640" w:firstLineChars="200"/>
        <w:jc w:val="both"/>
        <w:outlineLvl w:val="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附表：</w:t>
      </w:r>
      <w:r>
        <w:rPr>
          <w:rFonts w:hint="eastAsia" w:ascii="仿宋_GB2312" w:hAnsi="仿宋_GB2312" w:eastAsia="仿宋_GB2312" w:cs="仿宋_GB2312"/>
          <w:b w:val="0"/>
          <w:bCs w:val="0"/>
          <w:sz w:val="32"/>
          <w:szCs w:val="32"/>
        </w:rPr>
        <w:t>项目支出绩效自评表（202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年度）</w:t>
      </w:r>
      <w:bookmarkStart w:id="63" w:name="_GoBack"/>
      <w:bookmarkEnd w:id="63"/>
    </w:p>
    <w:p>
      <w:pPr>
        <w:pStyle w:val="2"/>
        <w:rPr>
          <w:rFonts w:hint="eastAsia"/>
          <w:lang w:val="en-US" w:eastAsia="zh-CN"/>
        </w:rPr>
      </w:pPr>
    </w:p>
    <w:p>
      <w:pPr>
        <w:pStyle w:val="6"/>
        <w:numPr>
          <w:ilvl w:val="0"/>
          <w:numId w:val="2"/>
        </w:numPr>
        <w:spacing w:before="93"/>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现代职业教育质量提升计划资金项目目标自评</w:t>
      </w:r>
    </w:p>
    <w:p>
      <w:pPr>
        <w:pStyle w:val="6"/>
        <w:numPr>
          <w:ilvl w:val="0"/>
          <w:numId w:val="2"/>
        </w:numPr>
        <w:spacing w:before="93"/>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学生资助专项资金项目目标自评</w:t>
      </w:r>
    </w:p>
    <w:p>
      <w:pPr>
        <w:pStyle w:val="6"/>
        <w:numPr>
          <w:ilvl w:val="0"/>
          <w:numId w:val="2"/>
        </w:numPr>
        <w:spacing w:before="93"/>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2023年学生资助经费项目目标自评</w:t>
      </w:r>
    </w:p>
    <w:p>
      <w:pPr>
        <w:pStyle w:val="6"/>
        <w:numPr>
          <w:ilvl w:val="0"/>
          <w:numId w:val="2"/>
        </w:numPr>
        <w:spacing w:before="93"/>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2023年教学采购项目目标自评</w:t>
      </w:r>
    </w:p>
    <w:p>
      <w:pPr>
        <w:pStyle w:val="6"/>
        <w:numPr>
          <w:ilvl w:val="0"/>
          <w:numId w:val="2"/>
        </w:numPr>
        <w:spacing w:before="93"/>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基于医学知识图谱及电子病历的疾病智能筛查技术研究项目目标自评</w:t>
      </w:r>
    </w:p>
    <w:p>
      <w:pPr>
        <w:pStyle w:val="6"/>
        <w:numPr>
          <w:ilvl w:val="0"/>
          <w:numId w:val="2"/>
        </w:numPr>
        <w:spacing w:before="93"/>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现代职业教育质量提升计划资金（延续项目）项目目标自评</w:t>
      </w:r>
    </w:p>
    <w:p>
      <w:pPr>
        <w:spacing w:line="600" w:lineRule="exact"/>
        <w:jc w:val="left"/>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七、基于功能微生物强化剂开发的浓香型白酒吡嗪类物质增量关键项目目标自评</w:t>
      </w:r>
    </w:p>
    <w:p>
      <w:pPr>
        <w:pStyle w:val="2"/>
        <w:ind w:left="0" w:leftChars="0" w:firstLine="0" w:firstLineChar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八、阿坝片区欠发达县域工业产业发展能力提升培训班项目目标自评</w:t>
      </w:r>
    </w:p>
    <w:p>
      <w:pPr>
        <w:pStyle w:val="2"/>
        <w:rPr>
          <w:rFonts w:hint="eastAsia"/>
          <w:lang w:val="en-US"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keepNext w:val="0"/>
        <w:keepLines w:val="0"/>
        <w:pageBreakBefore w:val="0"/>
        <w:widowControl w:val="0"/>
        <w:kinsoku/>
        <w:wordWrap/>
        <w:overflowPunct/>
        <w:topLinePunct w:val="0"/>
        <w:autoSpaceDE/>
        <w:autoSpaceDN/>
        <w:bidi w:val="0"/>
        <w:spacing w:line="578" w:lineRule="exact"/>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2640" w:firstLineChars="600"/>
        <w:jc w:val="both"/>
        <w:textAlignment w:val="auto"/>
        <w:outlineLvl w:val="9"/>
        <w:rPr>
          <w:rFonts w:hint="eastAsia" w:ascii="Times New Roman" w:hAnsi="Times New Roman" w:eastAsia="仿宋"/>
          <w:b w:val="0"/>
          <w:color w:val="auto"/>
          <w:highlight w:val="none"/>
        </w:rPr>
      </w:pPr>
      <w:bookmarkStart w:id="49" w:name="_Toc15396618"/>
      <w:r>
        <w:rPr>
          <w:rFonts w:hint="eastAsia" w:ascii="Times New Roman" w:hAnsi="Times New Roman" w:eastAsia="黑体"/>
          <w:color w:val="auto"/>
          <w:sz w:val="44"/>
          <w:szCs w:val="44"/>
          <w:highlight w:val="none"/>
        </w:rPr>
        <w:t>第</w:t>
      </w:r>
      <w:r>
        <w:rPr>
          <w:rStyle w:val="29"/>
          <w:rFonts w:hint="eastAsia" w:ascii="Times New Roman" w:hAnsi="Times New Roman" w:eastAsia="黑体"/>
          <w:b w:val="0"/>
          <w:color w:val="auto"/>
          <w:highlight w:val="none"/>
        </w:rPr>
        <w:t>五部分 附表</w:t>
      </w:r>
      <w:bookmarkEnd w:id="47"/>
      <w:bookmarkEnd w:id="49"/>
      <w:bookmarkStart w:id="50" w:name="_Toc15396619"/>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rPr>
          <w:rFonts w:hint="eastAsia"/>
        </w:rPr>
      </w:pP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50"/>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1" w:name="_Toc15396620"/>
      <w:r>
        <w:rPr>
          <w:rFonts w:hint="eastAsia" w:ascii="Times New Roman" w:hAnsi="Times New Roman" w:eastAsia="仿宋_GB2312" w:cs="仿宋_GB2312"/>
          <w:color w:val="auto"/>
          <w:sz w:val="32"/>
          <w:szCs w:val="32"/>
          <w:highlight w:val="none"/>
        </w:rPr>
        <w:t>二、收入决算表</w:t>
      </w:r>
      <w:bookmarkEnd w:id="51"/>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2" w:name="_Toc15396621"/>
      <w:r>
        <w:rPr>
          <w:rFonts w:hint="eastAsia" w:ascii="Times New Roman" w:hAnsi="Times New Roman" w:eastAsia="仿宋_GB2312" w:cs="仿宋_GB2312"/>
          <w:color w:val="auto"/>
          <w:sz w:val="32"/>
          <w:szCs w:val="32"/>
          <w:highlight w:val="none"/>
        </w:rPr>
        <w:t>三、支出决算表</w:t>
      </w:r>
      <w:bookmarkEnd w:id="52"/>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3" w:name="_Toc15396622"/>
      <w:r>
        <w:rPr>
          <w:rFonts w:hint="eastAsia" w:ascii="Times New Roman" w:hAnsi="Times New Roman" w:eastAsia="仿宋_GB2312" w:cs="仿宋_GB2312"/>
          <w:color w:val="auto"/>
          <w:sz w:val="32"/>
          <w:szCs w:val="32"/>
          <w:highlight w:val="none"/>
        </w:rPr>
        <w:t>四、财政拨款收入支出决算总表</w:t>
      </w:r>
      <w:bookmarkEnd w:id="53"/>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4" w:name="_Toc15396623"/>
      <w:r>
        <w:rPr>
          <w:rFonts w:hint="eastAsia" w:ascii="Times New Roman" w:hAnsi="Times New Roman" w:eastAsia="仿宋_GB2312" w:cs="仿宋_GB2312"/>
          <w:color w:val="auto"/>
          <w:sz w:val="32"/>
          <w:szCs w:val="32"/>
          <w:highlight w:val="none"/>
        </w:rPr>
        <w:t>五、财政拨款支出决算明细表</w:t>
      </w:r>
      <w:bookmarkEnd w:id="54"/>
      <w:bookmarkStart w:id="55" w:name="_Toc15396624"/>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5"/>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5"/>
      <w:r>
        <w:rPr>
          <w:rFonts w:hint="eastAsia" w:ascii="Times New Roman" w:hAnsi="Times New Roman" w:eastAsia="仿宋_GB2312" w:cs="仿宋_GB2312"/>
          <w:color w:val="auto"/>
          <w:sz w:val="32"/>
          <w:szCs w:val="32"/>
          <w:highlight w:val="none"/>
        </w:rPr>
        <w:t>七、一般公共预算财政拨款支出决算明细表</w:t>
      </w:r>
      <w:bookmarkEnd w:id="56"/>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6"/>
      <w:r>
        <w:rPr>
          <w:rFonts w:hint="eastAsia" w:ascii="Times New Roman" w:hAnsi="Times New Roman" w:eastAsia="仿宋_GB2312" w:cs="仿宋_GB2312"/>
          <w:color w:val="auto"/>
          <w:sz w:val="32"/>
          <w:szCs w:val="32"/>
          <w:highlight w:val="none"/>
        </w:rPr>
        <w:t>八、一般公共预算财政拨款基本支出决算表</w:t>
      </w:r>
      <w:bookmarkEnd w:id="57"/>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8" w:name="_Toc15396627"/>
      <w:r>
        <w:rPr>
          <w:rFonts w:hint="eastAsia" w:ascii="Times New Roman" w:hAnsi="Times New Roman" w:eastAsia="仿宋_GB2312" w:cs="仿宋_GB2312"/>
          <w:color w:val="auto"/>
          <w:sz w:val="32"/>
          <w:szCs w:val="32"/>
          <w:highlight w:val="none"/>
        </w:rPr>
        <w:t>九、一般公共预算财政拨款项目支出决算表</w:t>
      </w:r>
      <w:bookmarkEnd w:id="58"/>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9" w:name="_Toc15396628"/>
      <w:r>
        <w:rPr>
          <w:rFonts w:hint="eastAsia" w:ascii="Times New Roman" w:hAnsi="Times New Roman" w:eastAsia="仿宋_GB2312" w:cs="仿宋_GB2312"/>
          <w:color w:val="auto"/>
          <w:sz w:val="32"/>
          <w:szCs w:val="32"/>
          <w:highlight w:val="none"/>
        </w:rPr>
        <w:t>十、</w:t>
      </w:r>
      <w:bookmarkEnd w:id="59"/>
      <w:r>
        <w:rPr>
          <w:rFonts w:hint="eastAsia" w:ascii="Times New Roman" w:hAnsi="Times New Roman" w:eastAsia="仿宋_GB2312" w:cs="仿宋_GB2312"/>
          <w:color w:val="auto"/>
          <w:sz w:val="32"/>
          <w:szCs w:val="32"/>
          <w:highlight w:val="none"/>
        </w:rPr>
        <w:t>政府性基金预算财政拨款收入支出决算表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0" w:name="_Toc15396629"/>
      <w:r>
        <w:rPr>
          <w:rFonts w:hint="eastAsia" w:ascii="Times New Roman" w:hAnsi="Times New Roman" w:eastAsia="仿宋_GB2312" w:cs="仿宋_GB2312"/>
          <w:color w:val="auto"/>
          <w:sz w:val="32"/>
          <w:szCs w:val="32"/>
          <w:highlight w:val="none"/>
        </w:rPr>
        <w:t>十一、</w:t>
      </w:r>
      <w:bookmarkEnd w:id="60"/>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1" w:name="_Toc15396630"/>
      <w:r>
        <w:rPr>
          <w:rFonts w:hint="eastAsia" w:ascii="Times New Roman" w:hAnsi="Times New Roman" w:eastAsia="仿宋_GB2312" w:cs="仿宋_GB2312"/>
          <w:color w:val="auto"/>
          <w:sz w:val="32"/>
          <w:szCs w:val="32"/>
          <w:highlight w:val="none"/>
        </w:rPr>
        <w:t>十二、</w:t>
      </w:r>
      <w:bookmarkEnd w:id="61"/>
      <w:r>
        <w:rPr>
          <w:rFonts w:hint="eastAsia" w:ascii="Times New Roman" w:hAnsi="Times New Roman" w:eastAsia="仿宋_GB2312" w:cs="仿宋_GB2312"/>
          <w:color w:val="auto"/>
          <w:sz w:val="32"/>
          <w:szCs w:val="32"/>
          <w:highlight w:val="none"/>
          <w:lang w:eastAsia="zh-CN"/>
        </w:rPr>
        <w:t>国有资本经营预算财政拨款支出决算表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2" w:name="_Toc15396631"/>
      <w:r>
        <w:rPr>
          <w:rFonts w:hint="eastAsia" w:ascii="Times New Roman" w:hAnsi="Times New Roman" w:eastAsia="仿宋_GB2312" w:cs="仿宋_GB2312"/>
          <w:color w:val="auto"/>
          <w:sz w:val="32"/>
          <w:szCs w:val="32"/>
          <w:highlight w:val="none"/>
        </w:rPr>
        <w:t>十三、</w:t>
      </w:r>
      <w:bookmarkEnd w:id="62"/>
      <w:r>
        <w:rPr>
          <w:rFonts w:hint="eastAsia" w:ascii="Times New Roman" w:hAnsi="Times New Roman" w:eastAsia="仿宋_GB2312" w:cs="仿宋_GB2312"/>
          <w:color w:val="auto"/>
          <w:sz w:val="32"/>
          <w:szCs w:val="32"/>
          <w:highlight w:val="none"/>
          <w:lang w:eastAsia="zh-CN"/>
        </w:rPr>
        <w:t>财政拨款“三公”经费支出决算表</w:t>
      </w:r>
    </w:p>
    <w:p>
      <w:pPr>
        <w:rPr>
          <w:rFonts w:hint="eastAsia" w:ascii="Times New Roman" w:hAnsi="Times New Roman"/>
          <w:lang w:eastAsia="zh-CN"/>
        </w:rPr>
      </w:pPr>
    </w:p>
    <w:sectPr>
      <w:footerReference r:id="rId9" w:type="first"/>
      <w:headerReference r:id="rId7" w:type="default"/>
      <w:footerReference r:id="rId8"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rFonts w:hint="eastAsia" w:eastAsia="宋体"/>
        <w:lang w:eastAsia="zh-CN"/>
      </w:rPr>
    </w:pPr>
  </w:p>
  <w:p>
    <w:pPr>
      <w:pStyle w:val="11"/>
      <w:jc w:val="center"/>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216DE"/>
    <w:multiLevelType w:val="singleLevel"/>
    <w:tmpl w:val="1BF216DE"/>
    <w:lvl w:ilvl="0" w:tentative="0">
      <w:start w:val="3"/>
      <w:numFmt w:val="chineseCounting"/>
      <w:suff w:val="space"/>
      <w:lvlText w:val="第%1部分"/>
      <w:lvlJc w:val="left"/>
      <w:rPr>
        <w:rFonts w:hint="eastAsia"/>
      </w:rPr>
    </w:lvl>
  </w:abstractNum>
  <w:abstractNum w:abstractNumId="1">
    <w:nsid w:val="253C4F94"/>
    <w:multiLevelType w:val="singleLevel"/>
    <w:tmpl w:val="253C4F9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23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C757B"/>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B40E52"/>
    <w:rsid w:val="02FEBE30"/>
    <w:rsid w:val="03572502"/>
    <w:rsid w:val="03836A76"/>
    <w:rsid w:val="03B04719"/>
    <w:rsid w:val="04916F1E"/>
    <w:rsid w:val="04A171B4"/>
    <w:rsid w:val="051A0D14"/>
    <w:rsid w:val="061E35DE"/>
    <w:rsid w:val="066E0107"/>
    <w:rsid w:val="06DE2432"/>
    <w:rsid w:val="070752C8"/>
    <w:rsid w:val="073310F6"/>
    <w:rsid w:val="07996F6E"/>
    <w:rsid w:val="07DFD8BA"/>
    <w:rsid w:val="084E1401"/>
    <w:rsid w:val="086F75C9"/>
    <w:rsid w:val="08935065"/>
    <w:rsid w:val="09811362"/>
    <w:rsid w:val="09867E8F"/>
    <w:rsid w:val="098D41AA"/>
    <w:rsid w:val="09E162A4"/>
    <w:rsid w:val="09E72243"/>
    <w:rsid w:val="0A2032A3"/>
    <w:rsid w:val="0C04484A"/>
    <w:rsid w:val="0CA8290A"/>
    <w:rsid w:val="0CD8398F"/>
    <w:rsid w:val="0D35B1ED"/>
    <w:rsid w:val="0E254B6B"/>
    <w:rsid w:val="0E903DF5"/>
    <w:rsid w:val="0F225395"/>
    <w:rsid w:val="0F98263C"/>
    <w:rsid w:val="101860EC"/>
    <w:rsid w:val="101F47CC"/>
    <w:rsid w:val="105A21B4"/>
    <w:rsid w:val="10C055FF"/>
    <w:rsid w:val="11252CC3"/>
    <w:rsid w:val="11694EBD"/>
    <w:rsid w:val="11772AA4"/>
    <w:rsid w:val="118107EC"/>
    <w:rsid w:val="11F72B09"/>
    <w:rsid w:val="12971BF6"/>
    <w:rsid w:val="12E0534B"/>
    <w:rsid w:val="12E24EE2"/>
    <w:rsid w:val="13196AAF"/>
    <w:rsid w:val="13547AE7"/>
    <w:rsid w:val="136046DE"/>
    <w:rsid w:val="13904FC3"/>
    <w:rsid w:val="13D50BC4"/>
    <w:rsid w:val="13F54E26"/>
    <w:rsid w:val="14072DAB"/>
    <w:rsid w:val="14B17F78"/>
    <w:rsid w:val="14CF1B1B"/>
    <w:rsid w:val="14D53596"/>
    <w:rsid w:val="14F11A91"/>
    <w:rsid w:val="158E1378"/>
    <w:rsid w:val="165E0673"/>
    <w:rsid w:val="16B831D5"/>
    <w:rsid w:val="16BB723D"/>
    <w:rsid w:val="17E50567"/>
    <w:rsid w:val="184C3483"/>
    <w:rsid w:val="186504BB"/>
    <w:rsid w:val="197C1B46"/>
    <w:rsid w:val="19A445FC"/>
    <w:rsid w:val="19D63004"/>
    <w:rsid w:val="19DC4392"/>
    <w:rsid w:val="19FB191A"/>
    <w:rsid w:val="1A345156"/>
    <w:rsid w:val="1AFA71C6"/>
    <w:rsid w:val="1BE8440E"/>
    <w:rsid w:val="1C1B3CDE"/>
    <w:rsid w:val="1C485D0F"/>
    <w:rsid w:val="1C5F326A"/>
    <w:rsid w:val="1D1207F7"/>
    <w:rsid w:val="1D155CEE"/>
    <w:rsid w:val="1D1638FE"/>
    <w:rsid w:val="1D1C5EE0"/>
    <w:rsid w:val="1E2D340E"/>
    <w:rsid w:val="1E312DEB"/>
    <w:rsid w:val="1E390005"/>
    <w:rsid w:val="1E740ACF"/>
    <w:rsid w:val="1E796654"/>
    <w:rsid w:val="1EAE454F"/>
    <w:rsid w:val="1F6D440A"/>
    <w:rsid w:val="1FA94D17"/>
    <w:rsid w:val="1FF35744"/>
    <w:rsid w:val="1FF6BC77"/>
    <w:rsid w:val="200D1749"/>
    <w:rsid w:val="205630F0"/>
    <w:rsid w:val="209B0A84"/>
    <w:rsid w:val="215B7728"/>
    <w:rsid w:val="2186353C"/>
    <w:rsid w:val="22CC769A"/>
    <w:rsid w:val="231D1CA3"/>
    <w:rsid w:val="23860B96"/>
    <w:rsid w:val="23AD1279"/>
    <w:rsid w:val="23BE3486"/>
    <w:rsid w:val="23ED3D6C"/>
    <w:rsid w:val="240371BF"/>
    <w:rsid w:val="244F3473"/>
    <w:rsid w:val="24521E21"/>
    <w:rsid w:val="24BE74B6"/>
    <w:rsid w:val="24C97D99"/>
    <w:rsid w:val="25090731"/>
    <w:rsid w:val="25A718F0"/>
    <w:rsid w:val="25BB59F6"/>
    <w:rsid w:val="25D7F6D8"/>
    <w:rsid w:val="25F56F08"/>
    <w:rsid w:val="260F557C"/>
    <w:rsid w:val="26555BF8"/>
    <w:rsid w:val="26970054"/>
    <w:rsid w:val="270A69E3"/>
    <w:rsid w:val="27881A40"/>
    <w:rsid w:val="27E1564C"/>
    <w:rsid w:val="281408E2"/>
    <w:rsid w:val="284877C3"/>
    <w:rsid w:val="28A7263A"/>
    <w:rsid w:val="28E3573D"/>
    <w:rsid w:val="29211DC2"/>
    <w:rsid w:val="293145B7"/>
    <w:rsid w:val="29D37560"/>
    <w:rsid w:val="29FD04D3"/>
    <w:rsid w:val="2A9F7442"/>
    <w:rsid w:val="2AB033FD"/>
    <w:rsid w:val="2B856638"/>
    <w:rsid w:val="2BFF3880"/>
    <w:rsid w:val="2BFF7BC6"/>
    <w:rsid w:val="2C67ABF9"/>
    <w:rsid w:val="2C8A61B5"/>
    <w:rsid w:val="2CBE79C8"/>
    <w:rsid w:val="2CBF43E9"/>
    <w:rsid w:val="2DF04E50"/>
    <w:rsid w:val="2E3E3C10"/>
    <w:rsid w:val="2E586DFA"/>
    <w:rsid w:val="2E786928"/>
    <w:rsid w:val="2EAB0AAB"/>
    <w:rsid w:val="2EAB4607"/>
    <w:rsid w:val="2F040D46"/>
    <w:rsid w:val="2F6B035B"/>
    <w:rsid w:val="2F6F7D2B"/>
    <w:rsid w:val="2FAE5751"/>
    <w:rsid w:val="2FB1A395"/>
    <w:rsid w:val="2FD9A7D8"/>
    <w:rsid w:val="2FDBF714"/>
    <w:rsid w:val="2FED48DF"/>
    <w:rsid w:val="30442F65"/>
    <w:rsid w:val="30AB6865"/>
    <w:rsid w:val="30FA1876"/>
    <w:rsid w:val="319E66A5"/>
    <w:rsid w:val="319F7F4E"/>
    <w:rsid w:val="31EC5663"/>
    <w:rsid w:val="329F26D5"/>
    <w:rsid w:val="32BD1EF1"/>
    <w:rsid w:val="32CA457B"/>
    <w:rsid w:val="3304709D"/>
    <w:rsid w:val="33A773CB"/>
    <w:rsid w:val="34841945"/>
    <w:rsid w:val="349D6851"/>
    <w:rsid w:val="34EE16F2"/>
    <w:rsid w:val="362B2E09"/>
    <w:rsid w:val="36AA5135"/>
    <w:rsid w:val="36B10C29"/>
    <w:rsid w:val="36BE0DA7"/>
    <w:rsid w:val="36FD3E6E"/>
    <w:rsid w:val="376B6AA6"/>
    <w:rsid w:val="376D39B2"/>
    <w:rsid w:val="37E16F03"/>
    <w:rsid w:val="37F53A3B"/>
    <w:rsid w:val="386F25DF"/>
    <w:rsid w:val="389B6C89"/>
    <w:rsid w:val="38D469F0"/>
    <w:rsid w:val="39627CCD"/>
    <w:rsid w:val="397BAF1F"/>
    <w:rsid w:val="3A6366DE"/>
    <w:rsid w:val="3AB79AF3"/>
    <w:rsid w:val="3AE834C0"/>
    <w:rsid w:val="3B201ED9"/>
    <w:rsid w:val="3B583D69"/>
    <w:rsid w:val="3B695BCB"/>
    <w:rsid w:val="3B7EF35A"/>
    <w:rsid w:val="3B9FDB6C"/>
    <w:rsid w:val="3BF5BC2F"/>
    <w:rsid w:val="3C9600A2"/>
    <w:rsid w:val="3CD411CD"/>
    <w:rsid w:val="3CE755AC"/>
    <w:rsid w:val="3CEBA265"/>
    <w:rsid w:val="3D7F55DD"/>
    <w:rsid w:val="3D98207C"/>
    <w:rsid w:val="3DE25B6C"/>
    <w:rsid w:val="3DEE7CF3"/>
    <w:rsid w:val="3E42660A"/>
    <w:rsid w:val="3E740A63"/>
    <w:rsid w:val="3E78745D"/>
    <w:rsid w:val="3EE17838"/>
    <w:rsid w:val="3F3D638B"/>
    <w:rsid w:val="3F4C4037"/>
    <w:rsid w:val="3F55381A"/>
    <w:rsid w:val="3F7F7599"/>
    <w:rsid w:val="3FBB48C6"/>
    <w:rsid w:val="3FF4CAE0"/>
    <w:rsid w:val="3FF676AC"/>
    <w:rsid w:val="3FF7B227"/>
    <w:rsid w:val="40204729"/>
    <w:rsid w:val="40A37834"/>
    <w:rsid w:val="4194717D"/>
    <w:rsid w:val="41FB544E"/>
    <w:rsid w:val="42204E26"/>
    <w:rsid w:val="42C85330"/>
    <w:rsid w:val="44E15215"/>
    <w:rsid w:val="44E268DA"/>
    <w:rsid w:val="450D13D7"/>
    <w:rsid w:val="45506656"/>
    <w:rsid w:val="45DB2A77"/>
    <w:rsid w:val="45EF7078"/>
    <w:rsid w:val="4609638B"/>
    <w:rsid w:val="46445615"/>
    <w:rsid w:val="46BFC137"/>
    <w:rsid w:val="480F6F15"/>
    <w:rsid w:val="48677399"/>
    <w:rsid w:val="486A6C7A"/>
    <w:rsid w:val="4893018E"/>
    <w:rsid w:val="48EF3ED0"/>
    <w:rsid w:val="4A627F82"/>
    <w:rsid w:val="4AF84C20"/>
    <w:rsid w:val="4B090BDC"/>
    <w:rsid w:val="4B0E749A"/>
    <w:rsid w:val="4B2477C4"/>
    <w:rsid w:val="4B46598C"/>
    <w:rsid w:val="4B4F25DA"/>
    <w:rsid w:val="4BE068DB"/>
    <w:rsid w:val="4C7402D7"/>
    <w:rsid w:val="4CC972A2"/>
    <w:rsid w:val="4CE216E4"/>
    <w:rsid w:val="4D024C91"/>
    <w:rsid w:val="4D2B4E39"/>
    <w:rsid w:val="4D577224"/>
    <w:rsid w:val="4DBF1CEB"/>
    <w:rsid w:val="4DF0007C"/>
    <w:rsid w:val="4E0842FD"/>
    <w:rsid w:val="4E102281"/>
    <w:rsid w:val="4E1C29D4"/>
    <w:rsid w:val="4E3441C2"/>
    <w:rsid w:val="4E8C7B53"/>
    <w:rsid w:val="4E944C60"/>
    <w:rsid w:val="4EAB630A"/>
    <w:rsid w:val="4ECE2238"/>
    <w:rsid w:val="4F7B7102"/>
    <w:rsid w:val="4F833267"/>
    <w:rsid w:val="4F876573"/>
    <w:rsid w:val="4FC155E1"/>
    <w:rsid w:val="4FE9BD67"/>
    <w:rsid w:val="4FF925C8"/>
    <w:rsid w:val="4FFB052F"/>
    <w:rsid w:val="503C735D"/>
    <w:rsid w:val="50EF2622"/>
    <w:rsid w:val="52DD4E28"/>
    <w:rsid w:val="53051C89"/>
    <w:rsid w:val="537E6D0A"/>
    <w:rsid w:val="53BD07B5"/>
    <w:rsid w:val="53D33B35"/>
    <w:rsid w:val="53F661B6"/>
    <w:rsid w:val="53F74C96"/>
    <w:rsid w:val="55170BA8"/>
    <w:rsid w:val="5527238A"/>
    <w:rsid w:val="553218C9"/>
    <w:rsid w:val="55EF833E"/>
    <w:rsid w:val="5661367A"/>
    <w:rsid w:val="567E1AA5"/>
    <w:rsid w:val="567F0CC0"/>
    <w:rsid w:val="56E47B74"/>
    <w:rsid w:val="57175D52"/>
    <w:rsid w:val="572BF2BD"/>
    <w:rsid w:val="573C1F92"/>
    <w:rsid w:val="57623B4D"/>
    <w:rsid w:val="57BD3DD4"/>
    <w:rsid w:val="57C2283E"/>
    <w:rsid w:val="57CC546B"/>
    <w:rsid w:val="582A3F3F"/>
    <w:rsid w:val="58A957AC"/>
    <w:rsid w:val="58C3686E"/>
    <w:rsid w:val="5A9009D2"/>
    <w:rsid w:val="5AD7664F"/>
    <w:rsid w:val="5AF92295"/>
    <w:rsid w:val="5B250254"/>
    <w:rsid w:val="5BDD79E6"/>
    <w:rsid w:val="5BF561CA"/>
    <w:rsid w:val="5BF66817"/>
    <w:rsid w:val="5BFF5DFC"/>
    <w:rsid w:val="5C4B1054"/>
    <w:rsid w:val="5C58107B"/>
    <w:rsid w:val="5CD71FC4"/>
    <w:rsid w:val="5D057255"/>
    <w:rsid w:val="5D1F11B5"/>
    <w:rsid w:val="5D3A2E77"/>
    <w:rsid w:val="5D4C6846"/>
    <w:rsid w:val="5D5B27A1"/>
    <w:rsid w:val="5D5C4B9B"/>
    <w:rsid w:val="5D695134"/>
    <w:rsid w:val="5DAE1B18"/>
    <w:rsid w:val="5DE7D9E5"/>
    <w:rsid w:val="5ECEC941"/>
    <w:rsid w:val="5EE62DDE"/>
    <w:rsid w:val="5F3F4774"/>
    <w:rsid w:val="5F447FDD"/>
    <w:rsid w:val="5FAC2B0A"/>
    <w:rsid w:val="5FBF9FF3"/>
    <w:rsid w:val="5FCD4E2C"/>
    <w:rsid w:val="5FE06558"/>
    <w:rsid w:val="5FEF394A"/>
    <w:rsid w:val="5FF67715"/>
    <w:rsid w:val="61646714"/>
    <w:rsid w:val="61B825BC"/>
    <w:rsid w:val="623F6839"/>
    <w:rsid w:val="626A7D5A"/>
    <w:rsid w:val="62773671"/>
    <w:rsid w:val="62BF3928"/>
    <w:rsid w:val="63B3701E"/>
    <w:rsid w:val="63D933CC"/>
    <w:rsid w:val="647F5392"/>
    <w:rsid w:val="657949A4"/>
    <w:rsid w:val="65E66580"/>
    <w:rsid w:val="66171FA7"/>
    <w:rsid w:val="664B1D71"/>
    <w:rsid w:val="664B4E8E"/>
    <w:rsid w:val="67277B67"/>
    <w:rsid w:val="675B5EC3"/>
    <w:rsid w:val="67627252"/>
    <w:rsid w:val="676E5BF7"/>
    <w:rsid w:val="67803B7C"/>
    <w:rsid w:val="67AA3209"/>
    <w:rsid w:val="67CB129B"/>
    <w:rsid w:val="67EC1211"/>
    <w:rsid w:val="686B65DA"/>
    <w:rsid w:val="68B65AA7"/>
    <w:rsid w:val="694A61EF"/>
    <w:rsid w:val="698D0931"/>
    <w:rsid w:val="69BD2E65"/>
    <w:rsid w:val="6A753740"/>
    <w:rsid w:val="6A7FE5F3"/>
    <w:rsid w:val="6A99742E"/>
    <w:rsid w:val="6B040620"/>
    <w:rsid w:val="6B053271"/>
    <w:rsid w:val="6B234F4A"/>
    <w:rsid w:val="6B8A4FC9"/>
    <w:rsid w:val="6BB40298"/>
    <w:rsid w:val="6BDD78B3"/>
    <w:rsid w:val="6BDF3567"/>
    <w:rsid w:val="6C063A21"/>
    <w:rsid w:val="6C0C1E82"/>
    <w:rsid w:val="6C4A05C8"/>
    <w:rsid w:val="6C610A70"/>
    <w:rsid w:val="6C7D4B2E"/>
    <w:rsid w:val="6C8742B8"/>
    <w:rsid w:val="6C891725"/>
    <w:rsid w:val="6D6C510F"/>
    <w:rsid w:val="6D7BAAF4"/>
    <w:rsid w:val="6DBF5E93"/>
    <w:rsid w:val="6DDD289A"/>
    <w:rsid w:val="6DFF077E"/>
    <w:rsid w:val="6E005A16"/>
    <w:rsid w:val="6E0D32B6"/>
    <w:rsid w:val="6E714EF0"/>
    <w:rsid w:val="6E7E3605"/>
    <w:rsid w:val="6E7FDCC7"/>
    <w:rsid w:val="6ED6A62E"/>
    <w:rsid w:val="6EE00B15"/>
    <w:rsid w:val="6F086931"/>
    <w:rsid w:val="6F51652A"/>
    <w:rsid w:val="6F5953DE"/>
    <w:rsid w:val="6F6FB3EB"/>
    <w:rsid w:val="6F7C731F"/>
    <w:rsid w:val="6F8731EA"/>
    <w:rsid w:val="6FB93053"/>
    <w:rsid w:val="6FCE6052"/>
    <w:rsid w:val="6FD57C00"/>
    <w:rsid w:val="6FE2DEEC"/>
    <w:rsid w:val="6FEBD78C"/>
    <w:rsid w:val="6FEFFFD8"/>
    <w:rsid w:val="6FF5CC65"/>
    <w:rsid w:val="6FFB47EC"/>
    <w:rsid w:val="6FFF034A"/>
    <w:rsid w:val="70484440"/>
    <w:rsid w:val="70691651"/>
    <w:rsid w:val="712A28F1"/>
    <w:rsid w:val="715C0E4B"/>
    <w:rsid w:val="7178A42F"/>
    <w:rsid w:val="71992E7C"/>
    <w:rsid w:val="71D14005"/>
    <w:rsid w:val="72233669"/>
    <w:rsid w:val="72285483"/>
    <w:rsid w:val="723637B5"/>
    <w:rsid w:val="72734D90"/>
    <w:rsid w:val="73160E6D"/>
    <w:rsid w:val="7332FE48"/>
    <w:rsid w:val="73AB61DA"/>
    <w:rsid w:val="73AD73D5"/>
    <w:rsid w:val="73B6EB34"/>
    <w:rsid w:val="73FA497D"/>
    <w:rsid w:val="744731E5"/>
    <w:rsid w:val="745E5245"/>
    <w:rsid w:val="74980757"/>
    <w:rsid w:val="74BBD01D"/>
    <w:rsid w:val="74ED5379"/>
    <w:rsid w:val="7525419E"/>
    <w:rsid w:val="75994786"/>
    <w:rsid w:val="75C32A24"/>
    <w:rsid w:val="75DEEEC2"/>
    <w:rsid w:val="75E32345"/>
    <w:rsid w:val="76621C6B"/>
    <w:rsid w:val="76820969"/>
    <w:rsid w:val="76E3355F"/>
    <w:rsid w:val="76FF5125"/>
    <w:rsid w:val="77220DC6"/>
    <w:rsid w:val="77453882"/>
    <w:rsid w:val="77476464"/>
    <w:rsid w:val="776F6FFA"/>
    <w:rsid w:val="778769C8"/>
    <w:rsid w:val="77A75DCA"/>
    <w:rsid w:val="77DC22F5"/>
    <w:rsid w:val="77F71C38"/>
    <w:rsid w:val="78054355"/>
    <w:rsid w:val="783E271A"/>
    <w:rsid w:val="78616DE9"/>
    <w:rsid w:val="78C31B1A"/>
    <w:rsid w:val="78E875D7"/>
    <w:rsid w:val="79086DAD"/>
    <w:rsid w:val="79334EF2"/>
    <w:rsid w:val="79515378"/>
    <w:rsid w:val="79751067"/>
    <w:rsid w:val="79D7FD79"/>
    <w:rsid w:val="79EE5BA4"/>
    <w:rsid w:val="79FA2F18"/>
    <w:rsid w:val="7A894339"/>
    <w:rsid w:val="7AD284E8"/>
    <w:rsid w:val="7AFE6E3A"/>
    <w:rsid w:val="7AFF7572"/>
    <w:rsid w:val="7B6C7DFB"/>
    <w:rsid w:val="7B797EF7"/>
    <w:rsid w:val="7BBFBED0"/>
    <w:rsid w:val="7BC3E394"/>
    <w:rsid w:val="7C1032C9"/>
    <w:rsid w:val="7C1F3737"/>
    <w:rsid w:val="7C4371FA"/>
    <w:rsid w:val="7CBC46A6"/>
    <w:rsid w:val="7CBFC87B"/>
    <w:rsid w:val="7CFE0F48"/>
    <w:rsid w:val="7D272ABC"/>
    <w:rsid w:val="7D570886"/>
    <w:rsid w:val="7D7EC23E"/>
    <w:rsid w:val="7D97EE2B"/>
    <w:rsid w:val="7DD35FC9"/>
    <w:rsid w:val="7E192908"/>
    <w:rsid w:val="7E79573C"/>
    <w:rsid w:val="7E8ADEBF"/>
    <w:rsid w:val="7EEF11D3"/>
    <w:rsid w:val="7EFE4840"/>
    <w:rsid w:val="7F0971A6"/>
    <w:rsid w:val="7F1D62E7"/>
    <w:rsid w:val="7F2C21C7"/>
    <w:rsid w:val="7F3F679B"/>
    <w:rsid w:val="7F4FC4EF"/>
    <w:rsid w:val="7F594F87"/>
    <w:rsid w:val="7F5E4D54"/>
    <w:rsid w:val="7F6A6BC5"/>
    <w:rsid w:val="7F6E0135"/>
    <w:rsid w:val="7F79F205"/>
    <w:rsid w:val="7FA30C79"/>
    <w:rsid w:val="7FA79C44"/>
    <w:rsid w:val="7FAF8ABF"/>
    <w:rsid w:val="7FB7269E"/>
    <w:rsid w:val="7FBFE28F"/>
    <w:rsid w:val="7FC96657"/>
    <w:rsid w:val="7FDA9588"/>
    <w:rsid w:val="7FDF220F"/>
    <w:rsid w:val="7FEDC5F7"/>
    <w:rsid w:val="7FEDD9DE"/>
    <w:rsid w:val="7FF5890D"/>
    <w:rsid w:val="7FF619F8"/>
    <w:rsid w:val="7FF7A358"/>
    <w:rsid w:val="7FF93490"/>
    <w:rsid w:val="7FFDF103"/>
    <w:rsid w:val="99FF2014"/>
    <w:rsid w:val="A4FD42D2"/>
    <w:rsid w:val="A6DD0D7F"/>
    <w:rsid w:val="ACFF4FBB"/>
    <w:rsid w:val="ADC6F725"/>
    <w:rsid w:val="AFBF1516"/>
    <w:rsid w:val="B7CF06AB"/>
    <w:rsid w:val="B7CFA926"/>
    <w:rsid w:val="B7F8786B"/>
    <w:rsid w:val="BABB6AA1"/>
    <w:rsid w:val="BB2F4199"/>
    <w:rsid w:val="BCFFB442"/>
    <w:rsid w:val="BD079C78"/>
    <w:rsid w:val="BD733540"/>
    <w:rsid w:val="BD7B8CC0"/>
    <w:rsid w:val="BF3735D5"/>
    <w:rsid w:val="BF7F09AC"/>
    <w:rsid w:val="BFD475C3"/>
    <w:rsid w:val="BFDE5EA6"/>
    <w:rsid w:val="BFF62AF5"/>
    <w:rsid w:val="C4FFFA56"/>
    <w:rsid w:val="C5AFBE73"/>
    <w:rsid w:val="C75E3894"/>
    <w:rsid w:val="CF6FC6F3"/>
    <w:rsid w:val="CFD3D3D7"/>
    <w:rsid w:val="CFDF1009"/>
    <w:rsid w:val="D5ADC463"/>
    <w:rsid w:val="D7BBEB42"/>
    <w:rsid w:val="D7D7B16A"/>
    <w:rsid w:val="D7DF63A2"/>
    <w:rsid w:val="D8D6DB89"/>
    <w:rsid w:val="DB6F4CAB"/>
    <w:rsid w:val="DB777682"/>
    <w:rsid w:val="DB95AD3B"/>
    <w:rsid w:val="DD1FB521"/>
    <w:rsid w:val="DEFBFEAE"/>
    <w:rsid w:val="DF1F3B80"/>
    <w:rsid w:val="DF6F9789"/>
    <w:rsid w:val="DFE9BE81"/>
    <w:rsid w:val="DFFFA9E8"/>
    <w:rsid w:val="E4FB48DB"/>
    <w:rsid w:val="E5F4E9DC"/>
    <w:rsid w:val="E70FE695"/>
    <w:rsid w:val="EB2E368B"/>
    <w:rsid w:val="EB7798D4"/>
    <w:rsid w:val="ECFED1BC"/>
    <w:rsid w:val="ED1D69BB"/>
    <w:rsid w:val="ED7FD312"/>
    <w:rsid w:val="EE7F3536"/>
    <w:rsid w:val="EF2E1AC6"/>
    <w:rsid w:val="EF53993F"/>
    <w:rsid w:val="EF6FD633"/>
    <w:rsid w:val="EFBF7BD2"/>
    <w:rsid w:val="EFBFB2F4"/>
    <w:rsid w:val="EFBFFA21"/>
    <w:rsid w:val="F2BEBCB8"/>
    <w:rsid w:val="F36FB518"/>
    <w:rsid w:val="F3DE1A04"/>
    <w:rsid w:val="F3F722E5"/>
    <w:rsid w:val="F4FBCD07"/>
    <w:rsid w:val="F7DF5A9B"/>
    <w:rsid w:val="F7F7AB31"/>
    <w:rsid w:val="FA5F1E70"/>
    <w:rsid w:val="FA5FDB97"/>
    <w:rsid w:val="FB7F486A"/>
    <w:rsid w:val="FBFF5B2E"/>
    <w:rsid w:val="FC7FCCF6"/>
    <w:rsid w:val="FD7FFE2B"/>
    <w:rsid w:val="FDEE196B"/>
    <w:rsid w:val="FDF866FA"/>
    <w:rsid w:val="FDFBA671"/>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图表目录1"/>
    <w:basedOn w:val="1"/>
    <w:next w:val="1"/>
    <w:qFormat/>
    <w:uiPriority w:val="99"/>
    <w:pPr>
      <w:ind w:left="200" w:leftChars="200" w:hanging="200" w:hangingChars="200"/>
    </w:pPr>
    <w:rPr>
      <w:rFonts w:eastAsia="等线"/>
      <w:sz w:val="32"/>
      <w:szCs w:val="22"/>
    </w:r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10"/>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6">
    <w:name w:val="标题 1 字符"/>
    <w:basedOn w:val="17"/>
    <w:link w:val="3"/>
    <w:qFormat/>
    <w:uiPriority w:val="9"/>
    <w:rPr>
      <w:rFonts w:ascii="Times New Roman" w:hAnsi="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7.xml"/><Relationship Id="rId16" Type="http://schemas.openxmlformats.org/officeDocument/2006/relationships/chart" Target="charts/chart6.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F:\2025&#24180;&#26257;&#20551;&#21152;&#29677;&#36164;&#26009;\&#25253;&#34920;\&#20915;&#31639;&#25253;&#21578;\&#20915;&#31639;\&#20915;&#31639;-xll\2024&#24180;&#20915;&#31639;\2024&#24180;&#20915;&#31639;&#19978;&#25253;--1&#26376;\&#22791;&#29992;&#36164;&#26009;\&#22270;&#34920;&#27169;&#26495;-&#26609;&#29366;&#12289;&#39292;&#29366;&#22270;&#65288;&#24050;&#25913;&#6528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2025&#24180;&#26257;&#20551;&#21152;&#29677;&#36164;&#26009;\&#25253;&#34920;\&#20915;&#31639;&#25253;&#21578;\&#20915;&#31639;\&#20915;&#31639;-xll\2024&#24180;&#20915;&#31639;\2024&#24180;&#20915;&#31639;&#19978;&#25253;--1&#26376;\&#22791;&#29992;&#36164;&#26009;\&#22270;&#34920;&#27169;&#26495;-&#26609;&#29366;&#12289;&#39292;&#29366;&#22270;&#65288;&#24050;&#25913;&#6528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2025&#24180;&#26257;&#20551;&#21152;&#29677;&#36164;&#26009;\&#25253;&#34920;\&#20915;&#31639;&#25253;&#21578;\&#20915;&#31639;\&#20915;&#31639;-xll\2024&#24180;&#20915;&#31639;\2024&#24180;&#20915;&#31639;&#19978;&#25253;--1&#26376;\&#22791;&#29992;&#36164;&#26009;\&#22270;&#34920;&#27169;&#26495;-&#26609;&#29366;&#12289;&#39292;&#29366;&#22270;&#65288;&#24050;&#25913;&#6528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2025&#24180;&#26257;&#20551;&#21152;&#29677;&#36164;&#26009;\&#25253;&#34920;\&#20915;&#31639;&#25253;&#21578;\&#20915;&#31639;\&#20915;&#31639;-xll\2024&#24180;&#20915;&#31639;\2024&#24180;&#20915;&#31639;&#19978;&#25253;--1&#26376;\&#22791;&#29992;&#36164;&#26009;\&#22270;&#34920;&#27169;&#26495;-&#26609;&#29366;&#12289;&#39292;&#29366;&#22270;&#65288;&#24050;&#25913;&#65289;.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2025&#24180;&#26257;&#20551;&#21152;&#29677;&#36164;&#26009;\&#25253;&#34920;\&#20915;&#31639;&#25253;&#21578;\&#20915;&#31639;\&#20915;&#31639;-xll\2024&#24180;&#20915;&#31639;\2024&#24180;&#20915;&#31639;&#19978;&#25253;--1&#26376;\&#22791;&#29992;&#36164;&#26009;\&#22270;&#34920;&#27169;&#26495;-&#26609;&#29366;&#12289;&#39292;&#29366;&#22270;&#65288;&#24050;&#25913;&#65289;.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2025&#24180;&#26257;&#20551;&#21152;&#29677;&#36164;&#26009;\&#25253;&#34920;\&#20915;&#31639;&#25253;&#21578;\&#20915;&#31639;\&#20915;&#31639;-xll\2024&#24180;&#20915;&#31639;\2024&#24180;&#20915;&#31639;&#19978;&#25253;--1&#26376;\&#22791;&#29992;&#36164;&#26009;\&#22270;&#34920;&#27169;&#26495;-&#26609;&#29366;&#12289;&#39292;&#29366;&#22270;&#65288;&#24050;&#25913;&#65289;.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J:\&#36130;&#21153;&#36164;&#26009;\&#36130;&#21153;&#36164;&#26009;-&#21508;&#31867;&#25253;&#34920;\&#20915;&#31639;\&#20915;&#31639;-xll\2023&#24180;&#20915;&#31639;\2023&#24180;&#20915;&#31639;&#20844;&#24320;--9&#26376;\&#22270;&#34920;&#27169;&#26495;-&#26609;&#29366;&#12289;&#39292;&#29366;&#22270;&#65288;&#24050;&#25913;&#6528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'[图表模板-柱状、饼状图（已改）.xlsx]图'!$A$27</c:f>
              <c:strCache>
                <c:ptCount val="1"/>
                <c:pt idx="0">
                  <c:v>2023年</c:v>
                </c:pt>
              </c:strCache>
            </c:strRef>
          </c:tx>
          <c:invertIfNegative val="false"/>
          <c:dLbls>
            <c:dLbl>
              <c:idx val="0"/>
              <c:layout>
                <c:manualLayout>
                  <c:x val="0.0123213664497766"/>
                  <c:y val="0.0307040139192341"/>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282594733461788"/>
                  <c:y val="0.0307040139192341"/>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multiLvlStrRef>
              <c:f>'[图表模板-柱状、饼状图（已改）.xlsx]图'!$B$25:$D$26</c:f>
              <c:multiLvlStrCache>
                <c:ptCount val="3"/>
                <c:lvl>
                  <c:pt idx="0">
                    <c:v>收入总计</c:v>
                  </c:pt>
                  <c:pt idx="1">
                    <c:v>支出总计</c:v>
                  </c:pt>
                </c:lvl>
                <c:lvl/>
              </c:multiLvlStrCache>
            </c:multiLvlStrRef>
          </c:cat>
          <c:val>
            <c:numRef>
              <c:f>'[图表模板-柱状、饼状图（已改）.xlsx]图'!$B$27:$D$27</c:f>
              <c:numCache>
                <c:formatCode>_ * #,##0.00_ ;_ * \-#,##0.00_ ;_ * "-"??_ ;_ @_ </c:formatCode>
                <c:ptCount val="3"/>
                <c:pt idx="0">
                  <c:v>26161.85</c:v>
                </c:pt>
                <c:pt idx="1">
                  <c:v>26161.85</c:v>
                </c:pt>
              </c:numCache>
            </c:numRef>
          </c:val>
        </c:ser>
        <c:ser>
          <c:idx val="1"/>
          <c:order val="1"/>
          <c:tx>
            <c:strRef>
              <c:f>'[图表模板-柱状、饼状图（已改）.xlsx]图'!$A$28</c:f>
              <c:strCache>
                <c:ptCount val="1"/>
                <c:pt idx="0">
                  <c:v>2024年</c:v>
                </c:pt>
              </c:strCache>
            </c:strRef>
          </c:tx>
          <c:invertIfNegative val="false"/>
          <c:dLbls>
            <c:dLbl>
              <c:idx val="0"/>
              <c:layout>
                <c:manualLayout>
                  <c:x val="0.0305035156464449"/>
                  <c:y val="0.0129242440921984"/>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235926814493523"/>
                  <c:y val="0.01551498508634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numFmt formatCode="#,##0.00_);[Red]\(#,##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multiLvlStrRef>
              <c:f>'[图表模板-柱状、饼状图（已改）.xlsx]图'!$B$25:$D$26</c:f>
              <c:multiLvlStrCache>
                <c:ptCount val="3"/>
                <c:lvl>
                  <c:pt idx="0">
                    <c:v>收入总计</c:v>
                  </c:pt>
                  <c:pt idx="1">
                    <c:v>支出总计</c:v>
                  </c:pt>
                </c:lvl>
                <c:lvl/>
              </c:multiLvlStrCache>
            </c:multiLvlStrRef>
          </c:cat>
          <c:val>
            <c:numRef>
              <c:f>'[图表模板-柱状、饼状图（已改）.xlsx]图'!$B$28:$D$28</c:f>
              <c:numCache>
                <c:formatCode>_ * #,##0.00_ ;_ * \-#,##0.00_ ;_ * "-"??_ ;_ @_ </c:formatCode>
                <c:ptCount val="3"/>
                <c:pt idx="0">
                  <c:v>25796.34</c:v>
                </c:pt>
                <c:pt idx="1">
                  <c:v>25796.34</c:v>
                </c:pt>
              </c:numCache>
            </c:numRef>
          </c:val>
        </c:ser>
        <c:dLbls>
          <c:showLegendKey val="false"/>
          <c:showVal val="false"/>
          <c:showCatName val="false"/>
          <c:showSerName val="false"/>
          <c:showPercent val="false"/>
          <c:showBubbleSize val="false"/>
        </c:dLbls>
        <c:gapWidth val="150"/>
        <c:axId val="198819200"/>
        <c:axId val="213025920"/>
      </c:barChart>
      <c:catAx>
        <c:axId val="198819200"/>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13025920"/>
        <c:crosses val="autoZero"/>
        <c:auto val="true"/>
        <c:lblAlgn val="ctr"/>
        <c:lblOffset val="100"/>
        <c:noMultiLvlLbl val="false"/>
      </c:catAx>
      <c:valAx>
        <c:axId val="213025920"/>
        <c:scaling>
          <c:orientation val="minMax"/>
        </c:scaling>
        <c:delete val="false"/>
        <c:axPos val="l"/>
        <c:majorGridlines/>
        <c:numFmt formatCode="_ * #,##0.00_ ;_ * \-#,##0.00_ ;_ * &quot;-&quot;??_ ;_ @_ "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98819200"/>
        <c:crosses val="autoZero"/>
        <c:crossBetween val="between"/>
      </c:valAx>
      <c:spPr>
        <a:solidFill>
          <a:schemeClr val="bg1"/>
        </a:solid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explosion val="25"/>
          <c:dPt>
            <c:idx val="0"/>
            <c:bubble3D val="false"/>
          </c:dPt>
          <c:dPt>
            <c:idx val="1"/>
            <c:bubble3D val="false"/>
          </c:dPt>
          <c:dPt>
            <c:idx val="2"/>
            <c:bubble3D val="false"/>
          </c:dPt>
          <c:dLbls>
            <c:dLbl>
              <c:idx val="0"/>
              <c:layout>
                <c:manualLayout>
                  <c:x val="-0.153153105861767"/>
                  <c:y val="-0.148779892096821"/>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72.1%</a:t>
                    </a: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130850831146107"/>
                  <c:y val="0.0647466462525518"/>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25.8%</a:t>
                    </a: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
                  <c:y val="-0.00415973377703827"/>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2.</a:t>
                    </a:r>
                    <a:r>
                      <a:rPr lang="en-US" altLang="zh-CN"/>
                      <a:t>1</a:t>
                    </a:r>
                    <a:r>
                      <a:t>%</a:t>
                    </a: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'[图表模板-柱状、饼状图（已改）.xlsx]图'!$B$43:$B$45</c:f>
              <c:strCache>
                <c:ptCount val="3"/>
                <c:pt idx="0">
                  <c:v>一般公共预算财政拨款收入</c:v>
                </c:pt>
                <c:pt idx="1">
                  <c:v>事业收入</c:v>
                </c:pt>
                <c:pt idx="2">
                  <c:v>其他收入</c:v>
                </c:pt>
              </c:strCache>
            </c:strRef>
          </c:cat>
          <c:val>
            <c:numRef>
              <c:f>'[图表模板-柱状、饼状图（已改）.xlsx]图'!$D$43:$D$45</c:f>
              <c:numCache>
                <c:formatCode>0.00%</c:formatCode>
                <c:ptCount val="3"/>
                <c:pt idx="0">
                  <c:v>0.72109919469196</c:v>
                </c:pt>
                <c:pt idx="1">
                  <c:v>0.258232369398139</c:v>
                </c:pt>
                <c:pt idx="2">
                  <c:v>0.0206684359099004</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manualLayout>
          <c:xMode val="edge"/>
          <c:yMode val="edge"/>
          <c:x val="0.57356608478803"/>
          <c:y val="0.280141843971631"/>
          <c:w val="0.4214463840399"/>
          <c:h val="0.464539007092199"/>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734400699912511"/>
          <c:y val="0.107359755221673"/>
          <c:w val="0.55594072615923"/>
          <c:h val="0.790264912254537"/>
        </c:manualLayout>
      </c:layout>
      <c:pieChart>
        <c:varyColors val="true"/>
        <c:ser>
          <c:idx val="0"/>
          <c:order val="0"/>
          <c:explosion val="16"/>
          <c:dPt>
            <c:idx val="0"/>
            <c:bubble3D val="false"/>
            <c:explosion val="19"/>
          </c:dPt>
          <c:dPt>
            <c:idx val="1"/>
            <c:bubble3D val="false"/>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62.2%</a:t>
                    </a:r>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37.8%</a:t>
                    </a:r>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'[图表模板-柱状、饼状图（已改）.xlsx]图'!$B$64:$B$65</c:f>
              <c:strCache>
                <c:ptCount val="2"/>
                <c:pt idx="0">
                  <c:v>基本支出</c:v>
                </c:pt>
                <c:pt idx="1">
                  <c:v>项目支出</c:v>
                </c:pt>
              </c:strCache>
            </c:strRef>
          </c:cat>
          <c:val>
            <c:numRef>
              <c:f>'[图表模板-柱状、饼状图（已改）.xlsx]图'!$D$64:$D$65</c:f>
              <c:numCache>
                <c:formatCode>0.00%</c:formatCode>
                <c:ptCount val="2"/>
                <c:pt idx="0">
                  <c:v>0.621999865097142</c:v>
                </c:pt>
                <c:pt idx="1">
                  <c:v>0.378000134902858</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'[图表模板-柱状、饼状图（已改）.xlsx]图'!$A$27</c:f>
              <c:strCache>
                <c:ptCount val="1"/>
                <c:pt idx="0">
                  <c:v>2023年</c:v>
                </c:pt>
              </c:strCache>
            </c:strRef>
          </c:tx>
          <c:invertIfNegative val="false"/>
          <c:dLbls>
            <c:dLbl>
              <c:idx val="0"/>
              <c:layout>
                <c:manualLayout>
                  <c:x val="-0.0262142790222851"/>
                  <c:y val="0.023420692724769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299293513166345"/>
                  <c:y val="0.034345674516466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multiLvlStrRef>
              <c:f>'[图表模板-柱状、饼状图（已改）.xlsx]图'!$B$25:$D$26</c:f>
              <c:multiLvlStrCache>
                <c:ptCount val="3"/>
                <c:lvl>
                  <c:pt idx="0">
                    <c:v>财政拨款收入总计</c:v>
                  </c:pt>
                  <c:pt idx="1">
                    <c:v>财政拨款支出总计</c:v>
                  </c:pt>
                </c:lvl>
                <c:lvl/>
              </c:multiLvlStrCache>
            </c:multiLvlStrRef>
          </c:cat>
          <c:val>
            <c:numRef>
              <c:f>'[图表模板-柱状、饼状图（已改）.xlsx]图'!$B$27:$D$27</c:f>
              <c:numCache>
                <c:formatCode>_ * #,##0.00_ ;_ * \-#,##0.00_ ;_ * "-"??_ ;_ @_ </c:formatCode>
                <c:ptCount val="3"/>
                <c:pt idx="0">
                  <c:v>18030.37</c:v>
                </c:pt>
                <c:pt idx="1">
                  <c:v>18030.37</c:v>
                </c:pt>
              </c:numCache>
            </c:numRef>
          </c:val>
        </c:ser>
        <c:ser>
          <c:idx val="1"/>
          <c:order val="1"/>
          <c:tx>
            <c:strRef>
              <c:f>'[图表模板-柱状、饼状图（已改）.xlsx]图'!$A$28</c:f>
              <c:strCache>
                <c:ptCount val="1"/>
                <c:pt idx="0">
                  <c:v>2024年</c:v>
                </c:pt>
              </c:strCache>
            </c:strRef>
          </c:tx>
          <c:invertIfNegative val="false"/>
          <c:dLbls>
            <c:dLbl>
              <c:idx val="0"/>
              <c:layout>
                <c:manualLayout>
                  <c:x val="0.0305035156464449"/>
                  <c:y val="0.0129242440921984"/>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235926814493523"/>
                  <c:y val="0.01551498508634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numFmt formatCode="#,##0.00_);[Red]\(#,##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multiLvlStrRef>
              <c:f>'[图表模板-柱状、饼状图（已改）.xlsx]图'!$B$25:$D$26</c:f>
              <c:multiLvlStrCache>
                <c:ptCount val="3"/>
                <c:lvl>
                  <c:pt idx="0">
                    <c:v>财政拨款收入总计</c:v>
                  </c:pt>
                  <c:pt idx="1">
                    <c:v>财政拨款支出总计</c:v>
                  </c:pt>
                </c:lvl>
                <c:lvl/>
              </c:multiLvlStrCache>
            </c:multiLvlStrRef>
          </c:cat>
          <c:val>
            <c:numRef>
              <c:f>'[图表模板-柱状、饼状图（已改）.xlsx]图'!$B$28:$D$28</c:f>
              <c:numCache>
                <c:formatCode>General</c:formatCode>
                <c:ptCount val="3"/>
                <c:pt idx="0">
                  <c:v>18601.72</c:v>
                </c:pt>
                <c:pt idx="1">
                  <c:v>18601.72</c:v>
                </c:pt>
              </c:numCache>
            </c:numRef>
          </c:val>
        </c:ser>
        <c:dLbls>
          <c:showLegendKey val="false"/>
          <c:showVal val="false"/>
          <c:showCatName val="false"/>
          <c:showSerName val="false"/>
          <c:showPercent val="false"/>
          <c:showBubbleSize val="false"/>
        </c:dLbls>
        <c:gapWidth val="150"/>
        <c:axId val="198819200"/>
        <c:axId val="213025920"/>
      </c:barChart>
      <c:catAx>
        <c:axId val="198819200"/>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13025920"/>
        <c:crosses val="autoZero"/>
        <c:auto val="true"/>
        <c:lblAlgn val="ctr"/>
        <c:lblOffset val="100"/>
        <c:noMultiLvlLbl val="false"/>
      </c:catAx>
      <c:valAx>
        <c:axId val="213025920"/>
        <c:scaling>
          <c:orientation val="minMax"/>
        </c:scaling>
        <c:delete val="false"/>
        <c:axPos val="l"/>
        <c:majorGridlines/>
        <c:numFmt formatCode="_ * #,##0.00_ ;_ * \-#,##0.00_ ;_ * &quot;-&quot;??_ ;_ @_ "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98819200"/>
        <c:crosses val="autoZero"/>
        <c:crossBetween val="between"/>
      </c:valAx>
      <c:spPr>
        <a:solidFill>
          <a:schemeClr val="bg1"/>
        </a:solid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'[图表模板-柱状、饼状图（已改）.xlsx]图'!$A$27</c:f>
              <c:strCache>
                <c:ptCount val="1"/>
                <c:pt idx="0">
                  <c:v>2023年</c:v>
                </c:pt>
              </c:strCache>
            </c:strRef>
          </c:tx>
          <c:invertIfNegative val="false"/>
          <c:dLbls>
            <c:dLbl>
              <c:idx val="0"/>
              <c:layout>
                <c:manualLayout>
                  <c:x val="-0.0262142790222851"/>
                  <c:y val="0.023420692724769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299293513166345"/>
                  <c:y val="0.034345674516466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multiLvlStrRef>
              <c:f>'[图表模板-柱状、饼状图（已改）.xlsx]图'!$B$25:$D$26</c:f>
              <c:multiLvlStrCache>
                <c:ptCount val="3"/>
                <c:lvl>
                  <c:pt idx="0">
                    <c:v>一般公共预算财政拨款支出</c:v>
                  </c:pt>
                </c:lvl>
                <c:lvl/>
              </c:multiLvlStrCache>
            </c:multiLvlStrRef>
          </c:cat>
          <c:val>
            <c:numRef>
              <c:f>'[图表模板-柱状、饼状图（已改）.xlsx]图'!$B$27:$D$27</c:f>
              <c:numCache>
                <c:formatCode>_ * #,##0.00_ ;_ * \-#,##0.00_ ;_ * "-"??_ ;_ @_ </c:formatCode>
                <c:ptCount val="3"/>
                <c:pt idx="0">
                  <c:v>18030.37</c:v>
                </c:pt>
              </c:numCache>
            </c:numRef>
          </c:val>
        </c:ser>
        <c:ser>
          <c:idx val="1"/>
          <c:order val="1"/>
          <c:tx>
            <c:strRef>
              <c:f>'[图表模板-柱状、饼状图（已改）.xlsx]图'!$A$28</c:f>
              <c:strCache>
                <c:ptCount val="1"/>
                <c:pt idx="0">
                  <c:v>2024年</c:v>
                </c:pt>
              </c:strCache>
            </c:strRef>
          </c:tx>
          <c:invertIfNegative val="false"/>
          <c:dLbls>
            <c:dLbl>
              <c:idx val="0"/>
              <c:layout>
                <c:manualLayout>
                  <c:x val="0.0305035156464449"/>
                  <c:y val="0.0129242440921984"/>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235926814493523"/>
                  <c:y val="0.01551498508634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numFmt formatCode="#,##0.00_);[Red]\(#,##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multiLvlStrRef>
              <c:f>'[图表模板-柱状、饼状图（已改）.xlsx]图'!$B$25:$D$26</c:f>
              <c:multiLvlStrCache>
                <c:ptCount val="3"/>
                <c:lvl>
                  <c:pt idx="0">
                    <c:v>一般公共预算财政拨款支出</c:v>
                  </c:pt>
                </c:lvl>
                <c:lvl/>
              </c:multiLvlStrCache>
            </c:multiLvlStrRef>
          </c:cat>
          <c:val>
            <c:numRef>
              <c:f>'[图表模板-柱状、饼状图（已改）.xlsx]图'!$B$28:$D$28</c:f>
              <c:numCache>
                <c:formatCode>General</c:formatCode>
                <c:ptCount val="3"/>
                <c:pt idx="0">
                  <c:v>18601.72</c:v>
                </c:pt>
              </c:numCache>
            </c:numRef>
          </c:val>
        </c:ser>
        <c:dLbls>
          <c:showLegendKey val="false"/>
          <c:showVal val="false"/>
          <c:showCatName val="false"/>
          <c:showSerName val="false"/>
          <c:showPercent val="false"/>
          <c:showBubbleSize val="false"/>
        </c:dLbls>
        <c:gapWidth val="150"/>
        <c:axId val="198819200"/>
        <c:axId val="213025920"/>
      </c:barChart>
      <c:catAx>
        <c:axId val="198819200"/>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13025920"/>
        <c:crosses val="autoZero"/>
        <c:auto val="true"/>
        <c:lblAlgn val="ctr"/>
        <c:lblOffset val="100"/>
        <c:noMultiLvlLbl val="false"/>
      </c:catAx>
      <c:valAx>
        <c:axId val="213025920"/>
        <c:scaling>
          <c:orientation val="minMax"/>
        </c:scaling>
        <c:delete val="false"/>
        <c:axPos val="l"/>
        <c:majorGridlines/>
        <c:numFmt formatCode="_ * #,##0.00_ ;_ * \-#,##0.00_ ;_ * &quot;-&quot;??_ ;_ @_ "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98819200"/>
        <c:crosses val="autoZero"/>
        <c:crossBetween val="between"/>
      </c:valAx>
      <c:spPr>
        <a:solidFill>
          <a:schemeClr val="bg1"/>
        </a:solid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734400699912511"/>
          <c:y val="0.107359755221673"/>
          <c:w val="0.55594072615923"/>
          <c:h val="0.790264912254537"/>
        </c:manualLayout>
      </c:layout>
      <c:pieChart>
        <c:varyColors val="true"/>
        <c:ser>
          <c:idx val="0"/>
          <c:order val="0"/>
          <c:explosion val="16"/>
          <c:dPt>
            <c:idx val="0"/>
            <c:bubble3D val="false"/>
            <c:explosion val="19"/>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100%</a:t>
                    </a:r>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'[图表模板-柱状、饼状图（已改）.xlsx]图'!$B$64</c:f>
              <c:strCache>
                <c:ptCount val="1"/>
                <c:pt idx="0">
                  <c:v>教育支出</c:v>
                </c:pt>
              </c:strCache>
            </c:strRef>
          </c:cat>
          <c:val>
            <c:numRef>
              <c:f>'[图表模板-柱状、饼状图（已改）.xlsx]图'!$D$64</c:f>
              <c:numCache>
                <c:formatCode>0.00%</c:formatCode>
                <c:ptCount val="1"/>
                <c:pt idx="0">
                  <c:v>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734400699912511"/>
          <c:y val="0.107359755221673"/>
          <c:w val="0.55594072615923"/>
          <c:h val="0.790264912254537"/>
        </c:manualLayout>
      </c:layout>
      <c:pieChart>
        <c:varyColors val="true"/>
        <c:ser>
          <c:idx val="0"/>
          <c:order val="0"/>
          <c:explosion val="16"/>
          <c:dPt>
            <c:idx val="0"/>
            <c:bubble3D val="false"/>
            <c:explosion val="19"/>
          </c:dPt>
          <c:dPt>
            <c:idx val="1"/>
            <c:bubble3D val="false"/>
          </c:dPt>
          <c:dPt>
            <c:idx val="2"/>
            <c:bubble3D val="false"/>
          </c:dPt>
          <c:dLbls>
            <c:dLbl>
              <c:idx val="2"/>
              <c:layout>
                <c:manualLayout>
                  <c:x val="0"/>
                  <c:y val="-0.010442046641141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'[图表模板-柱状、饼状图（已改）.xlsx]图'!$B$90:$B$92</c:f>
              <c:strCache>
                <c:ptCount val="3"/>
                <c:pt idx="0">
                  <c:v>因公出国（境）费支出</c:v>
                </c:pt>
                <c:pt idx="1">
                  <c:v>公务用车购置及运行维护费支出</c:v>
                </c:pt>
                <c:pt idx="2">
                  <c:v>公务接待费支出</c:v>
                </c:pt>
              </c:strCache>
            </c:strRef>
          </c:cat>
          <c:val>
            <c:numRef>
              <c:f>'[图表模板-柱状、饼状图（已改）.xlsx]图'!$D$90:$D$92</c:f>
              <c:numCache>
                <c:formatCode>0.00%</c:formatCode>
                <c:ptCount val="3"/>
                <c:pt idx="0">
                  <c:v>0</c:v>
                </c:pt>
                <c:pt idx="1">
                  <c:v>0</c:v>
                </c:pt>
                <c:pt idx="2">
                  <c:v>0</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17</Pages>
  <Words>3443</Words>
  <Characters>4876</Characters>
  <Lines>61</Lines>
  <Paragraphs>17</Paragraphs>
  <TotalTime>16</TotalTime>
  <ScaleCrop>false</ScaleCrop>
  <LinksUpToDate>false</LinksUpToDate>
  <CharactersWithSpaces>5261</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2020-08-10T09:49:00Z</dcterms:created>
  <dc:creator>曹颖</dc:creator>
  <cp:lastModifiedBy>user</cp:lastModifiedBy>
  <cp:lastPrinted>2025-08-07T17:34:00Z</cp:lastPrinted>
  <dcterms:modified xsi:type="dcterms:W3CDTF">2025-09-10T11:10:53Z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0228FA2AD16B4B92B9A9BBEE0C9693DB_13</vt:lpwstr>
  </property>
  <property fmtid="{D5CDD505-2E9C-101B-9397-08002B2CF9AE}" pid="4" name="KSOTemplateDocerSaveRecord">
    <vt:lpwstr>eyJoZGlkIjoiOTk5OTJiYjBiMzY1N2Y3ZWVlOTYxMTBkZjg3NzgxOGMiLCJ1c2VySWQiOiI2OTg2NTEwNzAifQ==</vt:lpwstr>
  </property>
</Properties>
</file>