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15396475"/>
      <w:bookmarkStart w:id="1" w:name="_Toc15377425"/>
      <w:bookmarkStart w:id="2" w:name="_Toc15377193"/>
      <w:bookmarkStart w:id="3" w:name="_Toc15378441"/>
      <w:bookmarkStart w:id="4" w:name="_Toc15396597"/>
      <w:bookmarkStart w:id="5" w:name="_Toc15306267"/>
    </w:p>
    <w:p>
      <w:pPr>
        <w:pStyle w:val="2"/>
        <w:spacing w:before="93"/>
        <w:jc w:val="center"/>
        <w:rPr>
          <w:rFonts w:ascii="Times New Roman" w:eastAsia="方正小标宋简体"/>
          <w:kern w:val="2"/>
          <w:sz w:val="44"/>
          <w:szCs w:val="44"/>
        </w:rPr>
      </w:pPr>
    </w:p>
    <w:p>
      <w:pPr>
        <w:pStyle w:val="2"/>
        <w:spacing w:before="93"/>
        <w:jc w:val="center"/>
        <w:rPr>
          <w:rFonts w:ascii="Times New Roman" w:eastAsia="方正小标宋简体"/>
          <w:kern w:val="2"/>
          <w:sz w:val="44"/>
          <w:szCs w:val="44"/>
        </w:rPr>
      </w:pPr>
    </w:p>
    <w:p>
      <w:pPr>
        <w:pStyle w:val="2"/>
        <w:spacing w:before="93"/>
        <w:jc w:val="center"/>
        <w:rPr>
          <w:rFonts w:ascii="Times New Roman" w:eastAsia="方正小标宋简体"/>
          <w:kern w:val="2"/>
          <w:sz w:val="44"/>
          <w:szCs w:val="44"/>
        </w:rPr>
      </w:pPr>
    </w:p>
    <w:p>
      <w:pPr>
        <w:pStyle w:val="2"/>
        <w:spacing w:before="93"/>
        <w:jc w:val="center"/>
        <w:rPr>
          <w:rFonts w:ascii="Times New Roman" w:eastAsia="方正小标宋简体"/>
          <w:kern w:val="2"/>
          <w:sz w:val="44"/>
          <w:szCs w:val="44"/>
        </w:rPr>
      </w:pPr>
    </w:p>
    <w:bookmarkEnd w:id="0"/>
    <w:bookmarkEnd w:id="1"/>
    <w:bookmarkEnd w:id="2"/>
    <w:bookmarkEnd w:id="3"/>
    <w:bookmarkEnd w:id="4"/>
    <w:p>
      <w:pPr>
        <w:pStyle w:val="2"/>
        <w:spacing w:before="93"/>
        <w:jc w:val="center"/>
        <w:rPr>
          <w:rFonts w:ascii="Times New Roman" w:eastAsia="方正小标宋简体"/>
          <w:kern w:val="2"/>
          <w:sz w:val="44"/>
          <w:szCs w:val="44"/>
        </w:rPr>
        <w:sectPr>
          <w:headerReference r:id="rId4" w:type="first"/>
          <w:footerReference r:id="rId6" w:type="first"/>
          <w:headerReference r:id="rId3" w:type="default"/>
          <w:footerReference r:id="rId5" w:type="default"/>
          <w:pgSz w:w="11906" w:h="16838"/>
          <w:pgMar w:top="1440" w:right="1800" w:bottom="1440" w:left="1800" w:header="851" w:footer="992" w:gutter="0"/>
          <w:pgNumType w:fmt="numberInDash" w:start="1"/>
          <w:cols w:space="425" w:num="1"/>
          <w:docGrid w:type="lines" w:linePitch="312" w:charSpace="0"/>
        </w:sectPr>
      </w:pPr>
      <w:bookmarkStart w:id="6" w:name="_Toc15377426"/>
      <w:bookmarkStart w:id="7" w:name="_Toc15378442"/>
      <w:bookmarkStart w:id="8" w:name="_Toc15377194"/>
      <w:bookmarkStart w:id="9" w:name="_Toc15396476"/>
      <w:bookmarkStart w:id="10" w:name="_Toc15396598"/>
      <w:r>
        <w:rPr>
          <w:rFonts w:hint="eastAsia" w:ascii="Times New Roman" w:eastAsia="方正小标宋简体"/>
          <w:kern w:val="2"/>
          <w:sz w:val="44"/>
          <w:szCs w:val="44"/>
        </w:rPr>
        <w:t>2024年度</w:t>
      </w:r>
      <w:bookmarkEnd w:id="5"/>
      <w:bookmarkStart w:id="11" w:name="_Toc15306268"/>
      <w:r>
        <w:rPr>
          <w:rFonts w:hint="eastAsia" w:ascii="Times New Roman" w:eastAsia="方正小标宋简体"/>
          <w:kern w:val="2"/>
          <w:sz w:val="44"/>
          <w:szCs w:val="44"/>
        </w:rPr>
        <w:t>四川工程职业技术大学</w:t>
      </w:r>
      <w:r>
        <w:rPr>
          <w:rFonts w:hint="eastAsia" w:ascii="Times New Roman" w:eastAsia="方正小标宋简体"/>
          <w:kern w:val="2"/>
          <w:sz w:val="44"/>
          <w:szCs w:val="44"/>
          <w:lang w:val="en-US" w:eastAsia="zh-CN"/>
        </w:rPr>
        <w:t>单位</w:t>
      </w:r>
      <w:r>
        <w:rPr>
          <w:rFonts w:hint="eastAsia" w:ascii="Times New Roman" w:eastAsia="方正小标宋简体"/>
          <w:kern w:val="2"/>
          <w:sz w:val="44"/>
          <w:szCs w:val="44"/>
        </w:rPr>
        <w:t>决算</w:t>
      </w:r>
      <w:bookmarkEnd w:id="6"/>
      <w:bookmarkEnd w:id="7"/>
      <w:bookmarkEnd w:id="8"/>
      <w:bookmarkEnd w:id="9"/>
      <w:bookmarkEnd w:id="10"/>
      <w:bookmarkEnd w:id="11"/>
    </w:p>
    <w:p>
      <w:pPr>
        <w:pStyle w:val="2"/>
        <w:spacing w:before="93"/>
        <w:jc w:val="center"/>
        <w:rPr>
          <w:rFonts w:ascii="Times New Roman" w:eastAsia="黑体"/>
          <w:sz w:val="48"/>
          <w:szCs w:val="48"/>
        </w:rPr>
      </w:pPr>
      <w:r>
        <w:rPr>
          <w:rFonts w:hint="eastAsia" w:ascii="Times New Roman" w:eastAsia="黑体"/>
          <w:sz w:val="48"/>
          <w:szCs w:val="48"/>
        </w:rPr>
        <w:t>目录</w:t>
      </w:r>
    </w:p>
    <w:p>
      <w:pPr>
        <w:widowControl/>
        <w:jc w:val="center"/>
        <w:rPr>
          <w:rFonts w:eastAsia="黑体" w:cstheme="minorBidi"/>
          <w:sz w:val="28"/>
          <w:szCs w:val="28"/>
        </w:rPr>
      </w:pPr>
    </w:p>
    <w:p>
      <w:pPr>
        <w:pStyle w:val="12"/>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12</w:t>
      </w:r>
      <w:r>
        <w:rPr>
          <w:rFonts w:hint="eastAsia" w:ascii="Times New Roman" w:hAnsi="Times New Roman" w:eastAsia="仿宋_GB2312" w:cs="仿宋_GB2312"/>
          <w:sz w:val="32"/>
          <w:szCs w:val="32"/>
        </w:rPr>
        <w:t>日</w:t>
      </w:r>
    </w:p>
    <w:p/>
    <w:sdt>
      <w:sdtPr>
        <w:rPr>
          <w:rFonts w:ascii="宋体" w:hAnsi="宋体"/>
        </w:rPr>
        <w:id w:val="147470599"/>
        <w15:color w:val="DBDBDB"/>
        <w:docPartObj>
          <w:docPartGallery w:val="Table of Contents"/>
          <w:docPartUnique/>
        </w:docPartObj>
      </w:sdtPr>
      <w:sdtEndPr>
        <w:rPr>
          <w:rFonts w:ascii="宋体" w:hAnsi="宋体"/>
          <w:b/>
        </w:rPr>
      </w:sdtEndPr>
      <w:sdtContent>
        <w:p>
          <w:pPr>
            <w:keepNext w:val="0"/>
            <w:keepLines w:val="0"/>
            <w:pageBreakBefore w:val="0"/>
            <w:widowControl w:val="0"/>
            <w:tabs>
              <w:tab w:val="right" w:leader="dot" w:pos="8295"/>
            </w:tabs>
            <w:kinsoku/>
            <w:wordWrap/>
            <w:overflowPunct/>
            <w:topLinePunct w:val="0"/>
            <w:autoSpaceDE/>
            <w:autoSpaceDN/>
            <w:bidi w:val="0"/>
            <w:adjustRightInd/>
            <w:snapToGrid/>
            <w:textAlignment w:val="auto"/>
            <w:rPr>
              <w:rFonts w:eastAsia="黑体" w:cs="黑体"/>
              <w:sz w:val="32"/>
              <w:szCs w:val="32"/>
            </w:rPr>
          </w:pPr>
          <w:r>
            <w:fldChar w:fldCharType="begin"/>
          </w:r>
          <w:r>
            <w:instrText xml:space="preserve">TOC \o "1-2" \h \u </w:instrText>
          </w:r>
          <w:r>
            <w:fldChar w:fldCharType="separate"/>
          </w:r>
          <w:r>
            <w:fldChar w:fldCharType="begin"/>
          </w:r>
          <w:r>
            <w:instrText xml:space="preserve"> HYPERLINK \l "_Toc19038" </w:instrText>
          </w:r>
          <w:r>
            <w:fldChar w:fldCharType="separate"/>
          </w:r>
          <w:r>
            <w:rPr>
              <w:rFonts w:hint="eastAsia" w:eastAsia="黑体" w:cs="黑体"/>
              <w:sz w:val="32"/>
              <w:szCs w:val="32"/>
            </w:rPr>
            <w:t>第一部分  单位概况</w:t>
          </w:r>
          <w:r>
            <w:rPr>
              <w:rFonts w:hint="eastAsia" w:eastAsia="黑体" w:cs="黑体"/>
              <w:sz w:val="32"/>
              <w:szCs w:val="32"/>
              <w:lang w:val="en-US" w:eastAsia="zh-CN"/>
            </w:rPr>
            <w:tab/>
          </w:r>
          <w:r>
            <w:rPr>
              <w:rFonts w:hint="eastAsia" w:eastAsia="黑体" w:cs="黑体"/>
              <w:sz w:val="32"/>
              <w:szCs w:val="32"/>
            </w:rPr>
            <w:fldChar w:fldCharType="begin"/>
          </w:r>
          <w:r>
            <w:rPr>
              <w:rFonts w:hint="eastAsia" w:eastAsia="黑体" w:cs="黑体"/>
              <w:sz w:val="32"/>
              <w:szCs w:val="32"/>
            </w:rPr>
            <w:instrText xml:space="preserve"> PAGEREF _Toc19038 \h </w:instrText>
          </w:r>
          <w:r>
            <w:rPr>
              <w:rFonts w:hint="eastAsia" w:eastAsia="黑体" w:cs="黑体"/>
              <w:sz w:val="32"/>
              <w:szCs w:val="32"/>
            </w:rPr>
            <w:fldChar w:fldCharType="separate"/>
          </w:r>
          <w:r>
            <w:rPr>
              <w:rFonts w:hint="eastAsia" w:eastAsia="黑体" w:cs="黑体"/>
              <w:sz w:val="32"/>
              <w:szCs w:val="32"/>
            </w:rPr>
            <w:t>1</w:t>
          </w:r>
          <w:r>
            <w:rPr>
              <w:rFonts w:hint="eastAsia" w:eastAsia="黑体" w:cs="黑体"/>
              <w:sz w:val="32"/>
              <w:szCs w:val="32"/>
            </w:rPr>
            <w:fldChar w:fldCharType="end"/>
          </w:r>
          <w:r>
            <w:rPr>
              <w:rFonts w:hint="eastAsia" w:eastAsia="黑体" w:cs="黑体"/>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"_Toc8058" </w:instrText>
          </w:r>
          <w:r>
            <w:fldChar w:fldCharType="separate"/>
          </w:r>
          <w:r>
            <w:rPr>
              <w:rFonts w:hint="eastAsia" w:eastAsia="仿宋_GB2312" w:cs="仿宋_GB2312"/>
              <w:sz w:val="32"/>
              <w:szCs w:val="32"/>
            </w:rPr>
            <w:t>一、单位职责</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_Toc8058 \h </w:instrText>
          </w:r>
          <w:r>
            <w:rPr>
              <w:rFonts w:hint="eastAsia" w:eastAsia="仿宋_GB2312" w:cs="仿宋_GB2312"/>
              <w:sz w:val="32"/>
              <w:szCs w:val="32"/>
            </w:rPr>
            <w:fldChar w:fldCharType="separate"/>
          </w:r>
          <w:r>
            <w:rPr>
              <w:rFonts w:hint="eastAsia" w:eastAsia="仿宋_GB2312" w:cs="仿宋_GB2312"/>
              <w:sz w:val="32"/>
              <w:szCs w:val="32"/>
            </w:rPr>
            <w:t>1</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"_Toc5218" </w:instrText>
          </w:r>
          <w:r>
            <w:fldChar w:fldCharType="separate"/>
          </w:r>
          <w:r>
            <w:rPr>
              <w:rFonts w:hint="eastAsia" w:eastAsia="仿宋_GB2312" w:cs="仿宋_GB2312"/>
              <w:sz w:val="32"/>
              <w:szCs w:val="32"/>
            </w:rPr>
            <w:t>二、机构设置</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_Toc5218 \h </w:instrText>
          </w:r>
          <w:r>
            <w:rPr>
              <w:rFonts w:hint="eastAsia" w:eastAsia="仿宋_GB2312" w:cs="仿宋_GB2312"/>
              <w:sz w:val="32"/>
              <w:szCs w:val="32"/>
            </w:rPr>
            <w:fldChar w:fldCharType="separate"/>
          </w:r>
          <w:r>
            <w:rPr>
              <w:rFonts w:hint="eastAsia" w:eastAsia="仿宋_GB2312" w:cs="仿宋_GB2312"/>
              <w:sz w:val="32"/>
              <w:szCs w:val="32"/>
            </w:rPr>
            <w:t>1</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2"/>
            <w:keepNext w:val="0"/>
            <w:keepLines w:val="0"/>
            <w:pageBreakBefore w:val="0"/>
            <w:widowControl w:val="0"/>
            <w:kinsoku/>
            <w:wordWrap/>
            <w:overflowPunct/>
            <w:topLinePunct w:val="0"/>
            <w:autoSpaceDE/>
            <w:autoSpaceDN/>
            <w:bidi w:val="0"/>
            <w:adjustRightInd w:val="0"/>
            <w:snapToGrid w:val="0"/>
            <w:spacing w:before="0" w:line="560" w:lineRule="exact"/>
            <w:jc w:val="left"/>
            <w:textAlignment w:val="auto"/>
            <w:outlineLvl w:val="0"/>
            <w:rPr>
              <w:rFonts w:ascii="Times New Roman" w:hAnsi="Times New Roman" w:eastAsia="黑体" w:cs="黑体"/>
              <w:sz w:val="32"/>
              <w:szCs w:val="32"/>
            </w:rPr>
          </w:pPr>
          <w:r>
            <w:fldChar w:fldCharType="begin"/>
          </w:r>
          <w:r>
            <w:instrText xml:space="preserve"> HYPERLINK \l "_Toc1314" </w:instrText>
          </w:r>
          <w:r>
            <w:fldChar w:fldCharType="separate"/>
          </w:r>
          <w:r>
            <w:rPr>
              <w:rFonts w:hint="eastAsia" w:ascii="Times New Roman" w:hAnsi="Times New Roman" w:eastAsia="黑体" w:cs="黑体"/>
              <w:sz w:val="32"/>
              <w:szCs w:val="32"/>
            </w:rPr>
            <w:t>第二部分  2024年度单位决算情况说明</w:t>
          </w:r>
          <w:r>
            <w:rPr>
              <w:rFonts w:hint="eastAsia" w:ascii="Times New Roman" w:hAnsi="Times New Roman" w:eastAsia="黑体" w:cs="黑体"/>
              <w:sz w:val="32"/>
              <w:szCs w:val="32"/>
            </w:rPr>
            <w:tab/>
          </w:r>
          <w:r>
            <w:rPr>
              <w:rFonts w:hint="eastAsia" w:ascii="Times New Roman" w:hAnsi="Times New Roman" w:eastAsia="黑体" w:cs="黑体"/>
              <w:sz w:val="32"/>
              <w:szCs w:val="32"/>
            </w:rPr>
            <w:fldChar w:fldCharType="begin"/>
          </w:r>
          <w:r>
            <w:rPr>
              <w:rFonts w:hint="eastAsia" w:ascii="Times New Roman" w:hAnsi="Times New Roman" w:eastAsia="黑体" w:cs="黑体"/>
              <w:sz w:val="32"/>
              <w:szCs w:val="32"/>
            </w:rPr>
            <w:instrText xml:space="preserve"> PAGEREF _Toc1314 \h </w:instrText>
          </w:r>
          <w:r>
            <w:rPr>
              <w:rFonts w:hint="eastAsia" w:ascii="Times New Roman" w:hAnsi="Times New Roman" w:eastAsia="黑体" w:cs="黑体"/>
              <w:sz w:val="32"/>
              <w:szCs w:val="32"/>
            </w:rPr>
            <w:fldChar w:fldCharType="separate"/>
          </w:r>
          <w:r>
            <w:rPr>
              <w:rFonts w:hint="eastAsia" w:ascii="Times New Roman" w:hAnsi="Times New Roman" w:eastAsia="黑体" w:cs="黑体"/>
              <w:sz w:val="32"/>
              <w:szCs w:val="32"/>
            </w:rPr>
            <w:t>2</w:t>
          </w:r>
          <w:r>
            <w:rPr>
              <w:rFonts w:hint="eastAsia" w:ascii="Times New Roman" w:hAnsi="Times New Roman" w:eastAsia="黑体" w:cs="黑体"/>
              <w:sz w:val="32"/>
              <w:szCs w:val="32"/>
            </w:rPr>
            <w:fldChar w:fldCharType="end"/>
          </w:r>
          <w:r>
            <w:rPr>
              <w:rFonts w:hint="eastAsia" w:ascii="Times New Roman" w:hAnsi="Times New Roman" w:eastAsia="黑体" w:cs="黑体"/>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"_Toc32745" </w:instrText>
          </w:r>
          <w:r>
            <w:fldChar w:fldCharType="separate"/>
          </w:r>
          <w:r>
            <w:rPr>
              <w:rFonts w:hint="eastAsia" w:eastAsia="仿宋_GB2312" w:cs="仿宋_GB2312"/>
              <w:sz w:val="32"/>
              <w:szCs w:val="32"/>
            </w:rPr>
            <w:t>一、收入支出决算总体情况说明</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_Toc32745 \h </w:instrText>
          </w:r>
          <w:r>
            <w:rPr>
              <w:rFonts w:hint="eastAsia" w:eastAsia="仿宋_GB2312" w:cs="仿宋_GB2312"/>
              <w:sz w:val="32"/>
              <w:szCs w:val="32"/>
            </w:rPr>
            <w:fldChar w:fldCharType="separate"/>
          </w:r>
          <w:r>
            <w:rPr>
              <w:rFonts w:hint="eastAsia" w:eastAsia="仿宋_GB2312" w:cs="仿宋_GB2312"/>
              <w:sz w:val="32"/>
              <w:szCs w:val="32"/>
            </w:rPr>
            <w:t>2</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"_Toc13870" </w:instrText>
          </w:r>
          <w:r>
            <w:fldChar w:fldCharType="separate"/>
          </w:r>
          <w:r>
            <w:rPr>
              <w:rFonts w:hint="eastAsia" w:eastAsia="仿宋_GB2312" w:cs="仿宋_GB2312"/>
              <w:sz w:val="32"/>
              <w:szCs w:val="32"/>
            </w:rPr>
            <w:t>二、收入决算情况说明</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_Toc13870 \h </w:instrText>
          </w:r>
          <w:r>
            <w:rPr>
              <w:rFonts w:hint="eastAsia" w:eastAsia="仿宋_GB2312" w:cs="仿宋_GB2312"/>
              <w:sz w:val="32"/>
              <w:szCs w:val="32"/>
            </w:rPr>
            <w:fldChar w:fldCharType="separate"/>
          </w:r>
          <w:r>
            <w:rPr>
              <w:rFonts w:hint="eastAsia" w:eastAsia="仿宋_GB2312" w:cs="仿宋_GB2312"/>
              <w:sz w:val="32"/>
              <w:szCs w:val="32"/>
            </w:rPr>
            <w:t>2</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"_Toc13955" </w:instrText>
          </w:r>
          <w:r>
            <w:fldChar w:fldCharType="separate"/>
          </w:r>
          <w:r>
            <w:rPr>
              <w:rFonts w:hint="eastAsia" w:eastAsia="仿宋_GB2312" w:cs="仿宋_GB2312"/>
              <w:sz w:val="32"/>
              <w:szCs w:val="32"/>
            </w:rPr>
            <w:t>三、支出决算情况说明</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_Toc13955 \h </w:instrText>
          </w:r>
          <w:r>
            <w:rPr>
              <w:rFonts w:hint="eastAsia" w:eastAsia="仿宋_GB2312" w:cs="仿宋_GB2312"/>
              <w:sz w:val="32"/>
              <w:szCs w:val="32"/>
            </w:rPr>
            <w:fldChar w:fldCharType="separate"/>
          </w:r>
          <w:r>
            <w:rPr>
              <w:rFonts w:hint="eastAsia" w:eastAsia="仿宋_GB2312" w:cs="仿宋_GB2312"/>
              <w:sz w:val="32"/>
              <w:szCs w:val="32"/>
            </w:rPr>
            <w:t>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"_Toc18246" </w:instrText>
          </w:r>
          <w:r>
            <w:fldChar w:fldCharType="separate"/>
          </w:r>
          <w:r>
            <w:rPr>
              <w:rFonts w:hint="eastAsia" w:eastAsia="仿宋_GB2312" w:cs="仿宋_GB2312"/>
              <w:sz w:val="32"/>
              <w:szCs w:val="32"/>
            </w:rPr>
            <w:t>四、财政拨款收入支出决算总体情况说明</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_Toc18246 \h </w:instrText>
          </w:r>
          <w:r>
            <w:rPr>
              <w:rFonts w:hint="eastAsia" w:eastAsia="仿宋_GB2312" w:cs="仿宋_GB2312"/>
              <w:sz w:val="32"/>
              <w:szCs w:val="32"/>
            </w:rPr>
            <w:fldChar w:fldCharType="separate"/>
          </w:r>
          <w:r>
            <w:rPr>
              <w:rFonts w:hint="eastAsia" w:eastAsia="仿宋_GB2312" w:cs="仿宋_GB2312"/>
              <w:sz w:val="32"/>
              <w:szCs w:val="32"/>
            </w:rPr>
            <w:t>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"_Toc11817" </w:instrText>
          </w:r>
          <w:r>
            <w:fldChar w:fldCharType="separate"/>
          </w:r>
          <w:r>
            <w:rPr>
              <w:rFonts w:hint="eastAsia" w:eastAsia="仿宋_GB2312" w:cs="仿宋_GB2312"/>
              <w:sz w:val="32"/>
              <w:szCs w:val="32"/>
            </w:rPr>
            <w:t>五、一般公共预算财政拨款支出决算情况说明</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_Toc11817 \h </w:instrText>
          </w:r>
          <w:r>
            <w:rPr>
              <w:rFonts w:hint="eastAsia" w:eastAsia="仿宋_GB2312" w:cs="仿宋_GB2312"/>
              <w:sz w:val="32"/>
              <w:szCs w:val="32"/>
            </w:rPr>
            <w:fldChar w:fldCharType="separate"/>
          </w:r>
          <w:r>
            <w:rPr>
              <w:rFonts w:hint="eastAsia" w:eastAsia="仿宋_GB2312" w:cs="仿宋_GB2312"/>
              <w:sz w:val="32"/>
              <w:szCs w:val="32"/>
            </w:rPr>
            <w:t>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"_Toc682" </w:instrText>
          </w:r>
          <w:r>
            <w:fldChar w:fldCharType="separate"/>
          </w:r>
          <w:r>
            <w:rPr>
              <w:rFonts w:hint="eastAsia" w:eastAsia="仿宋_GB2312" w:cs="仿宋_GB2312"/>
              <w:sz w:val="32"/>
              <w:szCs w:val="32"/>
            </w:rPr>
            <w:t>六、一般公共预算财政拨款基本支出决算情况说明</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_Toc682 \h </w:instrText>
          </w:r>
          <w:r>
            <w:rPr>
              <w:rFonts w:hint="eastAsia" w:eastAsia="仿宋_GB2312" w:cs="仿宋_GB2312"/>
              <w:sz w:val="32"/>
              <w:szCs w:val="32"/>
            </w:rPr>
            <w:fldChar w:fldCharType="separate"/>
          </w:r>
          <w:r>
            <w:rPr>
              <w:rFonts w:hint="eastAsia" w:eastAsia="仿宋_GB2312" w:cs="仿宋_GB2312"/>
              <w:sz w:val="32"/>
              <w:szCs w:val="32"/>
            </w:rPr>
            <w:t>5</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"_Toc11168" </w:instrText>
          </w:r>
          <w:r>
            <w:fldChar w:fldCharType="separate"/>
          </w:r>
          <w:r>
            <w:rPr>
              <w:rFonts w:hint="eastAsia" w:eastAsia="仿宋_GB2312" w:cs="仿宋_GB2312"/>
              <w:sz w:val="32"/>
              <w:szCs w:val="32"/>
            </w:rPr>
            <w:t>七、财政拨款“三公”经费支出决算情况说明</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_Toc11168 \h </w:instrText>
          </w:r>
          <w:r>
            <w:rPr>
              <w:rFonts w:hint="eastAsia" w:eastAsia="仿宋_GB2312" w:cs="仿宋_GB2312"/>
              <w:sz w:val="32"/>
              <w:szCs w:val="32"/>
            </w:rPr>
            <w:fldChar w:fldCharType="separate"/>
          </w:r>
          <w:r>
            <w:rPr>
              <w:rFonts w:hint="eastAsia" w:eastAsia="仿宋_GB2312" w:cs="仿宋_GB2312"/>
              <w:sz w:val="32"/>
              <w:szCs w:val="32"/>
            </w:rPr>
            <w:t>6</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"_Toc14210" </w:instrText>
          </w:r>
          <w:r>
            <w:fldChar w:fldCharType="separate"/>
          </w:r>
          <w:r>
            <w:rPr>
              <w:rFonts w:hint="eastAsia" w:eastAsia="仿宋_GB2312" w:cs="仿宋_GB2312"/>
              <w:sz w:val="32"/>
              <w:szCs w:val="32"/>
            </w:rPr>
            <w:t>八、政府性基金预算支出决算情况说明</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_Toc14210 \h </w:instrText>
          </w:r>
          <w:r>
            <w:rPr>
              <w:rFonts w:hint="eastAsia" w:eastAsia="仿宋_GB2312" w:cs="仿宋_GB2312"/>
              <w:sz w:val="32"/>
              <w:szCs w:val="32"/>
            </w:rPr>
            <w:fldChar w:fldCharType="separate"/>
          </w:r>
          <w:r>
            <w:rPr>
              <w:rFonts w:hint="eastAsia" w:eastAsia="仿宋_GB2312" w:cs="仿宋_GB2312"/>
              <w:sz w:val="32"/>
              <w:szCs w:val="32"/>
            </w:rPr>
            <w:t>7</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"_Toc20730" </w:instrText>
          </w:r>
          <w:r>
            <w:fldChar w:fldCharType="separate"/>
          </w:r>
          <w:r>
            <w:rPr>
              <w:rFonts w:hint="eastAsia" w:eastAsia="仿宋_GB2312" w:cs="仿宋_GB2312"/>
              <w:sz w:val="32"/>
              <w:szCs w:val="32"/>
            </w:rPr>
            <w:t>九、国有资本经营预算支出决算情况说明</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_Toc20730 \h </w:instrText>
          </w:r>
          <w:r>
            <w:rPr>
              <w:rFonts w:hint="eastAsia" w:eastAsia="仿宋_GB2312" w:cs="仿宋_GB2312"/>
              <w:sz w:val="32"/>
              <w:szCs w:val="32"/>
            </w:rPr>
            <w:fldChar w:fldCharType="separate"/>
          </w:r>
          <w:r>
            <w:rPr>
              <w:rFonts w:hint="eastAsia" w:eastAsia="仿宋_GB2312" w:cs="仿宋_GB2312"/>
              <w:sz w:val="32"/>
              <w:szCs w:val="32"/>
            </w:rPr>
            <w:t>7</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pPr>
          <w:r>
            <w:fldChar w:fldCharType="begin"/>
          </w:r>
          <w:r>
            <w:instrText xml:space="preserve"> HYPERLINK \l "_Toc6374" </w:instrText>
          </w:r>
          <w:r>
            <w:fldChar w:fldCharType="separate"/>
          </w:r>
          <w:r>
            <w:rPr>
              <w:rFonts w:hint="eastAsia" w:eastAsia="仿宋_GB2312" w:cs="仿宋_GB2312"/>
              <w:sz w:val="32"/>
              <w:szCs w:val="32"/>
            </w:rPr>
            <w:t>十、其他重要事项的情况说明</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_Toc6374 \h </w:instrText>
          </w:r>
          <w:r>
            <w:rPr>
              <w:rFonts w:hint="eastAsia" w:eastAsia="仿宋_GB2312" w:cs="仿宋_GB2312"/>
              <w:sz w:val="32"/>
              <w:szCs w:val="32"/>
            </w:rPr>
            <w:fldChar w:fldCharType="separate"/>
          </w:r>
          <w:r>
            <w:rPr>
              <w:rFonts w:hint="eastAsia" w:eastAsia="仿宋_GB2312" w:cs="仿宋_GB2312"/>
              <w:sz w:val="32"/>
              <w:szCs w:val="32"/>
            </w:rPr>
            <w:t>7</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2"/>
            <w:keepNext w:val="0"/>
            <w:keepLines w:val="0"/>
            <w:pageBreakBefore w:val="0"/>
            <w:widowControl w:val="0"/>
            <w:kinsoku/>
            <w:wordWrap/>
            <w:overflowPunct/>
            <w:topLinePunct w:val="0"/>
            <w:autoSpaceDE/>
            <w:autoSpaceDN/>
            <w:bidi w:val="0"/>
            <w:adjustRightInd w:val="0"/>
            <w:snapToGrid w:val="0"/>
            <w:spacing w:before="0" w:line="560" w:lineRule="exact"/>
            <w:jc w:val="left"/>
            <w:textAlignment w:val="auto"/>
            <w:outlineLvl w:val="0"/>
            <w:rPr>
              <w:rFonts w:ascii="Times New Roman" w:hAnsi="Times New Roman" w:eastAsia="黑体" w:cs="黑体"/>
              <w:sz w:val="32"/>
              <w:szCs w:val="32"/>
            </w:rPr>
          </w:pPr>
          <w:r>
            <w:fldChar w:fldCharType="begin"/>
          </w:r>
          <w:r>
            <w:instrText xml:space="preserve"> HYPERLINK \l "_Toc24859" </w:instrText>
          </w:r>
          <w:r>
            <w:fldChar w:fldCharType="separate"/>
          </w:r>
          <w:r>
            <w:rPr>
              <w:rFonts w:hint="eastAsia" w:ascii="Times New Roman" w:hAnsi="Times New Roman" w:eastAsia="黑体" w:cs="黑体"/>
              <w:sz w:val="32"/>
              <w:szCs w:val="32"/>
            </w:rPr>
            <w:t>第三部分  名词解释</w:t>
          </w:r>
          <w:r>
            <w:rPr>
              <w:rFonts w:hint="eastAsia" w:ascii="Times New Roman" w:hAnsi="Times New Roman" w:eastAsia="黑体" w:cs="黑体"/>
              <w:sz w:val="32"/>
              <w:szCs w:val="32"/>
            </w:rPr>
            <w:tab/>
          </w:r>
          <w:r>
            <w:rPr>
              <w:rFonts w:hint="eastAsia" w:ascii="Times New Roman" w:hAnsi="Times New Roman" w:eastAsia="黑体" w:cs="黑体"/>
              <w:sz w:val="32"/>
              <w:szCs w:val="32"/>
            </w:rPr>
            <w:fldChar w:fldCharType="begin"/>
          </w:r>
          <w:r>
            <w:rPr>
              <w:rFonts w:hint="eastAsia" w:ascii="Times New Roman" w:hAnsi="Times New Roman" w:eastAsia="黑体" w:cs="黑体"/>
              <w:sz w:val="32"/>
              <w:szCs w:val="32"/>
            </w:rPr>
            <w:instrText xml:space="preserve"> PAGEREF _Toc24859 \h </w:instrText>
          </w:r>
          <w:r>
            <w:rPr>
              <w:rFonts w:hint="eastAsia" w:ascii="Times New Roman" w:hAnsi="Times New Roman" w:eastAsia="黑体" w:cs="黑体"/>
              <w:sz w:val="32"/>
              <w:szCs w:val="32"/>
            </w:rPr>
            <w:fldChar w:fldCharType="separate"/>
          </w:r>
          <w:r>
            <w:rPr>
              <w:rFonts w:hint="eastAsia" w:ascii="Times New Roman" w:hAnsi="Times New Roman" w:eastAsia="黑体" w:cs="黑体"/>
              <w:sz w:val="32"/>
              <w:szCs w:val="32"/>
            </w:rPr>
            <w:t>9</w:t>
          </w:r>
          <w:r>
            <w:rPr>
              <w:rFonts w:hint="eastAsia" w:ascii="Times New Roman" w:hAnsi="Times New Roman" w:eastAsia="黑体" w:cs="黑体"/>
              <w:sz w:val="32"/>
              <w:szCs w:val="32"/>
            </w:rPr>
            <w:fldChar w:fldCharType="end"/>
          </w:r>
          <w:r>
            <w:rPr>
              <w:rFonts w:hint="eastAsia" w:ascii="Times New Roman" w:hAnsi="Times New Roman" w:eastAsia="黑体" w:cs="黑体"/>
              <w:sz w:val="32"/>
              <w:szCs w:val="32"/>
            </w:rPr>
            <w:fldChar w:fldCharType="end"/>
          </w:r>
        </w:p>
        <w:p>
          <w:pPr>
            <w:pStyle w:val="12"/>
            <w:keepNext w:val="0"/>
            <w:keepLines w:val="0"/>
            <w:pageBreakBefore w:val="0"/>
            <w:widowControl w:val="0"/>
            <w:kinsoku/>
            <w:wordWrap/>
            <w:overflowPunct/>
            <w:topLinePunct w:val="0"/>
            <w:autoSpaceDE/>
            <w:autoSpaceDN/>
            <w:bidi w:val="0"/>
            <w:adjustRightInd w:val="0"/>
            <w:snapToGrid w:val="0"/>
            <w:spacing w:before="0" w:line="560" w:lineRule="exact"/>
            <w:jc w:val="left"/>
            <w:textAlignment w:val="auto"/>
            <w:outlineLvl w:val="0"/>
            <w:rPr>
              <w:rFonts w:ascii="Times New Roman" w:hAnsi="Times New Roman" w:eastAsia="黑体" w:cs="黑体"/>
              <w:sz w:val="32"/>
              <w:szCs w:val="32"/>
            </w:rPr>
          </w:pPr>
          <w:r>
            <w:fldChar w:fldCharType="begin"/>
          </w:r>
          <w:r>
            <w:instrText xml:space="preserve"> HYPERLINK \l "_Toc20929" </w:instrText>
          </w:r>
          <w:r>
            <w:fldChar w:fldCharType="separate"/>
          </w:r>
          <w:r>
            <w:rPr>
              <w:rFonts w:hint="eastAsia" w:ascii="Times New Roman" w:hAnsi="Times New Roman" w:eastAsia="黑体" w:cs="黑体"/>
              <w:sz w:val="32"/>
              <w:szCs w:val="32"/>
            </w:rPr>
            <w:t>第四部分  附件</w:t>
          </w:r>
          <w:r>
            <w:rPr>
              <w:rFonts w:hint="eastAsia" w:ascii="Times New Roman" w:hAnsi="Times New Roman" w:eastAsia="黑体" w:cs="黑体"/>
              <w:sz w:val="32"/>
              <w:szCs w:val="32"/>
            </w:rPr>
            <w:tab/>
          </w:r>
          <w:r>
            <w:rPr>
              <w:rFonts w:hint="eastAsia" w:ascii="Times New Roman" w:hAnsi="Times New Roman" w:eastAsia="黑体" w:cs="黑体"/>
              <w:sz w:val="32"/>
              <w:szCs w:val="32"/>
            </w:rPr>
            <w:fldChar w:fldCharType="begin"/>
          </w:r>
          <w:r>
            <w:rPr>
              <w:rFonts w:hint="eastAsia" w:ascii="Times New Roman" w:hAnsi="Times New Roman" w:eastAsia="黑体" w:cs="黑体"/>
              <w:sz w:val="32"/>
              <w:szCs w:val="32"/>
            </w:rPr>
            <w:instrText xml:space="preserve"> PAGEREF _Toc20929 \h </w:instrText>
          </w:r>
          <w:r>
            <w:rPr>
              <w:rFonts w:hint="eastAsia" w:ascii="Times New Roman" w:hAnsi="Times New Roman" w:eastAsia="黑体" w:cs="黑体"/>
              <w:sz w:val="32"/>
              <w:szCs w:val="32"/>
            </w:rPr>
            <w:fldChar w:fldCharType="separate"/>
          </w:r>
          <w:r>
            <w:rPr>
              <w:rFonts w:hint="eastAsia" w:ascii="Times New Roman" w:hAnsi="Times New Roman" w:eastAsia="黑体" w:cs="黑体"/>
              <w:sz w:val="32"/>
              <w:szCs w:val="32"/>
            </w:rPr>
            <w:t>12</w:t>
          </w:r>
          <w:r>
            <w:rPr>
              <w:rFonts w:hint="eastAsia" w:ascii="Times New Roman" w:hAnsi="Times New Roman" w:eastAsia="黑体" w:cs="黑体"/>
              <w:sz w:val="32"/>
              <w:szCs w:val="32"/>
            </w:rPr>
            <w:fldChar w:fldCharType="end"/>
          </w:r>
          <w:r>
            <w:rPr>
              <w:rFonts w:hint="eastAsia" w:ascii="Times New Roman" w:hAnsi="Times New Roman" w:eastAsia="黑体" w:cs="黑体"/>
              <w:sz w:val="32"/>
              <w:szCs w:val="32"/>
            </w:rPr>
            <w:fldChar w:fldCharType="end"/>
          </w:r>
        </w:p>
        <w:p>
          <w:pPr>
            <w:pStyle w:val="12"/>
            <w:keepNext w:val="0"/>
            <w:keepLines w:val="0"/>
            <w:pageBreakBefore w:val="0"/>
            <w:widowControl w:val="0"/>
            <w:kinsoku/>
            <w:wordWrap/>
            <w:overflowPunct/>
            <w:topLinePunct w:val="0"/>
            <w:autoSpaceDE/>
            <w:autoSpaceDN/>
            <w:bidi w:val="0"/>
            <w:adjustRightInd w:val="0"/>
            <w:snapToGrid w:val="0"/>
            <w:spacing w:before="0" w:line="560" w:lineRule="exact"/>
            <w:jc w:val="left"/>
            <w:textAlignment w:val="auto"/>
            <w:outlineLvl w:val="0"/>
            <w:rPr>
              <w:rFonts w:ascii="Times New Roman" w:hAnsi="Times New Roman" w:eastAsia="黑体" w:cs="黑体"/>
              <w:sz w:val="32"/>
              <w:szCs w:val="32"/>
            </w:rPr>
          </w:pPr>
          <w:r>
            <w:fldChar w:fldCharType="begin"/>
          </w:r>
          <w:r>
            <w:instrText xml:space="preserve"> HYPERLINK \l "_Toc26733" </w:instrText>
          </w:r>
          <w:r>
            <w:fldChar w:fldCharType="separate"/>
          </w:r>
          <w:r>
            <w:rPr>
              <w:rFonts w:hint="eastAsia" w:ascii="Times New Roman" w:hAnsi="Times New Roman" w:eastAsia="黑体" w:cs="黑体"/>
              <w:sz w:val="32"/>
              <w:szCs w:val="32"/>
            </w:rPr>
            <w:t xml:space="preserve">第五部分 </w:t>
          </w:r>
          <w:r>
            <w:rPr>
              <w:rFonts w:hint="eastAsia" w:ascii="Times New Roman" w:hAnsi="Times New Roman" w:eastAsia="黑体" w:cs="黑体"/>
              <w:sz w:val="32"/>
              <w:szCs w:val="32"/>
              <w:lang w:val="en-US" w:eastAsia="zh-CN"/>
            </w:rPr>
            <w:t xml:space="preserve"> </w:t>
          </w:r>
          <w:r>
            <w:rPr>
              <w:rFonts w:hint="eastAsia" w:ascii="Times New Roman" w:hAnsi="Times New Roman" w:eastAsia="黑体" w:cs="黑体"/>
              <w:sz w:val="32"/>
              <w:szCs w:val="32"/>
            </w:rPr>
            <w:t>附表</w:t>
          </w:r>
          <w:r>
            <w:rPr>
              <w:rFonts w:hint="eastAsia" w:ascii="Times New Roman" w:hAnsi="Times New Roman" w:eastAsia="黑体" w:cs="黑体"/>
              <w:sz w:val="32"/>
              <w:szCs w:val="32"/>
            </w:rPr>
            <w:tab/>
          </w:r>
          <w:r>
            <w:rPr>
              <w:rFonts w:hint="eastAsia" w:ascii="Times New Roman" w:hAnsi="Times New Roman" w:eastAsia="黑体" w:cs="黑体"/>
              <w:sz w:val="32"/>
              <w:szCs w:val="32"/>
            </w:rPr>
            <w:fldChar w:fldCharType="begin"/>
          </w:r>
          <w:r>
            <w:rPr>
              <w:rFonts w:hint="eastAsia" w:ascii="Times New Roman" w:hAnsi="Times New Roman" w:eastAsia="黑体" w:cs="黑体"/>
              <w:sz w:val="32"/>
              <w:szCs w:val="32"/>
            </w:rPr>
            <w:instrText xml:space="preserve"> PAGEREF _Toc26733 \h </w:instrText>
          </w:r>
          <w:r>
            <w:rPr>
              <w:rFonts w:hint="eastAsia" w:ascii="Times New Roman" w:hAnsi="Times New Roman" w:eastAsia="黑体" w:cs="黑体"/>
              <w:sz w:val="32"/>
              <w:szCs w:val="32"/>
            </w:rPr>
            <w:fldChar w:fldCharType="separate"/>
          </w:r>
          <w:r>
            <w:rPr>
              <w:rFonts w:hint="eastAsia" w:ascii="Times New Roman" w:hAnsi="Times New Roman" w:eastAsia="黑体" w:cs="黑体"/>
              <w:sz w:val="32"/>
              <w:szCs w:val="32"/>
            </w:rPr>
            <w:t>13</w:t>
          </w:r>
          <w:r>
            <w:rPr>
              <w:rFonts w:hint="eastAsia" w:ascii="Times New Roman" w:hAnsi="Times New Roman" w:eastAsia="黑体" w:cs="黑体"/>
              <w:sz w:val="32"/>
              <w:szCs w:val="32"/>
            </w:rPr>
            <w:fldChar w:fldCharType="end"/>
          </w:r>
          <w:r>
            <w:rPr>
              <w:rFonts w:hint="eastAsia" w:ascii="Times New Roman" w:hAnsi="Times New Roman" w:eastAsia="黑体" w:cs="黑体"/>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"_Toc23875" </w:instrText>
          </w:r>
          <w:r>
            <w:fldChar w:fldCharType="separate"/>
          </w:r>
          <w:r>
            <w:rPr>
              <w:rFonts w:hint="eastAsia" w:eastAsia="仿宋_GB2312" w:cs="仿宋_GB2312"/>
              <w:sz w:val="32"/>
              <w:szCs w:val="32"/>
            </w:rPr>
            <w:t>一、收入支出决算总表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_Toc23875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"_Toc15396" </w:instrText>
          </w:r>
          <w:r>
            <w:fldChar w:fldCharType="separate"/>
          </w:r>
          <w:r>
            <w:rPr>
              <w:rFonts w:hint="eastAsia" w:eastAsia="仿宋_GB2312" w:cs="仿宋_GB2312"/>
              <w:sz w:val="32"/>
              <w:szCs w:val="32"/>
            </w:rPr>
            <w:t>二、收入决算表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_Toc15396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"_Toc28549" </w:instrText>
          </w:r>
          <w:r>
            <w:fldChar w:fldCharType="separate"/>
          </w:r>
          <w:r>
            <w:rPr>
              <w:rFonts w:hint="eastAsia" w:eastAsia="仿宋_GB2312" w:cs="仿宋_GB2312"/>
              <w:sz w:val="32"/>
              <w:szCs w:val="32"/>
            </w:rPr>
            <w:t>三、支出决算表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_Toc28549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"_Toc3271" </w:instrText>
          </w:r>
          <w:r>
            <w:fldChar w:fldCharType="separate"/>
          </w:r>
          <w:r>
            <w:rPr>
              <w:rFonts w:hint="eastAsia" w:eastAsia="仿宋_GB2312" w:cs="仿宋_GB2312"/>
              <w:sz w:val="32"/>
              <w:szCs w:val="32"/>
            </w:rPr>
            <w:t>四、财政拨款收入支出决算总表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_Toc3271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"_Toc22652" </w:instrText>
          </w:r>
          <w:r>
            <w:fldChar w:fldCharType="separate"/>
          </w:r>
          <w:r>
            <w:rPr>
              <w:rFonts w:hint="eastAsia" w:eastAsia="仿宋_GB2312" w:cs="仿宋_GB2312"/>
              <w:sz w:val="32"/>
              <w:szCs w:val="32"/>
            </w:rPr>
            <w:t>五、财政拨款支出决算明细表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_Toc22652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"_Toc28122" </w:instrText>
          </w:r>
          <w:r>
            <w:fldChar w:fldCharType="separate"/>
          </w:r>
          <w:r>
            <w:rPr>
              <w:rFonts w:hint="eastAsia" w:eastAsia="仿宋_GB2312" w:cs="仿宋_GB2312"/>
              <w:sz w:val="32"/>
              <w:szCs w:val="32"/>
            </w:rPr>
            <w:t>六、一般公共预算财政拨款支出决算表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_Toc28122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"_Toc23422" </w:instrText>
          </w:r>
          <w:r>
            <w:fldChar w:fldCharType="separate"/>
          </w:r>
          <w:r>
            <w:rPr>
              <w:rFonts w:hint="eastAsia" w:eastAsia="仿宋_GB2312" w:cs="仿宋_GB2312"/>
              <w:sz w:val="32"/>
              <w:szCs w:val="32"/>
            </w:rPr>
            <w:t>七、一般公共预算财政拨款支出决算明细表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_Toc23422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"_Toc973" </w:instrText>
          </w:r>
          <w:r>
            <w:fldChar w:fldCharType="separate"/>
          </w:r>
          <w:r>
            <w:rPr>
              <w:rFonts w:hint="eastAsia" w:eastAsia="仿宋_GB2312" w:cs="仿宋_GB2312"/>
              <w:sz w:val="32"/>
              <w:szCs w:val="32"/>
            </w:rPr>
            <w:t>八、一般公共预算财政拨款基本支出决算表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_Toc973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"_Toc2010" </w:instrText>
          </w:r>
          <w:r>
            <w:fldChar w:fldCharType="separate"/>
          </w:r>
          <w:r>
            <w:rPr>
              <w:rFonts w:hint="eastAsia" w:eastAsia="仿宋_GB2312" w:cs="仿宋_GB2312"/>
              <w:sz w:val="32"/>
              <w:szCs w:val="32"/>
            </w:rPr>
            <w:t>九、一般公共预算财政拨款项目支出决算表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_Toc2010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"_Toc21170" </w:instrText>
          </w:r>
          <w:r>
            <w:fldChar w:fldCharType="separate"/>
          </w:r>
          <w:r>
            <w:rPr>
              <w:rFonts w:hint="eastAsia" w:eastAsia="仿宋_GB2312" w:cs="仿宋_GB2312"/>
              <w:sz w:val="32"/>
              <w:szCs w:val="32"/>
            </w:rPr>
            <w:t>十、政府性基金预算财政拨款收入支出决算表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_Toc21170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"_Toc17243" </w:instrText>
          </w:r>
          <w:r>
            <w:fldChar w:fldCharType="separate"/>
          </w:r>
          <w:r>
            <w:rPr>
              <w:rFonts w:hint="eastAsia" w:eastAsia="仿宋_GB2312" w:cs="仿宋_GB2312"/>
              <w:sz w:val="32"/>
              <w:szCs w:val="32"/>
            </w:rPr>
            <w:t>十一、国有资本经营预算财政拨款收入支出决算表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_Toc17243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pPr>
          <w:r>
            <w:fldChar w:fldCharType="begin"/>
          </w:r>
          <w:r>
            <w:instrText xml:space="preserve"> HYPERLINK \l "_Toc15167" </w:instrText>
          </w:r>
          <w:r>
            <w:fldChar w:fldCharType="separate"/>
          </w:r>
          <w:r>
            <w:rPr>
              <w:rFonts w:hint="eastAsia" w:eastAsia="仿宋_GB2312" w:cs="仿宋_GB2312"/>
              <w:sz w:val="32"/>
              <w:szCs w:val="32"/>
            </w:rPr>
            <w:t>十二、国有资本经营预算财政拨款支出决算表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_Toc15167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420" w:firstLineChars="200"/>
            <w:jc w:val="left"/>
            <w:textAlignment w:val="auto"/>
            <w:rPr>
              <w:rFonts w:eastAsia="仿宋_GB2312" w:cs="仿宋_GB2312"/>
              <w:sz w:val="32"/>
              <w:szCs w:val="32"/>
            </w:rPr>
            <w:sectPr>
              <w:footerReference r:id="rId7" w:type="default"/>
              <w:pgSz w:w="11906" w:h="16838"/>
              <w:pgMar w:top="1440" w:right="1800" w:bottom="1440" w:left="1800" w:header="851" w:footer="992" w:gutter="0"/>
              <w:pgNumType w:fmt="numberInDash" w:start="1"/>
              <w:cols w:space="425" w:num="1"/>
              <w:docGrid w:type="lines" w:linePitch="312" w:charSpace="0"/>
            </w:sectPr>
          </w:pPr>
          <w:r>
            <w:fldChar w:fldCharType="begin"/>
          </w:r>
          <w:r>
            <w:instrText xml:space="preserve"> HYPERLINK \l "_Toc32168" </w:instrText>
          </w:r>
          <w:r>
            <w:fldChar w:fldCharType="separate"/>
          </w:r>
          <w:r>
            <w:rPr>
              <w:rFonts w:hint="eastAsia" w:eastAsia="仿宋_GB2312" w:cs="仿宋_GB2312"/>
              <w:sz w:val="32"/>
              <w:szCs w:val="32"/>
            </w:rPr>
            <w:t>十三、财政拨款“三公”经费支出决算表</w:t>
          </w:r>
          <w:r>
            <w:rPr>
              <w:rFonts w:hint="eastAsia" w:eastAsia="仿宋_GB2312" w:cs="仿宋_GB2312"/>
              <w:sz w:val="32"/>
              <w:szCs w:val="32"/>
            </w:rPr>
            <w:tab/>
          </w:r>
          <w:r>
            <w:rPr>
              <w:rFonts w:hint="eastAsia" w:eastAsia="仿宋_GB2312" w:cs="仿宋_GB2312"/>
              <w:sz w:val="32"/>
              <w:szCs w:val="32"/>
            </w:rPr>
            <w:fldChar w:fldCharType="begin"/>
          </w:r>
          <w:r>
            <w:rPr>
              <w:rFonts w:hint="eastAsia" w:eastAsia="仿宋_GB2312" w:cs="仿宋_GB2312"/>
              <w:sz w:val="32"/>
              <w:szCs w:val="32"/>
            </w:rPr>
            <w:instrText xml:space="preserve"> PAGEREF _Toc32168 \h </w:instrText>
          </w:r>
          <w:r>
            <w:rPr>
              <w:rFonts w:hint="eastAsia" w:eastAsia="仿宋_GB2312" w:cs="仿宋_GB2312"/>
              <w:sz w:val="32"/>
              <w:szCs w:val="32"/>
            </w:rPr>
            <w:fldChar w:fldCharType="separate"/>
          </w:r>
          <w:r>
            <w:rPr>
              <w:rFonts w:hint="eastAsia" w:eastAsia="仿宋_GB2312" w:cs="仿宋_GB2312"/>
              <w:sz w:val="32"/>
              <w:szCs w:val="32"/>
            </w:rPr>
            <w:t>13</w:t>
          </w:r>
          <w:r>
            <w:rPr>
              <w:rFonts w:hint="eastAsia" w:eastAsia="仿宋_GB2312" w:cs="仿宋_GB2312"/>
              <w:sz w:val="32"/>
              <w:szCs w:val="32"/>
            </w:rPr>
            <w:fldChar w:fldCharType="end"/>
          </w:r>
          <w:r>
            <w:rPr>
              <w:rFonts w:hint="eastAsia" w:eastAsia="仿宋_GB2312" w:cs="仿宋_GB2312"/>
              <w:sz w:val="32"/>
              <w:szCs w:val="32"/>
            </w:rPr>
            <w:fldChar w:fldCharType="end"/>
          </w:r>
        </w:p>
        <w:p/>
        <w:p>
          <w:pPr>
            <w:jc w:val="center"/>
          </w:pPr>
          <w:r>
            <w:fldChar w:fldCharType="end"/>
          </w:r>
        </w:p>
      </w:sdtContent>
    </w:sdt>
    <w:p>
      <w:pPr>
        <w:pStyle w:val="3"/>
        <w:jc w:val="center"/>
        <w:rPr>
          <w:rStyle w:val="31"/>
          <w:rFonts w:eastAsia="方正小标宋简体" w:cs="方正小标宋简体"/>
          <w:b/>
          <w:bCs w:val="0"/>
        </w:rPr>
      </w:pPr>
      <w:bookmarkStart w:id="12" w:name="_Toc19038"/>
      <w:bookmarkStart w:id="13" w:name="_Toc15396599"/>
      <w:bookmarkStart w:id="14" w:name="_Toc15377196"/>
      <w:r>
        <w:rPr>
          <w:rFonts w:hint="eastAsia" w:eastAsia="方正小标宋简体" w:cs="方正小标宋简体"/>
          <w:b w:val="0"/>
        </w:rPr>
        <w:t xml:space="preserve">第一部分  </w:t>
      </w:r>
      <w:r>
        <w:rPr>
          <w:rStyle w:val="31"/>
          <w:rFonts w:hint="eastAsia" w:eastAsia="方正小标宋简体" w:cs="方正小标宋简体"/>
          <w:b w:val="0"/>
          <w:bCs w:val="0"/>
        </w:rPr>
        <w:t>单位概况</w:t>
      </w:r>
      <w:bookmarkEnd w:id="12"/>
      <w:bookmarkEnd w:id="13"/>
      <w:bookmarkEnd w:id="14"/>
    </w:p>
    <w:p>
      <w:pPr>
        <w:widowControl/>
        <w:jc w:val="left"/>
        <w:rPr>
          <w:rFonts w:eastAsia="黑体"/>
          <w:sz w:val="32"/>
          <w:szCs w:val="32"/>
        </w:rPr>
      </w:pPr>
    </w:p>
    <w:p>
      <w:pPr>
        <w:pStyle w:val="4"/>
        <w:numPr>
          <w:ilvl w:val="0"/>
          <w:numId w:val="1"/>
        </w:numPr>
        <w:rPr>
          <w:rFonts w:ascii="Times New Roman" w:hAnsi="Times New Roman" w:eastAsia="黑体"/>
          <w:b w:val="0"/>
        </w:rPr>
      </w:pPr>
      <w:bookmarkStart w:id="15" w:name="_Toc8058"/>
      <w:r>
        <w:rPr>
          <w:rFonts w:hint="eastAsia" w:ascii="Times New Roman" w:hAnsi="Times New Roman" w:eastAsia="黑体"/>
          <w:b w:val="0"/>
        </w:rPr>
        <w:t>单位职责</w:t>
      </w:r>
      <w:bookmarkEnd w:id="15"/>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学校的主要职责是开展本专科层次学历教育、继续教育、社会化培训；承担科学研究与社会服务、社会咨询；开展国际交流与合作。</w:t>
      </w:r>
    </w:p>
    <w:p>
      <w:pPr>
        <w:pStyle w:val="4"/>
        <w:rPr>
          <w:rStyle w:val="32"/>
          <w:rFonts w:ascii="Times New Roman" w:hAnsi="Times New Roman"/>
          <w:b w:val="0"/>
          <w:bCs w:val="0"/>
        </w:rPr>
      </w:pPr>
      <w:bookmarkStart w:id="16" w:name="_Toc15396601"/>
      <w:bookmarkStart w:id="17" w:name="_Toc15377200"/>
      <w:bookmarkStart w:id="18" w:name="_Toc5218"/>
      <w:r>
        <w:rPr>
          <w:rFonts w:hint="eastAsia" w:ascii="Times New Roman" w:hAnsi="Times New Roman" w:eastAsia="黑体"/>
          <w:b w:val="0"/>
        </w:rPr>
        <w:t>二、机</w:t>
      </w:r>
      <w:r>
        <w:rPr>
          <w:rStyle w:val="32"/>
          <w:rFonts w:hint="eastAsia" w:ascii="Times New Roman" w:hAnsi="Times New Roman" w:eastAsia="黑体"/>
          <w:b w:val="0"/>
          <w:bCs w:val="0"/>
        </w:rPr>
        <w:t>构设置</w:t>
      </w:r>
      <w:bookmarkEnd w:id="16"/>
      <w:bookmarkEnd w:id="17"/>
      <w:bookmarkEnd w:id="18"/>
    </w:p>
    <w:p>
      <w:pPr>
        <w:pStyle w:val="2"/>
        <w:ind w:firstLine="640" w:firstLineChars="200"/>
        <w:rPr>
          <w:rFonts w:hint="eastAsia" w:eastAsia="仿宋_GB2312" w:cs="仿宋_GB2312"/>
          <w:sz w:val="32"/>
          <w:szCs w:val="32"/>
          <w:highlight w:val="yellow"/>
          <w:lang w:eastAsia="zh-CN"/>
        </w:rPr>
      </w:pPr>
      <w:bookmarkStart w:id="104" w:name="_GoBack"/>
      <w:bookmarkEnd w:id="104"/>
      <w:r>
        <w:rPr>
          <w:rFonts w:hint="eastAsia" w:ascii="仿宋_GB2312" w:hAnsi="仿宋_GB2312" w:eastAsia="仿宋_GB2312" w:cs="仿宋_GB2312"/>
          <w:sz w:val="32"/>
          <w:szCs w:val="32"/>
        </w:rPr>
        <w:t>四川工程职业技术大学设置44个内设机构，其中职能机构16个，教学单位14个，党群机构14个。</w:t>
      </w:r>
    </w:p>
    <w:p>
      <w:pPr>
        <w:pStyle w:val="2"/>
        <w:rPr>
          <w:rFonts w:hint="eastAsia" w:eastAsia="仿宋_GB2312" w:cs="仿宋_GB2312"/>
          <w:sz w:val="32"/>
          <w:szCs w:val="32"/>
          <w:highlight w:val="yellow"/>
        </w:rPr>
      </w:pPr>
    </w:p>
    <w:p>
      <w:pPr>
        <w:pStyle w:val="2"/>
        <w:rPr>
          <w:rFonts w:hint="eastAsia" w:eastAsia="仿宋_GB2312" w:cs="仿宋_GB2312"/>
          <w:sz w:val="32"/>
          <w:szCs w:val="32"/>
          <w:highlight w:val="yellow"/>
        </w:rPr>
      </w:pPr>
    </w:p>
    <w:p>
      <w:pPr>
        <w:pStyle w:val="2"/>
        <w:rPr>
          <w:rFonts w:hint="eastAsia" w:eastAsia="仿宋_GB2312" w:cs="仿宋_GB2312"/>
          <w:sz w:val="32"/>
          <w:szCs w:val="32"/>
          <w:highlight w:val="yellow"/>
        </w:rPr>
      </w:pPr>
    </w:p>
    <w:p>
      <w:pPr>
        <w:pStyle w:val="2"/>
        <w:rPr>
          <w:rFonts w:hint="eastAsia" w:eastAsia="仿宋_GB2312" w:cs="仿宋_GB2312"/>
          <w:sz w:val="32"/>
          <w:szCs w:val="32"/>
          <w:highlight w:val="yellow"/>
        </w:rPr>
      </w:pPr>
    </w:p>
    <w:p>
      <w:pPr>
        <w:pStyle w:val="2"/>
        <w:rPr>
          <w:rFonts w:hint="eastAsia" w:eastAsia="仿宋_GB2312" w:cs="仿宋_GB2312"/>
          <w:sz w:val="32"/>
          <w:szCs w:val="32"/>
          <w:highlight w:val="yellow"/>
        </w:rPr>
      </w:pPr>
    </w:p>
    <w:p>
      <w:pPr>
        <w:pStyle w:val="2"/>
        <w:rPr>
          <w:rFonts w:hint="eastAsia" w:eastAsia="仿宋_GB2312" w:cs="仿宋_GB2312"/>
          <w:sz w:val="32"/>
          <w:szCs w:val="32"/>
          <w:highlight w:val="yellow"/>
        </w:rPr>
      </w:pPr>
    </w:p>
    <w:p>
      <w:pPr>
        <w:pStyle w:val="3"/>
        <w:jc w:val="center"/>
        <w:rPr>
          <w:rFonts w:hint="eastAsia" w:eastAsia="方正小标宋简体" w:cs="方正小标宋简体"/>
          <w:b w:val="0"/>
        </w:rPr>
      </w:pPr>
      <w:bookmarkStart w:id="19" w:name="_Toc1314"/>
      <w:bookmarkStart w:id="20" w:name="_Toc15396602"/>
      <w:bookmarkStart w:id="21" w:name="_Toc15377204"/>
      <w:r>
        <w:rPr>
          <w:rFonts w:hint="eastAsia" w:eastAsia="方正小标宋简体" w:cs="方正小标宋简体"/>
          <w:b w:val="0"/>
        </w:rPr>
        <w:t>第二部分  2024年度单位决算情况说明</w:t>
      </w:r>
      <w:bookmarkEnd w:id="19"/>
      <w:bookmarkEnd w:id="20"/>
      <w:bookmarkEnd w:id="21"/>
    </w:p>
    <w:p/>
    <w:p>
      <w:pPr>
        <w:pStyle w:val="30"/>
        <w:spacing w:line="600" w:lineRule="exact"/>
        <w:ind w:firstLine="640"/>
        <w:outlineLvl w:val="1"/>
        <w:rPr>
          <w:rStyle w:val="32"/>
          <w:rFonts w:ascii="Times New Roman" w:hAnsi="Times New Roman" w:eastAsia="黑体"/>
          <w:b w:val="0"/>
        </w:rPr>
      </w:pPr>
      <w:bookmarkStart w:id="22" w:name="_Toc32745"/>
      <w:bookmarkStart w:id="23" w:name="_Toc15396603"/>
      <w:bookmarkStart w:id="24" w:name="_Toc15377205"/>
      <w:r>
        <w:rPr>
          <w:rFonts w:hint="eastAsia" w:eastAsia="黑体"/>
          <w:sz w:val="32"/>
          <w:szCs w:val="32"/>
        </w:rPr>
        <w:t>一、收</w:t>
      </w:r>
      <w:r>
        <w:rPr>
          <w:rStyle w:val="32"/>
          <w:rFonts w:hint="eastAsia" w:ascii="Times New Roman" w:hAnsi="Times New Roman" w:eastAsia="黑体"/>
          <w:b w:val="0"/>
        </w:rPr>
        <w:t>入支出决算总体情况说明</w:t>
      </w:r>
      <w:bookmarkEnd w:id="22"/>
      <w:bookmarkEnd w:id="23"/>
      <w:bookmarkEnd w:id="24"/>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2024年度收入、支出总计均为61033.95万元。与2023年度相比，收入、支出总计各增加4346.68万元，增长7.</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%。主要变动原因是2024年学校升级为职业本科，学校多渠道筹措资金，加大办学投入，增加7000万元其他收入用提升学校的办学水平和条件。</w:t>
      </w:r>
    </w:p>
    <w:p>
      <w:pPr>
        <w:jc w:val="center"/>
        <w:rPr>
          <w:rFonts w:eastAsia="仿宋_GB2312" w:cs="仿宋_GB2312"/>
          <w:sz w:val="32"/>
          <w:szCs w:val="32"/>
        </w:rPr>
      </w:pPr>
      <w:r>
        <w:rPr>
          <w:rFonts w:hint="eastAsia" w:eastAsia="仿宋_GB2312" w:cs="仿宋_GB2312"/>
          <w:sz w:val="32"/>
          <w:szCs w:val="32"/>
        </w:rPr>
        <w:drawing>
          <wp:inline distT="0" distB="0" distL="114300" distR="114300">
            <wp:extent cx="2834640" cy="1849755"/>
            <wp:effectExtent l="0" t="0" r="3810" b="17145"/>
            <wp:docPr id="4" name="图片 4" descr="57d861e1-76b7-44e6-82be-fa9852eed4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7d861e1-76b7-44e6-82be-fa9852eed4ea"/>
                    <pic:cNvPicPr>
                      <a:picLocks noChangeAspect="1"/>
                    </pic:cNvPicPr>
                  </pic:nvPicPr>
                  <pic:blipFill>
                    <a:blip r:embed="rId10"/>
                    <a:stretch>
                      <a:fillRect/>
                    </a:stretch>
                  </pic:blipFill>
                  <pic:spPr>
                    <a:xfrm>
                      <a:off x="0" y="0"/>
                      <a:ext cx="2834640" cy="1849755"/>
                    </a:xfrm>
                    <a:prstGeom prst="rect">
                      <a:avLst/>
                    </a:prstGeom>
                  </pic:spPr>
                </pic:pic>
              </a:graphicData>
            </a:graphic>
          </wp:inline>
        </w:drawing>
      </w:r>
    </w:p>
    <w:p>
      <w:pPr>
        <w:pStyle w:val="30"/>
        <w:spacing w:line="600" w:lineRule="exact"/>
        <w:ind w:firstLine="640"/>
        <w:outlineLvl w:val="1"/>
        <w:rPr>
          <w:rFonts w:eastAsia="黑体"/>
          <w:sz w:val="32"/>
          <w:szCs w:val="32"/>
        </w:rPr>
      </w:pPr>
      <w:bookmarkStart w:id="25" w:name="_Toc13870"/>
      <w:bookmarkStart w:id="26" w:name="_Toc15377206"/>
      <w:bookmarkStart w:id="27" w:name="_Toc15396604"/>
      <w:r>
        <w:rPr>
          <w:rFonts w:hint="eastAsia" w:eastAsia="黑体"/>
          <w:sz w:val="32"/>
          <w:szCs w:val="32"/>
        </w:rPr>
        <w:t>二、收入决算情况说明</w:t>
      </w:r>
      <w:bookmarkEnd w:id="25"/>
      <w:bookmarkEnd w:id="26"/>
      <w:bookmarkEnd w:id="27"/>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2024年度本年收入合计60942.63万元，其中：一般公共预算财政拨款收入29230.07万元，占4</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%；事业收入9281.92万元，占15.2%；其他收入22430.63万元，占36.8%。</w:t>
      </w:r>
    </w:p>
    <w:p>
      <w:pPr>
        <w:pStyle w:val="20"/>
        <w:ind w:firstLine="420"/>
        <w:jc w:val="center"/>
      </w:pPr>
      <w:r>
        <w:rPr>
          <w:rFonts w:hint="eastAsia"/>
        </w:rPr>
        <w:drawing>
          <wp:inline distT="0" distB="0" distL="114300" distR="114300">
            <wp:extent cx="2892425" cy="1721485"/>
            <wp:effectExtent l="0" t="0" r="3175" b="12065"/>
            <wp:docPr id="5" name="图片 5" descr="7cf897c1-1a28-4190-a4ba-5ca612fb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7cf897c1-1a28-4190-a4ba-5ca612fb3927"/>
                    <pic:cNvPicPr>
                      <a:picLocks noChangeAspect="1"/>
                    </pic:cNvPicPr>
                  </pic:nvPicPr>
                  <pic:blipFill>
                    <a:blip r:embed="rId11"/>
                    <a:stretch>
                      <a:fillRect/>
                    </a:stretch>
                  </pic:blipFill>
                  <pic:spPr>
                    <a:xfrm>
                      <a:off x="0" y="0"/>
                      <a:ext cx="2892425" cy="1721485"/>
                    </a:xfrm>
                    <a:prstGeom prst="rect">
                      <a:avLst/>
                    </a:prstGeom>
                  </pic:spPr>
                </pic:pic>
              </a:graphicData>
            </a:graphic>
          </wp:inline>
        </w:drawing>
      </w:r>
    </w:p>
    <w:p>
      <w:pPr>
        <w:pStyle w:val="30"/>
        <w:spacing w:line="600" w:lineRule="exact"/>
        <w:ind w:firstLine="640"/>
        <w:outlineLvl w:val="1"/>
        <w:rPr>
          <w:rStyle w:val="32"/>
          <w:rFonts w:ascii="Times New Roman" w:hAnsi="Times New Roman" w:eastAsia="黑体"/>
          <w:b w:val="0"/>
        </w:rPr>
      </w:pPr>
      <w:bookmarkStart w:id="28" w:name="_Toc15377207"/>
      <w:bookmarkStart w:id="29" w:name="_Toc13955"/>
      <w:bookmarkStart w:id="30" w:name="_Toc15396605"/>
      <w:r>
        <w:rPr>
          <w:rFonts w:hint="eastAsia" w:eastAsia="黑体"/>
          <w:sz w:val="32"/>
          <w:szCs w:val="32"/>
        </w:rPr>
        <w:t>三、支</w:t>
      </w:r>
      <w:r>
        <w:rPr>
          <w:rStyle w:val="32"/>
          <w:rFonts w:hint="eastAsia" w:ascii="Times New Roman" w:hAnsi="Times New Roman" w:eastAsia="黑体"/>
          <w:b w:val="0"/>
        </w:rPr>
        <w:t>出决算情况说明</w:t>
      </w:r>
      <w:bookmarkEnd w:id="28"/>
      <w:bookmarkEnd w:id="29"/>
      <w:bookmarkEnd w:id="30"/>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2024年度本年支出合计59017.67万元，其中：基本支出30104.37万元，占51%；项目支出28913.31万元，占4</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w:t>
      </w:r>
    </w:p>
    <w:p>
      <w:pPr>
        <w:ind w:firstLine="800" w:firstLineChars="250"/>
        <w:jc w:val="center"/>
        <w:rPr>
          <w:rFonts w:eastAsia="仿宋_GB2312" w:cs="仿宋_GB2312"/>
          <w:sz w:val="32"/>
          <w:szCs w:val="32"/>
        </w:rPr>
      </w:pPr>
      <w:r>
        <w:rPr>
          <w:rFonts w:hint="eastAsia" w:eastAsia="仿宋_GB2312" w:cs="仿宋_GB2312"/>
          <w:sz w:val="32"/>
          <w:szCs w:val="32"/>
        </w:rPr>
        <w:drawing>
          <wp:inline distT="0" distB="0" distL="114300" distR="114300">
            <wp:extent cx="3241040" cy="2071370"/>
            <wp:effectExtent l="0" t="0" r="16510" b="5080"/>
            <wp:docPr id="6" name="图片 6" descr="4b91a2d4-31fe-4198-88e9-21b689906d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4b91a2d4-31fe-4198-88e9-21b689906d21"/>
                    <pic:cNvPicPr>
                      <a:picLocks noChangeAspect="1"/>
                    </pic:cNvPicPr>
                  </pic:nvPicPr>
                  <pic:blipFill>
                    <a:blip r:embed="rId12"/>
                    <a:stretch>
                      <a:fillRect/>
                    </a:stretch>
                  </pic:blipFill>
                  <pic:spPr>
                    <a:xfrm>
                      <a:off x="0" y="0"/>
                      <a:ext cx="3241040" cy="2071370"/>
                    </a:xfrm>
                    <a:prstGeom prst="rect">
                      <a:avLst/>
                    </a:prstGeom>
                  </pic:spPr>
                </pic:pic>
              </a:graphicData>
            </a:graphic>
          </wp:inline>
        </w:drawing>
      </w:r>
    </w:p>
    <w:p>
      <w:pPr>
        <w:spacing w:line="600" w:lineRule="exact"/>
        <w:ind w:firstLine="640" w:firstLineChars="200"/>
        <w:outlineLvl w:val="1"/>
        <w:rPr>
          <w:rFonts w:hint="eastAsia" w:eastAsia="黑体"/>
          <w:sz w:val="32"/>
          <w:szCs w:val="32"/>
        </w:rPr>
      </w:pPr>
      <w:bookmarkStart w:id="31" w:name="_Toc18246"/>
      <w:bookmarkStart w:id="32" w:name="_Toc15396606"/>
      <w:bookmarkStart w:id="33" w:name="_Toc15377208"/>
    </w:p>
    <w:p>
      <w:pPr>
        <w:spacing w:line="600" w:lineRule="exact"/>
        <w:ind w:firstLine="640" w:firstLineChars="200"/>
        <w:outlineLvl w:val="1"/>
        <w:rPr>
          <w:rStyle w:val="32"/>
          <w:rFonts w:ascii="Times New Roman" w:hAnsi="Times New Roman" w:eastAsia="黑体"/>
          <w:b w:val="0"/>
        </w:rPr>
      </w:pPr>
      <w:r>
        <w:rPr>
          <w:rFonts w:hint="eastAsia" w:eastAsia="黑体"/>
          <w:sz w:val="32"/>
          <w:szCs w:val="32"/>
        </w:rPr>
        <w:t>四、财</w:t>
      </w:r>
      <w:r>
        <w:rPr>
          <w:rStyle w:val="32"/>
          <w:rFonts w:hint="eastAsia" w:ascii="Times New Roman" w:hAnsi="Times New Roman" w:eastAsia="黑体"/>
          <w:b w:val="0"/>
        </w:rPr>
        <w:t>政拨款收入支出决算总体情况说明</w:t>
      </w:r>
      <w:bookmarkEnd w:id="31"/>
      <w:bookmarkEnd w:id="32"/>
      <w:bookmarkEnd w:id="33"/>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2024年度财政拨款收入、支出总计均为29230.07万元。与2023年度相比，财政拨款收入总计、支出总计各减少2697.63万元，下降8.</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%。主要变动原因是我校2023年有中央支持基建项目（数字经济大楼）专项项目资金。</w:t>
      </w:r>
    </w:p>
    <w:p>
      <w:pPr>
        <w:jc w:val="center"/>
        <w:rPr>
          <w:rFonts w:eastAsia="仿宋_GB2312" w:cs="仿宋_GB2312"/>
          <w:sz w:val="32"/>
          <w:szCs w:val="32"/>
        </w:rPr>
      </w:pPr>
      <w:r>
        <w:rPr>
          <w:rFonts w:hint="eastAsia"/>
        </w:rPr>
        <w:drawing>
          <wp:inline distT="0" distB="0" distL="114300" distR="114300">
            <wp:extent cx="3227705" cy="1932940"/>
            <wp:effectExtent l="0" t="0" r="10795" b="10160"/>
            <wp:docPr id="8" name="图片 8" descr="f79e6ebd-2df2-4e55-886e-fe7621dc29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79e6ebd-2df2-4e55-886e-fe7621dc29f3"/>
                    <pic:cNvPicPr>
                      <a:picLocks noChangeAspect="1"/>
                    </pic:cNvPicPr>
                  </pic:nvPicPr>
                  <pic:blipFill>
                    <a:blip r:embed="rId13"/>
                    <a:stretch>
                      <a:fillRect/>
                    </a:stretch>
                  </pic:blipFill>
                  <pic:spPr>
                    <a:xfrm>
                      <a:off x="0" y="0"/>
                      <a:ext cx="3227705" cy="1932940"/>
                    </a:xfrm>
                    <a:prstGeom prst="rect">
                      <a:avLst/>
                    </a:prstGeom>
                  </pic:spPr>
                </pic:pic>
              </a:graphicData>
            </a:graphic>
          </wp:inline>
        </w:drawing>
      </w:r>
    </w:p>
    <w:p>
      <w:pPr>
        <w:spacing w:line="600" w:lineRule="exact"/>
        <w:ind w:firstLine="640" w:firstLineChars="200"/>
        <w:outlineLvl w:val="1"/>
        <w:rPr>
          <w:rFonts w:hint="eastAsia" w:eastAsia="黑体"/>
          <w:sz w:val="32"/>
          <w:szCs w:val="32"/>
        </w:rPr>
      </w:pPr>
      <w:bookmarkStart w:id="34" w:name="_Toc15377209"/>
      <w:bookmarkStart w:id="35" w:name="_Toc15396607"/>
      <w:bookmarkStart w:id="36" w:name="_Toc11817"/>
    </w:p>
    <w:p>
      <w:pPr>
        <w:spacing w:line="600" w:lineRule="exact"/>
        <w:ind w:firstLine="640" w:firstLineChars="200"/>
        <w:outlineLvl w:val="1"/>
        <w:rPr>
          <w:rStyle w:val="32"/>
          <w:rFonts w:ascii="Times New Roman" w:hAnsi="Times New Roman" w:eastAsia="黑体"/>
          <w:b w:val="0"/>
        </w:rPr>
      </w:pPr>
      <w:r>
        <w:rPr>
          <w:rFonts w:hint="eastAsia" w:eastAsia="黑体"/>
          <w:sz w:val="32"/>
          <w:szCs w:val="32"/>
        </w:rPr>
        <w:t>五、</w:t>
      </w:r>
      <w:r>
        <w:rPr>
          <w:rFonts w:hint="eastAsia" w:eastAsia="黑体"/>
          <w:b/>
          <w:sz w:val="32"/>
          <w:szCs w:val="32"/>
        </w:rPr>
        <w:t>一</w:t>
      </w:r>
      <w:r>
        <w:rPr>
          <w:rStyle w:val="32"/>
          <w:rFonts w:hint="eastAsia" w:ascii="Times New Roman" w:hAnsi="Times New Roman" w:eastAsia="黑体"/>
          <w:b w:val="0"/>
        </w:rPr>
        <w:t>般公共预算财政拨款支出决算情况说明</w:t>
      </w:r>
      <w:bookmarkEnd w:id="34"/>
      <w:bookmarkEnd w:id="35"/>
      <w:bookmarkEnd w:id="36"/>
    </w:p>
    <w:p>
      <w:pPr>
        <w:spacing w:line="600" w:lineRule="exact"/>
        <w:ind w:firstLine="643" w:firstLineChars="200"/>
        <w:outlineLvl w:val="2"/>
        <w:rPr>
          <w:rFonts w:eastAsia="楷体_GB2312" w:cs="楷体_GB2312"/>
          <w:b/>
          <w:sz w:val="32"/>
          <w:szCs w:val="32"/>
        </w:rPr>
      </w:pPr>
      <w:bookmarkStart w:id="37" w:name="_Toc15377210"/>
      <w:r>
        <w:rPr>
          <w:rFonts w:hint="eastAsia" w:eastAsia="楷体_GB2312" w:cs="楷体_GB2312"/>
          <w:b/>
          <w:sz w:val="32"/>
          <w:szCs w:val="32"/>
        </w:rPr>
        <w:t>（一）一般公共预算财政拨款支出决算总体情况</w:t>
      </w:r>
      <w:bookmarkEnd w:id="37"/>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2024年度一般公共预算财政拨款支出27213.8万元，占本年支出合计的46.</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%。与2023年度相比，一般公共预算财政拨款支出减少4713.9万元，下降14.</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%。主要变动原因是我校2023年有中央支持基建项目（数字经济大楼）专项项目支出。</w:t>
      </w:r>
    </w:p>
    <w:p>
      <w:pPr>
        <w:jc w:val="center"/>
        <w:rPr>
          <w:rFonts w:eastAsia="仿宋_GB2312" w:cs="仿宋_GB2312"/>
          <w:sz w:val="32"/>
          <w:szCs w:val="32"/>
        </w:rPr>
      </w:pPr>
      <w:r>
        <w:rPr>
          <w:rFonts w:hint="eastAsia"/>
        </w:rPr>
        <w:drawing>
          <wp:inline distT="0" distB="0" distL="114300" distR="114300">
            <wp:extent cx="3552190" cy="1837690"/>
            <wp:effectExtent l="0" t="0" r="10160" b="10160"/>
            <wp:docPr id="9" name="图片 9" descr="de45c315-3944-4664-aea8-110fe16370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e45c315-3944-4664-aea8-110fe16370ff"/>
                    <pic:cNvPicPr>
                      <a:picLocks noChangeAspect="1"/>
                    </pic:cNvPicPr>
                  </pic:nvPicPr>
                  <pic:blipFill>
                    <a:blip r:embed="rId14"/>
                    <a:stretch>
                      <a:fillRect/>
                    </a:stretch>
                  </pic:blipFill>
                  <pic:spPr>
                    <a:xfrm>
                      <a:off x="0" y="0"/>
                      <a:ext cx="3552190" cy="1837690"/>
                    </a:xfrm>
                    <a:prstGeom prst="rect">
                      <a:avLst/>
                    </a:prstGeom>
                  </pic:spPr>
                </pic:pic>
              </a:graphicData>
            </a:graphic>
          </wp:inline>
        </w:drawing>
      </w:r>
    </w:p>
    <w:p>
      <w:pPr>
        <w:spacing w:line="600" w:lineRule="exact"/>
        <w:ind w:firstLine="643" w:firstLineChars="200"/>
        <w:outlineLvl w:val="2"/>
        <w:rPr>
          <w:rFonts w:eastAsia="楷体_GB2312" w:cs="楷体_GB2312"/>
          <w:b/>
          <w:sz w:val="32"/>
          <w:szCs w:val="32"/>
        </w:rPr>
      </w:pPr>
      <w:bookmarkStart w:id="38" w:name="_Toc15377211"/>
      <w:r>
        <w:rPr>
          <w:rFonts w:hint="eastAsia" w:eastAsia="楷体_GB2312" w:cs="楷体_GB2312"/>
          <w:b/>
          <w:sz w:val="32"/>
          <w:szCs w:val="32"/>
        </w:rPr>
        <w:t>（二）一般公共预算财政拨款支出决算结构情况</w:t>
      </w:r>
      <w:bookmarkEnd w:id="38"/>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2024年度一般公共预算财政拨款支出27213.8万元，主要用于以下方面：一般公共服务支出23.27万元，占0.</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%；教育支出27049.38万元，占99.4%；科学技术支出21.14万元，占0.</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%；农林水支出120万元，占0.</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p>
    <w:p>
      <w:pPr>
        <w:pStyle w:val="20"/>
        <w:ind w:firstLine="0" w:firstLineChars="0"/>
        <w:jc w:val="center"/>
        <w:rPr>
          <w:rFonts w:eastAsia="仿宋_GB2312" w:cs="仿宋_GB2312"/>
          <w:sz w:val="32"/>
          <w:szCs w:val="32"/>
        </w:rPr>
      </w:pPr>
      <w:r>
        <w:rPr>
          <w:rFonts w:hint="eastAsia"/>
        </w:rPr>
        <w:drawing>
          <wp:inline distT="0" distB="0" distL="114300" distR="114300">
            <wp:extent cx="2526665" cy="1715135"/>
            <wp:effectExtent l="0" t="0" r="6985" b="18415"/>
            <wp:docPr id="10" name="图片 10" descr="ab325641-79ad-4274-ae2c-7667edff97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ab325641-79ad-4274-ae2c-7667edff97ce"/>
                    <pic:cNvPicPr>
                      <a:picLocks noChangeAspect="1"/>
                    </pic:cNvPicPr>
                  </pic:nvPicPr>
                  <pic:blipFill>
                    <a:blip r:embed="rId15"/>
                    <a:stretch>
                      <a:fillRect/>
                    </a:stretch>
                  </pic:blipFill>
                  <pic:spPr>
                    <a:xfrm>
                      <a:off x="0" y="0"/>
                      <a:ext cx="2526665" cy="1715135"/>
                    </a:xfrm>
                    <a:prstGeom prst="rect">
                      <a:avLst/>
                    </a:prstGeom>
                  </pic:spPr>
                </pic:pic>
              </a:graphicData>
            </a:graphic>
          </wp:inline>
        </w:drawing>
      </w:r>
    </w:p>
    <w:p>
      <w:pPr>
        <w:spacing w:line="600" w:lineRule="exact"/>
        <w:ind w:firstLine="643" w:firstLineChars="200"/>
        <w:outlineLvl w:val="2"/>
        <w:rPr>
          <w:rFonts w:eastAsia="楷体_GB2312" w:cs="楷体_GB2312"/>
          <w:b/>
          <w:sz w:val="32"/>
          <w:szCs w:val="32"/>
        </w:rPr>
      </w:pPr>
      <w:bookmarkStart w:id="39" w:name="_Toc15377212"/>
      <w:r>
        <w:rPr>
          <w:rFonts w:hint="eastAsia" w:eastAsia="楷体_GB2312" w:cs="楷体_GB2312"/>
          <w:b/>
          <w:sz w:val="32"/>
          <w:szCs w:val="32"/>
        </w:rPr>
        <w:t>（三）一般公共预算财政拨款支出决算具体情况</w:t>
      </w:r>
      <w:bookmarkEnd w:id="39"/>
    </w:p>
    <w:p>
      <w:pPr>
        <w:ind w:firstLine="800" w:firstLineChars="250"/>
        <w:rPr>
          <w:rFonts w:hint="default" w:ascii="Times New Roman" w:hAnsi="Times New Roman" w:eastAsia="仿宋_GB2312" w:cs="Times New Roman"/>
          <w:sz w:val="32"/>
          <w:szCs w:val="32"/>
        </w:rPr>
      </w:pPr>
      <w:bookmarkStart w:id="40" w:name="_Toc15377213"/>
      <w:bookmarkStart w:id="41" w:name="_Toc15378460"/>
      <w:bookmarkStart w:id="42" w:name="_Toc15377444"/>
      <w:r>
        <w:rPr>
          <w:rFonts w:hint="default" w:ascii="Times New Roman" w:hAnsi="Times New Roman" w:eastAsia="仿宋_GB2312" w:cs="Times New Roman"/>
          <w:sz w:val="32"/>
          <w:szCs w:val="32"/>
        </w:rPr>
        <w:t>2024年度一般公共预算财政拨款支出决算数为27213.8，完成预算90.2%。其中：</w:t>
      </w:r>
      <w:bookmarkEnd w:id="40"/>
      <w:bookmarkEnd w:id="41"/>
      <w:bookmarkEnd w:id="42"/>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1.一般公共服务（类）组织事务（款）其他组织事务支出（项）：支出决算为23.27万元，完成预算29.</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%，决算数小于预算数的主要原因是校院企地协同创新人才引育专项项目位执行完毕，结转到2025年继续执行。</w:t>
      </w:r>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2.教育（类）职业教育（款）高等职业教育（项）: 支出决算为26601.42万元，完成预算90.1%，决算数小于预算数的主要原因是现代职业教育质量提升计划资金及第三批产教融合项目未执行完，结转到2025年继续执行；教育（类）其他教育支出（款）其他教育支出（项）: 支出决算为447.96万元，完成预算100%。</w:t>
      </w:r>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3.科学技术（类）科技重大项目（款）重点研发计划（项）：支出决算为16.14万元，完成预算88.</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决算数小于预算数的主要原因是航空发动机涡轮导向器结构设计及一体化增材制造未执行完，结转到2025年继续执行；科学技术（类）其他科学技术支出（款）其他科学技术支出（项）：支出决算为5万元，完成预算100%。</w:t>
      </w:r>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4.农林水支出（类）农业农村（款）其他农业农村支出（项）：支出决算为120万元，完成预算75%，决算数小于预算数的主要原因是轻量化低损广适割台研发攻关项目未执行完，结转到2025年继续执行。</w:t>
      </w:r>
    </w:p>
    <w:p>
      <w:pPr>
        <w:tabs>
          <w:tab w:val="right" w:pos="8306"/>
        </w:tabs>
        <w:spacing w:line="600" w:lineRule="exact"/>
        <w:ind w:firstLine="640"/>
        <w:outlineLvl w:val="1"/>
        <w:rPr>
          <w:rFonts w:hint="eastAsia" w:eastAsia="黑体"/>
          <w:sz w:val="32"/>
          <w:szCs w:val="32"/>
        </w:rPr>
      </w:pPr>
      <w:bookmarkStart w:id="43" w:name="_Toc15377214"/>
      <w:bookmarkStart w:id="44" w:name="_Toc682"/>
      <w:bookmarkStart w:id="45" w:name="_Toc15396608"/>
    </w:p>
    <w:p>
      <w:pPr>
        <w:tabs>
          <w:tab w:val="right" w:pos="8306"/>
        </w:tabs>
        <w:spacing w:line="600" w:lineRule="exact"/>
        <w:ind w:firstLine="640"/>
        <w:outlineLvl w:val="1"/>
        <w:rPr>
          <w:rStyle w:val="32"/>
          <w:rFonts w:ascii="Times New Roman" w:hAnsi="Times New Roman"/>
        </w:rPr>
      </w:pPr>
      <w:r>
        <w:rPr>
          <w:rFonts w:hint="eastAsia" w:eastAsia="黑体"/>
          <w:sz w:val="32"/>
          <w:szCs w:val="32"/>
        </w:rPr>
        <w:t>六</w:t>
      </w:r>
      <w:r>
        <w:rPr>
          <w:rFonts w:hint="eastAsia" w:eastAsia="黑体"/>
          <w:b/>
          <w:sz w:val="32"/>
          <w:szCs w:val="32"/>
        </w:rPr>
        <w:t>、一</w:t>
      </w:r>
      <w:r>
        <w:rPr>
          <w:rStyle w:val="32"/>
          <w:rFonts w:hint="eastAsia" w:ascii="Times New Roman" w:hAnsi="Times New Roman" w:eastAsia="黑体"/>
          <w:b w:val="0"/>
        </w:rPr>
        <w:t>般公共预算财政拨款基本支出决算情况说明</w:t>
      </w:r>
      <w:bookmarkEnd w:id="43"/>
      <w:bookmarkEnd w:id="44"/>
      <w:bookmarkEnd w:id="45"/>
      <w:r>
        <w:rPr>
          <w:rStyle w:val="32"/>
          <w:rFonts w:ascii="Times New Roman" w:hAnsi="Times New Roman" w:eastAsia="黑体"/>
          <w:b w:val="0"/>
        </w:rPr>
        <w:tab/>
      </w:r>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2024年度一般公共预算财政拨款基本支出17000万元，其中：</w:t>
      </w:r>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人员经费14445万元，主要包括：基本工资、绩效工资、机关事业单位基本养老保险缴费、职业年金缴费、职工基本医疗保险缴费、住房公积金、其他工资福利支出。</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　　公用经费2555万元，主要包括：水费、电费、物业管理费、差旅费、维修（护）费、劳务费、福利费。</w:t>
      </w:r>
    </w:p>
    <w:p>
      <w:pPr>
        <w:spacing w:line="600" w:lineRule="exact"/>
        <w:ind w:firstLine="640"/>
        <w:outlineLvl w:val="1"/>
        <w:rPr>
          <w:rFonts w:hint="eastAsia" w:eastAsia="黑体"/>
          <w:sz w:val="32"/>
          <w:szCs w:val="32"/>
        </w:rPr>
      </w:pPr>
      <w:bookmarkStart w:id="46" w:name="_Toc15396609"/>
      <w:bookmarkStart w:id="47" w:name="_Toc15377215"/>
      <w:bookmarkStart w:id="48" w:name="_Toc11168"/>
    </w:p>
    <w:p>
      <w:pPr>
        <w:spacing w:line="600" w:lineRule="exact"/>
        <w:ind w:firstLine="640"/>
        <w:outlineLvl w:val="1"/>
        <w:rPr>
          <w:rStyle w:val="32"/>
          <w:rFonts w:ascii="Times New Roman" w:hAnsi="Times New Roman" w:eastAsia="黑体"/>
          <w:b w:val="0"/>
        </w:rPr>
      </w:pPr>
      <w:r>
        <w:rPr>
          <w:rFonts w:hint="eastAsia" w:eastAsia="黑体"/>
          <w:sz w:val="32"/>
          <w:szCs w:val="32"/>
        </w:rPr>
        <w:t>七、</w:t>
      </w:r>
      <w:r>
        <w:rPr>
          <w:rStyle w:val="32"/>
          <w:rFonts w:hint="eastAsia" w:ascii="Times New Roman" w:hAnsi="Times New Roman" w:eastAsia="黑体"/>
          <w:b w:val="0"/>
        </w:rPr>
        <w:t>财政拨款</w:t>
      </w:r>
      <w:r>
        <w:rPr>
          <w:rStyle w:val="32"/>
          <w:rFonts w:hint="eastAsia" w:ascii="Times New Roman" w:hAnsi="Times New Roman" w:eastAsia="黑体"/>
        </w:rPr>
        <w:t>“</w:t>
      </w:r>
      <w:r>
        <w:rPr>
          <w:rStyle w:val="32"/>
          <w:rFonts w:hint="eastAsia" w:ascii="Times New Roman" w:hAnsi="Times New Roman" w:eastAsia="黑体"/>
          <w:b w:val="0"/>
        </w:rPr>
        <w:t>三公”经费支出决算情况说明</w:t>
      </w:r>
      <w:bookmarkEnd w:id="46"/>
      <w:bookmarkEnd w:id="47"/>
      <w:bookmarkEnd w:id="48"/>
    </w:p>
    <w:p>
      <w:pPr>
        <w:spacing w:line="600" w:lineRule="exact"/>
        <w:ind w:firstLine="643" w:firstLineChars="200"/>
        <w:outlineLvl w:val="2"/>
        <w:rPr>
          <w:rFonts w:eastAsia="楷体_GB2312" w:cs="楷体_GB2312"/>
          <w:b/>
          <w:sz w:val="32"/>
          <w:szCs w:val="32"/>
        </w:rPr>
      </w:pPr>
      <w:bookmarkStart w:id="49" w:name="_Toc15377216"/>
      <w:r>
        <w:rPr>
          <w:rFonts w:hint="eastAsia" w:eastAsia="楷体_GB2312" w:cs="楷体_GB2312"/>
          <w:b/>
          <w:sz w:val="32"/>
          <w:szCs w:val="32"/>
        </w:rPr>
        <w:t>（一）“三公”经费财政拨款支出决算总体情况说明</w:t>
      </w:r>
      <w:bookmarkEnd w:id="49"/>
    </w:p>
    <w:p>
      <w:pPr>
        <w:ind w:firstLine="800" w:firstLineChars="250"/>
      </w:pPr>
      <w:r>
        <w:rPr>
          <w:rFonts w:hint="default" w:ascii="Times New Roman" w:hAnsi="Times New Roman" w:eastAsia="仿宋_GB2312" w:cs="Times New Roman"/>
          <w:sz w:val="32"/>
          <w:szCs w:val="32"/>
        </w:rPr>
        <w:t>2024年度“三公”经费财政拨款支出决算为0万元，</w:t>
      </w:r>
      <w:r>
        <w:rPr>
          <w:rFonts w:hint="eastAsia" w:ascii="Times New Roman" w:hAnsi="Times New Roman" w:eastAsia="仿宋_GB2312" w:cs="Times New Roman"/>
          <w:sz w:val="32"/>
          <w:szCs w:val="32"/>
          <w:lang w:eastAsia="zh-CN"/>
        </w:rPr>
        <w:t>与</w:t>
      </w:r>
      <w:r>
        <w:rPr>
          <w:rFonts w:hint="eastAsia" w:ascii="Times New Roman" w:hAnsi="Times New Roman" w:eastAsia="仿宋_GB2312" w:cs="Times New Roman"/>
          <w:sz w:val="32"/>
          <w:szCs w:val="32"/>
          <w:lang w:val="en-US" w:eastAsia="zh-CN"/>
        </w:rPr>
        <w:t>2023年度决算数持平</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决算数</w:t>
      </w:r>
      <w:r>
        <w:rPr>
          <w:rFonts w:hint="default" w:ascii="Times New Roman" w:hAnsi="Times New Roman" w:eastAsia="仿宋_GB2312" w:cs="Times New Roman"/>
          <w:sz w:val="32"/>
          <w:szCs w:val="32"/>
        </w:rPr>
        <w:t>与预算数持平。</w:t>
      </w:r>
    </w:p>
    <w:p>
      <w:pPr>
        <w:spacing w:line="600" w:lineRule="exact"/>
        <w:ind w:firstLine="643" w:firstLineChars="200"/>
        <w:outlineLvl w:val="2"/>
        <w:rPr>
          <w:rFonts w:eastAsia="楷体_GB2312" w:cs="楷体_GB2312"/>
          <w:b/>
          <w:sz w:val="32"/>
          <w:szCs w:val="32"/>
        </w:rPr>
      </w:pPr>
      <w:bookmarkStart w:id="50" w:name="_Toc15377217"/>
      <w:r>
        <w:rPr>
          <w:rFonts w:hint="eastAsia" w:eastAsia="楷体_GB2312" w:cs="楷体_GB2312"/>
          <w:b/>
          <w:sz w:val="32"/>
          <w:szCs w:val="32"/>
        </w:rPr>
        <w:t>（二）“三公”经费财政拨款支出决算具体情况说明</w:t>
      </w:r>
      <w:bookmarkEnd w:id="50"/>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2024年度“三公”经费财政拨款支出决算中，因公出国（境）费支出决算0万元，占0%；公务用车购置及运行维护费支出决算0万元，占0%；公务接待费支出决算0万元，占0%。具体情况如下：</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因公出国（境）经费支出0万元。</w:t>
      </w:r>
      <w:r>
        <w:rPr>
          <w:rFonts w:hint="default" w:ascii="Times New Roman" w:hAnsi="Times New Roman" w:eastAsia="仿宋_GB2312" w:cs="Times New Roman"/>
          <w:sz w:val="32"/>
          <w:szCs w:val="32"/>
        </w:rPr>
        <w:t>全年安排因公出国（境）团组0次，出国（境）0人。因公出国（境）支出决算</w:t>
      </w:r>
      <w:r>
        <w:rPr>
          <w:rFonts w:hint="default" w:ascii="Times New Roman" w:hAnsi="Times New Roman" w:eastAsia="仿宋_GB2312" w:cs="Times New Roman"/>
          <w:sz w:val="32"/>
          <w:szCs w:val="32"/>
          <w:lang w:eastAsia="zh-CN"/>
        </w:rPr>
        <w:t>与</w:t>
      </w:r>
      <w:r>
        <w:rPr>
          <w:rFonts w:hint="default" w:ascii="Times New Roman" w:hAnsi="Times New Roman" w:eastAsia="仿宋_GB2312" w:cs="Times New Roman"/>
          <w:sz w:val="32"/>
          <w:szCs w:val="32"/>
          <w:lang w:val="en-US" w:eastAsia="zh-CN"/>
        </w:rPr>
        <w:t>2023年度决算数持平</w:t>
      </w:r>
      <w:r>
        <w:rPr>
          <w:rFonts w:hint="default" w:ascii="Times New Roman" w:hAnsi="Times New Roman" w:eastAsia="仿宋_GB2312" w:cs="Times New Roman"/>
          <w:sz w:val="32"/>
          <w:szCs w:val="32"/>
        </w:rPr>
        <w:t>。</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公务用车购置及运行维护费支出0万元。</w:t>
      </w:r>
      <w:r>
        <w:rPr>
          <w:rFonts w:hint="default" w:ascii="Times New Roman" w:hAnsi="Times New Roman" w:eastAsia="仿宋_GB2312" w:cs="Times New Roman"/>
          <w:sz w:val="32"/>
          <w:szCs w:val="32"/>
        </w:rPr>
        <w:t>公务用车购置及运行维护费支出决算</w:t>
      </w:r>
      <w:r>
        <w:rPr>
          <w:rFonts w:hint="eastAsia" w:ascii="Times New Roman" w:hAnsi="Times New Roman" w:eastAsia="仿宋_GB2312" w:cs="Times New Roman"/>
          <w:sz w:val="32"/>
          <w:szCs w:val="32"/>
          <w:lang w:eastAsia="zh-CN"/>
        </w:rPr>
        <w:t>与</w:t>
      </w:r>
      <w:r>
        <w:rPr>
          <w:rFonts w:hint="eastAsia" w:ascii="Times New Roman" w:hAnsi="Times New Roman" w:eastAsia="仿宋_GB2312" w:cs="Times New Roman"/>
          <w:sz w:val="32"/>
          <w:szCs w:val="32"/>
          <w:lang w:val="en-US" w:eastAsia="zh-CN"/>
        </w:rPr>
        <w:t>2023年度决算数持平</w:t>
      </w:r>
      <w:r>
        <w:rPr>
          <w:rFonts w:hint="default" w:ascii="Times New Roman" w:hAnsi="Times New Roman" w:eastAsia="仿宋_GB2312" w:cs="Times New Roman"/>
          <w:sz w:val="32"/>
          <w:szCs w:val="32"/>
        </w:rPr>
        <w:t>。</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中：公务用车购置支出0万元。全年按规定更新购置公务用车0辆，其中：轿车0辆、金额0万元，越野车0辆、金额0万元，载客汽车0辆、金额0万元。截至2024年12月31日，单位共有公务用车8辆，其中：轿车4辆、越野车3辆、载客汽车1辆。</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公务用车运行维护费支出0万元。</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公务接待费支出0万元。</w:t>
      </w:r>
      <w:r>
        <w:rPr>
          <w:rFonts w:hint="default" w:ascii="Times New Roman" w:hAnsi="Times New Roman" w:eastAsia="仿宋_GB2312" w:cs="Times New Roman"/>
          <w:sz w:val="32"/>
          <w:szCs w:val="32"/>
        </w:rPr>
        <w:t>公务接待费支出决算</w:t>
      </w:r>
      <w:r>
        <w:rPr>
          <w:rFonts w:hint="eastAsia" w:ascii="Times New Roman" w:hAnsi="Times New Roman" w:eastAsia="仿宋_GB2312" w:cs="Times New Roman"/>
          <w:sz w:val="32"/>
          <w:szCs w:val="32"/>
          <w:lang w:eastAsia="zh-CN"/>
        </w:rPr>
        <w:t>与</w:t>
      </w:r>
      <w:r>
        <w:rPr>
          <w:rFonts w:hint="eastAsia" w:ascii="Times New Roman" w:hAnsi="Times New Roman" w:eastAsia="仿宋_GB2312" w:cs="Times New Roman"/>
          <w:sz w:val="32"/>
          <w:szCs w:val="32"/>
          <w:lang w:val="en-US" w:eastAsia="zh-CN"/>
        </w:rPr>
        <w:t>2023年度决算数持平</w:t>
      </w:r>
      <w:r>
        <w:rPr>
          <w:rFonts w:hint="default" w:ascii="Times New Roman" w:hAnsi="Times New Roman" w:eastAsia="仿宋_GB2312" w:cs="Times New Roman"/>
          <w:sz w:val="32"/>
          <w:szCs w:val="32"/>
        </w:rPr>
        <w:t>。其中：</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国内公务接待支出0万元。</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外事接待支出0万元。</w:t>
      </w:r>
    </w:p>
    <w:p>
      <w:pPr>
        <w:spacing w:line="600" w:lineRule="exact"/>
        <w:ind w:firstLine="640"/>
        <w:rPr>
          <w:rFonts w:eastAsia="仿宋_GB2312" w:cs="仿宋_GB2312"/>
          <w:sz w:val="32"/>
          <w:szCs w:val="32"/>
        </w:rPr>
      </w:pPr>
      <w:bookmarkStart w:id="51" w:name="_Toc15377218"/>
      <w:bookmarkStart w:id="52" w:name="_Toc15396610"/>
    </w:p>
    <w:p>
      <w:pPr>
        <w:spacing w:line="600" w:lineRule="exact"/>
        <w:ind w:firstLine="640"/>
        <w:outlineLvl w:val="1"/>
        <w:rPr>
          <w:rStyle w:val="32"/>
          <w:rFonts w:ascii="Times New Roman" w:hAnsi="Times New Roman" w:eastAsia="黑体"/>
        </w:rPr>
      </w:pPr>
      <w:bookmarkStart w:id="53" w:name="_Toc14210"/>
      <w:r>
        <w:rPr>
          <w:rFonts w:hint="eastAsia" w:eastAsia="黑体"/>
          <w:sz w:val="32"/>
          <w:szCs w:val="32"/>
        </w:rPr>
        <w:t>八、</w:t>
      </w:r>
      <w:r>
        <w:rPr>
          <w:rStyle w:val="32"/>
          <w:rFonts w:hint="eastAsia" w:ascii="Times New Roman" w:hAnsi="Times New Roman" w:eastAsia="黑体"/>
          <w:b w:val="0"/>
        </w:rPr>
        <w:t>政府性基金预算支出决算情况说明</w:t>
      </w:r>
      <w:bookmarkEnd w:id="51"/>
      <w:bookmarkEnd w:id="52"/>
      <w:bookmarkEnd w:id="53"/>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2024年度政府性基金预算财政拨款支出0万元，占本年支出合计的0%。</w:t>
      </w:r>
      <w:r>
        <w:rPr>
          <w:rFonts w:hint="eastAsia" w:ascii="Times New Roman" w:hAnsi="Times New Roman" w:eastAsia="仿宋_GB2312" w:cs="Times New Roman"/>
          <w:sz w:val="32"/>
          <w:szCs w:val="32"/>
          <w:lang w:eastAsia="zh-CN"/>
        </w:rPr>
        <w:t>与</w:t>
      </w:r>
      <w:r>
        <w:rPr>
          <w:rFonts w:hint="eastAsia" w:ascii="Times New Roman" w:hAnsi="Times New Roman" w:eastAsia="仿宋_GB2312" w:cs="Times New Roman"/>
          <w:sz w:val="32"/>
          <w:szCs w:val="32"/>
          <w:lang w:val="en-US" w:eastAsia="zh-CN"/>
        </w:rPr>
        <w:t>2023年度决算数持平</w:t>
      </w:r>
      <w:r>
        <w:rPr>
          <w:rFonts w:hint="default" w:ascii="Times New Roman" w:hAnsi="Times New Roman" w:eastAsia="仿宋_GB2312" w:cs="Times New Roman"/>
          <w:sz w:val="32"/>
          <w:szCs w:val="32"/>
        </w:rPr>
        <w:t>。</w:t>
      </w:r>
    </w:p>
    <w:p>
      <w:pPr>
        <w:spacing w:line="600" w:lineRule="exact"/>
        <w:ind w:firstLine="640"/>
        <w:rPr>
          <w:rFonts w:eastAsia="仿宋_GB2312" w:cs="仿宋_GB2312"/>
          <w:sz w:val="32"/>
          <w:szCs w:val="32"/>
        </w:rPr>
      </w:pPr>
    </w:p>
    <w:p>
      <w:pPr>
        <w:spacing w:line="600" w:lineRule="exact"/>
        <w:ind w:left="630"/>
        <w:outlineLvl w:val="1"/>
        <w:rPr>
          <w:rStyle w:val="32"/>
          <w:rFonts w:ascii="Times New Roman" w:hAnsi="Times New Roman" w:eastAsia="黑体"/>
          <w:b w:val="0"/>
        </w:rPr>
      </w:pPr>
      <w:bookmarkStart w:id="54" w:name="_Toc15377219"/>
      <w:bookmarkStart w:id="55" w:name="_Toc20730"/>
      <w:bookmarkStart w:id="56" w:name="_Toc15396611"/>
      <w:r>
        <w:rPr>
          <w:rStyle w:val="32"/>
          <w:rFonts w:hint="eastAsia" w:ascii="Times New Roman" w:hAnsi="Times New Roman" w:eastAsia="黑体"/>
          <w:b w:val="0"/>
        </w:rPr>
        <w:t>九、国有资本经营预算支出决算情况说明</w:t>
      </w:r>
      <w:bookmarkEnd w:id="54"/>
      <w:bookmarkEnd w:id="55"/>
      <w:bookmarkEnd w:id="56"/>
    </w:p>
    <w:p>
      <w:pPr>
        <w:spacing w:line="600" w:lineRule="exact"/>
        <w:ind w:firstLine="64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2024年度国有资本经营预算财政拨款支出0万元，占本年支出合计的0%</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与</w:t>
      </w:r>
      <w:r>
        <w:rPr>
          <w:rFonts w:hint="eastAsia" w:ascii="Times New Roman" w:hAnsi="Times New Roman" w:eastAsia="仿宋_GB2312" w:cs="Times New Roman"/>
          <w:sz w:val="32"/>
          <w:szCs w:val="32"/>
          <w:lang w:val="en-US" w:eastAsia="zh-CN"/>
        </w:rPr>
        <w:t>2023年度决算数持平</w:t>
      </w:r>
      <w:r>
        <w:rPr>
          <w:rFonts w:hint="eastAsia" w:ascii="仿宋_GB2312" w:hAnsi="仿宋_GB2312" w:eastAsia="仿宋_GB2312" w:cs="仿宋_GB2312"/>
          <w:sz w:val="32"/>
          <w:szCs w:val="32"/>
        </w:rPr>
        <w:t>。</w:t>
      </w:r>
    </w:p>
    <w:p>
      <w:pPr>
        <w:pStyle w:val="2"/>
      </w:pPr>
    </w:p>
    <w:p>
      <w:pPr>
        <w:spacing w:line="600" w:lineRule="exact"/>
        <w:ind w:left="630"/>
        <w:outlineLvl w:val="1"/>
        <w:rPr>
          <w:rStyle w:val="32"/>
          <w:rFonts w:ascii="Times New Roman" w:hAnsi="Times New Roman" w:eastAsia="黑体"/>
          <w:b w:val="0"/>
        </w:rPr>
      </w:pPr>
      <w:bookmarkStart w:id="57" w:name="_Toc6374"/>
      <w:bookmarkStart w:id="58" w:name="_Toc15396612"/>
      <w:bookmarkStart w:id="59" w:name="_Toc15377221"/>
      <w:r>
        <w:rPr>
          <w:rStyle w:val="32"/>
          <w:rFonts w:hint="eastAsia" w:ascii="Times New Roman" w:hAnsi="Times New Roman" w:eastAsia="黑体"/>
          <w:b w:val="0"/>
        </w:rPr>
        <w:t>十、其他重要事项的情况说明</w:t>
      </w:r>
      <w:bookmarkEnd w:id="57"/>
      <w:bookmarkEnd w:id="58"/>
      <w:bookmarkEnd w:id="59"/>
    </w:p>
    <w:p>
      <w:pPr>
        <w:spacing w:line="600" w:lineRule="exact"/>
        <w:ind w:firstLine="643" w:firstLineChars="200"/>
        <w:outlineLvl w:val="2"/>
        <w:rPr>
          <w:rFonts w:eastAsia="楷体_GB2312" w:cs="楷体_GB2312"/>
          <w:b/>
          <w:sz w:val="32"/>
          <w:szCs w:val="32"/>
        </w:rPr>
      </w:pPr>
      <w:bookmarkStart w:id="60" w:name="_Toc15377222"/>
      <w:r>
        <w:rPr>
          <w:rFonts w:hint="eastAsia" w:eastAsia="楷体_GB2312" w:cs="楷体_GB2312"/>
          <w:b/>
          <w:sz w:val="32"/>
          <w:szCs w:val="32"/>
        </w:rPr>
        <w:t>（一）机关运行经费支出情况</w:t>
      </w:r>
      <w:bookmarkEnd w:id="60"/>
    </w:p>
    <w:p>
      <w:pPr>
        <w:spacing w:line="600" w:lineRule="exact"/>
        <w:ind w:firstLine="640"/>
        <w:rPr>
          <w:rFonts w:eastAsia="仿宋_GB2312" w:cs="仿宋_GB2312"/>
          <w:sz w:val="32"/>
          <w:szCs w:val="32"/>
        </w:rPr>
      </w:pPr>
      <w:r>
        <w:rPr>
          <w:rFonts w:hint="default" w:ascii="Times New Roman" w:hAnsi="Times New Roman" w:eastAsia="仿宋_GB2312" w:cs="Times New Roman"/>
          <w:sz w:val="32"/>
          <w:szCs w:val="32"/>
        </w:rPr>
        <w:t>2024年度，四川工程职业技术大学机关运行经费支出0万元，与2023年度决算数持平。</w:t>
      </w:r>
    </w:p>
    <w:p>
      <w:pPr>
        <w:spacing w:line="600" w:lineRule="exact"/>
        <w:ind w:firstLine="643" w:firstLineChars="200"/>
        <w:outlineLvl w:val="2"/>
        <w:rPr>
          <w:rFonts w:eastAsia="楷体_GB2312" w:cs="楷体_GB2312"/>
          <w:b/>
          <w:sz w:val="32"/>
          <w:szCs w:val="32"/>
        </w:rPr>
      </w:pPr>
      <w:bookmarkStart w:id="61" w:name="_Toc15377223"/>
      <w:r>
        <w:rPr>
          <w:rFonts w:hint="eastAsia" w:eastAsia="楷体_GB2312" w:cs="楷体_GB2312"/>
          <w:b/>
          <w:sz w:val="32"/>
          <w:szCs w:val="32"/>
        </w:rPr>
        <w:t>（二）政府采购支出情况</w:t>
      </w:r>
      <w:bookmarkEnd w:id="61"/>
    </w:p>
    <w:p>
      <w:pPr>
        <w:spacing w:line="600" w:lineRule="exact"/>
        <w:ind w:firstLine="640"/>
        <w:rPr>
          <w:rFonts w:eastAsia="仿宋_GB2312" w:cs="仿宋_GB2312"/>
          <w:sz w:val="32"/>
          <w:szCs w:val="32"/>
        </w:rPr>
      </w:pPr>
      <w:r>
        <w:rPr>
          <w:rFonts w:hint="default" w:ascii="Times New Roman" w:hAnsi="Times New Roman" w:eastAsia="仿宋_GB2312" w:cs="Times New Roman"/>
          <w:sz w:val="32"/>
          <w:szCs w:val="32"/>
        </w:rPr>
        <w:t>2024年度，四川工程职业技术大学政府采购支出总额1594.39万元，其中：政府采购货物支出1467.06万元、政府采购工程支出0万元、政府采购服务支出127.34万元。主要用于数字经济大楼外线用电建设、数字经济大楼网络基础及安全平台建设、研发大楼报告厅中央空调采购等项目采购。授予中小企业合同金额1133.5万元，占政府采购支出总额的71.</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%，其中：授予小微企业合同金额803.7万元，占政府采购支出总额的50.4%。</w:t>
      </w:r>
    </w:p>
    <w:p>
      <w:pPr>
        <w:spacing w:line="600" w:lineRule="exact"/>
        <w:ind w:firstLine="643" w:firstLineChars="200"/>
        <w:outlineLvl w:val="2"/>
        <w:rPr>
          <w:rFonts w:eastAsia="楷体_GB2312" w:cs="楷体_GB2312"/>
          <w:b/>
          <w:sz w:val="32"/>
          <w:szCs w:val="32"/>
        </w:rPr>
      </w:pPr>
      <w:bookmarkStart w:id="62" w:name="_Toc15377224"/>
      <w:r>
        <w:rPr>
          <w:rFonts w:hint="eastAsia" w:eastAsia="楷体_GB2312" w:cs="楷体_GB2312"/>
          <w:b/>
          <w:sz w:val="32"/>
          <w:szCs w:val="32"/>
        </w:rPr>
        <w:t>（三）国有资产占有使用情况</w:t>
      </w:r>
      <w:bookmarkEnd w:id="62"/>
    </w:p>
    <w:p>
      <w:pPr>
        <w:spacing w:line="600" w:lineRule="exact"/>
        <w:ind w:firstLine="640"/>
        <w:rPr>
          <w:rFonts w:eastAsia="仿宋_GB2312" w:cs="仿宋_GB2312"/>
          <w:sz w:val="32"/>
          <w:szCs w:val="32"/>
        </w:rPr>
      </w:pPr>
      <w:r>
        <w:rPr>
          <w:rFonts w:hint="default" w:ascii="Times New Roman" w:hAnsi="Times New Roman" w:eastAsia="仿宋_GB2312" w:cs="Times New Roman"/>
          <w:sz w:val="32"/>
          <w:szCs w:val="32"/>
        </w:rPr>
        <w:t>截至2024年12月31日，四川工程职业技术大学共有车辆8辆，其中：主要负责人用车1辆、机要通信用车0辆、应急保障用车1辆、其他用车6辆，其他用车主要是用于招生、就业等工作。单价100万元（含）以上设备（不含车辆）33台（套）。</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根据预算绩效管理要求，四川工程职业技术大学在2024年度预算编制阶段，组织对0个项目开展了预算事前绩效评估，对17个项目编制了绩效目标，预算执行过程中，选取17个项目开展绩效监控。 </w:t>
      </w:r>
    </w:p>
    <w:p>
      <w:pPr>
        <w:spacing w:line="600" w:lineRule="exact"/>
        <w:ind w:firstLine="640"/>
        <w:rPr>
          <w:rFonts w:eastAsia="仿宋_GB2312" w:cs="仿宋_GB2312"/>
          <w:sz w:val="32"/>
          <w:szCs w:val="32"/>
        </w:rPr>
      </w:pPr>
    </w:p>
    <w:p>
      <w:pPr>
        <w:pStyle w:val="3"/>
        <w:jc w:val="center"/>
        <w:rPr>
          <w:rFonts w:hint="eastAsia" w:eastAsia="方正小标宋简体" w:cs="方正小标宋简体"/>
          <w:b w:val="0"/>
        </w:rPr>
      </w:pPr>
      <w:bookmarkStart w:id="63" w:name="_Toc24859"/>
      <w:bookmarkStart w:id="64" w:name="_Toc15396613"/>
      <w:bookmarkStart w:id="65" w:name="_Toc15377225"/>
      <w:r>
        <w:rPr>
          <w:rFonts w:hint="eastAsia" w:eastAsia="方正小标宋简体" w:cs="方正小标宋简体"/>
          <w:b w:val="0"/>
        </w:rPr>
        <w:t>第三部分  名词解释</w:t>
      </w:r>
      <w:bookmarkEnd w:id="63"/>
      <w:bookmarkEnd w:id="64"/>
      <w:bookmarkEnd w:id="65"/>
    </w:p>
    <w:p>
      <w:pPr>
        <w:spacing w:line="600" w:lineRule="exact"/>
        <w:jc w:val="left"/>
        <w:rPr>
          <w:b/>
          <w:sz w:val="44"/>
          <w:szCs w:val="44"/>
        </w:rPr>
      </w:pPr>
    </w:p>
    <w:p>
      <w:pPr>
        <w:spacing w:line="600" w:lineRule="exact"/>
        <w:ind w:firstLine="640"/>
        <w:rPr>
          <w:rFonts w:hint="default" w:ascii="Times New Roman" w:hAnsi="Times New Roman" w:eastAsia="仿宋_GB2312" w:cs="Times New Roman"/>
          <w:sz w:val="32"/>
          <w:szCs w:val="32"/>
        </w:rPr>
      </w:pPr>
      <w:bookmarkStart w:id="66" w:name="_Toc6300"/>
      <w:bookmarkStart w:id="67" w:name="_Toc6864"/>
      <w:bookmarkStart w:id="68" w:name="_Toc32587"/>
      <w:bookmarkStart w:id="69" w:name="_Toc27910"/>
      <w:bookmarkStart w:id="70" w:name="_Toc26352"/>
      <w:bookmarkStart w:id="71" w:name="_Toc24059"/>
      <w:bookmarkStart w:id="72" w:name="_Toc30252"/>
      <w:r>
        <w:rPr>
          <w:rFonts w:hint="default" w:ascii="Times New Roman" w:hAnsi="Times New Roman" w:eastAsia="仿宋_GB2312" w:cs="Times New Roman"/>
          <w:sz w:val="32"/>
          <w:szCs w:val="32"/>
        </w:rPr>
        <w:t>1.财政拨款收入：指单位从同级财政部门取得的财政预算资金。</w:t>
      </w:r>
      <w:bookmarkEnd w:id="66"/>
      <w:bookmarkEnd w:id="67"/>
      <w:bookmarkEnd w:id="68"/>
      <w:bookmarkEnd w:id="69"/>
      <w:bookmarkEnd w:id="70"/>
      <w:bookmarkEnd w:id="71"/>
      <w:bookmarkEnd w:id="72"/>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2.事业收入：指事业单位开展专业业务活动及辅助活动取得的收入。</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3.经营收入：指事业单位在专业业务活动及其辅助活动之外开展非独立核算经营活动取得的收入。</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4.其他收入：指单位取得的除上述收入以外的各项收入。主要是对外培训收入、横向课题收入等。</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5.使用非财政拨款结余：指事业单位使用以前年度积累的非财政拨款结余弥补当年收支差额的金额。 </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6.年初结转和结余：指以前年度尚未完成、结转到本年按有关规定继续使用的资金。 </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7.结余分配：指事业单位按照会计制度规定缴纳的所得税、提取的专用结余以及转入非财政拨款结余的金额等。</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8.年末结转和结余：指单位按有关规定结转到下年或以后年度继续使用的资金。</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9.教育（类）职业教育（款）高等职业教育（项）：指反映经国家批准设立的高等职业大学、专业职业学校等方面的支出。</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10.教育（类）其他教育支出（款）其他教育支出（项）：反映用于其他用于教育方面的支出。</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11.科学技术（类）科技重大项目（款）重点研发计划（项）: 反映用于重点研发计划的有关经费支出。</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12.科学技术（类）其他科学技术支出（款）其他科学技术支出（项）:反映其他科学技术支出中用于除科技奖励、核应急、转制科研机构的各项科技方面支出。 </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13.基本支出：指为保障机构正常运转、完成日常工作任务而发生的人员支出和公用支出。</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14.项目支出：指在基本支出之外为完成特定行政任务和事业发展目标所发生的支出。  </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15.经营支出：指事业单位在专业业务活动及其辅助活动之外开展非独立核算经营活动发生的支出。</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16.“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17.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rPr>
          <w:rFonts w:eastAsia="仿宋_GB2312" w:cs="仿宋_GB2312"/>
          <w:b/>
          <w:bCs/>
          <w:sz w:val="32"/>
          <w:szCs w:val="32"/>
        </w:rPr>
      </w:pPr>
    </w:p>
    <w:p>
      <w:pPr>
        <w:spacing w:line="600" w:lineRule="exact"/>
        <w:jc w:val="center"/>
        <w:outlineLvl w:val="0"/>
        <w:rPr>
          <w:rFonts w:hint="eastAsia" w:ascii="Times New Roman" w:hAnsi="Times New Roman" w:eastAsia="方正小标宋简体" w:cs="方正小标宋简体"/>
          <w:b w:val="0"/>
          <w:bCs/>
          <w:kern w:val="44"/>
          <w:sz w:val="44"/>
          <w:szCs w:val="44"/>
          <w:lang w:val="en-US" w:eastAsia="zh-CN" w:bidi="ar-SA"/>
        </w:rPr>
      </w:pPr>
      <w:bookmarkStart w:id="73" w:name="_Toc15377226"/>
      <w:r>
        <w:rPr>
          <w:rFonts w:hint="eastAsia" w:eastAsia="仿宋_GB2312" w:cs="仿宋_GB2312"/>
          <w:sz w:val="32"/>
          <w:szCs w:val="32"/>
        </w:rPr>
        <w:br w:type="page"/>
      </w:r>
      <w:bookmarkStart w:id="74" w:name="_Toc15396614"/>
      <w:bookmarkStart w:id="75" w:name="_Toc20929"/>
      <w:r>
        <w:rPr>
          <w:rFonts w:hint="eastAsia" w:ascii="Times New Roman" w:hAnsi="Times New Roman" w:eastAsia="方正小标宋简体" w:cs="方正小标宋简体"/>
          <w:b w:val="0"/>
          <w:bCs/>
          <w:kern w:val="44"/>
          <w:sz w:val="44"/>
          <w:szCs w:val="44"/>
          <w:lang w:val="en-US" w:eastAsia="zh-CN" w:bidi="ar-SA"/>
        </w:rPr>
        <w:t>第四部分  附件</w:t>
      </w:r>
      <w:bookmarkEnd w:id="74"/>
      <w:bookmarkEnd w:id="75"/>
    </w:p>
    <w:p>
      <w:pPr>
        <w:spacing w:line="572" w:lineRule="exact"/>
        <w:jc w:val="left"/>
        <w:rPr>
          <w:rFonts w:eastAsia="黑体" w:cs="黑体"/>
          <w:color w:val="FF0000"/>
          <w:sz w:val="32"/>
          <w:szCs w:val="32"/>
        </w:rPr>
      </w:pPr>
    </w:p>
    <w:p>
      <w:pPr>
        <w:pStyle w:val="15"/>
        <w:keepNext w:val="0"/>
        <w:keepLines w:val="0"/>
        <w:widowControl/>
        <w:suppressLineNumbers w:val="0"/>
        <w:spacing w:before="0" w:beforeAutospacing="0" w:after="0" w:afterAutospacing="0"/>
        <w:ind w:left="0" w:right="0" w:firstLine="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附表：单位预算项目支出绩效自评表（2024年度）</w:t>
      </w:r>
    </w:p>
    <w:p>
      <w:pPr>
        <w:spacing w:line="600" w:lineRule="exact"/>
        <w:ind w:firstLine="640"/>
        <w:rPr>
          <w:rFonts w:hint="eastAsia" w:ascii="仿宋_GB2312" w:hAnsi="仿宋_GB2312" w:eastAsia="仿宋_GB2312" w:cs="仿宋_GB2312"/>
          <w:sz w:val="32"/>
          <w:szCs w:val="32"/>
          <w:lang w:val="zh-CN"/>
        </w:rPr>
      </w:pPr>
    </w:p>
    <w:p>
      <w:pPr>
        <w:spacing w:line="578" w:lineRule="exact"/>
        <w:ind w:firstLine="640"/>
        <w:rPr>
          <w:rFonts w:eastAsia="仿宋_GB2312" w:cs="仿宋_GB2312"/>
          <w:kern w:val="0"/>
          <w:sz w:val="32"/>
          <w:szCs w:val="32"/>
        </w:rPr>
      </w:pPr>
    </w:p>
    <w:p>
      <w:pPr>
        <w:spacing w:line="578" w:lineRule="exact"/>
        <w:ind w:firstLine="640"/>
        <w:rPr>
          <w:rFonts w:eastAsia="仿宋_GB2312" w:cs="仿宋_GB2312"/>
          <w:kern w:val="0"/>
          <w:sz w:val="32"/>
          <w:szCs w:val="32"/>
        </w:rPr>
      </w:pPr>
    </w:p>
    <w:p>
      <w:pPr>
        <w:spacing w:line="578" w:lineRule="exact"/>
        <w:ind w:firstLine="640"/>
        <w:rPr>
          <w:rFonts w:eastAsia="仿宋_GB2312" w:cs="仿宋_GB2312"/>
          <w:kern w:val="0"/>
          <w:sz w:val="32"/>
          <w:szCs w:val="32"/>
        </w:rPr>
      </w:pPr>
      <w:bookmarkStart w:id="76" w:name="_Toc15396618"/>
      <w:r>
        <w:rPr>
          <w:rFonts w:hint="eastAsia" w:eastAsia="仿宋_GB2312" w:cs="仿宋_GB2312"/>
          <w:kern w:val="0"/>
          <w:sz w:val="32"/>
          <w:szCs w:val="32"/>
        </w:rPr>
        <w:br w:type="page"/>
      </w:r>
    </w:p>
    <w:p>
      <w:pPr>
        <w:spacing w:line="600" w:lineRule="exact"/>
        <w:jc w:val="center"/>
        <w:outlineLvl w:val="0"/>
        <w:rPr>
          <w:rFonts w:hint="eastAsia" w:ascii="Times New Roman" w:hAnsi="Times New Roman" w:eastAsia="方正小标宋简体" w:cs="方正小标宋简体"/>
          <w:b w:val="0"/>
          <w:bCs/>
          <w:kern w:val="44"/>
          <w:sz w:val="44"/>
          <w:szCs w:val="44"/>
          <w:lang w:val="en-US" w:eastAsia="zh-CN" w:bidi="ar-SA"/>
        </w:rPr>
      </w:pPr>
      <w:bookmarkStart w:id="77" w:name="_Toc26733"/>
      <w:r>
        <w:rPr>
          <w:rFonts w:hint="eastAsia" w:ascii="Times New Roman" w:hAnsi="Times New Roman" w:eastAsia="方正小标宋简体" w:cs="方正小标宋简体"/>
          <w:b w:val="0"/>
          <w:bCs/>
          <w:kern w:val="44"/>
          <w:sz w:val="44"/>
          <w:szCs w:val="44"/>
          <w:lang w:val="en-US" w:eastAsia="zh-CN" w:bidi="ar-SA"/>
        </w:rPr>
        <w:t xml:space="preserve"> 第</w:t>
      </w:r>
      <w:r>
        <w:rPr>
          <w:rFonts w:hint="eastAsia" w:eastAsia="方正小标宋简体" w:cs="方正小标宋简体"/>
          <w:b w:val="0"/>
          <w:bCs/>
          <w:kern w:val="44"/>
          <w:sz w:val="44"/>
          <w:szCs w:val="44"/>
          <w:lang w:val="en-US" w:eastAsia="zh-CN" w:bidi="ar-SA"/>
        </w:rPr>
        <w:t>五</w:t>
      </w:r>
      <w:r>
        <w:rPr>
          <w:rFonts w:hint="eastAsia" w:ascii="Times New Roman" w:hAnsi="Times New Roman" w:eastAsia="方正小标宋简体" w:cs="方正小标宋简体"/>
          <w:b w:val="0"/>
          <w:bCs/>
          <w:kern w:val="44"/>
          <w:sz w:val="44"/>
          <w:szCs w:val="44"/>
          <w:lang w:val="en-US" w:eastAsia="zh-CN" w:bidi="ar-SA"/>
        </w:rPr>
        <w:t>部分  附表</w:t>
      </w:r>
      <w:bookmarkEnd w:id="73"/>
      <w:bookmarkEnd w:id="76"/>
      <w:bookmarkEnd w:id="77"/>
      <w:bookmarkStart w:id="78" w:name="_Toc15396619"/>
    </w:p>
    <w:p>
      <w:pPr>
        <w:pStyle w:val="2"/>
        <w:spacing w:before="93"/>
      </w:pPr>
    </w:p>
    <w:p>
      <w:pPr>
        <w:pStyle w:val="15"/>
        <w:keepNext w:val="0"/>
        <w:keepLines w:val="0"/>
        <w:widowControl/>
        <w:suppressLineNumbers w:val="0"/>
        <w:spacing w:before="0" w:beforeAutospacing="0" w:after="0" w:afterAutospacing="0"/>
        <w:ind w:left="0" w:right="0" w:firstLine="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附件：四川工程职业技术大学2024年度单位决算公开报表</w:t>
      </w:r>
    </w:p>
    <w:p>
      <w:pPr>
        <w:spacing w:line="600" w:lineRule="exact"/>
        <w:ind w:firstLine="640"/>
        <w:rPr>
          <w:rFonts w:hint="eastAsia" w:ascii="仿宋_GB2312" w:hAnsi="仿宋_GB2312" w:eastAsia="仿宋_GB2312" w:cs="仿宋_GB2312"/>
          <w:sz w:val="32"/>
          <w:szCs w:val="32"/>
        </w:rPr>
      </w:pPr>
    </w:p>
    <w:p>
      <w:pPr>
        <w:pStyle w:val="2"/>
        <w:spacing w:before="93"/>
      </w:pPr>
    </w:p>
    <w:p>
      <w:pPr>
        <w:spacing w:line="600" w:lineRule="exact"/>
        <w:ind w:left="630"/>
        <w:outlineLvl w:val="1"/>
        <w:rPr>
          <w:rStyle w:val="32"/>
          <w:rFonts w:hint="eastAsia" w:ascii="仿宋_GB2312" w:hAnsi="仿宋_GB2312" w:eastAsia="仿宋_GB2312" w:cs="仿宋_GB2312"/>
          <w:b w:val="0"/>
        </w:rPr>
      </w:pPr>
      <w:bookmarkStart w:id="79" w:name="_Toc23875"/>
      <w:r>
        <w:rPr>
          <w:rStyle w:val="32"/>
          <w:rFonts w:hint="eastAsia" w:ascii="仿宋_GB2312" w:hAnsi="仿宋_GB2312" w:eastAsia="仿宋_GB2312" w:cs="仿宋_GB2312"/>
          <w:b w:val="0"/>
        </w:rPr>
        <w:t>一、收入支出决算总表</w:t>
      </w:r>
      <w:bookmarkEnd w:id="78"/>
      <w:bookmarkEnd w:id="79"/>
    </w:p>
    <w:p>
      <w:pPr>
        <w:spacing w:line="600" w:lineRule="exact"/>
        <w:ind w:left="630"/>
        <w:outlineLvl w:val="1"/>
        <w:rPr>
          <w:rStyle w:val="32"/>
          <w:rFonts w:hint="eastAsia" w:ascii="仿宋_GB2312" w:hAnsi="仿宋_GB2312" w:eastAsia="仿宋_GB2312" w:cs="仿宋_GB2312"/>
          <w:b w:val="0"/>
        </w:rPr>
      </w:pPr>
      <w:bookmarkStart w:id="80" w:name="_Toc15396620"/>
      <w:bookmarkStart w:id="81" w:name="_Toc15396"/>
      <w:r>
        <w:rPr>
          <w:rStyle w:val="32"/>
          <w:rFonts w:hint="eastAsia" w:ascii="仿宋_GB2312" w:hAnsi="仿宋_GB2312" w:eastAsia="仿宋_GB2312" w:cs="仿宋_GB2312"/>
          <w:b w:val="0"/>
        </w:rPr>
        <w:t>二、收入决算表</w:t>
      </w:r>
      <w:bookmarkEnd w:id="80"/>
      <w:bookmarkEnd w:id="81"/>
    </w:p>
    <w:p>
      <w:pPr>
        <w:spacing w:line="600" w:lineRule="exact"/>
        <w:ind w:left="630"/>
        <w:outlineLvl w:val="1"/>
        <w:rPr>
          <w:rStyle w:val="32"/>
          <w:rFonts w:hint="eastAsia" w:ascii="仿宋_GB2312" w:hAnsi="仿宋_GB2312" w:eastAsia="仿宋_GB2312" w:cs="仿宋_GB2312"/>
          <w:b w:val="0"/>
        </w:rPr>
      </w:pPr>
      <w:bookmarkStart w:id="82" w:name="_Toc28549"/>
      <w:bookmarkStart w:id="83" w:name="_Toc15396621"/>
      <w:r>
        <w:rPr>
          <w:rStyle w:val="32"/>
          <w:rFonts w:hint="eastAsia" w:ascii="仿宋_GB2312" w:hAnsi="仿宋_GB2312" w:eastAsia="仿宋_GB2312" w:cs="仿宋_GB2312"/>
          <w:b w:val="0"/>
        </w:rPr>
        <w:t>三、支出决算表</w:t>
      </w:r>
      <w:bookmarkEnd w:id="82"/>
      <w:bookmarkEnd w:id="83"/>
    </w:p>
    <w:p>
      <w:pPr>
        <w:spacing w:line="600" w:lineRule="exact"/>
        <w:ind w:left="630"/>
        <w:outlineLvl w:val="1"/>
        <w:rPr>
          <w:rStyle w:val="32"/>
          <w:rFonts w:hint="eastAsia" w:ascii="仿宋_GB2312" w:hAnsi="仿宋_GB2312" w:eastAsia="仿宋_GB2312" w:cs="仿宋_GB2312"/>
          <w:b w:val="0"/>
        </w:rPr>
      </w:pPr>
      <w:bookmarkStart w:id="84" w:name="_Toc3271"/>
      <w:bookmarkStart w:id="85" w:name="_Toc15396622"/>
      <w:r>
        <w:rPr>
          <w:rStyle w:val="32"/>
          <w:rFonts w:hint="eastAsia" w:ascii="仿宋_GB2312" w:hAnsi="仿宋_GB2312" w:eastAsia="仿宋_GB2312" w:cs="仿宋_GB2312"/>
          <w:b w:val="0"/>
        </w:rPr>
        <w:t>四、财政拨款收入支出决算总表</w:t>
      </w:r>
      <w:bookmarkEnd w:id="84"/>
      <w:bookmarkEnd w:id="85"/>
    </w:p>
    <w:p>
      <w:pPr>
        <w:spacing w:line="600" w:lineRule="exact"/>
        <w:ind w:left="630"/>
        <w:outlineLvl w:val="1"/>
        <w:rPr>
          <w:rStyle w:val="32"/>
          <w:rFonts w:hint="eastAsia" w:ascii="仿宋_GB2312" w:hAnsi="仿宋_GB2312" w:eastAsia="仿宋_GB2312" w:cs="仿宋_GB2312"/>
          <w:b w:val="0"/>
        </w:rPr>
      </w:pPr>
      <w:bookmarkStart w:id="86" w:name="_Toc15396623"/>
      <w:bookmarkStart w:id="87" w:name="_Toc22652"/>
      <w:r>
        <w:rPr>
          <w:rStyle w:val="32"/>
          <w:rFonts w:hint="eastAsia" w:ascii="仿宋_GB2312" w:hAnsi="仿宋_GB2312" w:eastAsia="仿宋_GB2312" w:cs="仿宋_GB2312"/>
          <w:b w:val="0"/>
        </w:rPr>
        <w:t>五、财政拨款支出决算明细表</w:t>
      </w:r>
      <w:bookmarkEnd w:id="86"/>
      <w:bookmarkEnd w:id="87"/>
      <w:bookmarkStart w:id="88" w:name="_Toc15396624"/>
    </w:p>
    <w:p>
      <w:pPr>
        <w:spacing w:line="600" w:lineRule="exact"/>
        <w:ind w:left="630"/>
        <w:outlineLvl w:val="1"/>
        <w:rPr>
          <w:rStyle w:val="32"/>
          <w:rFonts w:hint="eastAsia" w:ascii="仿宋_GB2312" w:hAnsi="仿宋_GB2312" w:eastAsia="仿宋_GB2312" w:cs="仿宋_GB2312"/>
          <w:b w:val="0"/>
        </w:rPr>
      </w:pPr>
      <w:bookmarkStart w:id="89" w:name="_Toc28122"/>
      <w:r>
        <w:rPr>
          <w:rStyle w:val="32"/>
          <w:rFonts w:hint="eastAsia" w:ascii="仿宋_GB2312" w:hAnsi="仿宋_GB2312" w:eastAsia="仿宋_GB2312" w:cs="仿宋_GB2312"/>
          <w:b w:val="0"/>
        </w:rPr>
        <w:t>六、一般公共预算财政拨款支出决算表</w:t>
      </w:r>
      <w:bookmarkEnd w:id="88"/>
      <w:bookmarkEnd w:id="89"/>
    </w:p>
    <w:p>
      <w:pPr>
        <w:spacing w:line="600" w:lineRule="exact"/>
        <w:ind w:left="630"/>
        <w:outlineLvl w:val="1"/>
        <w:rPr>
          <w:rStyle w:val="32"/>
          <w:rFonts w:hint="eastAsia" w:ascii="仿宋_GB2312" w:hAnsi="仿宋_GB2312" w:eastAsia="仿宋_GB2312" w:cs="仿宋_GB2312"/>
          <w:b w:val="0"/>
        </w:rPr>
      </w:pPr>
      <w:bookmarkStart w:id="90" w:name="_Toc15396625"/>
      <w:bookmarkStart w:id="91" w:name="_Toc23422"/>
      <w:r>
        <w:rPr>
          <w:rStyle w:val="32"/>
          <w:rFonts w:hint="eastAsia" w:ascii="仿宋_GB2312" w:hAnsi="仿宋_GB2312" w:eastAsia="仿宋_GB2312" w:cs="仿宋_GB2312"/>
          <w:b w:val="0"/>
        </w:rPr>
        <w:t>七、一般公共预算财政拨款支出决算明细表</w:t>
      </w:r>
      <w:bookmarkEnd w:id="90"/>
      <w:bookmarkEnd w:id="91"/>
    </w:p>
    <w:p>
      <w:pPr>
        <w:spacing w:line="600" w:lineRule="exact"/>
        <w:ind w:left="630"/>
        <w:outlineLvl w:val="1"/>
        <w:rPr>
          <w:rStyle w:val="32"/>
          <w:rFonts w:hint="eastAsia" w:ascii="仿宋_GB2312" w:hAnsi="仿宋_GB2312" w:eastAsia="仿宋_GB2312" w:cs="仿宋_GB2312"/>
          <w:b w:val="0"/>
        </w:rPr>
      </w:pPr>
      <w:bookmarkStart w:id="92" w:name="_Toc15396626"/>
      <w:bookmarkStart w:id="93" w:name="_Toc973"/>
      <w:r>
        <w:rPr>
          <w:rStyle w:val="32"/>
          <w:rFonts w:hint="eastAsia" w:ascii="仿宋_GB2312" w:hAnsi="仿宋_GB2312" w:eastAsia="仿宋_GB2312" w:cs="仿宋_GB2312"/>
          <w:b w:val="0"/>
        </w:rPr>
        <w:t>八、一般公共预算财政拨款基本支出决算表</w:t>
      </w:r>
      <w:bookmarkEnd w:id="92"/>
      <w:bookmarkEnd w:id="93"/>
    </w:p>
    <w:p>
      <w:pPr>
        <w:spacing w:line="600" w:lineRule="exact"/>
        <w:ind w:left="630"/>
        <w:outlineLvl w:val="1"/>
        <w:rPr>
          <w:rStyle w:val="32"/>
          <w:rFonts w:hint="eastAsia" w:ascii="仿宋_GB2312" w:hAnsi="仿宋_GB2312" w:eastAsia="仿宋_GB2312" w:cs="仿宋_GB2312"/>
          <w:b w:val="0"/>
        </w:rPr>
      </w:pPr>
      <w:bookmarkStart w:id="94" w:name="_Toc15396627"/>
      <w:bookmarkStart w:id="95" w:name="_Toc2010"/>
      <w:r>
        <w:rPr>
          <w:rStyle w:val="32"/>
          <w:rFonts w:hint="eastAsia" w:ascii="仿宋_GB2312" w:hAnsi="仿宋_GB2312" w:eastAsia="仿宋_GB2312" w:cs="仿宋_GB2312"/>
          <w:b w:val="0"/>
        </w:rPr>
        <w:t>九、一般公共预算财政拨款项目支出决算表</w:t>
      </w:r>
      <w:bookmarkEnd w:id="94"/>
      <w:bookmarkEnd w:id="95"/>
    </w:p>
    <w:p>
      <w:pPr>
        <w:spacing w:line="600" w:lineRule="exact"/>
        <w:ind w:left="630"/>
        <w:outlineLvl w:val="1"/>
        <w:rPr>
          <w:rStyle w:val="32"/>
          <w:rFonts w:hint="eastAsia" w:ascii="仿宋_GB2312" w:hAnsi="仿宋_GB2312" w:eastAsia="仿宋_GB2312" w:cs="仿宋_GB2312"/>
          <w:b w:val="0"/>
        </w:rPr>
      </w:pPr>
      <w:bookmarkStart w:id="96" w:name="_Toc15396628"/>
      <w:bookmarkStart w:id="97" w:name="_Toc21170"/>
      <w:r>
        <w:rPr>
          <w:rStyle w:val="32"/>
          <w:rFonts w:hint="eastAsia" w:ascii="仿宋_GB2312" w:hAnsi="仿宋_GB2312" w:eastAsia="仿宋_GB2312" w:cs="仿宋_GB2312"/>
          <w:b w:val="0"/>
        </w:rPr>
        <w:t>十、</w:t>
      </w:r>
      <w:bookmarkEnd w:id="96"/>
      <w:r>
        <w:rPr>
          <w:rStyle w:val="32"/>
          <w:rFonts w:hint="eastAsia" w:ascii="仿宋_GB2312" w:hAnsi="仿宋_GB2312" w:eastAsia="仿宋_GB2312" w:cs="仿宋_GB2312"/>
          <w:b w:val="0"/>
        </w:rPr>
        <w:t>政府性基金预算财政拨款收入支出决算表</w:t>
      </w:r>
      <w:bookmarkEnd w:id="97"/>
    </w:p>
    <w:p>
      <w:pPr>
        <w:spacing w:line="600" w:lineRule="exact"/>
        <w:ind w:left="630"/>
        <w:outlineLvl w:val="1"/>
        <w:rPr>
          <w:rStyle w:val="32"/>
          <w:rFonts w:hint="eastAsia" w:ascii="仿宋_GB2312" w:hAnsi="仿宋_GB2312" w:eastAsia="仿宋_GB2312" w:cs="仿宋_GB2312"/>
          <w:b w:val="0"/>
        </w:rPr>
      </w:pPr>
      <w:bookmarkStart w:id="98" w:name="_Toc15396629"/>
      <w:bookmarkStart w:id="99" w:name="_Toc17243"/>
      <w:r>
        <w:rPr>
          <w:rStyle w:val="32"/>
          <w:rFonts w:hint="eastAsia" w:ascii="仿宋_GB2312" w:hAnsi="仿宋_GB2312" w:eastAsia="仿宋_GB2312" w:cs="仿宋_GB2312"/>
          <w:b w:val="0"/>
        </w:rPr>
        <w:t>十一、</w:t>
      </w:r>
      <w:bookmarkEnd w:id="98"/>
      <w:r>
        <w:rPr>
          <w:rStyle w:val="32"/>
          <w:rFonts w:hint="eastAsia" w:ascii="仿宋_GB2312" w:hAnsi="仿宋_GB2312" w:eastAsia="仿宋_GB2312" w:cs="仿宋_GB2312"/>
          <w:b w:val="0"/>
        </w:rPr>
        <w:t>国有资本经营预算财政拨款收入支出决算表</w:t>
      </w:r>
      <w:bookmarkEnd w:id="99"/>
    </w:p>
    <w:p>
      <w:pPr>
        <w:spacing w:line="600" w:lineRule="exact"/>
        <w:ind w:left="630"/>
        <w:outlineLvl w:val="1"/>
        <w:rPr>
          <w:rStyle w:val="32"/>
          <w:rFonts w:hint="eastAsia" w:ascii="仿宋_GB2312" w:hAnsi="仿宋_GB2312" w:eastAsia="仿宋_GB2312" w:cs="仿宋_GB2312"/>
          <w:b w:val="0"/>
        </w:rPr>
      </w:pPr>
      <w:bookmarkStart w:id="100" w:name="_Toc15396630"/>
      <w:bookmarkStart w:id="101" w:name="_Toc15167"/>
      <w:r>
        <w:rPr>
          <w:rStyle w:val="32"/>
          <w:rFonts w:hint="eastAsia" w:ascii="仿宋_GB2312" w:hAnsi="仿宋_GB2312" w:eastAsia="仿宋_GB2312" w:cs="仿宋_GB2312"/>
          <w:b w:val="0"/>
        </w:rPr>
        <w:t>十二、</w:t>
      </w:r>
      <w:bookmarkEnd w:id="100"/>
      <w:r>
        <w:rPr>
          <w:rStyle w:val="32"/>
          <w:rFonts w:hint="eastAsia" w:ascii="仿宋_GB2312" w:hAnsi="仿宋_GB2312" w:eastAsia="仿宋_GB2312" w:cs="仿宋_GB2312"/>
          <w:b w:val="0"/>
        </w:rPr>
        <w:t>国有资本经营预算财政拨款支出决算表</w:t>
      </w:r>
      <w:bookmarkEnd w:id="101"/>
    </w:p>
    <w:p>
      <w:pPr>
        <w:spacing w:line="600" w:lineRule="exact"/>
        <w:ind w:left="630"/>
        <w:outlineLvl w:val="1"/>
        <w:rPr>
          <w:rStyle w:val="32"/>
          <w:rFonts w:ascii="Times New Roman" w:hAnsi="Times New Roman" w:eastAsia="黑体"/>
          <w:b w:val="0"/>
        </w:rPr>
      </w:pPr>
      <w:bookmarkStart w:id="102" w:name="_Toc15396631"/>
      <w:bookmarkStart w:id="103" w:name="_Toc32168"/>
      <w:r>
        <w:rPr>
          <w:rStyle w:val="32"/>
          <w:rFonts w:hint="eastAsia" w:ascii="仿宋_GB2312" w:hAnsi="仿宋_GB2312" w:eastAsia="仿宋_GB2312" w:cs="仿宋_GB2312"/>
          <w:b w:val="0"/>
        </w:rPr>
        <w:t>十三、</w:t>
      </w:r>
      <w:bookmarkEnd w:id="102"/>
      <w:r>
        <w:rPr>
          <w:rStyle w:val="32"/>
          <w:rFonts w:hint="eastAsia" w:ascii="仿宋_GB2312" w:hAnsi="仿宋_GB2312" w:eastAsia="仿宋_GB2312" w:cs="仿宋_GB2312"/>
          <w:b w:val="0"/>
        </w:rPr>
        <w:t>财政拨款“三公”经费支出决算表</w:t>
      </w:r>
      <w:bookmarkEnd w:id="103"/>
    </w:p>
    <w:p>
      <w:pPr>
        <w:spacing w:line="600" w:lineRule="exact"/>
        <w:ind w:left="630"/>
        <w:outlineLvl w:val="1"/>
        <w:rPr>
          <w:rStyle w:val="32"/>
          <w:rFonts w:ascii="Times New Roman" w:hAnsi="Times New Roman" w:eastAsia="黑体"/>
          <w:b w:val="0"/>
        </w:rPr>
      </w:pPr>
    </w:p>
    <w:sectPr>
      <w:footerReference r:id="rId8"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tabs>
        <w:tab w:val="left" w:pos="6529"/>
        <w:tab w:val="clear" w:pos="4153"/>
      </w:tabs>
      <w:rPr>
        <w:rFonts w:hint="eastAsia" w:eastAsia="宋体"/>
        <w:lang w:eastAsia="zh-CN"/>
      </w:rPr>
    </w:pP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tabs>
        <w:tab w:val="left" w:pos="6529"/>
        <w:tab w:val="clear" w:pos="4153"/>
      </w:tabs>
      <w:rPr>
        <w:rFonts w:hint="eastAsia" w:eastAsia="宋体"/>
        <w:lang w:eastAsia="zh-CN"/>
      </w:rPr>
    </w:pP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42075"/>
    <w:multiLevelType w:val="singleLevel"/>
    <w:tmpl w:val="40D42075"/>
    <w:lvl w:ilvl="0" w:tentative="0">
      <w:start w:val="1"/>
      <w:numFmt w:val="decimal"/>
      <w:suff w:val="nothing"/>
      <w:lvlText w:val="%1．"/>
      <w:lvlJc w:val="left"/>
      <w:pPr>
        <w:ind w:left="0" w:firstLine="400"/>
      </w:pPr>
      <w:rPr>
        <w:rFonts w:hint="default"/>
      </w:rPr>
    </w:lvl>
  </w:abstractNum>
  <w:abstractNum w:abstractNumId="1">
    <w:nsid w:val="4709CD0F"/>
    <w:multiLevelType w:val="singleLevel"/>
    <w:tmpl w:val="4709CD0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2E22"/>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3B34"/>
    <w:rsid w:val="00265372"/>
    <w:rsid w:val="002662AA"/>
    <w:rsid w:val="00280496"/>
    <w:rsid w:val="00294DC9"/>
    <w:rsid w:val="00295495"/>
    <w:rsid w:val="002A31DE"/>
    <w:rsid w:val="002B2613"/>
    <w:rsid w:val="002D6D05"/>
    <w:rsid w:val="002F1818"/>
    <w:rsid w:val="002F567B"/>
    <w:rsid w:val="00314338"/>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84DEE"/>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B2894"/>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15C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BF77EA"/>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148C5"/>
    <w:rsid w:val="00D20620"/>
    <w:rsid w:val="00D254F7"/>
    <w:rsid w:val="00D26091"/>
    <w:rsid w:val="00D2685C"/>
    <w:rsid w:val="00D34E7C"/>
    <w:rsid w:val="00D35489"/>
    <w:rsid w:val="00D36AFE"/>
    <w:rsid w:val="00D42CDC"/>
    <w:rsid w:val="00D51276"/>
    <w:rsid w:val="00D7035F"/>
    <w:rsid w:val="00DA634F"/>
    <w:rsid w:val="00DA65AC"/>
    <w:rsid w:val="00DB1913"/>
    <w:rsid w:val="00DC410D"/>
    <w:rsid w:val="00DC5A81"/>
    <w:rsid w:val="00DC68CA"/>
    <w:rsid w:val="00DC7CBA"/>
    <w:rsid w:val="00DD73B7"/>
    <w:rsid w:val="00DE41AD"/>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5F1"/>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B1E8B"/>
    <w:rsid w:val="00FD3CC1"/>
    <w:rsid w:val="00FF1E02"/>
    <w:rsid w:val="00FF30B4"/>
    <w:rsid w:val="012A5EC2"/>
    <w:rsid w:val="015975B8"/>
    <w:rsid w:val="02FEBE30"/>
    <w:rsid w:val="03697E2F"/>
    <w:rsid w:val="04002526"/>
    <w:rsid w:val="04916F1E"/>
    <w:rsid w:val="04A7236C"/>
    <w:rsid w:val="061E35DE"/>
    <w:rsid w:val="066E0107"/>
    <w:rsid w:val="07996F6E"/>
    <w:rsid w:val="07BC5BF5"/>
    <w:rsid w:val="07DFD8BA"/>
    <w:rsid w:val="08604125"/>
    <w:rsid w:val="08EC7DBA"/>
    <w:rsid w:val="08FE0815"/>
    <w:rsid w:val="09867E8F"/>
    <w:rsid w:val="09FC4E8C"/>
    <w:rsid w:val="0A2032A3"/>
    <w:rsid w:val="0A310FDA"/>
    <w:rsid w:val="0A8B33E3"/>
    <w:rsid w:val="0B312040"/>
    <w:rsid w:val="0BF936AF"/>
    <w:rsid w:val="0C225C9F"/>
    <w:rsid w:val="0C8748EC"/>
    <w:rsid w:val="0CA8290A"/>
    <w:rsid w:val="0D35B1ED"/>
    <w:rsid w:val="0DEA0D99"/>
    <w:rsid w:val="0E254B6B"/>
    <w:rsid w:val="0F8217B1"/>
    <w:rsid w:val="0F98263C"/>
    <w:rsid w:val="101860EC"/>
    <w:rsid w:val="101F47CC"/>
    <w:rsid w:val="107D74CD"/>
    <w:rsid w:val="10C055FF"/>
    <w:rsid w:val="11694EBD"/>
    <w:rsid w:val="11772AA4"/>
    <w:rsid w:val="118107EC"/>
    <w:rsid w:val="12A738C8"/>
    <w:rsid w:val="12E24EE2"/>
    <w:rsid w:val="13D50BC4"/>
    <w:rsid w:val="14B17F78"/>
    <w:rsid w:val="15626B93"/>
    <w:rsid w:val="16596EAE"/>
    <w:rsid w:val="165E0673"/>
    <w:rsid w:val="16B07F1A"/>
    <w:rsid w:val="16B831D5"/>
    <w:rsid w:val="16BB723D"/>
    <w:rsid w:val="16E91B23"/>
    <w:rsid w:val="17E50567"/>
    <w:rsid w:val="186504BB"/>
    <w:rsid w:val="19A445FC"/>
    <w:rsid w:val="1A5E7B84"/>
    <w:rsid w:val="1BE8440E"/>
    <w:rsid w:val="1BFFA248"/>
    <w:rsid w:val="1CD838F5"/>
    <w:rsid w:val="1D155CEE"/>
    <w:rsid w:val="1D1638FE"/>
    <w:rsid w:val="1E312DEB"/>
    <w:rsid w:val="1E740ACF"/>
    <w:rsid w:val="1EDE5171"/>
    <w:rsid w:val="1FF35744"/>
    <w:rsid w:val="1FF6BC77"/>
    <w:rsid w:val="202A0512"/>
    <w:rsid w:val="20855583"/>
    <w:rsid w:val="2186353C"/>
    <w:rsid w:val="23860B96"/>
    <w:rsid w:val="23A21B04"/>
    <w:rsid w:val="23C33983"/>
    <w:rsid w:val="23D55DB3"/>
    <w:rsid w:val="240371BF"/>
    <w:rsid w:val="244F3473"/>
    <w:rsid w:val="24B406CD"/>
    <w:rsid w:val="24C97D99"/>
    <w:rsid w:val="25A718F0"/>
    <w:rsid w:val="25BB59F6"/>
    <w:rsid w:val="260F557C"/>
    <w:rsid w:val="26970054"/>
    <w:rsid w:val="281408E2"/>
    <w:rsid w:val="29FD04D3"/>
    <w:rsid w:val="2B2A4303"/>
    <w:rsid w:val="2B2D2CA0"/>
    <w:rsid w:val="2B9B5A5E"/>
    <w:rsid w:val="2BFF7BC6"/>
    <w:rsid w:val="2C8A61B5"/>
    <w:rsid w:val="2C8B24A1"/>
    <w:rsid w:val="2DF04E50"/>
    <w:rsid w:val="2E586DFA"/>
    <w:rsid w:val="2F040D46"/>
    <w:rsid w:val="2F6B035B"/>
    <w:rsid w:val="2F884914"/>
    <w:rsid w:val="2FAE5751"/>
    <w:rsid w:val="2FB1A395"/>
    <w:rsid w:val="2FBD39DF"/>
    <w:rsid w:val="2FD9A7D8"/>
    <w:rsid w:val="2FDBF714"/>
    <w:rsid w:val="30111C33"/>
    <w:rsid w:val="30AB6865"/>
    <w:rsid w:val="319F7F4E"/>
    <w:rsid w:val="32BD1EF1"/>
    <w:rsid w:val="3304709D"/>
    <w:rsid w:val="33A773CB"/>
    <w:rsid w:val="33AD44A2"/>
    <w:rsid w:val="33FF8D1A"/>
    <w:rsid w:val="341416A9"/>
    <w:rsid w:val="346B12F0"/>
    <w:rsid w:val="349D6851"/>
    <w:rsid w:val="36AA5135"/>
    <w:rsid w:val="36BE0DA7"/>
    <w:rsid w:val="376B6AA6"/>
    <w:rsid w:val="376D39B2"/>
    <w:rsid w:val="3778561C"/>
    <w:rsid w:val="377A0996"/>
    <w:rsid w:val="37B833F9"/>
    <w:rsid w:val="37E16F03"/>
    <w:rsid w:val="37F346CE"/>
    <w:rsid w:val="37F53A3B"/>
    <w:rsid w:val="38113BB0"/>
    <w:rsid w:val="389B6C89"/>
    <w:rsid w:val="38D469F0"/>
    <w:rsid w:val="38FFCC85"/>
    <w:rsid w:val="39627CCD"/>
    <w:rsid w:val="397BAF1F"/>
    <w:rsid w:val="3991704F"/>
    <w:rsid w:val="3AB79AF3"/>
    <w:rsid w:val="3AE834C0"/>
    <w:rsid w:val="3B000C50"/>
    <w:rsid w:val="3B7EF35A"/>
    <w:rsid w:val="3B9FDB6C"/>
    <w:rsid w:val="3BF5BC2F"/>
    <w:rsid w:val="3CB238B4"/>
    <w:rsid w:val="3CBB00F6"/>
    <w:rsid w:val="3CEBA265"/>
    <w:rsid w:val="3D7BD553"/>
    <w:rsid w:val="3D98207C"/>
    <w:rsid w:val="3DEE7CF3"/>
    <w:rsid w:val="3E1AD597"/>
    <w:rsid w:val="3E740A63"/>
    <w:rsid w:val="3E78745D"/>
    <w:rsid w:val="3EBC6496"/>
    <w:rsid w:val="3EE17838"/>
    <w:rsid w:val="3F55381A"/>
    <w:rsid w:val="3F7F7599"/>
    <w:rsid w:val="3FF4CAE0"/>
    <w:rsid w:val="3FF7B227"/>
    <w:rsid w:val="3FFF5C9E"/>
    <w:rsid w:val="413C5348"/>
    <w:rsid w:val="44E268DA"/>
    <w:rsid w:val="450D13D7"/>
    <w:rsid w:val="4513088C"/>
    <w:rsid w:val="45506656"/>
    <w:rsid w:val="45E227C1"/>
    <w:rsid w:val="486A6C7A"/>
    <w:rsid w:val="4A2977C3"/>
    <w:rsid w:val="4A627F82"/>
    <w:rsid w:val="4B0E749A"/>
    <w:rsid w:val="4B2477C4"/>
    <w:rsid w:val="4B4F25DA"/>
    <w:rsid w:val="4B771FE9"/>
    <w:rsid w:val="4BE068DB"/>
    <w:rsid w:val="4C30753D"/>
    <w:rsid w:val="4D577224"/>
    <w:rsid w:val="4DBF1CEB"/>
    <w:rsid w:val="4DF0007C"/>
    <w:rsid w:val="4E9F394D"/>
    <w:rsid w:val="4EAB630A"/>
    <w:rsid w:val="4EAF6FA4"/>
    <w:rsid w:val="4ECE2238"/>
    <w:rsid w:val="4F1777EB"/>
    <w:rsid w:val="4F833267"/>
    <w:rsid w:val="4FDF0A63"/>
    <w:rsid w:val="4FE9BD67"/>
    <w:rsid w:val="4FFB052F"/>
    <w:rsid w:val="51AD7C4C"/>
    <w:rsid w:val="525B32AE"/>
    <w:rsid w:val="537E6D0A"/>
    <w:rsid w:val="5392250B"/>
    <w:rsid w:val="53F74C96"/>
    <w:rsid w:val="55170BA8"/>
    <w:rsid w:val="553218C9"/>
    <w:rsid w:val="567E1AA5"/>
    <w:rsid w:val="56E47B74"/>
    <w:rsid w:val="57175D52"/>
    <w:rsid w:val="571E7D47"/>
    <w:rsid w:val="57BD3DD4"/>
    <w:rsid w:val="582C5571"/>
    <w:rsid w:val="58883613"/>
    <w:rsid w:val="59BF82F1"/>
    <w:rsid w:val="59F83FB5"/>
    <w:rsid w:val="5AF92295"/>
    <w:rsid w:val="5B250254"/>
    <w:rsid w:val="5BA81B33"/>
    <w:rsid w:val="5BDD79E6"/>
    <w:rsid w:val="5BF561CA"/>
    <w:rsid w:val="5BFF5DFC"/>
    <w:rsid w:val="5C0E2F1B"/>
    <w:rsid w:val="5C3A7FF2"/>
    <w:rsid w:val="5CD71FC4"/>
    <w:rsid w:val="5D0C1038"/>
    <w:rsid w:val="5D1C68D9"/>
    <w:rsid w:val="5D1F11B5"/>
    <w:rsid w:val="5D695134"/>
    <w:rsid w:val="5DAE1B18"/>
    <w:rsid w:val="5DE7D9E5"/>
    <w:rsid w:val="5ECEC941"/>
    <w:rsid w:val="5FBF9FF3"/>
    <w:rsid w:val="5FCD4E2C"/>
    <w:rsid w:val="5FEF394A"/>
    <w:rsid w:val="5FF67715"/>
    <w:rsid w:val="61771593"/>
    <w:rsid w:val="62BF3928"/>
    <w:rsid w:val="63926FF4"/>
    <w:rsid w:val="63B3701E"/>
    <w:rsid w:val="647F5392"/>
    <w:rsid w:val="65E66580"/>
    <w:rsid w:val="660B1796"/>
    <w:rsid w:val="664B1D71"/>
    <w:rsid w:val="664B4E8E"/>
    <w:rsid w:val="67277B67"/>
    <w:rsid w:val="67AA3209"/>
    <w:rsid w:val="68380F26"/>
    <w:rsid w:val="695B1CE7"/>
    <w:rsid w:val="696325FA"/>
    <w:rsid w:val="696B3119"/>
    <w:rsid w:val="698D0931"/>
    <w:rsid w:val="6A7FE5F3"/>
    <w:rsid w:val="6B053271"/>
    <w:rsid w:val="6BDD78B3"/>
    <w:rsid w:val="6C4A05C8"/>
    <w:rsid w:val="6C8742B8"/>
    <w:rsid w:val="6D7C29A7"/>
    <w:rsid w:val="6DBF5E93"/>
    <w:rsid w:val="6DFAEBDD"/>
    <w:rsid w:val="6DFF077E"/>
    <w:rsid w:val="6E714EF0"/>
    <w:rsid w:val="6E7E3605"/>
    <w:rsid w:val="6E7FDCC7"/>
    <w:rsid w:val="6EBC4CEA"/>
    <w:rsid w:val="6ED6A62E"/>
    <w:rsid w:val="6EE00B15"/>
    <w:rsid w:val="6EF7794A"/>
    <w:rsid w:val="6F2B261F"/>
    <w:rsid w:val="6F6FB3EB"/>
    <w:rsid w:val="6F8731EA"/>
    <w:rsid w:val="6FCE6052"/>
    <w:rsid w:val="6FD57C00"/>
    <w:rsid w:val="6FEFFFD8"/>
    <w:rsid w:val="6FF5CC65"/>
    <w:rsid w:val="6FFB47EC"/>
    <w:rsid w:val="6FFF034A"/>
    <w:rsid w:val="6FFFD1F3"/>
    <w:rsid w:val="70484440"/>
    <w:rsid w:val="70DF533C"/>
    <w:rsid w:val="71184C00"/>
    <w:rsid w:val="712A28F1"/>
    <w:rsid w:val="715C0E4B"/>
    <w:rsid w:val="71992E7C"/>
    <w:rsid w:val="71AF2588"/>
    <w:rsid w:val="71D763E3"/>
    <w:rsid w:val="72233669"/>
    <w:rsid w:val="72734D90"/>
    <w:rsid w:val="730E2053"/>
    <w:rsid w:val="73160E6D"/>
    <w:rsid w:val="731C016A"/>
    <w:rsid w:val="7332FE48"/>
    <w:rsid w:val="737F0713"/>
    <w:rsid w:val="73AB61DA"/>
    <w:rsid w:val="73AD73D5"/>
    <w:rsid w:val="73B6EB34"/>
    <w:rsid w:val="73D825A1"/>
    <w:rsid w:val="73FA497D"/>
    <w:rsid w:val="744731E5"/>
    <w:rsid w:val="748B5DC2"/>
    <w:rsid w:val="74BBD01D"/>
    <w:rsid w:val="74CF5145"/>
    <w:rsid w:val="74ED5379"/>
    <w:rsid w:val="75311DD3"/>
    <w:rsid w:val="75DEEEC2"/>
    <w:rsid w:val="75E32345"/>
    <w:rsid w:val="76DE5384"/>
    <w:rsid w:val="76E3355F"/>
    <w:rsid w:val="76FF5125"/>
    <w:rsid w:val="775F0AEE"/>
    <w:rsid w:val="776F6FFA"/>
    <w:rsid w:val="778769C8"/>
    <w:rsid w:val="77A75DCA"/>
    <w:rsid w:val="77DC22F5"/>
    <w:rsid w:val="783E271A"/>
    <w:rsid w:val="78616DE9"/>
    <w:rsid w:val="78E875D7"/>
    <w:rsid w:val="79086DAD"/>
    <w:rsid w:val="79D7FD79"/>
    <w:rsid w:val="79EE5BA4"/>
    <w:rsid w:val="79EF399B"/>
    <w:rsid w:val="7A894339"/>
    <w:rsid w:val="7AA95964"/>
    <w:rsid w:val="7AD284E8"/>
    <w:rsid w:val="7AFF7572"/>
    <w:rsid w:val="7B6C7DFB"/>
    <w:rsid w:val="7B8C2698"/>
    <w:rsid w:val="7BBFBED0"/>
    <w:rsid w:val="7BC3E394"/>
    <w:rsid w:val="7BF47568"/>
    <w:rsid w:val="7BFF8918"/>
    <w:rsid w:val="7C0D5F13"/>
    <w:rsid w:val="7C1F3737"/>
    <w:rsid w:val="7C301E0B"/>
    <w:rsid w:val="7C8E5093"/>
    <w:rsid w:val="7CBFC87B"/>
    <w:rsid w:val="7CFE0F48"/>
    <w:rsid w:val="7D272ABC"/>
    <w:rsid w:val="7D7EC23E"/>
    <w:rsid w:val="7D7F2619"/>
    <w:rsid w:val="7E8ADEBF"/>
    <w:rsid w:val="7EEF11D3"/>
    <w:rsid w:val="7EFD2E3C"/>
    <w:rsid w:val="7EFE4840"/>
    <w:rsid w:val="7F0971A6"/>
    <w:rsid w:val="7F1D62E7"/>
    <w:rsid w:val="7F2DD830"/>
    <w:rsid w:val="7F3F679B"/>
    <w:rsid w:val="7F4FC4EF"/>
    <w:rsid w:val="7F5E4D54"/>
    <w:rsid w:val="7F6E0135"/>
    <w:rsid w:val="7F79F205"/>
    <w:rsid w:val="7F7E1356"/>
    <w:rsid w:val="7FA30C79"/>
    <w:rsid w:val="7FA79C44"/>
    <w:rsid w:val="7FAF8ABF"/>
    <w:rsid w:val="7FB7269E"/>
    <w:rsid w:val="7FC96657"/>
    <w:rsid w:val="7FD7EDB8"/>
    <w:rsid w:val="7FDA9588"/>
    <w:rsid w:val="7FDF220F"/>
    <w:rsid w:val="7FEDC5F7"/>
    <w:rsid w:val="7FEDD9DE"/>
    <w:rsid w:val="7FF5890D"/>
    <w:rsid w:val="7FF93490"/>
    <w:rsid w:val="99FF2014"/>
    <w:rsid w:val="A6DD0D7F"/>
    <w:rsid w:val="ACFF4FBB"/>
    <w:rsid w:val="ADC6F725"/>
    <w:rsid w:val="B68F5826"/>
    <w:rsid w:val="B7CF06AB"/>
    <w:rsid w:val="B7CFA926"/>
    <w:rsid w:val="B7F8786B"/>
    <w:rsid w:val="BABB6AA1"/>
    <w:rsid w:val="BB2F4199"/>
    <w:rsid w:val="BCFFB442"/>
    <w:rsid w:val="BD079C78"/>
    <w:rsid w:val="BD733540"/>
    <w:rsid w:val="BF3735D5"/>
    <w:rsid w:val="BF7F09AC"/>
    <w:rsid w:val="BFD475C3"/>
    <w:rsid w:val="BFDE5EA6"/>
    <w:rsid w:val="C93F1320"/>
    <w:rsid w:val="CF6FC6F3"/>
    <w:rsid w:val="CFD3D3D7"/>
    <w:rsid w:val="CFDF1009"/>
    <w:rsid w:val="CFE7FEF0"/>
    <w:rsid w:val="D1FF8691"/>
    <w:rsid w:val="D5F786DA"/>
    <w:rsid w:val="D6FFFB47"/>
    <w:rsid w:val="D7D7B16A"/>
    <w:rsid w:val="D8D6DB89"/>
    <w:rsid w:val="DB6F4CAB"/>
    <w:rsid w:val="DB777682"/>
    <w:rsid w:val="DD1FB521"/>
    <w:rsid w:val="DE4FF1E9"/>
    <w:rsid w:val="DEFBFEAE"/>
    <w:rsid w:val="DF1F3B80"/>
    <w:rsid w:val="DF6F9789"/>
    <w:rsid w:val="DF9D8A16"/>
    <w:rsid w:val="DFE9BE81"/>
    <w:rsid w:val="DFFFA9E8"/>
    <w:rsid w:val="E5F4E9DC"/>
    <w:rsid w:val="E70FE695"/>
    <w:rsid w:val="EB2E368B"/>
    <w:rsid w:val="EBBF268C"/>
    <w:rsid w:val="ECFED1BC"/>
    <w:rsid w:val="ED1D69BB"/>
    <w:rsid w:val="ED7FD312"/>
    <w:rsid w:val="EF2E1AC6"/>
    <w:rsid w:val="EF53993F"/>
    <w:rsid w:val="EF6FD633"/>
    <w:rsid w:val="EFBFB2F4"/>
    <w:rsid w:val="EFBFFA21"/>
    <w:rsid w:val="EFEC1906"/>
    <w:rsid w:val="F2B40627"/>
    <w:rsid w:val="F2BEBCB8"/>
    <w:rsid w:val="F36FB518"/>
    <w:rsid w:val="F37DAC03"/>
    <w:rsid w:val="F3DE1A04"/>
    <w:rsid w:val="F3F722E5"/>
    <w:rsid w:val="F4FBCD07"/>
    <w:rsid w:val="FA5F1E70"/>
    <w:rsid w:val="FA5FDB97"/>
    <w:rsid w:val="FB7F486A"/>
    <w:rsid w:val="FBC717EE"/>
    <w:rsid w:val="FBFF5B2E"/>
    <w:rsid w:val="FD7FFE2B"/>
    <w:rsid w:val="FDEE196B"/>
    <w:rsid w:val="FDFE6575"/>
    <w:rsid w:val="FEDFDDC2"/>
    <w:rsid w:val="FEE9650B"/>
    <w:rsid w:val="FEED32F6"/>
    <w:rsid w:val="FEF781DD"/>
    <w:rsid w:val="FF3F7E3F"/>
    <w:rsid w:val="FFBA12D7"/>
    <w:rsid w:val="FFCBD314"/>
    <w:rsid w:val="FFDF19B5"/>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8"/>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4"/>
    <w:semiHidden/>
    <w:unhideWhenUsed/>
    <w:qFormat/>
    <w:uiPriority w:val="99"/>
    <w:rPr>
      <w:sz w:val="18"/>
      <w:szCs w:val="18"/>
    </w:rPr>
  </w:style>
  <w:style w:type="paragraph" w:styleId="10">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正文-公1"/>
    <w:basedOn w:val="21"/>
    <w:next w:val="1"/>
    <w:qFormat/>
    <w:uiPriority w:val="0"/>
    <w:pPr>
      <w:ind w:firstLine="200" w:firstLineChars="200"/>
    </w:pPr>
  </w:style>
  <w:style w:type="paragraph" w:customStyle="1" w:styleId="21">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7"/>
    <w:semiHidden/>
    <w:qFormat/>
    <w:uiPriority w:val="99"/>
    <w:rPr>
      <w:rFonts w:ascii="Times New Roman" w:hAnsi="Times New Roman"/>
      <w:sz w:val="18"/>
      <w:szCs w:val="18"/>
    </w:rPr>
  </w:style>
  <w:style w:type="character" w:customStyle="1" w:styleId="24">
    <w:name w:val="页眉 字符"/>
    <w:link w:val="11"/>
    <w:semiHidden/>
    <w:qFormat/>
    <w:locked/>
    <w:uiPriority w:val="99"/>
    <w:rPr>
      <w:sz w:val="18"/>
    </w:rPr>
  </w:style>
  <w:style w:type="character" w:customStyle="1" w:styleId="25">
    <w:name w:val="Footer Char"/>
    <w:basedOn w:val="17"/>
    <w:semiHidden/>
    <w:qFormat/>
    <w:uiPriority w:val="99"/>
    <w:rPr>
      <w:rFonts w:ascii="Times New Roman" w:hAnsi="Times New Roman"/>
      <w:sz w:val="18"/>
      <w:szCs w:val="18"/>
    </w:rPr>
  </w:style>
  <w:style w:type="character" w:customStyle="1" w:styleId="26">
    <w:name w:val="页脚 字符"/>
    <w:link w:val="10"/>
    <w:qFormat/>
    <w:locked/>
    <w:uiPriority w:val="99"/>
    <w:rPr>
      <w:sz w:val="18"/>
    </w:rPr>
  </w:style>
  <w:style w:type="character" w:customStyle="1" w:styleId="27">
    <w:name w:val="Body Text Char"/>
    <w:basedOn w:val="17"/>
    <w:semiHidden/>
    <w:qFormat/>
    <w:uiPriority w:val="99"/>
    <w:rPr>
      <w:rFonts w:ascii="Times New Roman" w:hAnsi="Times New Roman"/>
      <w:szCs w:val="24"/>
    </w:rPr>
  </w:style>
  <w:style w:type="character" w:customStyle="1" w:styleId="28">
    <w:name w:val="正文文本 字符"/>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字符"/>
    <w:basedOn w:val="17"/>
    <w:link w:val="3"/>
    <w:qFormat/>
    <w:uiPriority w:val="9"/>
    <w:rPr>
      <w:rFonts w:ascii="Times New Roman" w:hAnsi="Times New Roman"/>
      <w:b/>
      <w:bCs/>
      <w:kern w:val="44"/>
      <w:sz w:val="44"/>
      <w:szCs w:val="44"/>
    </w:rPr>
  </w:style>
  <w:style w:type="character" w:customStyle="1" w:styleId="32">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字符"/>
    <w:basedOn w:val="17"/>
    <w:link w:val="9"/>
    <w:semiHidden/>
    <w:qFormat/>
    <w:uiPriority w:val="99"/>
    <w:rPr>
      <w:rFonts w:ascii="Times New Roman" w:hAnsi="Times New Roman"/>
      <w:kern w:val="2"/>
      <w:sz w:val="18"/>
      <w:szCs w:val="18"/>
    </w:rPr>
  </w:style>
  <w:style w:type="character" w:customStyle="1" w:styleId="35">
    <w:name w:val="标题 3 字符"/>
    <w:basedOn w:val="17"/>
    <w:link w:val="5"/>
    <w:qFormat/>
    <w:uiPriority w:val="9"/>
    <w:rPr>
      <w:rFonts w:ascii="Times New Roman" w:hAnsi="Times New Roman"/>
      <w:b/>
      <w:bCs/>
      <w:kern w:val="2"/>
      <w:sz w:val="32"/>
      <w:szCs w:val="32"/>
    </w:rPr>
  </w:style>
  <w:style w:type="paragraph" w:customStyle="1" w:styleId="36">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color w:val="000000"/>
      <w:kern w:val="0"/>
      <w:sz w:val="28"/>
      <w:szCs w:val="21"/>
      <w:lang w:val="zh-CN"/>
    </w:rPr>
  </w:style>
  <w:style w:type="paragraph" w:customStyle="1" w:styleId="38">
    <w:name w:val="WPSOffice手动目录 1"/>
    <w:qFormat/>
    <w:uiPriority w:val="0"/>
    <w:rPr>
      <w:rFonts w:ascii="Times New Roman" w:hAnsi="Times New Roman" w:eastAsia="宋体" w:cs="Times New Roman"/>
      <w:lang w:val="en-US" w:eastAsia="zh-CN" w:bidi="ar-SA"/>
    </w:rPr>
  </w:style>
  <w:style w:type="paragraph" w:customStyle="1" w:styleId="3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0">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16</Pages>
  <Words>4283</Words>
  <Characters>4740</Characters>
  <Lines>47</Lines>
  <Paragraphs>13</Paragraphs>
  <TotalTime>21</TotalTime>
  <ScaleCrop>false</ScaleCrop>
  <LinksUpToDate>false</LinksUpToDate>
  <CharactersWithSpaces>5044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2020-08-09T17:49:00Z</dcterms:created>
  <dc:creator>曹颖</dc:creator>
  <cp:lastModifiedBy>Administrator</cp:lastModifiedBy>
  <cp:lastPrinted>2025-09-02T16:15:00Z</cp:lastPrinted>
  <dcterms:modified xsi:type="dcterms:W3CDTF">2025-09-10T00:40:24Z</dcterms:modified>
  <dc:title>四川省***</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2F17F130BE1F4F5B990555634FB27960_13</vt:lpwstr>
  </property>
  <property fmtid="{D5CDD505-2E9C-101B-9397-08002B2CF9AE}" pid="4" name="KSOTemplateDocerSaveRecord">
    <vt:lpwstr>eyJoZGlkIjoiOGIyMWRkODk1YzA5YjM2YmI4Zjk0MjRiNDI4MDMwOTgiLCJ1c2VySWQiOiIxNDM1MTEyNzA3In0=</vt:lpwstr>
  </property>
</Properties>
</file>