
<file path=[Content_Types].xml><?xml version="1.0" encoding="utf-8"?>
<Types xmlns="http://schemas.openxmlformats.org/package/2006/content-types">
  <Default Extension="xml" ContentType="application/xml"/>
  <Default Extension="xlsx" ContentType="application/vnd.openxmlformats-officedocument.spreadsheetml.sheet"/>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colors7.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charts/style7.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jc w:val="both"/>
        <w:rPr>
          <w:rFonts w:hint="eastAsia" w:ascii="Times New Roman" w:hAnsi="Times New Roman" w:eastAsia="方正小标宋简体" w:cs="Times New Roman"/>
          <w:color w:val="auto"/>
          <w:kern w:val="2"/>
          <w:sz w:val="44"/>
          <w:szCs w:val="44"/>
          <w:highlight w:val="none"/>
          <w:lang w:val="en-US" w:eastAsia="zh-CN" w:bidi="ar-SA"/>
        </w:rPr>
      </w:pPr>
      <w:bookmarkStart w:id="0" w:name="_Toc15377425"/>
      <w:bookmarkStart w:id="1" w:name="_Toc15396597"/>
      <w:bookmarkStart w:id="2" w:name="_Toc15378441"/>
      <w:bookmarkStart w:id="3" w:name="_Toc15396475"/>
      <w:bookmarkStart w:id="4" w:name="_Toc15377193"/>
      <w:bookmarkStart w:id="5" w:name="_Toc15306267"/>
    </w:p>
    <w:p>
      <w:pPr>
        <w:pStyle w:val="8"/>
        <w:jc w:val="center"/>
        <w:rPr>
          <w:rFonts w:hint="eastAsia" w:ascii="Times New Roman" w:hAnsi="Times New Roman" w:eastAsia="方正小标宋简体" w:cs="Times New Roman"/>
          <w:color w:val="auto"/>
          <w:kern w:val="2"/>
          <w:sz w:val="44"/>
          <w:szCs w:val="44"/>
          <w:highlight w:val="none"/>
          <w:lang w:val="en-US" w:eastAsia="zh-CN" w:bidi="ar-SA"/>
        </w:rPr>
      </w:pPr>
    </w:p>
    <w:p>
      <w:pPr>
        <w:pStyle w:val="8"/>
        <w:jc w:val="center"/>
        <w:rPr>
          <w:rFonts w:hint="eastAsia" w:ascii="Times New Roman" w:hAnsi="Times New Roman" w:eastAsia="方正小标宋简体" w:cs="Times New Roman"/>
          <w:color w:val="auto"/>
          <w:kern w:val="2"/>
          <w:sz w:val="44"/>
          <w:szCs w:val="44"/>
          <w:highlight w:val="none"/>
          <w:lang w:val="en-US" w:eastAsia="zh-CN" w:bidi="ar-SA"/>
        </w:rPr>
      </w:pPr>
    </w:p>
    <w:p>
      <w:pPr>
        <w:pStyle w:val="8"/>
        <w:jc w:val="center"/>
        <w:rPr>
          <w:rFonts w:hint="eastAsia" w:ascii="Times New Roman" w:hAnsi="Times New Roman" w:eastAsia="方正小标宋简体" w:cs="Times New Roman"/>
          <w:color w:val="auto"/>
          <w:kern w:val="2"/>
          <w:sz w:val="44"/>
          <w:szCs w:val="44"/>
          <w:highlight w:val="none"/>
          <w:lang w:val="en-US" w:eastAsia="zh-CN" w:bidi="ar-SA"/>
        </w:rPr>
      </w:pPr>
    </w:p>
    <w:bookmarkEnd w:id="0"/>
    <w:bookmarkEnd w:id="1"/>
    <w:bookmarkEnd w:id="2"/>
    <w:bookmarkEnd w:id="3"/>
    <w:bookmarkEnd w:id="4"/>
    <w:p>
      <w:pPr>
        <w:pStyle w:val="8"/>
        <w:jc w:val="center"/>
        <w:rPr>
          <w:rFonts w:hint="eastAsia" w:ascii="Times New Roman" w:eastAsia="方正小标宋简体" w:cs="Times New Roman"/>
          <w:color w:val="auto"/>
          <w:kern w:val="2"/>
          <w:sz w:val="44"/>
          <w:szCs w:val="44"/>
          <w:highlight w:val="none"/>
          <w:lang w:val="en-US" w:eastAsia="zh-CN" w:bidi="ar-SA"/>
        </w:rPr>
      </w:pPr>
      <w:bookmarkStart w:id="6" w:name="_Toc15378442"/>
      <w:bookmarkStart w:id="7" w:name="_Toc15396476"/>
      <w:bookmarkStart w:id="8" w:name="_Toc15377194"/>
      <w:bookmarkStart w:id="9" w:name="_Toc15377426"/>
      <w:bookmarkStart w:id="10" w:name="_Toc15396598"/>
      <w:r>
        <w:rPr>
          <w:rFonts w:hint="eastAsia" w:ascii="Times New Roman" w:hAnsi="Times New Roman" w:eastAsia="方正小标宋简体" w:cs="Times New Roman"/>
          <w:color w:val="auto"/>
          <w:kern w:val="2"/>
          <w:sz w:val="44"/>
          <w:szCs w:val="44"/>
          <w:highlight w:val="none"/>
          <w:lang w:val="en-US" w:eastAsia="zh-CN" w:bidi="ar-SA"/>
        </w:rPr>
        <w:t>2024年度四川</w:t>
      </w:r>
      <w:bookmarkEnd w:id="5"/>
      <w:bookmarkStart w:id="11" w:name="_Toc15306268"/>
      <w:r>
        <w:rPr>
          <w:rFonts w:hint="eastAsia" w:ascii="Times New Roman" w:eastAsia="方正小标宋简体" w:cs="Times New Roman"/>
          <w:color w:val="auto"/>
          <w:kern w:val="2"/>
          <w:sz w:val="44"/>
          <w:szCs w:val="44"/>
          <w:highlight w:val="none"/>
          <w:lang w:val="en-US" w:eastAsia="zh-CN" w:bidi="ar-SA"/>
        </w:rPr>
        <w:t>理工技师学院</w:t>
      </w:r>
    </w:p>
    <w:p>
      <w:pPr>
        <w:pStyle w:val="8"/>
        <w:jc w:val="center"/>
        <w:rPr>
          <w:rFonts w:hint="eastAsia" w:ascii="Times New Roman" w:hAnsi="Times New Roman" w:eastAsia="方正小标宋简体" w:cs="Times New Roman"/>
          <w:color w:val="auto"/>
          <w:kern w:val="2"/>
          <w:sz w:val="44"/>
          <w:szCs w:val="44"/>
          <w:highlight w:val="none"/>
          <w:lang w:val="en-US" w:eastAsia="zh-CN" w:bidi="ar-SA"/>
        </w:rPr>
      </w:pPr>
      <w:r>
        <w:rPr>
          <w:rFonts w:hint="eastAsia" w:ascii="Times New Roman" w:eastAsia="方正小标宋简体" w:cs="Times New Roman"/>
          <w:color w:val="auto"/>
          <w:kern w:val="2"/>
          <w:sz w:val="44"/>
          <w:szCs w:val="44"/>
          <w:highlight w:val="none"/>
          <w:lang w:val="en-US" w:eastAsia="zh-CN" w:bidi="ar-SA"/>
        </w:rPr>
        <w:t>单位</w:t>
      </w:r>
      <w:r>
        <w:rPr>
          <w:rFonts w:hint="eastAsia" w:ascii="Times New Roman" w:hAnsi="Times New Roman" w:eastAsia="方正小标宋简体" w:cs="Times New Roman"/>
          <w:color w:val="auto"/>
          <w:kern w:val="2"/>
          <w:sz w:val="44"/>
          <w:szCs w:val="44"/>
          <w:highlight w:val="none"/>
          <w:lang w:val="en-US" w:eastAsia="zh-CN" w:bidi="ar-SA"/>
        </w:rPr>
        <w:t>决算</w:t>
      </w:r>
      <w:bookmarkEnd w:id="6"/>
      <w:bookmarkEnd w:id="7"/>
      <w:bookmarkEnd w:id="8"/>
      <w:bookmarkEnd w:id="9"/>
      <w:bookmarkEnd w:id="10"/>
      <w:bookmarkEnd w:id="11"/>
    </w:p>
    <w:p>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720" w:firstLineChars="200"/>
        <w:jc w:val="left"/>
        <w:textAlignment w:val="auto"/>
        <w:rPr>
          <w:rFonts w:hint="eastAsia" w:ascii="Times New Roman" w:hAnsi="Times New Roman" w:eastAsia="仿宋_GB2312" w:cs="仿宋_GB2312"/>
          <w:color w:val="auto"/>
          <w:sz w:val="32"/>
          <w:szCs w:val="32"/>
          <w:highlight w:val="none"/>
        </w:rPr>
      </w:pPr>
      <w:r>
        <w:rPr>
          <w:rFonts w:ascii="Times New Roman" w:hAnsi="Times New Roman" w:eastAsia="方正小标宋简体"/>
          <w:color w:val="auto"/>
          <w:sz w:val="36"/>
          <w:szCs w:val="36"/>
          <w:highlight w:val="none"/>
        </w:rPr>
        <w:br w:type="page"/>
      </w:r>
    </w:p>
    <w:sdt>
      <w:sdtPr>
        <w:rPr>
          <w:rFonts w:ascii="宋体" w:hAnsi="宋体" w:eastAsia="宋体" w:cs="Times New Roman"/>
          <w:kern w:val="2"/>
          <w:sz w:val="21"/>
          <w:szCs w:val="24"/>
          <w:lang w:val="en-US" w:eastAsia="zh-CN" w:bidi="ar-SA"/>
        </w:rPr>
        <w:id w:val="147470646"/>
        <w15:color w:val="DBDBDB"/>
        <w:docPartObj>
          <w:docPartGallery w:val="Table of Contents"/>
          <w:docPartUnique/>
        </w:docPartObj>
      </w:sdtPr>
      <w:sdtEndPr>
        <w:rPr>
          <w:rFonts w:hint="eastAsia" w:ascii="Times New Roman" w:hAnsi="Times New Roman" w:eastAsia="宋体" w:cs="Times New Roman"/>
          <w:kern w:val="2"/>
          <w:sz w:val="21"/>
          <w:szCs w:val="24"/>
          <w:lang w:val="en-US" w:eastAsia="zh-CN" w:bidi="ar-SA"/>
        </w:rPr>
      </w:sdtEndPr>
      <w:sdtContent>
        <w:p>
          <w:pPr>
            <w:widowControl/>
            <w:jc w:val="center"/>
            <w:rPr>
              <w:rFonts w:ascii="Times New Roman" w:hAnsi="Times New Roman" w:eastAsia="黑体"/>
              <w:color w:val="auto"/>
              <w:sz w:val="48"/>
              <w:szCs w:val="48"/>
              <w:highlight w:val="none"/>
            </w:rPr>
          </w:pPr>
          <w:r>
            <w:rPr>
              <w:rFonts w:hint="eastAsia" w:ascii="Times New Roman" w:hAnsi="Times New Roman" w:eastAsia="黑体"/>
              <w:color w:val="auto"/>
              <w:sz w:val="48"/>
              <w:szCs w:val="48"/>
              <w:highlight w:val="none"/>
            </w:rPr>
            <w:t>目录</w:t>
          </w:r>
        </w:p>
        <w:p>
          <w:pPr>
            <w:widowControl/>
            <w:jc w:val="center"/>
            <w:rPr>
              <w:rFonts w:ascii="Times New Roman" w:hAnsi="Times New Roman" w:eastAsia="黑体" w:cstheme="minorBidi"/>
              <w:color w:val="auto"/>
              <w:sz w:val="28"/>
              <w:szCs w:val="28"/>
              <w:highlight w:val="none"/>
            </w:rPr>
          </w:pPr>
        </w:p>
        <w:p>
          <w:pPr>
            <w:pStyle w:val="13"/>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公开时间：20</w:t>
          </w:r>
          <w:r>
            <w:rPr>
              <w:rFonts w:hint="eastAsia" w:ascii="Times New Roman" w:hAnsi="Times New Roman" w:eastAsia="仿宋_GB2312" w:cs="仿宋_GB2312"/>
              <w:color w:val="auto"/>
              <w:sz w:val="32"/>
              <w:szCs w:val="32"/>
              <w:highlight w:val="none"/>
              <w:lang w:val="en-US" w:eastAsia="zh-CN"/>
            </w:rPr>
            <w:t>25</w:t>
          </w:r>
          <w:r>
            <w:rPr>
              <w:rFonts w:hint="eastAsia" w:ascii="Times New Roman" w:hAnsi="Times New Roman" w:eastAsia="仿宋_GB2312" w:cs="仿宋_GB2312"/>
              <w:color w:val="auto"/>
              <w:sz w:val="32"/>
              <w:szCs w:val="32"/>
              <w:highlight w:val="none"/>
            </w:rPr>
            <w:t>年</w:t>
          </w:r>
          <w:r>
            <w:rPr>
              <w:rFonts w:hint="eastAsia" w:ascii="Times New Roman" w:hAnsi="Times New Roman" w:eastAsia="仿宋_GB2312" w:cs="仿宋_GB2312"/>
              <w:color w:val="auto"/>
              <w:sz w:val="32"/>
              <w:szCs w:val="32"/>
              <w:highlight w:val="none"/>
              <w:lang w:val="en-US" w:eastAsia="zh-CN"/>
            </w:rPr>
            <w:t>9</w:t>
          </w:r>
          <w:r>
            <w:rPr>
              <w:rFonts w:hint="eastAsia" w:ascii="Times New Roman" w:hAnsi="Times New Roman" w:eastAsia="仿宋_GB2312" w:cs="仿宋_GB2312"/>
              <w:color w:val="auto"/>
              <w:sz w:val="32"/>
              <w:szCs w:val="32"/>
              <w:highlight w:val="none"/>
            </w:rPr>
            <w:t>月</w:t>
          </w:r>
          <w:r>
            <w:rPr>
              <w:rFonts w:hint="eastAsia" w:ascii="Times New Roman" w:hAnsi="Times New Roman" w:eastAsia="仿宋_GB2312" w:cs="仿宋_GB2312"/>
              <w:color w:val="auto"/>
              <w:sz w:val="32"/>
              <w:szCs w:val="32"/>
              <w:highlight w:val="none"/>
              <w:lang w:val="en-US" w:eastAsia="zh-CN"/>
            </w:rPr>
            <w:t>12</w:t>
          </w:r>
          <w:r>
            <w:rPr>
              <w:rFonts w:hint="eastAsia" w:ascii="Times New Roman" w:hAnsi="Times New Roman" w:eastAsia="仿宋_GB2312" w:cs="仿宋_GB2312"/>
              <w:color w:val="auto"/>
              <w:sz w:val="32"/>
              <w:szCs w:val="32"/>
              <w:highlight w:val="none"/>
            </w:rPr>
            <w:t>日</w:t>
          </w:r>
        </w:p>
        <w:p>
          <w:pPr>
            <w:rPr>
              <w:rFonts w:ascii="Times New Roman" w:hAnsi="Times New Roman"/>
              <w:color w:val="auto"/>
              <w:highlight w:val="none"/>
            </w:rPr>
          </w:pPr>
        </w:p>
        <w:p>
          <w:pPr>
            <w:spacing w:before="0" w:beforeLines="0" w:after="0" w:afterLines="0" w:line="240" w:lineRule="auto"/>
            <w:ind w:left="0" w:leftChars="0" w:right="0" w:rightChars="0" w:firstLine="0" w:firstLineChars="0"/>
            <w:jc w:val="center"/>
          </w:pPr>
        </w:p>
        <w:p>
          <w:pPr>
            <w:pStyle w:val="13"/>
            <w:keepNext w:val="0"/>
            <w:keepLines w:val="0"/>
            <w:pageBreakBefore w:val="0"/>
            <w:widowControl w:val="0"/>
            <w:tabs>
              <w:tab w:val="right" w:leader="dot" w:pos="8306"/>
              <w:tab w:val="clear" w:pos="8296"/>
            </w:tabs>
            <w:kinsoku/>
            <w:wordWrap/>
            <w:overflowPunct/>
            <w:topLinePunct w:val="0"/>
            <w:autoSpaceDE/>
            <w:autoSpaceDN/>
            <w:bidi w:val="0"/>
            <w:spacing w:line="560" w:lineRule="exact"/>
            <w:textAlignment w:val="auto"/>
            <w:rPr>
              <w:rFonts w:hint="eastAsia" w:ascii="Times New Roman" w:hAnsi="Times New Roman" w:eastAsia="黑体" w:cs="黑体"/>
              <w:color w:val="auto"/>
              <w:sz w:val="32"/>
              <w:szCs w:val="32"/>
              <w:highlight w:val="none"/>
            </w:rPr>
          </w:pPr>
          <w:r>
            <w:rPr>
              <w:rFonts w:hint="eastAsia"/>
            </w:rPr>
            <w:fldChar w:fldCharType="begin"/>
          </w:r>
          <w:r>
            <w:rPr>
              <w:rFonts w:hint="eastAsia"/>
            </w:rPr>
            <w:instrText xml:space="preserve">TOC \o "1-3" \h \u </w:instrText>
          </w:r>
          <w:r>
            <w:rPr>
              <w:rFonts w:hint="eastAsia"/>
            </w:rPr>
            <w:fldChar w:fldCharType="separate"/>
          </w:r>
          <w:r>
            <w:rPr>
              <w:rFonts w:hint="eastAsia" w:ascii="Times New Roman" w:hAnsi="Times New Roman" w:eastAsia="黑体" w:cs="黑体"/>
              <w:color w:val="auto"/>
              <w:sz w:val="32"/>
              <w:szCs w:val="32"/>
              <w:highlight w:val="none"/>
            </w:rPr>
            <w:fldChar w:fldCharType="begin"/>
          </w:r>
          <w:r>
            <w:rPr>
              <w:rFonts w:hint="eastAsia" w:ascii="Times New Roman" w:hAnsi="Times New Roman" w:eastAsia="黑体" w:cs="黑体"/>
              <w:color w:val="auto"/>
              <w:sz w:val="32"/>
              <w:szCs w:val="32"/>
              <w:highlight w:val="none"/>
            </w:rPr>
            <w:instrText xml:space="preserve"> HYPERLINK \l _Toc15245 </w:instrText>
          </w:r>
          <w:r>
            <w:rPr>
              <w:rFonts w:hint="eastAsia" w:ascii="Times New Roman" w:hAnsi="Times New Roman" w:eastAsia="黑体" w:cs="黑体"/>
              <w:color w:val="auto"/>
              <w:sz w:val="32"/>
              <w:szCs w:val="32"/>
              <w:highlight w:val="none"/>
            </w:rPr>
            <w:fldChar w:fldCharType="separate"/>
          </w:r>
          <w:r>
            <w:rPr>
              <w:rFonts w:hint="eastAsia" w:ascii="Times New Roman" w:hAnsi="Times New Roman" w:eastAsia="黑体" w:cs="黑体"/>
              <w:color w:val="auto"/>
              <w:sz w:val="32"/>
              <w:szCs w:val="32"/>
              <w:highlight w:val="none"/>
            </w:rPr>
            <w:t>第一部分</w:t>
          </w:r>
          <w:r>
            <w:rPr>
              <w:rFonts w:hint="eastAsia" w:ascii="Times New Roman" w:hAnsi="Times New Roman" w:eastAsia="黑体" w:cs="黑体"/>
              <w:color w:val="auto"/>
              <w:sz w:val="32"/>
              <w:szCs w:val="32"/>
              <w:highlight w:val="none"/>
              <w:lang w:val="en-US" w:eastAsia="zh-CN"/>
            </w:rPr>
            <w:t xml:space="preserve"> 单位</w:t>
          </w:r>
          <w:r>
            <w:rPr>
              <w:rFonts w:hint="eastAsia" w:ascii="Times New Roman" w:hAnsi="Times New Roman" w:eastAsia="黑体" w:cs="黑体"/>
              <w:color w:val="auto"/>
              <w:sz w:val="32"/>
              <w:szCs w:val="32"/>
              <w:highlight w:val="none"/>
            </w:rPr>
            <w:t>概况</w:t>
          </w:r>
          <w:r>
            <w:rPr>
              <w:rFonts w:hint="eastAsia" w:ascii="Times New Roman" w:hAnsi="Times New Roman" w:eastAsia="黑体" w:cs="黑体"/>
              <w:color w:val="auto"/>
              <w:sz w:val="32"/>
              <w:szCs w:val="32"/>
              <w:highlight w:val="none"/>
            </w:rPr>
            <w:tab/>
          </w:r>
          <w:r>
            <w:rPr>
              <w:rFonts w:hint="eastAsia" w:ascii="Times New Roman" w:hAnsi="Times New Roman" w:eastAsia="黑体" w:cs="黑体"/>
              <w:color w:val="auto"/>
              <w:sz w:val="32"/>
              <w:szCs w:val="32"/>
              <w:highlight w:val="none"/>
            </w:rPr>
            <w:fldChar w:fldCharType="begin"/>
          </w:r>
          <w:r>
            <w:rPr>
              <w:rFonts w:hint="eastAsia" w:ascii="Times New Roman" w:hAnsi="Times New Roman" w:eastAsia="黑体" w:cs="黑体"/>
              <w:color w:val="auto"/>
              <w:sz w:val="32"/>
              <w:szCs w:val="32"/>
              <w:highlight w:val="none"/>
            </w:rPr>
            <w:instrText xml:space="preserve"> PAGEREF _Toc15245 \h </w:instrText>
          </w:r>
          <w:r>
            <w:rPr>
              <w:rFonts w:hint="eastAsia" w:ascii="Times New Roman" w:hAnsi="Times New Roman" w:eastAsia="黑体" w:cs="黑体"/>
              <w:color w:val="auto"/>
              <w:sz w:val="32"/>
              <w:szCs w:val="32"/>
              <w:highlight w:val="none"/>
            </w:rPr>
            <w:fldChar w:fldCharType="separate"/>
          </w:r>
          <w:r>
            <w:rPr>
              <w:rFonts w:hint="eastAsia" w:ascii="Times New Roman" w:hAnsi="Times New Roman" w:eastAsia="黑体" w:cs="黑体"/>
              <w:color w:val="auto"/>
              <w:sz w:val="32"/>
              <w:szCs w:val="32"/>
              <w:highlight w:val="none"/>
            </w:rPr>
            <w:t>1</w:t>
          </w:r>
          <w:r>
            <w:rPr>
              <w:rFonts w:hint="eastAsia" w:ascii="Times New Roman" w:hAnsi="Times New Roman" w:eastAsia="黑体" w:cs="黑体"/>
              <w:color w:val="auto"/>
              <w:sz w:val="32"/>
              <w:szCs w:val="32"/>
              <w:highlight w:val="none"/>
            </w:rPr>
            <w:fldChar w:fldCharType="end"/>
          </w:r>
          <w:r>
            <w:rPr>
              <w:rFonts w:hint="eastAsia" w:ascii="Times New Roman" w:hAnsi="Times New Roman" w:eastAsia="黑体" w:cs="黑体"/>
              <w:color w:val="auto"/>
              <w:sz w:val="32"/>
              <w:szCs w:val="32"/>
              <w:highlight w:val="none"/>
            </w:rPr>
            <w:fldChar w:fldCharType="end"/>
          </w:r>
        </w:p>
        <w:p>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fldChar w:fldCharType="begin"/>
          </w:r>
          <w:r>
            <w:rPr>
              <w:rFonts w:hint="eastAsia" w:ascii="Times New Roman" w:hAnsi="Times New Roman" w:eastAsia="仿宋_GB2312" w:cs="仿宋_GB2312"/>
              <w:color w:val="auto"/>
              <w:sz w:val="32"/>
              <w:szCs w:val="32"/>
              <w:highlight w:val="none"/>
            </w:rPr>
            <w:instrText xml:space="preserve"> HYPERLINK \l _Toc14482 </w:instrText>
          </w:r>
          <w:r>
            <w:rPr>
              <w:rFonts w:hint="eastAsia" w:ascii="Times New Roman" w:hAnsi="Times New Roman" w:eastAsia="仿宋_GB2312" w:cs="仿宋_GB2312"/>
              <w:color w:val="auto"/>
              <w:sz w:val="32"/>
              <w:szCs w:val="32"/>
              <w:highlight w:val="none"/>
            </w:rPr>
            <w:fldChar w:fldCharType="separate"/>
          </w:r>
          <w:r>
            <w:rPr>
              <w:rFonts w:hint="eastAsia" w:ascii="Times New Roman" w:hAnsi="Times New Roman" w:eastAsia="仿宋_GB2312" w:cs="仿宋_GB2312"/>
              <w:color w:val="auto"/>
              <w:sz w:val="32"/>
              <w:szCs w:val="32"/>
              <w:highlight w:val="none"/>
              <w:lang w:eastAsia="zh-CN"/>
            </w:rPr>
            <w:t>一、</w:t>
          </w:r>
          <w:r>
            <w:rPr>
              <w:rFonts w:hint="eastAsia" w:ascii="Times New Roman" w:hAnsi="Times New Roman" w:eastAsia="仿宋_GB2312" w:cs="仿宋_GB2312"/>
              <w:color w:val="auto"/>
              <w:sz w:val="32"/>
              <w:szCs w:val="32"/>
              <w:highlight w:val="none"/>
              <w:lang w:val="en-US" w:eastAsia="zh-CN"/>
            </w:rPr>
            <w:t>主要</w:t>
          </w:r>
          <w:r>
            <w:rPr>
              <w:rFonts w:hint="eastAsia" w:ascii="Times New Roman" w:hAnsi="Times New Roman" w:eastAsia="仿宋_GB2312" w:cs="仿宋_GB2312"/>
              <w:color w:val="auto"/>
              <w:sz w:val="32"/>
              <w:szCs w:val="32"/>
              <w:highlight w:val="none"/>
              <w:lang w:eastAsia="zh-CN"/>
            </w:rPr>
            <w:t>职责</w:t>
          </w:r>
          <w:r>
            <w:rPr>
              <w:rFonts w:hint="eastAsia" w:ascii="Times New Roman" w:hAnsi="Times New Roman" w:eastAsia="仿宋_GB2312" w:cs="仿宋_GB2312"/>
              <w:color w:val="auto"/>
              <w:sz w:val="32"/>
              <w:szCs w:val="32"/>
              <w:highlight w:val="none"/>
            </w:rPr>
            <w:tab/>
          </w:r>
          <w:r>
            <w:rPr>
              <w:rFonts w:hint="eastAsia" w:ascii="Times New Roman" w:hAnsi="Times New Roman" w:eastAsia="仿宋_GB2312" w:cs="仿宋_GB2312"/>
              <w:color w:val="auto"/>
              <w:sz w:val="32"/>
              <w:szCs w:val="32"/>
              <w:highlight w:val="none"/>
            </w:rPr>
            <w:fldChar w:fldCharType="begin"/>
          </w:r>
          <w:r>
            <w:rPr>
              <w:rFonts w:hint="eastAsia" w:ascii="Times New Roman" w:hAnsi="Times New Roman" w:eastAsia="仿宋_GB2312" w:cs="仿宋_GB2312"/>
              <w:color w:val="auto"/>
              <w:sz w:val="32"/>
              <w:szCs w:val="32"/>
              <w:highlight w:val="none"/>
            </w:rPr>
            <w:instrText xml:space="preserve"> PAGEREF _Toc14482 \h </w:instrText>
          </w:r>
          <w:r>
            <w:rPr>
              <w:rFonts w:hint="eastAsia" w:ascii="Times New Roman" w:hAnsi="Times New Roman" w:eastAsia="仿宋_GB2312" w:cs="仿宋_GB2312"/>
              <w:color w:val="auto"/>
              <w:sz w:val="32"/>
              <w:szCs w:val="32"/>
              <w:highlight w:val="none"/>
            </w:rPr>
            <w:fldChar w:fldCharType="separate"/>
          </w:r>
          <w:r>
            <w:rPr>
              <w:rFonts w:hint="eastAsia" w:ascii="Times New Roman" w:hAnsi="Times New Roman" w:eastAsia="仿宋_GB2312" w:cs="仿宋_GB2312"/>
              <w:color w:val="auto"/>
              <w:sz w:val="32"/>
              <w:szCs w:val="32"/>
              <w:highlight w:val="none"/>
            </w:rPr>
            <w:t>1</w:t>
          </w:r>
          <w:r>
            <w:rPr>
              <w:rFonts w:hint="eastAsia" w:ascii="Times New Roman" w:hAnsi="Times New Roman" w:eastAsia="仿宋_GB2312" w:cs="仿宋_GB2312"/>
              <w:color w:val="auto"/>
              <w:sz w:val="32"/>
              <w:szCs w:val="32"/>
              <w:highlight w:val="none"/>
            </w:rPr>
            <w:fldChar w:fldCharType="end"/>
          </w:r>
          <w:r>
            <w:rPr>
              <w:rFonts w:hint="eastAsia" w:ascii="Times New Roman" w:hAnsi="Times New Roman" w:eastAsia="仿宋_GB2312" w:cs="仿宋_GB2312"/>
              <w:color w:val="auto"/>
              <w:sz w:val="32"/>
              <w:szCs w:val="32"/>
              <w:highlight w:val="none"/>
            </w:rPr>
            <w:fldChar w:fldCharType="end"/>
          </w:r>
        </w:p>
        <w:p>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pPr>
          <w:r>
            <w:rPr>
              <w:rFonts w:hint="eastAsia" w:ascii="Times New Roman" w:hAnsi="Times New Roman" w:eastAsia="仿宋_GB2312" w:cs="仿宋_GB2312"/>
              <w:color w:val="auto"/>
              <w:sz w:val="32"/>
              <w:szCs w:val="32"/>
              <w:highlight w:val="none"/>
            </w:rPr>
            <w:fldChar w:fldCharType="begin"/>
          </w:r>
          <w:r>
            <w:rPr>
              <w:rFonts w:hint="eastAsia" w:ascii="Times New Roman" w:hAnsi="Times New Roman" w:eastAsia="仿宋_GB2312" w:cs="仿宋_GB2312"/>
              <w:color w:val="auto"/>
              <w:sz w:val="32"/>
              <w:szCs w:val="32"/>
              <w:highlight w:val="none"/>
            </w:rPr>
            <w:instrText xml:space="preserve"> HYPERLINK \l _Toc10295 </w:instrText>
          </w:r>
          <w:r>
            <w:rPr>
              <w:rFonts w:hint="eastAsia" w:ascii="Times New Roman" w:hAnsi="Times New Roman" w:eastAsia="仿宋_GB2312" w:cs="仿宋_GB2312"/>
              <w:color w:val="auto"/>
              <w:sz w:val="32"/>
              <w:szCs w:val="32"/>
              <w:highlight w:val="none"/>
            </w:rPr>
            <w:fldChar w:fldCharType="separate"/>
          </w:r>
          <w:r>
            <w:rPr>
              <w:rFonts w:hint="eastAsia" w:ascii="Times New Roman" w:hAnsi="Times New Roman" w:eastAsia="仿宋_GB2312" w:cs="仿宋_GB2312"/>
              <w:color w:val="auto"/>
              <w:sz w:val="32"/>
              <w:szCs w:val="32"/>
              <w:highlight w:val="none"/>
            </w:rPr>
            <w:t>二、机构设置</w:t>
          </w:r>
          <w:r>
            <w:rPr>
              <w:rFonts w:hint="eastAsia" w:ascii="Times New Roman" w:hAnsi="Times New Roman" w:eastAsia="仿宋_GB2312" w:cs="仿宋_GB2312"/>
              <w:color w:val="auto"/>
              <w:sz w:val="32"/>
              <w:szCs w:val="32"/>
              <w:highlight w:val="none"/>
            </w:rPr>
            <w:tab/>
          </w:r>
          <w:r>
            <w:rPr>
              <w:rFonts w:hint="eastAsia" w:ascii="Times New Roman" w:hAnsi="Times New Roman" w:eastAsia="仿宋_GB2312" w:cs="仿宋_GB2312"/>
              <w:color w:val="auto"/>
              <w:sz w:val="32"/>
              <w:szCs w:val="32"/>
              <w:highlight w:val="none"/>
            </w:rPr>
            <w:fldChar w:fldCharType="begin"/>
          </w:r>
          <w:r>
            <w:rPr>
              <w:rFonts w:hint="eastAsia" w:ascii="Times New Roman" w:hAnsi="Times New Roman" w:eastAsia="仿宋_GB2312" w:cs="仿宋_GB2312"/>
              <w:color w:val="auto"/>
              <w:sz w:val="32"/>
              <w:szCs w:val="32"/>
              <w:highlight w:val="none"/>
            </w:rPr>
            <w:instrText xml:space="preserve"> PAGEREF _Toc10295 \h </w:instrText>
          </w:r>
          <w:r>
            <w:rPr>
              <w:rFonts w:hint="eastAsia" w:ascii="Times New Roman" w:hAnsi="Times New Roman" w:eastAsia="仿宋_GB2312" w:cs="仿宋_GB2312"/>
              <w:color w:val="auto"/>
              <w:sz w:val="32"/>
              <w:szCs w:val="32"/>
              <w:highlight w:val="none"/>
            </w:rPr>
            <w:fldChar w:fldCharType="separate"/>
          </w:r>
          <w:r>
            <w:rPr>
              <w:rFonts w:hint="eastAsia" w:ascii="Times New Roman" w:hAnsi="Times New Roman" w:eastAsia="仿宋_GB2312" w:cs="仿宋_GB2312"/>
              <w:color w:val="auto"/>
              <w:sz w:val="32"/>
              <w:szCs w:val="32"/>
              <w:highlight w:val="none"/>
            </w:rPr>
            <w:t>2</w:t>
          </w:r>
          <w:r>
            <w:rPr>
              <w:rFonts w:hint="eastAsia" w:ascii="Times New Roman" w:hAnsi="Times New Roman" w:eastAsia="仿宋_GB2312" w:cs="仿宋_GB2312"/>
              <w:color w:val="auto"/>
              <w:sz w:val="32"/>
              <w:szCs w:val="32"/>
              <w:highlight w:val="none"/>
            </w:rPr>
            <w:fldChar w:fldCharType="end"/>
          </w:r>
          <w:r>
            <w:rPr>
              <w:rFonts w:hint="eastAsia" w:ascii="Times New Roman" w:hAnsi="Times New Roman" w:eastAsia="仿宋_GB2312" w:cs="仿宋_GB2312"/>
              <w:color w:val="auto"/>
              <w:sz w:val="32"/>
              <w:szCs w:val="32"/>
              <w:highlight w:val="none"/>
            </w:rPr>
            <w:fldChar w:fldCharType="end"/>
          </w:r>
        </w:p>
        <w:p>
          <w:pPr>
            <w:pStyle w:val="13"/>
            <w:keepNext w:val="0"/>
            <w:keepLines w:val="0"/>
            <w:pageBreakBefore w:val="0"/>
            <w:widowControl w:val="0"/>
            <w:tabs>
              <w:tab w:val="right" w:leader="dot" w:pos="8306"/>
              <w:tab w:val="clear" w:pos="8296"/>
            </w:tabs>
            <w:kinsoku/>
            <w:wordWrap/>
            <w:overflowPunct/>
            <w:topLinePunct w:val="0"/>
            <w:autoSpaceDE/>
            <w:autoSpaceDN/>
            <w:bidi w:val="0"/>
            <w:spacing w:line="560" w:lineRule="exact"/>
            <w:textAlignment w:val="auto"/>
            <w:rPr>
              <w:rFonts w:hint="eastAsia" w:ascii="Times New Roman" w:hAnsi="Times New Roman" w:eastAsia="黑体" w:cs="黑体"/>
              <w:color w:val="auto"/>
              <w:sz w:val="32"/>
              <w:szCs w:val="32"/>
              <w:highlight w:val="none"/>
            </w:rPr>
          </w:pPr>
          <w:r>
            <w:rPr>
              <w:rFonts w:hint="eastAsia" w:ascii="Times New Roman" w:hAnsi="Times New Roman" w:eastAsia="黑体" w:cs="黑体"/>
              <w:color w:val="auto"/>
              <w:sz w:val="32"/>
              <w:szCs w:val="32"/>
              <w:highlight w:val="none"/>
            </w:rPr>
            <w:fldChar w:fldCharType="begin"/>
          </w:r>
          <w:r>
            <w:rPr>
              <w:rFonts w:hint="eastAsia" w:ascii="Times New Roman" w:hAnsi="Times New Roman" w:eastAsia="黑体" w:cs="黑体"/>
              <w:color w:val="auto"/>
              <w:sz w:val="32"/>
              <w:szCs w:val="32"/>
              <w:highlight w:val="none"/>
            </w:rPr>
            <w:instrText xml:space="preserve"> HYPERLINK \l _Toc32024 </w:instrText>
          </w:r>
          <w:r>
            <w:rPr>
              <w:rFonts w:hint="eastAsia" w:ascii="Times New Roman" w:hAnsi="Times New Roman" w:eastAsia="黑体" w:cs="黑体"/>
              <w:color w:val="auto"/>
              <w:sz w:val="32"/>
              <w:szCs w:val="32"/>
              <w:highlight w:val="none"/>
            </w:rPr>
            <w:fldChar w:fldCharType="separate"/>
          </w:r>
          <w:r>
            <w:rPr>
              <w:rFonts w:hint="eastAsia" w:ascii="Times New Roman" w:hAnsi="Times New Roman" w:eastAsia="黑体" w:cs="黑体"/>
              <w:color w:val="auto"/>
              <w:sz w:val="32"/>
              <w:szCs w:val="32"/>
              <w:highlight w:val="none"/>
            </w:rPr>
            <w:t>第二部分</w:t>
          </w:r>
          <w:r>
            <w:rPr>
              <w:rFonts w:hint="eastAsia" w:ascii="Times New Roman" w:hAnsi="Times New Roman" w:eastAsia="黑体" w:cs="黑体"/>
              <w:color w:val="auto"/>
              <w:sz w:val="32"/>
              <w:szCs w:val="32"/>
              <w:highlight w:val="none"/>
              <w:lang w:val="en-US" w:eastAsia="zh-CN"/>
            </w:rPr>
            <w:t xml:space="preserve"> 2024年度</w:t>
          </w:r>
          <w:r>
            <w:rPr>
              <w:rFonts w:hint="eastAsia" w:ascii="Times New Roman" w:hAnsi="Times New Roman" w:eastAsia="黑体" w:cs="黑体"/>
              <w:color w:val="auto"/>
              <w:sz w:val="32"/>
              <w:szCs w:val="32"/>
              <w:highlight w:val="none"/>
              <w:lang w:eastAsia="zh-CN"/>
            </w:rPr>
            <w:t>单位</w:t>
          </w:r>
          <w:r>
            <w:rPr>
              <w:rFonts w:hint="eastAsia" w:ascii="Times New Roman" w:hAnsi="Times New Roman" w:eastAsia="黑体" w:cs="黑体"/>
              <w:color w:val="auto"/>
              <w:sz w:val="32"/>
              <w:szCs w:val="32"/>
              <w:highlight w:val="none"/>
            </w:rPr>
            <w:t>决算情况说明</w:t>
          </w:r>
          <w:r>
            <w:rPr>
              <w:rFonts w:hint="eastAsia" w:ascii="Times New Roman" w:hAnsi="Times New Roman" w:eastAsia="黑体" w:cs="黑体"/>
              <w:color w:val="auto"/>
              <w:sz w:val="32"/>
              <w:szCs w:val="32"/>
              <w:highlight w:val="none"/>
            </w:rPr>
            <w:tab/>
          </w:r>
          <w:r>
            <w:rPr>
              <w:rFonts w:hint="eastAsia" w:ascii="Times New Roman" w:hAnsi="Times New Roman" w:eastAsia="黑体" w:cs="黑体"/>
              <w:color w:val="auto"/>
              <w:sz w:val="32"/>
              <w:szCs w:val="32"/>
              <w:highlight w:val="none"/>
            </w:rPr>
            <w:fldChar w:fldCharType="begin"/>
          </w:r>
          <w:r>
            <w:rPr>
              <w:rFonts w:hint="eastAsia" w:ascii="Times New Roman" w:hAnsi="Times New Roman" w:eastAsia="黑体" w:cs="黑体"/>
              <w:color w:val="auto"/>
              <w:sz w:val="32"/>
              <w:szCs w:val="32"/>
              <w:highlight w:val="none"/>
            </w:rPr>
            <w:instrText xml:space="preserve"> PAGEREF _Toc32024 \h </w:instrText>
          </w:r>
          <w:r>
            <w:rPr>
              <w:rFonts w:hint="eastAsia" w:ascii="Times New Roman" w:hAnsi="Times New Roman" w:eastAsia="黑体" w:cs="黑体"/>
              <w:color w:val="auto"/>
              <w:sz w:val="32"/>
              <w:szCs w:val="32"/>
              <w:highlight w:val="none"/>
            </w:rPr>
            <w:fldChar w:fldCharType="separate"/>
          </w:r>
          <w:r>
            <w:rPr>
              <w:rFonts w:hint="eastAsia" w:ascii="Times New Roman" w:hAnsi="Times New Roman" w:eastAsia="黑体" w:cs="黑体"/>
              <w:color w:val="auto"/>
              <w:sz w:val="32"/>
              <w:szCs w:val="32"/>
              <w:highlight w:val="none"/>
            </w:rPr>
            <w:t>3</w:t>
          </w:r>
          <w:r>
            <w:rPr>
              <w:rFonts w:hint="eastAsia" w:ascii="Times New Roman" w:hAnsi="Times New Roman" w:eastAsia="黑体" w:cs="黑体"/>
              <w:color w:val="auto"/>
              <w:sz w:val="32"/>
              <w:szCs w:val="32"/>
              <w:highlight w:val="none"/>
            </w:rPr>
            <w:fldChar w:fldCharType="end"/>
          </w:r>
          <w:r>
            <w:rPr>
              <w:rFonts w:hint="eastAsia" w:ascii="Times New Roman" w:hAnsi="Times New Roman" w:eastAsia="黑体" w:cs="黑体"/>
              <w:color w:val="auto"/>
              <w:sz w:val="32"/>
              <w:szCs w:val="32"/>
              <w:highlight w:val="none"/>
            </w:rPr>
            <w:fldChar w:fldCharType="end"/>
          </w:r>
        </w:p>
        <w:p>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fldChar w:fldCharType="begin"/>
          </w:r>
          <w:r>
            <w:rPr>
              <w:rFonts w:hint="eastAsia" w:ascii="Times New Roman" w:hAnsi="Times New Roman" w:eastAsia="仿宋_GB2312" w:cs="仿宋_GB2312"/>
              <w:color w:val="auto"/>
              <w:sz w:val="32"/>
              <w:szCs w:val="32"/>
              <w:highlight w:val="none"/>
            </w:rPr>
            <w:instrText xml:space="preserve"> HYPERLINK \l _Toc19253 </w:instrText>
          </w:r>
          <w:r>
            <w:rPr>
              <w:rFonts w:hint="eastAsia" w:ascii="Times New Roman" w:hAnsi="Times New Roman" w:eastAsia="仿宋_GB2312" w:cs="仿宋_GB2312"/>
              <w:color w:val="auto"/>
              <w:sz w:val="32"/>
              <w:szCs w:val="32"/>
              <w:highlight w:val="none"/>
            </w:rPr>
            <w:fldChar w:fldCharType="separate"/>
          </w:r>
          <w:r>
            <w:rPr>
              <w:rFonts w:hint="eastAsia" w:ascii="Times New Roman" w:hAnsi="Times New Roman" w:eastAsia="仿宋_GB2312" w:cs="仿宋_GB2312"/>
              <w:color w:val="auto"/>
              <w:sz w:val="32"/>
              <w:szCs w:val="32"/>
              <w:highlight w:val="none"/>
              <w:lang w:eastAsia="zh-CN"/>
            </w:rPr>
            <w:t>一、</w:t>
          </w:r>
          <w:r>
            <w:rPr>
              <w:rFonts w:hint="eastAsia" w:ascii="Times New Roman" w:hAnsi="Times New Roman" w:eastAsia="仿宋_GB2312" w:cs="仿宋_GB2312"/>
              <w:color w:val="auto"/>
              <w:sz w:val="32"/>
              <w:szCs w:val="32"/>
              <w:highlight w:val="none"/>
            </w:rPr>
            <w:t>收入支出决算总体情况说明</w:t>
          </w:r>
          <w:r>
            <w:rPr>
              <w:rFonts w:hint="eastAsia" w:ascii="Times New Roman" w:hAnsi="Times New Roman" w:eastAsia="仿宋_GB2312" w:cs="仿宋_GB2312"/>
              <w:color w:val="auto"/>
              <w:sz w:val="32"/>
              <w:szCs w:val="32"/>
              <w:highlight w:val="none"/>
            </w:rPr>
            <w:tab/>
          </w:r>
          <w:r>
            <w:rPr>
              <w:rFonts w:hint="eastAsia" w:ascii="Times New Roman" w:hAnsi="Times New Roman" w:eastAsia="仿宋_GB2312" w:cs="仿宋_GB2312"/>
              <w:color w:val="auto"/>
              <w:sz w:val="32"/>
              <w:szCs w:val="32"/>
              <w:highlight w:val="none"/>
            </w:rPr>
            <w:fldChar w:fldCharType="begin"/>
          </w:r>
          <w:r>
            <w:rPr>
              <w:rFonts w:hint="eastAsia" w:ascii="Times New Roman" w:hAnsi="Times New Roman" w:eastAsia="仿宋_GB2312" w:cs="仿宋_GB2312"/>
              <w:color w:val="auto"/>
              <w:sz w:val="32"/>
              <w:szCs w:val="32"/>
              <w:highlight w:val="none"/>
            </w:rPr>
            <w:instrText xml:space="preserve"> PAGEREF _Toc19253 \h </w:instrText>
          </w:r>
          <w:r>
            <w:rPr>
              <w:rFonts w:hint="eastAsia" w:ascii="Times New Roman" w:hAnsi="Times New Roman" w:eastAsia="仿宋_GB2312" w:cs="仿宋_GB2312"/>
              <w:color w:val="auto"/>
              <w:sz w:val="32"/>
              <w:szCs w:val="32"/>
              <w:highlight w:val="none"/>
            </w:rPr>
            <w:fldChar w:fldCharType="separate"/>
          </w:r>
          <w:r>
            <w:rPr>
              <w:rFonts w:hint="eastAsia" w:ascii="Times New Roman" w:hAnsi="Times New Roman" w:eastAsia="仿宋_GB2312" w:cs="仿宋_GB2312"/>
              <w:color w:val="auto"/>
              <w:sz w:val="32"/>
              <w:szCs w:val="32"/>
              <w:highlight w:val="none"/>
            </w:rPr>
            <w:t>3</w:t>
          </w:r>
          <w:r>
            <w:rPr>
              <w:rFonts w:hint="eastAsia" w:ascii="Times New Roman" w:hAnsi="Times New Roman" w:eastAsia="仿宋_GB2312" w:cs="仿宋_GB2312"/>
              <w:color w:val="auto"/>
              <w:sz w:val="32"/>
              <w:szCs w:val="32"/>
              <w:highlight w:val="none"/>
            </w:rPr>
            <w:fldChar w:fldCharType="end"/>
          </w:r>
          <w:r>
            <w:rPr>
              <w:rFonts w:hint="eastAsia" w:ascii="Times New Roman" w:hAnsi="Times New Roman" w:eastAsia="仿宋_GB2312" w:cs="仿宋_GB2312"/>
              <w:color w:val="auto"/>
              <w:sz w:val="32"/>
              <w:szCs w:val="32"/>
              <w:highlight w:val="none"/>
            </w:rPr>
            <w:fldChar w:fldCharType="end"/>
          </w:r>
        </w:p>
        <w:p>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fldChar w:fldCharType="begin"/>
          </w:r>
          <w:r>
            <w:rPr>
              <w:rFonts w:hint="eastAsia" w:ascii="Times New Roman" w:hAnsi="Times New Roman" w:eastAsia="仿宋_GB2312" w:cs="仿宋_GB2312"/>
              <w:color w:val="auto"/>
              <w:sz w:val="32"/>
              <w:szCs w:val="32"/>
              <w:highlight w:val="none"/>
            </w:rPr>
            <w:instrText xml:space="preserve"> HYPERLINK \l _Toc4624 </w:instrText>
          </w:r>
          <w:r>
            <w:rPr>
              <w:rFonts w:hint="eastAsia" w:ascii="Times New Roman" w:hAnsi="Times New Roman" w:eastAsia="仿宋_GB2312" w:cs="仿宋_GB2312"/>
              <w:color w:val="auto"/>
              <w:sz w:val="32"/>
              <w:szCs w:val="32"/>
              <w:highlight w:val="none"/>
            </w:rPr>
            <w:fldChar w:fldCharType="separate"/>
          </w:r>
          <w:r>
            <w:rPr>
              <w:rFonts w:hint="eastAsia" w:ascii="Times New Roman" w:hAnsi="Times New Roman" w:eastAsia="仿宋_GB2312" w:cs="仿宋_GB2312"/>
              <w:color w:val="auto"/>
              <w:sz w:val="32"/>
              <w:szCs w:val="32"/>
              <w:highlight w:val="none"/>
              <w:lang w:eastAsia="zh-CN"/>
            </w:rPr>
            <w:t>二、收入决算情况说明</w:t>
          </w:r>
          <w:r>
            <w:rPr>
              <w:rFonts w:hint="eastAsia" w:ascii="Times New Roman" w:hAnsi="Times New Roman" w:eastAsia="仿宋_GB2312" w:cs="仿宋_GB2312"/>
              <w:color w:val="auto"/>
              <w:sz w:val="32"/>
              <w:szCs w:val="32"/>
              <w:highlight w:val="none"/>
            </w:rPr>
            <w:tab/>
          </w:r>
          <w:r>
            <w:rPr>
              <w:rFonts w:hint="eastAsia" w:ascii="Times New Roman" w:hAnsi="Times New Roman" w:eastAsia="仿宋_GB2312" w:cs="仿宋_GB2312"/>
              <w:color w:val="auto"/>
              <w:sz w:val="32"/>
              <w:szCs w:val="32"/>
              <w:highlight w:val="none"/>
            </w:rPr>
            <w:fldChar w:fldCharType="begin"/>
          </w:r>
          <w:r>
            <w:rPr>
              <w:rFonts w:hint="eastAsia" w:ascii="Times New Roman" w:hAnsi="Times New Roman" w:eastAsia="仿宋_GB2312" w:cs="仿宋_GB2312"/>
              <w:color w:val="auto"/>
              <w:sz w:val="32"/>
              <w:szCs w:val="32"/>
              <w:highlight w:val="none"/>
            </w:rPr>
            <w:instrText xml:space="preserve"> PAGEREF _Toc4624 \h </w:instrText>
          </w:r>
          <w:r>
            <w:rPr>
              <w:rFonts w:hint="eastAsia" w:ascii="Times New Roman" w:hAnsi="Times New Roman" w:eastAsia="仿宋_GB2312" w:cs="仿宋_GB2312"/>
              <w:color w:val="auto"/>
              <w:sz w:val="32"/>
              <w:szCs w:val="32"/>
              <w:highlight w:val="none"/>
            </w:rPr>
            <w:fldChar w:fldCharType="separate"/>
          </w:r>
          <w:r>
            <w:rPr>
              <w:rFonts w:hint="eastAsia" w:ascii="Times New Roman" w:hAnsi="Times New Roman" w:eastAsia="仿宋_GB2312" w:cs="仿宋_GB2312"/>
              <w:color w:val="auto"/>
              <w:sz w:val="32"/>
              <w:szCs w:val="32"/>
              <w:highlight w:val="none"/>
            </w:rPr>
            <w:t>3</w:t>
          </w:r>
          <w:r>
            <w:rPr>
              <w:rFonts w:hint="eastAsia" w:ascii="Times New Roman" w:hAnsi="Times New Roman" w:eastAsia="仿宋_GB2312" w:cs="仿宋_GB2312"/>
              <w:color w:val="auto"/>
              <w:sz w:val="32"/>
              <w:szCs w:val="32"/>
              <w:highlight w:val="none"/>
            </w:rPr>
            <w:fldChar w:fldCharType="end"/>
          </w:r>
          <w:r>
            <w:rPr>
              <w:rFonts w:hint="eastAsia" w:ascii="Times New Roman" w:hAnsi="Times New Roman" w:eastAsia="仿宋_GB2312" w:cs="仿宋_GB2312"/>
              <w:color w:val="auto"/>
              <w:sz w:val="32"/>
              <w:szCs w:val="32"/>
              <w:highlight w:val="none"/>
            </w:rPr>
            <w:fldChar w:fldCharType="end"/>
          </w:r>
        </w:p>
        <w:p>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fldChar w:fldCharType="begin"/>
          </w:r>
          <w:r>
            <w:rPr>
              <w:rFonts w:hint="eastAsia" w:ascii="Times New Roman" w:hAnsi="Times New Roman" w:eastAsia="仿宋_GB2312" w:cs="仿宋_GB2312"/>
              <w:color w:val="auto"/>
              <w:sz w:val="32"/>
              <w:szCs w:val="32"/>
              <w:highlight w:val="none"/>
            </w:rPr>
            <w:instrText xml:space="preserve"> HYPERLINK \l _Toc9113 </w:instrText>
          </w:r>
          <w:r>
            <w:rPr>
              <w:rFonts w:hint="eastAsia" w:ascii="Times New Roman" w:hAnsi="Times New Roman" w:eastAsia="仿宋_GB2312" w:cs="仿宋_GB2312"/>
              <w:color w:val="auto"/>
              <w:sz w:val="32"/>
              <w:szCs w:val="32"/>
              <w:highlight w:val="none"/>
            </w:rPr>
            <w:fldChar w:fldCharType="separate"/>
          </w:r>
          <w:r>
            <w:rPr>
              <w:rFonts w:hint="eastAsia" w:ascii="Times New Roman" w:hAnsi="Times New Roman" w:eastAsia="仿宋_GB2312" w:cs="仿宋_GB2312"/>
              <w:color w:val="auto"/>
              <w:sz w:val="32"/>
              <w:szCs w:val="32"/>
              <w:highlight w:val="none"/>
              <w:lang w:eastAsia="zh-CN"/>
            </w:rPr>
            <w:t>三、</w:t>
          </w:r>
          <w:r>
            <w:rPr>
              <w:rFonts w:hint="eastAsia" w:ascii="Times New Roman" w:hAnsi="Times New Roman" w:eastAsia="仿宋_GB2312" w:cs="仿宋_GB2312"/>
              <w:color w:val="auto"/>
              <w:sz w:val="32"/>
              <w:szCs w:val="32"/>
              <w:highlight w:val="none"/>
            </w:rPr>
            <w:t>支出决算情况说明</w:t>
          </w:r>
          <w:r>
            <w:rPr>
              <w:rFonts w:hint="eastAsia" w:ascii="Times New Roman" w:hAnsi="Times New Roman" w:eastAsia="仿宋_GB2312" w:cs="仿宋_GB2312"/>
              <w:color w:val="auto"/>
              <w:sz w:val="32"/>
              <w:szCs w:val="32"/>
              <w:highlight w:val="none"/>
            </w:rPr>
            <w:tab/>
          </w:r>
          <w:r>
            <w:rPr>
              <w:rFonts w:hint="eastAsia" w:ascii="Times New Roman" w:hAnsi="Times New Roman" w:eastAsia="仿宋_GB2312" w:cs="仿宋_GB2312"/>
              <w:color w:val="auto"/>
              <w:sz w:val="32"/>
              <w:szCs w:val="32"/>
              <w:highlight w:val="none"/>
            </w:rPr>
            <w:fldChar w:fldCharType="begin"/>
          </w:r>
          <w:r>
            <w:rPr>
              <w:rFonts w:hint="eastAsia" w:ascii="Times New Roman" w:hAnsi="Times New Roman" w:eastAsia="仿宋_GB2312" w:cs="仿宋_GB2312"/>
              <w:color w:val="auto"/>
              <w:sz w:val="32"/>
              <w:szCs w:val="32"/>
              <w:highlight w:val="none"/>
            </w:rPr>
            <w:instrText xml:space="preserve"> PAGEREF _Toc9113 \h </w:instrText>
          </w:r>
          <w:r>
            <w:rPr>
              <w:rFonts w:hint="eastAsia" w:ascii="Times New Roman" w:hAnsi="Times New Roman" w:eastAsia="仿宋_GB2312" w:cs="仿宋_GB2312"/>
              <w:color w:val="auto"/>
              <w:sz w:val="32"/>
              <w:szCs w:val="32"/>
              <w:highlight w:val="none"/>
            </w:rPr>
            <w:fldChar w:fldCharType="separate"/>
          </w:r>
          <w:r>
            <w:rPr>
              <w:rFonts w:hint="eastAsia" w:ascii="Times New Roman" w:hAnsi="Times New Roman" w:eastAsia="仿宋_GB2312" w:cs="仿宋_GB2312"/>
              <w:color w:val="auto"/>
              <w:sz w:val="32"/>
              <w:szCs w:val="32"/>
              <w:highlight w:val="none"/>
            </w:rPr>
            <w:t>4</w:t>
          </w:r>
          <w:r>
            <w:rPr>
              <w:rFonts w:hint="eastAsia" w:ascii="Times New Roman" w:hAnsi="Times New Roman" w:eastAsia="仿宋_GB2312" w:cs="仿宋_GB2312"/>
              <w:color w:val="auto"/>
              <w:sz w:val="32"/>
              <w:szCs w:val="32"/>
              <w:highlight w:val="none"/>
            </w:rPr>
            <w:fldChar w:fldCharType="end"/>
          </w:r>
          <w:r>
            <w:rPr>
              <w:rFonts w:hint="eastAsia" w:ascii="Times New Roman" w:hAnsi="Times New Roman" w:eastAsia="仿宋_GB2312" w:cs="仿宋_GB2312"/>
              <w:color w:val="auto"/>
              <w:sz w:val="32"/>
              <w:szCs w:val="32"/>
              <w:highlight w:val="none"/>
            </w:rPr>
            <w:fldChar w:fldCharType="end"/>
          </w:r>
        </w:p>
        <w:p>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fldChar w:fldCharType="begin"/>
          </w:r>
          <w:r>
            <w:rPr>
              <w:rFonts w:hint="eastAsia" w:ascii="Times New Roman" w:hAnsi="Times New Roman" w:eastAsia="仿宋_GB2312" w:cs="仿宋_GB2312"/>
              <w:color w:val="auto"/>
              <w:sz w:val="32"/>
              <w:szCs w:val="32"/>
              <w:highlight w:val="none"/>
            </w:rPr>
            <w:instrText xml:space="preserve"> HYPERLINK \l _Toc4006 </w:instrText>
          </w:r>
          <w:r>
            <w:rPr>
              <w:rFonts w:hint="eastAsia" w:ascii="Times New Roman" w:hAnsi="Times New Roman" w:eastAsia="仿宋_GB2312" w:cs="仿宋_GB2312"/>
              <w:color w:val="auto"/>
              <w:sz w:val="32"/>
              <w:szCs w:val="32"/>
              <w:highlight w:val="none"/>
            </w:rPr>
            <w:fldChar w:fldCharType="separate"/>
          </w:r>
          <w:r>
            <w:rPr>
              <w:rFonts w:hint="eastAsia" w:ascii="Times New Roman" w:hAnsi="Times New Roman" w:eastAsia="仿宋_GB2312" w:cs="仿宋_GB2312"/>
              <w:color w:val="auto"/>
              <w:sz w:val="32"/>
              <w:szCs w:val="32"/>
              <w:highlight w:val="none"/>
            </w:rPr>
            <w:t>四、财政拨款收入支出决算总体情况说明</w:t>
          </w:r>
          <w:r>
            <w:rPr>
              <w:rFonts w:hint="eastAsia" w:ascii="Times New Roman" w:hAnsi="Times New Roman" w:eastAsia="仿宋_GB2312" w:cs="仿宋_GB2312"/>
              <w:color w:val="auto"/>
              <w:sz w:val="32"/>
              <w:szCs w:val="32"/>
              <w:highlight w:val="none"/>
            </w:rPr>
            <w:tab/>
          </w:r>
          <w:r>
            <w:rPr>
              <w:rFonts w:hint="eastAsia" w:ascii="Times New Roman" w:hAnsi="Times New Roman" w:eastAsia="仿宋_GB2312" w:cs="仿宋_GB2312"/>
              <w:color w:val="auto"/>
              <w:sz w:val="32"/>
              <w:szCs w:val="32"/>
              <w:highlight w:val="none"/>
            </w:rPr>
            <w:fldChar w:fldCharType="begin"/>
          </w:r>
          <w:r>
            <w:rPr>
              <w:rFonts w:hint="eastAsia" w:ascii="Times New Roman" w:hAnsi="Times New Roman" w:eastAsia="仿宋_GB2312" w:cs="仿宋_GB2312"/>
              <w:color w:val="auto"/>
              <w:sz w:val="32"/>
              <w:szCs w:val="32"/>
              <w:highlight w:val="none"/>
            </w:rPr>
            <w:instrText xml:space="preserve"> PAGEREF _Toc4006 \h </w:instrText>
          </w:r>
          <w:r>
            <w:rPr>
              <w:rFonts w:hint="eastAsia" w:ascii="Times New Roman" w:hAnsi="Times New Roman" w:eastAsia="仿宋_GB2312" w:cs="仿宋_GB2312"/>
              <w:color w:val="auto"/>
              <w:sz w:val="32"/>
              <w:szCs w:val="32"/>
              <w:highlight w:val="none"/>
            </w:rPr>
            <w:fldChar w:fldCharType="separate"/>
          </w:r>
          <w:r>
            <w:rPr>
              <w:rFonts w:hint="eastAsia" w:ascii="Times New Roman" w:hAnsi="Times New Roman" w:eastAsia="仿宋_GB2312" w:cs="仿宋_GB2312"/>
              <w:color w:val="auto"/>
              <w:sz w:val="32"/>
              <w:szCs w:val="32"/>
              <w:highlight w:val="none"/>
            </w:rPr>
            <w:t>5</w:t>
          </w:r>
          <w:r>
            <w:rPr>
              <w:rFonts w:hint="eastAsia" w:ascii="Times New Roman" w:hAnsi="Times New Roman" w:eastAsia="仿宋_GB2312" w:cs="仿宋_GB2312"/>
              <w:color w:val="auto"/>
              <w:sz w:val="32"/>
              <w:szCs w:val="32"/>
              <w:highlight w:val="none"/>
            </w:rPr>
            <w:fldChar w:fldCharType="end"/>
          </w:r>
          <w:r>
            <w:rPr>
              <w:rFonts w:hint="eastAsia" w:ascii="Times New Roman" w:hAnsi="Times New Roman" w:eastAsia="仿宋_GB2312" w:cs="仿宋_GB2312"/>
              <w:color w:val="auto"/>
              <w:sz w:val="32"/>
              <w:szCs w:val="32"/>
              <w:highlight w:val="none"/>
            </w:rPr>
            <w:fldChar w:fldCharType="end"/>
          </w:r>
        </w:p>
        <w:p>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fldChar w:fldCharType="begin"/>
          </w:r>
          <w:r>
            <w:rPr>
              <w:rFonts w:hint="eastAsia" w:ascii="Times New Roman" w:hAnsi="Times New Roman" w:eastAsia="仿宋_GB2312" w:cs="仿宋_GB2312"/>
              <w:color w:val="auto"/>
              <w:sz w:val="32"/>
              <w:szCs w:val="32"/>
              <w:highlight w:val="none"/>
            </w:rPr>
            <w:instrText xml:space="preserve"> HYPERLINK \l _Toc12471 </w:instrText>
          </w:r>
          <w:r>
            <w:rPr>
              <w:rFonts w:hint="eastAsia" w:ascii="Times New Roman" w:hAnsi="Times New Roman" w:eastAsia="仿宋_GB2312" w:cs="仿宋_GB2312"/>
              <w:color w:val="auto"/>
              <w:sz w:val="32"/>
              <w:szCs w:val="32"/>
              <w:highlight w:val="none"/>
            </w:rPr>
            <w:fldChar w:fldCharType="separate"/>
          </w:r>
          <w:r>
            <w:rPr>
              <w:rFonts w:hint="eastAsia" w:ascii="Times New Roman" w:hAnsi="Times New Roman" w:eastAsia="仿宋_GB2312" w:cs="仿宋_GB2312"/>
              <w:color w:val="auto"/>
              <w:sz w:val="32"/>
              <w:szCs w:val="32"/>
              <w:highlight w:val="none"/>
            </w:rPr>
            <w:t>五、一般公共预算财政拨款支出决算情况说明</w:t>
          </w:r>
          <w:r>
            <w:rPr>
              <w:rFonts w:hint="eastAsia" w:ascii="Times New Roman" w:hAnsi="Times New Roman" w:eastAsia="仿宋_GB2312" w:cs="仿宋_GB2312"/>
              <w:color w:val="auto"/>
              <w:sz w:val="32"/>
              <w:szCs w:val="32"/>
              <w:highlight w:val="none"/>
            </w:rPr>
            <w:tab/>
          </w:r>
          <w:r>
            <w:rPr>
              <w:rFonts w:hint="eastAsia" w:ascii="Times New Roman" w:hAnsi="Times New Roman" w:eastAsia="仿宋_GB2312" w:cs="仿宋_GB2312"/>
              <w:color w:val="auto"/>
              <w:sz w:val="32"/>
              <w:szCs w:val="32"/>
              <w:highlight w:val="none"/>
            </w:rPr>
            <w:fldChar w:fldCharType="begin"/>
          </w:r>
          <w:r>
            <w:rPr>
              <w:rFonts w:hint="eastAsia" w:ascii="Times New Roman" w:hAnsi="Times New Roman" w:eastAsia="仿宋_GB2312" w:cs="仿宋_GB2312"/>
              <w:color w:val="auto"/>
              <w:sz w:val="32"/>
              <w:szCs w:val="32"/>
              <w:highlight w:val="none"/>
            </w:rPr>
            <w:instrText xml:space="preserve"> PAGEREF _Toc12471 \h </w:instrText>
          </w:r>
          <w:r>
            <w:rPr>
              <w:rFonts w:hint="eastAsia" w:ascii="Times New Roman" w:hAnsi="Times New Roman" w:eastAsia="仿宋_GB2312" w:cs="仿宋_GB2312"/>
              <w:color w:val="auto"/>
              <w:sz w:val="32"/>
              <w:szCs w:val="32"/>
              <w:highlight w:val="none"/>
            </w:rPr>
            <w:fldChar w:fldCharType="separate"/>
          </w:r>
          <w:r>
            <w:rPr>
              <w:rFonts w:hint="eastAsia" w:ascii="Times New Roman" w:hAnsi="Times New Roman" w:eastAsia="仿宋_GB2312" w:cs="仿宋_GB2312"/>
              <w:color w:val="auto"/>
              <w:sz w:val="32"/>
              <w:szCs w:val="32"/>
              <w:highlight w:val="none"/>
            </w:rPr>
            <w:t>5</w:t>
          </w:r>
          <w:r>
            <w:rPr>
              <w:rFonts w:hint="eastAsia" w:ascii="Times New Roman" w:hAnsi="Times New Roman" w:eastAsia="仿宋_GB2312" w:cs="仿宋_GB2312"/>
              <w:color w:val="auto"/>
              <w:sz w:val="32"/>
              <w:szCs w:val="32"/>
              <w:highlight w:val="none"/>
            </w:rPr>
            <w:fldChar w:fldCharType="end"/>
          </w:r>
          <w:r>
            <w:rPr>
              <w:rFonts w:hint="eastAsia" w:ascii="Times New Roman" w:hAnsi="Times New Roman" w:eastAsia="仿宋_GB2312" w:cs="仿宋_GB2312"/>
              <w:color w:val="auto"/>
              <w:sz w:val="32"/>
              <w:szCs w:val="32"/>
              <w:highlight w:val="none"/>
            </w:rPr>
            <w:fldChar w:fldCharType="end"/>
          </w:r>
        </w:p>
        <w:p>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fldChar w:fldCharType="begin"/>
          </w:r>
          <w:r>
            <w:rPr>
              <w:rFonts w:hint="eastAsia" w:ascii="Times New Roman" w:hAnsi="Times New Roman" w:eastAsia="仿宋_GB2312" w:cs="仿宋_GB2312"/>
              <w:color w:val="auto"/>
              <w:sz w:val="32"/>
              <w:szCs w:val="32"/>
              <w:highlight w:val="none"/>
            </w:rPr>
            <w:instrText xml:space="preserve"> HYPERLINK \l _Toc4373 </w:instrText>
          </w:r>
          <w:r>
            <w:rPr>
              <w:rFonts w:hint="eastAsia" w:ascii="Times New Roman" w:hAnsi="Times New Roman" w:eastAsia="仿宋_GB2312" w:cs="仿宋_GB2312"/>
              <w:color w:val="auto"/>
              <w:sz w:val="32"/>
              <w:szCs w:val="32"/>
              <w:highlight w:val="none"/>
            </w:rPr>
            <w:fldChar w:fldCharType="separate"/>
          </w:r>
          <w:r>
            <w:rPr>
              <w:rFonts w:hint="eastAsia" w:ascii="Times New Roman" w:hAnsi="Times New Roman" w:eastAsia="仿宋_GB2312" w:cs="仿宋_GB2312"/>
              <w:color w:val="auto"/>
              <w:sz w:val="32"/>
              <w:szCs w:val="32"/>
              <w:highlight w:val="none"/>
            </w:rPr>
            <w:t>六、一般公共预算财政拨款基本支出决算情况说明</w:t>
          </w:r>
          <w:r>
            <w:rPr>
              <w:rFonts w:hint="eastAsia" w:ascii="Times New Roman" w:hAnsi="Times New Roman" w:eastAsia="仿宋_GB2312" w:cs="仿宋_GB2312"/>
              <w:color w:val="auto"/>
              <w:sz w:val="32"/>
              <w:szCs w:val="32"/>
              <w:highlight w:val="none"/>
            </w:rPr>
            <w:tab/>
          </w:r>
          <w:r>
            <w:rPr>
              <w:rFonts w:hint="eastAsia" w:ascii="Times New Roman" w:hAnsi="Times New Roman" w:eastAsia="仿宋_GB2312" w:cs="仿宋_GB2312"/>
              <w:color w:val="auto"/>
              <w:sz w:val="32"/>
              <w:szCs w:val="32"/>
              <w:highlight w:val="none"/>
            </w:rPr>
            <w:fldChar w:fldCharType="begin"/>
          </w:r>
          <w:r>
            <w:rPr>
              <w:rFonts w:hint="eastAsia" w:ascii="Times New Roman" w:hAnsi="Times New Roman" w:eastAsia="仿宋_GB2312" w:cs="仿宋_GB2312"/>
              <w:color w:val="auto"/>
              <w:sz w:val="32"/>
              <w:szCs w:val="32"/>
              <w:highlight w:val="none"/>
            </w:rPr>
            <w:instrText xml:space="preserve"> PAGEREF _Toc4373 \h </w:instrText>
          </w:r>
          <w:r>
            <w:rPr>
              <w:rFonts w:hint="eastAsia" w:ascii="Times New Roman" w:hAnsi="Times New Roman" w:eastAsia="仿宋_GB2312" w:cs="仿宋_GB2312"/>
              <w:color w:val="auto"/>
              <w:sz w:val="32"/>
              <w:szCs w:val="32"/>
              <w:highlight w:val="none"/>
            </w:rPr>
            <w:fldChar w:fldCharType="separate"/>
          </w:r>
          <w:r>
            <w:rPr>
              <w:rFonts w:hint="eastAsia" w:ascii="Times New Roman" w:hAnsi="Times New Roman" w:eastAsia="仿宋_GB2312" w:cs="仿宋_GB2312"/>
              <w:color w:val="auto"/>
              <w:sz w:val="32"/>
              <w:szCs w:val="32"/>
              <w:highlight w:val="none"/>
            </w:rPr>
            <w:t>7</w:t>
          </w:r>
          <w:r>
            <w:rPr>
              <w:rFonts w:hint="eastAsia" w:ascii="Times New Roman" w:hAnsi="Times New Roman" w:eastAsia="仿宋_GB2312" w:cs="仿宋_GB2312"/>
              <w:color w:val="auto"/>
              <w:sz w:val="32"/>
              <w:szCs w:val="32"/>
              <w:highlight w:val="none"/>
            </w:rPr>
            <w:fldChar w:fldCharType="end"/>
          </w:r>
          <w:r>
            <w:rPr>
              <w:rFonts w:hint="eastAsia" w:ascii="Times New Roman" w:hAnsi="Times New Roman" w:eastAsia="仿宋_GB2312" w:cs="仿宋_GB2312"/>
              <w:color w:val="auto"/>
              <w:sz w:val="32"/>
              <w:szCs w:val="32"/>
              <w:highlight w:val="none"/>
            </w:rPr>
            <w:fldChar w:fldCharType="end"/>
          </w:r>
        </w:p>
        <w:p>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fldChar w:fldCharType="begin"/>
          </w:r>
          <w:r>
            <w:rPr>
              <w:rFonts w:hint="eastAsia" w:ascii="Times New Roman" w:hAnsi="Times New Roman" w:eastAsia="仿宋_GB2312" w:cs="仿宋_GB2312"/>
              <w:color w:val="auto"/>
              <w:sz w:val="32"/>
              <w:szCs w:val="32"/>
              <w:highlight w:val="none"/>
            </w:rPr>
            <w:instrText xml:space="preserve"> HYPERLINK \l _Toc29451 </w:instrText>
          </w:r>
          <w:r>
            <w:rPr>
              <w:rFonts w:hint="eastAsia" w:ascii="Times New Roman" w:hAnsi="Times New Roman" w:eastAsia="仿宋_GB2312" w:cs="仿宋_GB2312"/>
              <w:color w:val="auto"/>
              <w:sz w:val="32"/>
              <w:szCs w:val="32"/>
              <w:highlight w:val="none"/>
            </w:rPr>
            <w:fldChar w:fldCharType="separate"/>
          </w:r>
          <w:r>
            <w:rPr>
              <w:rFonts w:hint="eastAsia" w:ascii="Times New Roman" w:hAnsi="Times New Roman" w:eastAsia="仿宋_GB2312" w:cs="仿宋_GB2312"/>
              <w:color w:val="auto"/>
              <w:sz w:val="32"/>
              <w:szCs w:val="32"/>
              <w:highlight w:val="none"/>
            </w:rPr>
            <w:t>七、财政拨款“三公”经费支出决算情况说明</w:t>
          </w:r>
          <w:r>
            <w:rPr>
              <w:rFonts w:hint="eastAsia" w:ascii="Times New Roman" w:hAnsi="Times New Roman" w:eastAsia="仿宋_GB2312" w:cs="仿宋_GB2312"/>
              <w:color w:val="auto"/>
              <w:sz w:val="32"/>
              <w:szCs w:val="32"/>
              <w:highlight w:val="none"/>
            </w:rPr>
            <w:tab/>
          </w:r>
          <w:r>
            <w:rPr>
              <w:rFonts w:hint="eastAsia" w:ascii="Times New Roman" w:hAnsi="Times New Roman" w:eastAsia="仿宋_GB2312" w:cs="仿宋_GB2312"/>
              <w:color w:val="auto"/>
              <w:sz w:val="32"/>
              <w:szCs w:val="32"/>
              <w:highlight w:val="none"/>
            </w:rPr>
            <w:fldChar w:fldCharType="begin"/>
          </w:r>
          <w:r>
            <w:rPr>
              <w:rFonts w:hint="eastAsia" w:ascii="Times New Roman" w:hAnsi="Times New Roman" w:eastAsia="仿宋_GB2312" w:cs="仿宋_GB2312"/>
              <w:color w:val="auto"/>
              <w:sz w:val="32"/>
              <w:szCs w:val="32"/>
              <w:highlight w:val="none"/>
            </w:rPr>
            <w:instrText xml:space="preserve"> PAGEREF _Toc29451 \h </w:instrText>
          </w:r>
          <w:r>
            <w:rPr>
              <w:rFonts w:hint="eastAsia" w:ascii="Times New Roman" w:hAnsi="Times New Roman" w:eastAsia="仿宋_GB2312" w:cs="仿宋_GB2312"/>
              <w:color w:val="auto"/>
              <w:sz w:val="32"/>
              <w:szCs w:val="32"/>
              <w:highlight w:val="none"/>
            </w:rPr>
            <w:fldChar w:fldCharType="separate"/>
          </w:r>
          <w:r>
            <w:rPr>
              <w:rFonts w:hint="eastAsia" w:ascii="Times New Roman" w:hAnsi="Times New Roman" w:eastAsia="仿宋_GB2312" w:cs="仿宋_GB2312"/>
              <w:color w:val="auto"/>
              <w:sz w:val="32"/>
              <w:szCs w:val="32"/>
              <w:highlight w:val="none"/>
            </w:rPr>
            <w:t>8</w:t>
          </w:r>
          <w:r>
            <w:rPr>
              <w:rFonts w:hint="eastAsia" w:ascii="Times New Roman" w:hAnsi="Times New Roman" w:eastAsia="仿宋_GB2312" w:cs="仿宋_GB2312"/>
              <w:color w:val="auto"/>
              <w:sz w:val="32"/>
              <w:szCs w:val="32"/>
              <w:highlight w:val="none"/>
            </w:rPr>
            <w:fldChar w:fldCharType="end"/>
          </w:r>
          <w:r>
            <w:rPr>
              <w:rFonts w:hint="eastAsia" w:ascii="Times New Roman" w:hAnsi="Times New Roman" w:eastAsia="仿宋_GB2312" w:cs="仿宋_GB2312"/>
              <w:color w:val="auto"/>
              <w:sz w:val="32"/>
              <w:szCs w:val="32"/>
              <w:highlight w:val="none"/>
            </w:rPr>
            <w:fldChar w:fldCharType="end"/>
          </w:r>
        </w:p>
        <w:p>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fldChar w:fldCharType="begin"/>
          </w:r>
          <w:r>
            <w:rPr>
              <w:rFonts w:hint="eastAsia" w:ascii="Times New Roman" w:hAnsi="Times New Roman" w:eastAsia="仿宋_GB2312" w:cs="仿宋_GB2312"/>
              <w:color w:val="auto"/>
              <w:sz w:val="32"/>
              <w:szCs w:val="32"/>
              <w:highlight w:val="none"/>
            </w:rPr>
            <w:instrText xml:space="preserve"> HYPERLINK \l _Toc17063 </w:instrText>
          </w:r>
          <w:r>
            <w:rPr>
              <w:rFonts w:hint="eastAsia" w:ascii="Times New Roman" w:hAnsi="Times New Roman" w:eastAsia="仿宋_GB2312" w:cs="仿宋_GB2312"/>
              <w:color w:val="auto"/>
              <w:sz w:val="32"/>
              <w:szCs w:val="32"/>
              <w:highlight w:val="none"/>
            </w:rPr>
            <w:fldChar w:fldCharType="separate"/>
          </w:r>
          <w:r>
            <w:rPr>
              <w:rFonts w:hint="eastAsia" w:ascii="Times New Roman" w:hAnsi="Times New Roman" w:eastAsia="仿宋_GB2312" w:cs="仿宋_GB2312"/>
              <w:color w:val="auto"/>
              <w:sz w:val="32"/>
              <w:szCs w:val="32"/>
              <w:highlight w:val="none"/>
            </w:rPr>
            <w:t>八、政府性基金预算支出决算情况说明</w:t>
          </w:r>
          <w:r>
            <w:rPr>
              <w:rFonts w:hint="eastAsia" w:ascii="Times New Roman" w:hAnsi="Times New Roman" w:eastAsia="仿宋_GB2312" w:cs="仿宋_GB2312"/>
              <w:color w:val="auto"/>
              <w:sz w:val="32"/>
              <w:szCs w:val="32"/>
              <w:highlight w:val="none"/>
            </w:rPr>
            <w:tab/>
          </w:r>
          <w:r>
            <w:rPr>
              <w:rFonts w:hint="eastAsia" w:ascii="Times New Roman" w:hAnsi="Times New Roman" w:eastAsia="仿宋_GB2312" w:cs="仿宋_GB2312"/>
              <w:color w:val="auto"/>
              <w:sz w:val="32"/>
              <w:szCs w:val="32"/>
              <w:highlight w:val="none"/>
            </w:rPr>
            <w:fldChar w:fldCharType="begin"/>
          </w:r>
          <w:r>
            <w:rPr>
              <w:rFonts w:hint="eastAsia" w:ascii="Times New Roman" w:hAnsi="Times New Roman" w:eastAsia="仿宋_GB2312" w:cs="仿宋_GB2312"/>
              <w:color w:val="auto"/>
              <w:sz w:val="32"/>
              <w:szCs w:val="32"/>
              <w:highlight w:val="none"/>
            </w:rPr>
            <w:instrText xml:space="preserve"> PAGEREF _Toc17063 \h </w:instrText>
          </w:r>
          <w:r>
            <w:rPr>
              <w:rFonts w:hint="eastAsia" w:ascii="Times New Roman" w:hAnsi="Times New Roman" w:eastAsia="仿宋_GB2312" w:cs="仿宋_GB2312"/>
              <w:color w:val="auto"/>
              <w:sz w:val="32"/>
              <w:szCs w:val="32"/>
              <w:highlight w:val="none"/>
            </w:rPr>
            <w:fldChar w:fldCharType="separate"/>
          </w:r>
          <w:r>
            <w:rPr>
              <w:rFonts w:hint="eastAsia" w:ascii="Times New Roman" w:hAnsi="Times New Roman" w:eastAsia="仿宋_GB2312" w:cs="仿宋_GB2312"/>
              <w:color w:val="auto"/>
              <w:sz w:val="32"/>
              <w:szCs w:val="32"/>
              <w:highlight w:val="none"/>
            </w:rPr>
            <w:t>10</w:t>
          </w:r>
          <w:r>
            <w:rPr>
              <w:rFonts w:hint="eastAsia" w:ascii="Times New Roman" w:hAnsi="Times New Roman" w:eastAsia="仿宋_GB2312" w:cs="仿宋_GB2312"/>
              <w:color w:val="auto"/>
              <w:sz w:val="32"/>
              <w:szCs w:val="32"/>
              <w:highlight w:val="none"/>
            </w:rPr>
            <w:fldChar w:fldCharType="end"/>
          </w:r>
          <w:r>
            <w:rPr>
              <w:rFonts w:hint="eastAsia" w:ascii="Times New Roman" w:hAnsi="Times New Roman" w:eastAsia="仿宋_GB2312" w:cs="仿宋_GB2312"/>
              <w:color w:val="auto"/>
              <w:sz w:val="32"/>
              <w:szCs w:val="32"/>
              <w:highlight w:val="none"/>
            </w:rPr>
            <w:fldChar w:fldCharType="end"/>
          </w:r>
        </w:p>
        <w:p>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fldChar w:fldCharType="begin"/>
          </w:r>
          <w:r>
            <w:rPr>
              <w:rFonts w:hint="eastAsia" w:ascii="Times New Roman" w:hAnsi="Times New Roman" w:eastAsia="仿宋_GB2312" w:cs="仿宋_GB2312"/>
              <w:color w:val="auto"/>
              <w:sz w:val="32"/>
              <w:szCs w:val="32"/>
              <w:highlight w:val="none"/>
            </w:rPr>
            <w:instrText xml:space="preserve"> HYPERLINK \l _Toc14102 </w:instrText>
          </w:r>
          <w:r>
            <w:rPr>
              <w:rFonts w:hint="eastAsia" w:ascii="Times New Roman" w:hAnsi="Times New Roman" w:eastAsia="仿宋_GB2312" w:cs="仿宋_GB2312"/>
              <w:color w:val="auto"/>
              <w:sz w:val="32"/>
              <w:szCs w:val="32"/>
              <w:highlight w:val="none"/>
            </w:rPr>
            <w:fldChar w:fldCharType="separate"/>
          </w:r>
          <w:r>
            <w:rPr>
              <w:rFonts w:hint="eastAsia" w:ascii="Times New Roman" w:hAnsi="Times New Roman" w:eastAsia="仿宋_GB2312" w:cs="仿宋_GB2312"/>
              <w:color w:val="auto"/>
              <w:sz w:val="32"/>
              <w:szCs w:val="32"/>
              <w:highlight w:val="none"/>
              <w:lang w:eastAsia="zh-CN"/>
            </w:rPr>
            <w:t>九、</w:t>
          </w:r>
          <w:r>
            <w:rPr>
              <w:rFonts w:hint="eastAsia" w:ascii="Times New Roman" w:hAnsi="Times New Roman" w:eastAsia="仿宋_GB2312" w:cs="仿宋_GB2312"/>
              <w:color w:val="auto"/>
              <w:sz w:val="32"/>
              <w:szCs w:val="32"/>
              <w:highlight w:val="none"/>
            </w:rPr>
            <w:t>国有资本经营预算支出决算情况说明</w:t>
          </w:r>
          <w:r>
            <w:rPr>
              <w:rFonts w:hint="eastAsia" w:ascii="Times New Roman" w:hAnsi="Times New Roman" w:eastAsia="仿宋_GB2312" w:cs="仿宋_GB2312"/>
              <w:color w:val="auto"/>
              <w:sz w:val="32"/>
              <w:szCs w:val="32"/>
              <w:highlight w:val="none"/>
            </w:rPr>
            <w:tab/>
          </w:r>
          <w:r>
            <w:rPr>
              <w:rFonts w:hint="eastAsia" w:ascii="Times New Roman" w:hAnsi="Times New Roman" w:eastAsia="仿宋_GB2312" w:cs="仿宋_GB2312"/>
              <w:color w:val="auto"/>
              <w:sz w:val="32"/>
              <w:szCs w:val="32"/>
              <w:highlight w:val="none"/>
            </w:rPr>
            <w:fldChar w:fldCharType="begin"/>
          </w:r>
          <w:r>
            <w:rPr>
              <w:rFonts w:hint="eastAsia" w:ascii="Times New Roman" w:hAnsi="Times New Roman" w:eastAsia="仿宋_GB2312" w:cs="仿宋_GB2312"/>
              <w:color w:val="auto"/>
              <w:sz w:val="32"/>
              <w:szCs w:val="32"/>
              <w:highlight w:val="none"/>
            </w:rPr>
            <w:instrText xml:space="preserve"> PAGEREF _Toc14102 \h </w:instrText>
          </w:r>
          <w:r>
            <w:rPr>
              <w:rFonts w:hint="eastAsia" w:ascii="Times New Roman" w:hAnsi="Times New Roman" w:eastAsia="仿宋_GB2312" w:cs="仿宋_GB2312"/>
              <w:color w:val="auto"/>
              <w:sz w:val="32"/>
              <w:szCs w:val="32"/>
              <w:highlight w:val="none"/>
            </w:rPr>
            <w:fldChar w:fldCharType="separate"/>
          </w:r>
          <w:r>
            <w:rPr>
              <w:rFonts w:hint="eastAsia" w:ascii="Times New Roman" w:hAnsi="Times New Roman" w:eastAsia="仿宋_GB2312" w:cs="仿宋_GB2312"/>
              <w:color w:val="auto"/>
              <w:sz w:val="32"/>
              <w:szCs w:val="32"/>
              <w:highlight w:val="none"/>
            </w:rPr>
            <w:t>10</w:t>
          </w:r>
          <w:r>
            <w:rPr>
              <w:rFonts w:hint="eastAsia" w:ascii="Times New Roman" w:hAnsi="Times New Roman" w:eastAsia="仿宋_GB2312" w:cs="仿宋_GB2312"/>
              <w:color w:val="auto"/>
              <w:sz w:val="32"/>
              <w:szCs w:val="32"/>
              <w:highlight w:val="none"/>
            </w:rPr>
            <w:fldChar w:fldCharType="end"/>
          </w:r>
          <w:r>
            <w:rPr>
              <w:rFonts w:hint="eastAsia" w:ascii="Times New Roman" w:hAnsi="Times New Roman" w:eastAsia="仿宋_GB2312" w:cs="仿宋_GB2312"/>
              <w:color w:val="auto"/>
              <w:sz w:val="32"/>
              <w:szCs w:val="32"/>
              <w:highlight w:val="none"/>
            </w:rPr>
            <w:fldChar w:fldCharType="end"/>
          </w:r>
        </w:p>
        <w:p>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pPr>
          <w:r>
            <w:rPr>
              <w:rFonts w:hint="eastAsia" w:ascii="Times New Roman" w:hAnsi="Times New Roman" w:eastAsia="仿宋_GB2312" w:cs="仿宋_GB2312"/>
              <w:color w:val="auto"/>
              <w:sz w:val="32"/>
              <w:szCs w:val="32"/>
              <w:highlight w:val="none"/>
            </w:rPr>
            <w:fldChar w:fldCharType="begin"/>
          </w:r>
          <w:r>
            <w:rPr>
              <w:rFonts w:hint="eastAsia" w:ascii="Times New Roman" w:hAnsi="Times New Roman" w:eastAsia="仿宋_GB2312" w:cs="仿宋_GB2312"/>
              <w:color w:val="auto"/>
              <w:sz w:val="32"/>
              <w:szCs w:val="32"/>
              <w:highlight w:val="none"/>
            </w:rPr>
            <w:instrText xml:space="preserve"> HYPERLINK \l _Toc20017 </w:instrText>
          </w:r>
          <w:r>
            <w:rPr>
              <w:rFonts w:hint="eastAsia" w:ascii="Times New Roman" w:hAnsi="Times New Roman" w:eastAsia="仿宋_GB2312" w:cs="仿宋_GB2312"/>
              <w:color w:val="auto"/>
              <w:sz w:val="32"/>
              <w:szCs w:val="32"/>
              <w:highlight w:val="none"/>
            </w:rPr>
            <w:fldChar w:fldCharType="separate"/>
          </w:r>
          <w:r>
            <w:rPr>
              <w:rFonts w:hint="eastAsia" w:ascii="Times New Roman" w:hAnsi="Times New Roman" w:eastAsia="仿宋_GB2312" w:cs="仿宋_GB2312"/>
              <w:color w:val="auto"/>
              <w:sz w:val="32"/>
              <w:szCs w:val="32"/>
              <w:highlight w:val="none"/>
              <w:lang w:eastAsia="zh-CN"/>
            </w:rPr>
            <w:t>十、</w:t>
          </w:r>
          <w:r>
            <w:rPr>
              <w:rFonts w:hint="eastAsia" w:ascii="Times New Roman" w:hAnsi="Times New Roman" w:eastAsia="仿宋_GB2312" w:cs="仿宋_GB2312"/>
              <w:color w:val="auto"/>
              <w:sz w:val="32"/>
              <w:szCs w:val="32"/>
              <w:highlight w:val="none"/>
            </w:rPr>
            <w:t>其他重要事项的情况说明</w:t>
          </w:r>
          <w:r>
            <w:rPr>
              <w:rFonts w:hint="eastAsia" w:ascii="Times New Roman" w:hAnsi="Times New Roman" w:eastAsia="仿宋_GB2312" w:cs="仿宋_GB2312"/>
              <w:color w:val="auto"/>
              <w:sz w:val="32"/>
              <w:szCs w:val="32"/>
              <w:highlight w:val="none"/>
            </w:rPr>
            <w:tab/>
          </w:r>
          <w:r>
            <w:rPr>
              <w:rFonts w:hint="eastAsia" w:ascii="Times New Roman" w:hAnsi="Times New Roman" w:eastAsia="仿宋_GB2312" w:cs="仿宋_GB2312"/>
              <w:color w:val="auto"/>
              <w:sz w:val="32"/>
              <w:szCs w:val="32"/>
              <w:highlight w:val="none"/>
            </w:rPr>
            <w:fldChar w:fldCharType="begin"/>
          </w:r>
          <w:r>
            <w:rPr>
              <w:rFonts w:hint="eastAsia" w:ascii="Times New Roman" w:hAnsi="Times New Roman" w:eastAsia="仿宋_GB2312" w:cs="仿宋_GB2312"/>
              <w:color w:val="auto"/>
              <w:sz w:val="32"/>
              <w:szCs w:val="32"/>
              <w:highlight w:val="none"/>
            </w:rPr>
            <w:instrText xml:space="preserve"> PAGEREF _Toc20017 \h </w:instrText>
          </w:r>
          <w:r>
            <w:rPr>
              <w:rFonts w:hint="eastAsia" w:ascii="Times New Roman" w:hAnsi="Times New Roman" w:eastAsia="仿宋_GB2312" w:cs="仿宋_GB2312"/>
              <w:color w:val="auto"/>
              <w:sz w:val="32"/>
              <w:szCs w:val="32"/>
              <w:highlight w:val="none"/>
            </w:rPr>
            <w:fldChar w:fldCharType="separate"/>
          </w:r>
          <w:r>
            <w:rPr>
              <w:rFonts w:hint="eastAsia" w:ascii="Times New Roman" w:hAnsi="Times New Roman" w:eastAsia="仿宋_GB2312" w:cs="仿宋_GB2312"/>
              <w:color w:val="auto"/>
              <w:sz w:val="32"/>
              <w:szCs w:val="32"/>
              <w:highlight w:val="none"/>
            </w:rPr>
            <w:t>10</w:t>
          </w:r>
          <w:r>
            <w:rPr>
              <w:rFonts w:hint="eastAsia" w:ascii="Times New Roman" w:hAnsi="Times New Roman" w:eastAsia="仿宋_GB2312" w:cs="仿宋_GB2312"/>
              <w:color w:val="auto"/>
              <w:sz w:val="32"/>
              <w:szCs w:val="32"/>
              <w:highlight w:val="none"/>
            </w:rPr>
            <w:fldChar w:fldCharType="end"/>
          </w:r>
          <w:r>
            <w:rPr>
              <w:rFonts w:hint="eastAsia" w:ascii="Times New Roman" w:hAnsi="Times New Roman" w:eastAsia="仿宋_GB2312" w:cs="仿宋_GB2312"/>
              <w:color w:val="auto"/>
              <w:sz w:val="32"/>
              <w:szCs w:val="32"/>
              <w:highlight w:val="none"/>
            </w:rPr>
            <w:fldChar w:fldCharType="end"/>
          </w:r>
        </w:p>
        <w:p>
          <w:pPr>
            <w:pStyle w:val="13"/>
            <w:keepNext w:val="0"/>
            <w:keepLines w:val="0"/>
            <w:pageBreakBefore w:val="0"/>
            <w:widowControl w:val="0"/>
            <w:tabs>
              <w:tab w:val="right" w:leader="dot" w:pos="8306"/>
              <w:tab w:val="clear" w:pos="8296"/>
            </w:tabs>
            <w:kinsoku/>
            <w:wordWrap/>
            <w:overflowPunct/>
            <w:topLinePunct w:val="0"/>
            <w:autoSpaceDE/>
            <w:autoSpaceDN/>
            <w:bidi w:val="0"/>
            <w:spacing w:line="560" w:lineRule="exact"/>
            <w:textAlignment w:val="auto"/>
            <w:rPr>
              <w:rFonts w:hint="eastAsia" w:ascii="Times New Roman" w:hAnsi="Times New Roman" w:eastAsia="黑体" w:cs="黑体"/>
              <w:color w:val="auto"/>
              <w:sz w:val="32"/>
              <w:szCs w:val="32"/>
              <w:highlight w:val="none"/>
            </w:rPr>
          </w:pPr>
          <w:r>
            <w:rPr>
              <w:rFonts w:hint="eastAsia" w:ascii="Times New Roman" w:hAnsi="Times New Roman" w:eastAsia="黑体" w:cs="黑体"/>
              <w:color w:val="auto"/>
              <w:sz w:val="32"/>
              <w:szCs w:val="32"/>
              <w:highlight w:val="none"/>
            </w:rPr>
            <w:fldChar w:fldCharType="begin"/>
          </w:r>
          <w:r>
            <w:rPr>
              <w:rFonts w:hint="eastAsia" w:ascii="Times New Roman" w:hAnsi="Times New Roman" w:eastAsia="黑体" w:cs="黑体"/>
              <w:color w:val="auto"/>
              <w:sz w:val="32"/>
              <w:szCs w:val="32"/>
              <w:highlight w:val="none"/>
            </w:rPr>
            <w:instrText xml:space="preserve"> HYPERLINK \l _Toc15984 </w:instrText>
          </w:r>
          <w:r>
            <w:rPr>
              <w:rFonts w:hint="eastAsia" w:ascii="Times New Roman" w:hAnsi="Times New Roman" w:eastAsia="黑体" w:cs="黑体"/>
              <w:color w:val="auto"/>
              <w:sz w:val="32"/>
              <w:szCs w:val="32"/>
              <w:highlight w:val="none"/>
            </w:rPr>
            <w:fldChar w:fldCharType="separate"/>
          </w:r>
          <w:r>
            <w:rPr>
              <w:rFonts w:hint="eastAsia" w:ascii="Times New Roman" w:hAnsi="Times New Roman" w:eastAsia="黑体" w:cs="黑体"/>
              <w:color w:val="auto"/>
              <w:sz w:val="32"/>
              <w:szCs w:val="32"/>
              <w:highlight w:val="none"/>
            </w:rPr>
            <w:t>第</w:t>
          </w:r>
          <w:r>
            <w:rPr>
              <w:rFonts w:hint="eastAsia" w:ascii="Times New Roman" w:hAnsi="Times New Roman" w:eastAsia="黑体" w:cs="黑体"/>
              <w:color w:val="auto"/>
              <w:sz w:val="32"/>
              <w:szCs w:val="32"/>
              <w:highlight w:val="none"/>
              <w:lang w:eastAsia="zh-CN"/>
            </w:rPr>
            <w:t>三</w:t>
          </w:r>
          <w:r>
            <w:rPr>
              <w:rFonts w:hint="eastAsia" w:ascii="Times New Roman" w:hAnsi="Times New Roman" w:eastAsia="黑体" w:cs="黑体"/>
              <w:color w:val="auto"/>
              <w:sz w:val="32"/>
              <w:szCs w:val="32"/>
              <w:highlight w:val="none"/>
            </w:rPr>
            <w:t>部分</w:t>
          </w:r>
          <w:r>
            <w:rPr>
              <w:rFonts w:hint="eastAsia" w:ascii="Times New Roman" w:hAnsi="Times New Roman" w:eastAsia="黑体" w:cs="黑体"/>
              <w:color w:val="auto"/>
              <w:sz w:val="32"/>
              <w:szCs w:val="32"/>
              <w:highlight w:val="none"/>
              <w:lang w:val="en-US" w:eastAsia="zh-CN"/>
            </w:rPr>
            <w:t xml:space="preserve"> </w:t>
          </w:r>
          <w:r>
            <w:rPr>
              <w:rFonts w:hint="eastAsia" w:ascii="Times New Roman" w:hAnsi="Times New Roman" w:eastAsia="黑体" w:cs="黑体"/>
              <w:color w:val="auto"/>
              <w:sz w:val="32"/>
              <w:szCs w:val="32"/>
              <w:highlight w:val="none"/>
            </w:rPr>
            <w:t>名词解释</w:t>
          </w:r>
          <w:r>
            <w:rPr>
              <w:rFonts w:hint="eastAsia" w:ascii="Times New Roman" w:hAnsi="Times New Roman" w:eastAsia="黑体" w:cs="黑体"/>
              <w:color w:val="auto"/>
              <w:sz w:val="32"/>
              <w:szCs w:val="32"/>
              <w:highlight w:val="none"/>
            </w:rPr>
            <w:tab/>
          </w:r>
          <w:r>
            <w:rPr>
              <w:rFonts w:hint="eastAsia" w:ascii="Times New Roman" w:hAnsi="Times New Roman" w:eastAsia="黑体" w:cs="黑体"/>
              <w:color w:val="auto"/>
              <w:sz w:val="32"/>
              <w:szCs w:val="32"/>
              <w:highlight w:val="none"/>
            </w:rPr>
            <w:fldChar w:fldCharType="begin"/>
          </w:r>
          <w:r>
            <w:rPr>
              <w:rFonts w:hint="eastAsia" w:ascii="Times New Roman" w:hAnsi="Times New Roman" w:eastAsia="黑体" w:cs="黑体"/>
              <w:color w:val="auto"/>
              <w:sz w:val="32"/>
              <w:szCs w:val="32"/>
              <w:highlight w:val="none"/>
            </w:rPr>
            <w:instrText xml:space="preserve"> PAGEREF _Toc15984 \h </w:instrText>
          </w:r>
          <w:r>
            <w:rPr>
              <w:rFonts w:hint="eastAsia" w:ascii="Times New Roman" w:hAnsi="Times New Roman" w:eastAsia="黑体" w:cs="黑体"/>
              <w:color w:val="auto"/>
              <w:sz w:val="32"/>
              <w:szCs w:val="32"/>
              <w:highlight w:val="none"/>
            </w:rPr>
            <w:fldChar w:fldCharType="separate"/>
          </w:r>
          <w:r>
            <w:rPr>
              <w:rFonts w:hint="eastAsia" w:ascii="Times New Roman" w:hAnsi="Times New Roman" w:eastAsia="黑体" w:cs="黑体"/>
              <w:color w:val="auto"/>
              <w:sz w:val="32"/>
              <w:szCs w:val="32"/>
              <w:highlight w:val="none"/>
            </w:rPr>
            <w:t>12</w:t>
          </w:r>
          <w:r>
            <w:rPr>
              <w:rFonts w:hint="eastAsia" w:ascii="Times New Roman" w:hAnsi="Times New Roman" w:eastAsia="黑体" w:cs="黑体"/>
              <w:color w:val="auto"/>
              <w:sz w:val="32"/>
              <w:szCs w:val="32"/>
              <w:highlight w:val="none"/>
            </w:rPr>
            <w:fldChar w:fldCharType="end"/>
          </w:r>
          <w:r>
            <w:rPr>
              <w:rFonts w:hint="eastAsia" w:ascii="Times New Roman" w:hAnsi="Times New Roman" w:eastAsia="黑体" w:cs="黑体"/>
              <w:color w:val="auto"/>
              <w:sz w:val="32"/>
              <w:szCs w:val="32"/>
              <w:highlight w:val="none"/>
            </w:rPr>
            <w:fldChar w:fldCharType="end"/>
          </w:r>
        </w:p>
        <w:p>
          <w:pPr>
            <w:pStyle w:val="13"/>
            <w:keepNext w:val="0"/>
            <w:keepLines w:val="0"/>
            <w:pageBreakBefore w:val="0"/>
            <w:widowControl w:val="0"/>
            <w:tabs>
              <w:tab w:val="right" w:leader="dot" w:pos="8306"/>
              <w:tab w:val="clear" w:pos="8296"/>
            </w:tabs>
            <w:kinsoku/>
            <w:wordWrap/>
            <w:overflowPunct/>
            <w:topLinePunct w:val="0"/>
            <w:autoSpaceDE/>
            <w:autoSpaceDN/>
            <w:bidi w:val="0"/>
            <w:spacing w:line="560" w:lineRule="exact"/>
            <w:textAlignment w:val="auto"/>
          </w:pPr>
          <w:r>
            <w:rPr>
              <w:rFonts w:hint="eastAsia" w:ascii="Times New Roman" w:hAnsi="Times New Roman" w:eastAsia="黑体" w:cs="黑体"/>
              <w:color w:val="auto"/>
              <w:sz w:val="32"/>
              <w:szCs w:val="32"/>
              <w:highlight w:val="none"/>
            </w:rPr>
            <w:fldChar w:fldCharType="begin"/>
          </w:r>
          <w:r>
            <w:rPr>
              <w:rFonts w:hint="eastAsia" w:ascii="Times New Roman" w:hAnsi="Times New Roman" w:eastAsia="黑体" w:cs="黑体"/>
              <w:color w:val="auto"/>
              <w:sz w:val="32"/>
              <w:szCs w:val="32"/>
              <w:highlight w:val="none"/>
            </w:rPr>
            <w:instrText xml:space="preserve"> HYPERLINK \l _Toc6564 </w:instrText>
          </w:r>
          <w:r>
            <w:rPr>
              <w:rFonts w:hint="eastAsia" w:ascii="Times New Roman" w:hAnsi="Times New Roman" w:eastAsia="黑体" w:cs="黑体"/>
              <w:color w:val="auto"/>
              <w:sz w:val="32"/>
              <w:szCs w:val="32"/>
              <w:highlight w:val="none"/>
            </w:rPr>
            <w:fldChar w:fldCharType="separate"/>
          </w:r>
          <w:r>
            <w:rPr>
              <w:rFonts w:hint="eastAsia" w:ascii="Times New Roman" w:hAnsi="Times New Roman" w:eastAsia="黑体" w:cs="黑体"/>
              <w:color w:val="auto"/>
              <w:sz w:val="32"/>
              <w:szCs w:val="32"/>
              <w:highlight w:val="none"/>
              <w:lang w:eastAsia="zh-CN"/>
            </w:rPr>
            <w:t>第四部分</w:t>
          </w:r>
          <w:r>
            <w:rPr>
              <w:rFonts w:hint="eastAsia" w:ascii="Times New Roman" w:hAnsi="Times New Roman" w:eastAsia="黑体" w:cs="黑体"/>
              <w:color w:val="auto"/>
              <w:sz w:val="32"/>
              <w:szCs w:val="32"/>
              <w:highlight w:val="none"/>
              <w:lang w:val="en-US" w:eastAsia="zh-CN"/>
            </w:rPr>
            <w:t xml:space="preserve"> </w:t>
          </w:r>
          <w:r>
            <w:rPr>
              <w:rFonts w:hint="eastAsia" w:ascii="Times New Roman" w:hAnsi="Times New Roman" w:eastAsia="黑体" w:cs="黑体"/>
              <w:color w:val="auto"/>
              <w:sz w:val="32"/>
              <w:szCs w:val="32"/>
              <w:highlight w:val="none"/>
              <w:lang w:eastAsia="zh-CN"/>
            </w:rPr>
            <w:t>附件</w:t>
          </w:r>
          <w:r>
            <w:rPr>
              <w:rFonts w:hint="eastAsia" w:ascii="Times New Roman" w:hAnsi="Times New Roman" w:eastAsia="黑体" w:cs="黑体"/>
              <w:color w:val="auto"/>
              <w:sz w:val="32"/>
              <w:szCs w:val="32"/>
              <w:highlight w:val="none"/>
            </w:rPr>
            <w:tab/>
          </w:r>
          <w:r>
            <w:rPr>
              <w:rFonts w:hint="eastAsia" w:ascii="Times New Roman" w:hAnsi="Times New Roman" w:eastAsia="黑体" w:cs="黑体"/>
              <w:color w:val="auto"/>
              <w:sz w:val="32"/>
              <w:szCs w:val="32"/>
              <w:highlight w:val="none"/>
            </w:rPr>
            <w:fldChar w:fldCharType="begin"/>
          </w:r>
          <w:r>
            <w:rPr>
              <w:rFonts w:hint="eastAsia" w:ascii="Times New Roman" w:hAnsi="Times New Roman" w:eastAsia="黑体" w:cs="黑体"/>
              <w:color w:val="auto"/>
              <w:sz w:val="32"/>
              <w:szCs w:val="32"/>
              <w:highlight w:val="none"/>
            </w:rPr>
            <w:instrText xml:space="preserve"> PAGEREF _Toc6564 \h </w:instrText>
          </w:r>
          <w:r>
            <w:rPr>
              <w:rFonts w:hint="eastAsia" w:ascii="Times New Roman" w:hAnsi="Times New Roman" w:eastAsia="黑体" w:cs="黑体"/>
              <w:color w:val="auto"/>
              <w:sz w:val="32"/>
              <w:szCs w:val="32"/>
              <w:highlight w:val="none"/>
            </w:rPr>
            <w:fldChar w:fldCharType="separate"/>
          </w:r>
          <w:r>
            <w:rPr>
              <w:rFonts w:hint="eastAsia" w:ascii="Times New Roman" w:hAnsi="Times New Roman" w:eastAsia="黑体" w:cs="黑体"/>
              <w:color w:val="auto"/>
              <w:sz w:val="32"/>
              <w:szCs w:val="32"/>
              <w:highlight w:val="none"/>
            </w:rPr>
            <w:t>14</w:t>
          </w:r>
          <w:r>
            <w:rPr>
              <w:rFonts w:hint="eastAsia" w:ascii="Times New Roman" w:hAnsi="Times New Roman" w:eastAsia="黑体" w:cs="黑体"/>
              <w:color w:val="auto"/>
              <w:sz w:val="32"/>
              <w:szCs w:val="32"/>
              <w:highlight w:val="none"/>
            </w:rPr>
            <w:fldChar w:fldCharType="end"/>
          </w:r>
          <w:r>
            <w:rPr>
              <w:rFonts w:hint="eastAsia" w:ascii="Times New Roman" w:hAnsi="Times New Roman" w:eastAsia="黑体" w:cs="黑体"/>
              <w:color w:val="auto"/>
              <w:sz w:val="32"/>
              <w:szCs w:val="32"/>
              <w:highlight w:val="none"/>
            </w:rPr>
            <w:fldChar w:fldCharType="end"/>
          </w:r>
        </w:p>
        <w:p>
          <w:pPr>
            <w:pStyle w:val="13"/>
            <w:keepNext w:val="0"/>
            <w:keepLines w:val="0"/>
            <w:pageBreakBefore w:val="0"/>
            <w:widowControl w:val="0"/>
            <w:tabs>
              <w:tab w:val="right" w:leader="dot" w:pos="8306"/>
              <w:tab w:val="clear" w:pos="8296"/>
            </w:tabs>
            <w:kinsoku/>
            <w:wordWrap/>
            <w:overflowPunct/>
            <w:topLinePunct w:val="0"/>
            <w:autoSpaceDE/>
            <w:autoSpaceDN/>
            <w:bidi w:val="0"/>
            <w:spacing w:line="560" w:lineRule="exact"/>
            <w:textAlignment w:val="auto"/>
            <w:rPr>
              <w:rFonts w:hint="eastAsia" w:ascii="Times New Roman" w:hAnsi="Times New Roman" w:eastAsia="黑体" w:cs="黑体"/>
              <w:color w:val="auto"/>
              <w:sz w:val="32"/>
              <w:szCs w:val="32"/>
              <w:highlight w:val="none"/>
              <w:lang w:eastAsia="zh-CN"/>
            </w:rPr>
          </w:pPr>
          <w:r>
            <w:rPr>
              <w:rFonts w:hint="eastAsia" w:ascii="Times New Roman" w:hAnsi="Times New Roman" w:eastAsia="黑体" w:cs="黑体"/>
              <w:color w:val="auto"/>
              <w:sz w:val="32"/>
              <w:szCs w:val="32"/>
              <w:highlight w:val="none"/>
              <w:lang w:eastAsia="zh-CN"/>
            </w:rPr>
            <w:fldChar w:fldCharType="begin"/>
          </w:r>
          <w:r>
            <w:rPr>
              <w:rFonts w:hint="eastAsia" w:ascii="Times New Roman" w:hAnsi="Times New Roman" w:eastAsia="黑体" w:cs="黑体"/>
              <w:color w:val="auto"/>
              <w:sz w:val="32"/>
              <w:szCs w:val="32"/>
              <w:highlight w:val="none"/>
              <w:lang w:eastAsia="zh-CN"/>
            </w:rPr>
            <w:instrText xml:space="preserve"> HYPERLINK \l _Toc14487 </w:instrText>
          </w:r>
          <w:r>
            <w:rPr>
              <w:rFonts w:hint="eastAsia" w:ascii="Times New Roman" w:hAnsi="Times New Roman" w:eastAsia="黑体" w:cs="黑体"/>
              <w:color w:val="auto"/>
              <w:sz w:val="32"/>
              <w:szCs w:val="32"/>
              <w:highlight w:val="none"/>
              <w:lang w:eastAsia="zh-CN"/>
            </w:rPr>
            <w:fldChar w:fldCharType="separate"/>
          </w:r>
          <w:r>
            <w:rPr>
              <w:rFonts w:hint="eastAsia" w:ascii="Times New Roman" w:hAnsi="Times New Roman" w:eastAsia="黑体" w:cs="黑体"/>
              <w:color w:val="auto"/>
              <w:sz w:val="32"/>
              <w:szCs w:val="32"/>
              <w:highlight w:val="none"/>
              <w:lang w:val="en-US" w:eastAsia="zh-CN"/>
            </w:rPr>
            <w:t>第五部分 附表</w:t>
          </w:r>
          <w:r>
            <w:rPr>
              <w:rFonts w:hint="eastAsia" w:ascii="Times New Roman" w:hAnsi="Times New Roman" w:eastAsia="黑体" w:cs="黑体"/>
              <w:color w:val="auto"/>
              <w:sz w:val="32"/>
              <w:szCs w:val="32"/>
              <w:highlight w:val="none"/>
              <w:lang w:eastAsia="zh-CN"/>
            </w:rPr>
            <w:tab/>
          </w:r>
          <w:r>
            <w:rPr>
              <w:rFonts w:hint="eastAsia" w:ascii="Times New Roman" w:hAnsi="Times New Roman" w:eastAsia="黑体" w:cs="黑体"/>
              <w:color w:val="auto"/>
              <w:sz w:val="32"/>
              <w:szCs w:val="32"/>
              <w:highlight w:val="none"/>
              <w:lang w:eastAsia="zh-CN"/>
            </w:rPr>
            <w:fldChar w:fldCharType="begin"/>
          </w:r>
          <w:r>
            <w:rPr>
              <w:rFonts w:hint="eastAsia" w:ascii="Times New Roman" w:hAnsi="Times New Roman" w:eastAsia="黑体" w:cs="黑体"/>
              <w:color w:val="auto"/>
              <w:sz w:val="32"/>
              <w:szCs w:val="32"/>
              <w:highlight w:val="none"/>
              <w:lang w:eastAsia="zh-CN"/>
            </w:rPr>
            <w:instrText xml:space="preserve"> PAGEREF _Toc14487 \h </w:instrText>
          </w:r>
          <w:r>
            <w:rPr>
              <w:rFonts w:hint="eastAsia" w:ascii="Times New Roman" w:hAnsi="Times New Roman" w:eastAsia="黑体" w:cs="黑体"/>
              <w:color w:val="auto"/>
              <w:sz w:val="32"/>
              <w:szCs w:val="32"/>
              <w:highlight w:val="none"/>
              <w:lang w:eastAsia="zh-CN"/>
            </w:rPr>
            <w:fldChar w:fldCharType="separate"/>
          </w:r>
          <w:r>
            <w:rPr>
              <w:rFonts w:hint="eastAsia" w:ascii="Times New Roman" w:hAnsi="Times New Roman" w:eastAsia="黑体" w:cs="黑体"/>
              <w:color w:val="auto"/>
              <w:sz w:val="32"/>
              <w:szCs w:val="32"/>
              <w:highlight w:val="none"/>
              <w:lang w:eastAsia="zh-CN"/>
            </w:rPr>
            <w:t>27</w:t>
          </w:r>
          <w:r>
            <w:rPr>
              <w:rFonts w:hint="eastAsia" w:ascii="Times New Roman" w:hAnsi="Times New Roman" w:eastAsia="黑体" w:cs="黑体"/>
              <w:color w:val="auto"/>
              <w:sz w:val="32"/>
              <w:szCs w:val="32"/>
              <w:highlight w:val="none"/>
              <w:lang w:eastAsia="zh-CN"/>
            </w:rPr>
            <w:fldChar w:fldCharType="end"/>
          </w:r>
          <w:r>
            <w:rPr>
              <w:rFonts w:hint="eastAsia" w:ascii="Times New Roman" w:hAnsi="Times New Roman" w:eastAsia="黑体" w:cs="黑体"/>
              <w:color w:val="auto"/>
              <w:sz w:val="32"/>
              <w:szCs w:val="32"/>
              <w:highlight w:val="none"/>
              <w:lang w:eastAsia="zh-CN"/>
            </w:rPr>
            <w:fldChar w:fldCharType="end"/>
          </w:r>
        </w:p>
        <w:p>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r>
            <w:rPr>
              <w:rFonts w:hint="eastAsia"/>
            </w:rPr>
            <w:fldChar w:fldCharType="end"/>
          </w:r>
          <w:r>
            <w:rPr>
              <w:rFonts w:hint="eastAsia"/>
              <w:lang w:val="en-US" w:eastAsia="zh-CN"/>
            </w:rPr>
            <w:t xml:space="preserve">  </w:t>
          </w:r>
          <w:r>
            <w:rPr>
              <w:rFonts w:hint="eastAsia" w:ascii="Times New Roman" w:hAnsi="Times New Roman" w:eastAsia="仿宋_GB2312" w:cs="仿宋_GB2312"/>
              <w:color w:val="auto"/>
              <w:sz w:val="32"/>
              <w:szCs w:val="32"/>
              <w:highlight w:val="none"/>
            </w:rPr>
            <w:t>一、收入支出决算总表</w:t>
          </w:r>
        </w:p>
        <w:p>
          <w:pPr>
            <w:pStyle w:val="14"/>
            <w:keepNext w:val="0"/>
            <w:keepLines w:val="0"/>
            <w:pageBreakBefore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二、收入决算表</w:t>
          </w:r>
        </w:p>
        <w:p>
          <w:pPr>
            <w:pStyle w:val="14"/>
            <w:keepNext w:val="0"/>
            <w:keepLines w:val="0"/>
            <w:pageBreakBefore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三、支出决算表</w:t>
          </w:r>
        </w:p>
        <w:p>
          <w:pPr>
            <w:pStyle w:val="14"/>
            <w:keepNext w:val="0"/>
            <w:keepLines w:val="0"/>
            <w:pageBreakBefore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四、财政拨款收入支出决算总表</w:t>
          </w:r>
        </w:p>
        <w:p>
          <w:pPr>
            <w:pStyle w:val="14"/>
            <w:keepNext w:val="0"/>
            <w:keepLines w:val="0"/>
            <w:pageBreakBefore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五、财政拨款支出决算明细表</w:t>
          </w:r>
        </w:p>
        <w:p>
          <w:pPr>
            <w:pStyle w:val="14"/>
            <w:keepNext w:val="0"/>
            <w:keepLines w:val="0"/>
            <w:pageBreakBefore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六、一般公共预算财政拨款支出决算表</w:t>
          </w:r>
        </w:p>
        <w:p>
          <w:pPr>
            <w:pStyle w:val="14"/>
            <w:keepNext w:val="0"/>
            <w:keepLines w:val="0"/>
            <w:pageBreakBefore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七、一般公共预算财政拨款支出决算明细表</w:t>
          </w:r>
        </w:p>
        <w:p>
          <w:pPr>
            <w:pStyle w:val="14"/>
            <w:keepNext w:val="0"/>
            <w:keepLines w:val="0"/>
            <w:pageBreakBefore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八、一般公共预算财政拨款基本支出决算表</w:t>
          </w:r>
        </w:p>
        <w:p>
          <w:pPr>
            <w:pStyle w:val="14"/>
            <w:keepNext w:val="0"/>
            <w:keepLines w:val="0"/>
            <w:pageBreakBefore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九、一般公共预算财政拨款项目支出决算表</w:t>
          </w:r>
        </w:p>
        <w:p>
          <w:pPr>
            <w:pStyle w:val="14"/>
            <w:keepNext w:val="0"/>
            <w:keepLines w:val="0"/>
            <w:pageBreakBefore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十、政府性基金预算财政拨款收入支出决算表</w:t>
          </w:r>
        </w:p>
        <w:p>
          <w:pPr>
            <w:pStyle w:val="14"/>
            <w:keepNext w:val="0"/>
            <w:keepLines w:val="0"/>
            <w:pageBreakBefore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十一、国有资本经营预算</w:t>
          </w:r>
          <w:r>
            <w:rPr>
              <w:rFonts w:hint="eastAsia" w:ascii="Times New Roman" w:hAnsi="Times New Roman" w:eastAsia="仿宋_GB2312" w:cs="仿宋_GB2312"/>
              <w:color w:val="auto"/>
              <w:sz w:val="32"/>
              <w:szCs w:val="32"/>
              <w:highlight w:val="none"/>
              <w:lang w:eastAsia="zh-CN"/>
            </w:rPr>
            <w:t>财政拨款收入</w:t>
          </w:r>
          <w:r>
            <w:rPr>
              <w:rFonts w:hint="eastAsia" w:ascii="Times New Roman" w:hAnsi="Times New Roman" w:eastAsia="仿宋_GB2312" w:cs="仿宋_GB2312"/>
              <w:color w:val="auto"/>
              <w:sz w:val="32"/>
              <w:szCs w:val="32"/>
              <w:highlight w:val="none"/>
            </w:rPr>
            <w:t>支出决算表</w:t>
          </w:r>
        </w:p>
        <w:p>
          <w:pPr>
            <w:pStyle w:val="14"/>
            <w:keepNext w:val="0"/>
            <w:keepLines w:val="0"/>
            <w:pageBreakBefore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十二、</w:t>
          </w:r>
          <w:r>
            <w:rPr>
              <w:rFonts w:hint="eastAsia" w:ascii="Times New Roman" w:hAnsi="Times New Roman" w:eastAsia="仿宋_GB2312" w:cs="仿宋_GB2312"/>
              <w:color w:val="auto"/>
              <w:sz w:val="32"/>
              <w:szCs w:val="32"/>
              <w:highlight w:val="none"/>
              <w:lang w:eastAsia="zh-CN"/>
            </w:rPr>
            <w:t>国有资本经营预算财政拨款支出决算表</w:t>
          </w:r>
        </w:p>
        <w:p>
          <w:pPr>
            <w:pStyle w:val="14"/>
            <w:keepNext w:val="0"/>
            <w:keepLines w:val="0"/>
            <w:pageBreakBefore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auto"/>
              <w:sz w:val="32"/>
              <w:szCs w:val="32"/>
              <w:highlight w:val="none"/>
              <w:lang w:eastAsia="zh-CN"/>
            </w:rPr>
          </w:pPr>
          <w:r>
            <w:rPr>
              <w:rFonts w:hint="eastAsia" w:ascii="Times New Roman" w:hAnsi="Times New Roman" w:eastAsia="仿宋_GB2312" w:cs="仿宋_GB2312"/>
              <w:color w:val="auto"/>
              <w:sz w:val="32"/>
              <w:szCs w:val="32"/>
              <w:highlight w:val="none"/>
            </w:rPr>
            <w:t>十三、</w:t>
          </w:r>
          <w:r>
            <w:rPr>
              <w:rFonts w:hint="eastAsia" w:ascii="Times New Roman" w:hAnsi="Times New Roman" w:eastAsia="仿宋_GB2312" w:cs="仿宋_GB2312"/>
              <w:color w:val="auto"/>
              <w:sz w:val="32"/>
              <w:szCs w:val="32"/>
              <w:highlight w:val="none"/>
              <w:lang w:eastAsia="zh-CN"/>
            </w:rPr>
            <w:t>财政拨款“三公”经费支出决算表</w:t>
          </w:r>
        </w:p>
        <w:p>
          <w:pPr>
            <w:keepNext w:val="0"/>
            <w:keepLines w:val="0"/>
            <w:pageBreakBefore w:val="0"/>
            <w:widowControl w:val="0"/>
            <w:kinsoku/>
            <w:wordWrap/>
            <w:overflowPunct/>
            <w:topLinePunct w:val="0"/>
            <w:autoSpaceDE/>
            <w:autoSpaceDN/>
            <w:bidi w:val="0"/>
            <w:spacing w:line="560" w:lineRule="exact"/>
            <w:textAlignment w:val="auto"/>
            <w:rPr>
              <w:rFonts w:hint="eastAsia" w:ascii="Times New Roman" w:hAnsi="Times New Roman" w:eastAsia="宋体" w:cs="Times New Roman"/>
              <w:kern w:val="2"/>
              <w:sz w:val="21"/>
              <w:szCs w:val="24"/>
              <w:lang w:val="en-US" w:eastAsia="zh-CN" w:bidi="ar-SA"/>
            </w:rPr>
          </w:pPr>
        </w:p>
      </w:sdtContent>
    </w:sdt>
    <w:p>
      <w:pPr>
        <w:pStyle w:val="2"/>
        <w:keepNext w:val="0"/>
        <w:keepLines w:val="0"/>
        <w:pageBreakBefore w:val="0"/>
        <w:widowControl w:val="0"/>
        <w:kinsoku/>
        <w:wordWrap/>
        <w:overflowPunct/>
        <w:topLinePunct w:val="0"/>
        <w:autoSpaceDE/>
        <w:autoSpaceDN/>
        <w:bidi w:val="0"/>
        <w:spacing w:line="560" w:lineRule="exact"/>
        <w:textAlignment w:val="auto"/>
        <w:rPr>
          <w:rFonts w:hint="eastAsia"/>
        </w:rPr>
      </w:pPr>
    </w:p>
    <w:p>
      <w:pPr>
        <w:pStyle w:val="3"/>
        <w:keepNext w:val="0"/>
        <w:keepLines w:val="0"/>
        <w:pageBreakBefore w:val="0"/>
        <w:widowControl w:val="0"/>
        <w:kinsoku/>
        <w:wordWrap/>
        <w:overflowPunct/>
        <w:topLinePunct w:val="0"/>
        <w:autoSpaceDE/>
        <w:autoSpaceDN/>
        <w:bidi w:val="0"/>
        <w:spacing w:line="560" w:lineRule="exact"/>
        <w:textAlignment w:val="auto"/>
        <w:rPr>
          <w:rFonts w:hint="eastAsia"/>
        </w:rPr>
        <w:sectPr>
          <w:footerReference r:id="rId5" w:type="first"/>
          <w:headerReference r:id="rId3" w:type="default"/>
          <w:footerReference r:id="rId4" w:type="default"/>
          <w:pgSz w:w="11906" w:h="16838"/>
          <w:pgMar w:top="1440" w:right="1800" w:bottom="1440" w:left="1800" w:header="851" w:footer="992" w:gutter="0"/>
          <w:pgNumType w:fmt="numberInDash" w:start="1"/>
          <w:cols w:space="425" w:num="1"/>
          <w:titlePg/>
          <w:docGrid w:type="lines" w:linePitch="312" w:charSpace="0"/>
        </w:sectPr>
      </w:pPr>
    </w:p>
    <w:p>
      <w:pPr>
        <w:pStyle w:val="3"/>
        <w:rPr>
          <w:rFonts w:hint="eastAsia"/>
        </w:rPr>
      </w:pPr>
    </w:p>
    <w:p>
      <w:pPr>
        <w:pStyle w:val="5"/>
        <w:jc w:val="center"/>
        <w:rPr>
          <w:rFonts w:ascii="Times New Roman" w:hAnsi="Times New Roman" w:eastAsia="黑体"/>
          <w:color w:val="auto"/>
          <w:sz w:val="32"/>
          <w:szCs w:val="32"/>
          <w:highlight w:val="none"/>
        </w:rPr>
      </w:pPr>
      <w:bookmarkStart w:id="12" w:name="_Toc15245"/>
      <w:bookmarkStart w:id="13" w:name="_Toc10592"/>
      <w:r>
        <w:rPr>
          <w:rFonts w:hint="eastAsia" w:ascii="Times New Roman" w:hAnsi="Times New Roman" w:eastAsia="方正小标宋简体" w:cs="方正小标宋简体"/>
          <w:b w:val="0"/>
          <w:color w:val="auto"/>
          <w:highlight w:val="none"/>
        </w:rPr>
        <w:t>第一部分</w:t>
      </w:r>
      <w:r>
        <w:rPr>
          <w:rFonts w:hint="eastAsia" w:ascii="Times New Roman" w:hAnsi="Times New Roman" w:eastAsia="方正小标宋简体" w:cs="方正小标宋简体"/>
          <w:b w:val="0"/>
          <w:color w:val="auto"/>
          <w:highlight w:val="none"/>
          <w:lang w:val="en-US" w:eastAsia="zh-CN"/>
        </w:rPr>
        <w:t xml:space="preserve"> </w:t>
      </w:r>
      <w:r>
        <w:rPr>
          <w:rFonts w:hint="eastAsia" w:ascii="Times New Roman" w:hAnsi="Times New Roman" w:eastAsia="方正小标宋简体" w:cs="方正小标宋简体"/>
          <w:b w:val="0"/>
          <w:color w:val="auto"/>
          <w:highlight w:val="none"/>
        </w:rPr>
        <w:t xml:space="preserve"> </w:t>
      </w:r>
      <w:r>
        <w:rPr>
          <w:rFonts w:hint="eastAsia" w:eastAsia="方正小标宋简体" w:cs="方正小标宋简体"/>
          <w:b w:val="0"/>
          <w:color w:val="auto"/>
          <w:highlight w:val="none"/>
          <w:lang w:val="en-US" w:eastAsia="zh-CN"/>
        </w:rPr>
        <w:t>单位</w:t>
      </w:r>
      <w:r>
        <w:rPr>
          <w:rStyle w:val="28"/>
          <w:rFonts w:hint="eastAsia" w:ascii="Times New Roman" w:hAnsi="Times New Roman" w:eastAsia="方正小标宋简体" w:cs="方正小标宋简体"/>
          <w:b w:val="0"/>
          <w:bCs w:val="0"/>
          <w:color w:val="auto"/>
          <w:highlight w:val="none"/>
        </w:rPr>
        <w:t>概况</w:t>
      </w:r>
      <w:bookmarkEnd w:id="12"/>
      <w:bookmarkEnd w:id="13"/>
    </w:p>
    <w:p>
      <w:pPr>
        <w:pStyle w:val="6"/>
        <w:numPr>
          <w:ilvl w:val="0"/>
          <w:numId w:val="1"/>
        </w:numPr>
        <w:rPr>
          <w:rFonts w:hint="eastAsia"/>
          <w:lang w:eastAsia="zh-CN"/>
        </w:rPr>
      </w:pPr>
      <w:bookmarkStart w:id="14" w:name="_Toc14482"/>
      <w:bookmarkStart w:id="15" w:name="_Toc26538"/>
      <w:r>
        <w:rPr>
          <w:rFonts w:hint="eastAsia" w:ascii="Times New Roman" w:hAnsi="Times New Roman" w:eastAsia="黑体"/>
          <w:b w:val="0"/>
          <w:color w:val="auto"/>
          <w:highlight w:val="none"/>
          <w:lang w:val="en-US" w:eastAsia="zh-CN"/>
        </w:rPr>
        <w:t>主要</w:t>
      </w:r>
      <w:r>
        <w:rPr>
          <w:rFonts w:hint="eastAsia" w:ascii="Times New Roman" w:hAnsi="Times New Roman" w:eastAsia="黑体"/>
          <w:b w:val="0"/>
          <w:color w:val="auto"/>
          <w:highlight w:val="none"/>
          <w:lang w:eastAsia="zh-CN"/>
        </w:rPr>
        <w:t>职责</w:t>
      </w:r>
      <w:bookmarkEnd w:id="14"/>
      <w:bookmarkEnd w:id="15"/>
    </w:p>
    <w:p>
      <w:pPr>
        <w:numPr>
          <w:ilvl w:val="0"/>
          <w:numId w:val="0"/>
        </w:numPr>
        <w:ind w:firstLine="640" w:firstLineChars="200"/>
        <w:rPr>
          <w:rFonts w:hint="default" w:ascii="Times New Roman" w:hAnsi="Times New Roman" w:eastAsia="仿宋_GB2312" w:cs="Times New Roman"/>
          <w:lang w:eastAsia="zh-CN"/>
        </w:rPr>
      </w:pPr>
      <w:r>
        <w:rPr>
          <w:rFonts w:hint="default" w:ascii="Times New Roman" w:hAnsi="Times New Roman" w:eastAsia="仿宋_GB2312" w:cs="Times New Roman"/>
          <w:color w:val="auto"/>
          <w:sz w:val="32"/>
          <w:szCs w:val="32"/>
          <w:highlight w:val="none"/>
          <w:lang w:val="en-US" w:eastAsia="zh-CN"/>
        </w:rPr>
        <w:t>四川理工技师学院创建于1975年，是四川省经济和信息化厅主管的公办职业院校，位于成都市温江区大学城，是省级示范校、四川省“四星级”名校，拥有国家级、省级、市级高技能人才培训基地，人社部示范性四川医药健康技师学院集团，人社部工学一体化教师培训基地，是世界技能大赛“化学实验室技术项目”中国集训基地。主要培养医药、化工、康养行业中、高级技术工人，颁发毕业证、结业证；开展医药、化工、康养等行业各工种技能考核鉴定，并颁发资格证书。紧密对接四川六大优势产业，开设药物分析与检验、药物制剂、物联网应用技术、工业机器人应用与维护、集成电路等22个专业，形成了食品医药、能源化工、健康养老、智能制造、数字网络、电子技术六大专业群，涵盖中级工、高级工和预备技师全日制学制教育层次，其中省（部）级重点、示范专业8个，是四川省高技能人才培养先进集体。</w:t>
      </w:r>
    </w:p>
    <w:p>
      <w:pPr>
        <w:pStyle w:val="6"/>
        <w:keepNext/>
        <w:keepLines/>
        <w:pageBreakBefore/>
        <w:widowControl w:val="0"/>
        <w:kinsoku/>
        <w:wordWrap/>
        <w:overflowPunct/>
        <w:topLinePunct w:val="0"/>
        <w:autoSpaceDE/>
        <w:autoSpaceDN/>
        <w:bidi w:val="0"/>
        <w:adjustRightInd/>
        <w:snapToGrid/>
        <w:spacing w:line="416" w:lineRule="auto"/>
        <w:textAlignment w:val="auto"/>
        <w:rPr>
          <w:rStyle w:val="29"/>
          <w:rFonts w:ascii="Times New Roman" w:hAnsi="Times New Roman"/>
          <w:b w:val="0"/>
          <w:bCs w:val="0"/>
          <w:color w:val="auto"/>
          <w:highlight w:val="none"/>
        </w:rPr>
      </w:pPr>
      <w:bookmarkStart w:id="16" w:name="_Toc10295"/>
      <w:bookmarkStart w:id="17" w:name="_Toc15396601"/>
      <w:bookmarkStart w:id="18" w:name="_Toc15377200"/>
      <w:bookmarkStart w:id="19" w:name="_Toc14999"/>
      <w:r>
        <w:rPr>
          <w:rFonts w:hint="eastAsia" w:ascii="Times New Roman" w:hAnsi="Times New Roman" w:eastAsia="黑体"/>
          <w:b w:val="0"/>
          <w:color w:val="auto"/>
          <w:highlight w:val="none"/>
        </w:rPr>
        <w:t>二、机</w:t>
      </w:r>
      <w:r>
        <w:rPr>
          <w:rStyle w:val="29"/>
          <w:rFonts w:hint="eastAsia" w:ascii="Times New Roman" w:hAnsi="Times New Roman" w:eastAsia="黑体"/>
          <w:b w:val="0"/>
          <w:bCs w:val="0"/>
          <w:color w:val="auto"/>
          <w:highlight w:val="none"/>
        </w:rPr>
        <w:t>构设置</w:t>
      </w:r>
      <w:bookmarkEnd w:id="16"/>
      <w:bookmarkEnd w:id="17"/>
      <w:bookmarkEnd w:id="18"/>
      <w:bookmarkEnd w:id="19"/>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学院年末独立编制机构</w:t>
      </w:r>
      <w:r>
        <w:rPr>
          <w:rFonts w:hint="default" w:ascii="Times New Roman" w:hAnsi="Times New Roman" w:eastAsia="仿宋_GB2312" w:cs="Times New Roman"/>
          <w:kern w:val="2"/>
          <w:sz w:val="32"/>
          <w:szCs w:val="32"/>
          <w:lang w:val="en-US" w:eastAsia="zh-CN" w:bidi="ar-SA"/>
        </w:rPr>
        <w:t>数1个，独立核算机构数1个，与上年保持一致。学院内设19个部门，分别为党群（退休）办公室、宣统部、行政办公室、教务处、学生工作处、招</w:t>
      </w:r>
      <w:r>
        <w:rPr>
          <w:rFonts w:hint="default" w:ascii="Times New Roman" w:hAnsi="Times New Roman" w:eastAsia="仿宋_GB2312" w:cs="Times New Roman"/>
          <w:color w:val="auto"/>
          <w:sz w:val="32"/>
          <w:szCs w:val="32"/>
          <w:highlight w:val="none"/>
          <w:lang w:val="en-US" w:eastAsia="zh-CN"/>
        </w:rPr>
        <w:t>生工作处、校企合作就业处、财务处、食品健康处、国有资产管理处、监察内审处、后勤服务处、项目服务处、信息服务处、化工制药系、机电工程系、信息工程系、经济贸易系和基础教学部。</w:t>
      </w:r>
    </w:p>
    <w:p>
      <w:pPr>
        <w:widowControl/>
        <w:jc w:val="left"/>
        <w:rPr>
          <w:rFonts w:ascii="Times New Roman" w:hAnsi="Times New Roman" w:eastAsia="仿宋"/>
          <w:color w:val="auto"/>
          <w:kern w:val="0"/>
          <w:sz w:val="32"/>
          <w:szCs w:val="32"/>
          <w:highlight w:val="none"/>
        </w:rPr>
      </w:pPr>
      <w:r>
        <w:rPr>
          <w:rFonts w:ascii="Times New Roman" w:hAnsi="Times New Roman" w:eastAsia="仿宋"/>
          <w:color w:val="auto"/>
          <w:sz w:val="32"/>
          <w:szCs w:val="32"/>
          <w:highlight w:val="none"/>
        </w:rPr>
        <w:br w:type="page"/>
      </w:r>
    </w:p>
    <w:p>
      <w:pPr>
        <w:pStyle w:val="5"/>
        <w:keepNext/>
        <w:keepLines/>
        <w:pageBreakBefore/>
        <w:widowControl w:val="0"/>
        <w:kinsoku/>
        <w:wordWrap/>
        <w:overflowPunct/>
        <w:topLinePunct w:val="0"/>
        <w:autoSpaceDE/>
        <w:autoSpaceDN/>
        <w:bidi w:val="0"/>
        <w:adjustRightInd/>
        <w:snapToGrid/>
        <w:spacing w:line="579" w:lineRule="auto"/>
        <w:jc w:val="center"/>
        <w:textAlignment w:val="auto"/>
        <w:rPr>
          <w:rFonts w:ascii="Times New Roman" w:hAnsi="Times New Roman"/>
          <w:color w:val="auto"/>
          <w:highlight w:val="none"/>
        </w:rPr>
      </w:pPr>
      <w:bookmarkStart w:id="20" w:name="_Toc19172"/>
      <w:bookmarkStart w:id="21" w:name="_Toc15377204"/>
      <w:bookmarkStart w:id="22" w:name="_Toc15396602"/>
      <w:bookmarkStart w:id="23" w:name="_Toc32024"/>
      <w:r>
        <w:rPr>
          <w:rFonts w:hint="eastAsia" w:ascii="Times New Roman" w:hAnsi="Times New Roman" w:eastAsia="方正小标宋简体" w:cs="方正小标宋简体"/>
          <w:b w:val="0"/>
          <w:color w:val="auto"/>
          <w:highlight w:val="none"/>
        </w:rPr>
        <w:t>第二部分</w:t>
      </w:r>
      <w:r>
        <w:rPr>
          <w:rFonts w:hint="eastAsia" w:ascii="Times New Roman" w:hAnsi="Times New Roman" w:eastAsia="方正小标宋简体" w:cs="方正小标宋简体"/>
          <w:b w:val="0"/>
          <w:color w:val="auto"/>
          <w:highlight w:val="none"/>
          <w:lang w:val="en-US" w:eastAsia="zh-CN"/>
        </w:rPr>
        <w:t xml:space="preserve"> </w:t>
      </w:r>
      <w:r>
        <w:rPr>
          <w:rFonts w:hint="eastAsia" w:ascii="Times New Roman" w:hAnsi="Times New Roman" w:eastAsia="方正小标宋简体" w:cs="方正小标宋简体"/>
          <w:b w:val="0"/>
          <w:color w:val="auto"/>
          <w:highlight w:val="none"/>
        </w:rPr>
        <w:t xml:space="preserve"> </w:t>
      </w:r>
      <w:r>
        <w:rPr>
          <w:rFonts w:hint="eastAsia" w:ascii="Times New Roman" w:hAnsi="Times New Roman" w:eastAsia="方正小标宋简体" w:cs="方正小标宋简体"/>
          <w:b w:val="0"/>
          <w:color w:val="auto"/>
          <w:highlight w:val="none"/>
          <w:lang w:val="en-US" w:eastAsia="zh-CN"/>
        </w:rPr>
        <w:t>2024年度</w:t>
      </w:r>
      <w:r>
        <w:rPr>
          <w:rFonts w:hint="eastAsia" w:eastAsia="方正小标宋简体" w:cs="方正小标宋简体"/>
          <w:b w:val="0"/>
          <w:color w:val="auto"/>
          <w:highlight w:val="none"/>
          <w:lang w:val="en-US" w:eastAsia="zh-CN"/>
        </w:rPr>
        <w:t>单位</w:t>
      </w:r>
      <w:r>
        <w:rPr>
          <w:rFonts w:hint="eastAsia" w:ascii="Times New Roman" w:hAnsi="Times New Roman" w:eastAsia="方正小标宋简体" w:cs="方正小标宋简体"/>
          <w:b w:val="0"/>
          <w:color w:val="auto"/>
          <w:highlight w:val="none"/>
        </w:rPr>
        <w:t>决算情况说明</w:t>
      </w:r>
      <w:bookmarkEnd w:id="20"/>
      <w:bookmarkEnd w:id="21"/>
      <w:bookmarkEnd w:id="22"/>
      <w:bookmarkEnd w:id="23"/>
    </w:p>
    <w:p>
      <w:pPr>
        <w:pStyle w:val="27"/>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Style w:val="29"/>
          <w:rFonts w:hint="eastAsia" w:ascii="Times New Roman" w:hAnsi="Times New Roman" w:eastAsia="黑体"/>
          <w:b w:val="0"/>
          <w:color w:val="auto"/>
          <w:highlight w:val="none"/>
        </w:rPr>
      </w:pPr>
      <w:bookmarkStart w:id="24" w:name="_Toc15396603"/>
      <w:bookmarkStart w:id="25" w:name="_Toc10101"/>
      <w:bookmarkStart w:id="26" w:name="_Toc15377205"/>
      <w:bookmarkStart w:id="27" w:name="_Toc19253"/>
      <w:r>
        <w:rPr>
          <w:rFonts w:hint="eastAsia" w:ascii="Times New Roman" w:hAnsi="Times New Roman" w:eastAsia="黑体"/>
          <w:color w:val="auto"/>
          <w:sz w:val="32"/>
          <w:szCs w:val="32"/>
          <w:highlight w:val="none"/>
          <w:lang w:eastAsia="zh-CN"/>
        </w:rPr>
        <w:t>一、</w:t>
      </w:r>
      <w:r>
        <w:rPr>
          <w:rFonts w:hint="eastAsia" w:ascii="Times New Roman" w:hAnsi="Times New Roman" w:eastAsia="黑体"/>
          <w:color w:val="auto"/>
          <w:sz w:val="32"/>
          <w:szCs w:val="32"/>
          <w:highlight w:val="none"/>
        </w:rPr>
        <w:t>收</w:t>
      </w:r>
      <w:r>
        <w:rPr>
          <w:rStyle w:val="29"/>
          <w:rFonts w:hint="eastAsia" w:ascii="Times New Roman" w:hAnsi="Times New Roman" w:eastAsia="黑体"/>
          <w:b w:val="0"/>
          <w:color w:val="auto"/>
          <w:highlight w:val="none"/>
        </w:rPr>
        <w:t>入支出决算总体情况说明</w:t>
      </w:r>
      <w:bookmarkEnd w:id="24"/>
      <w:bookmarkEnd w:id="25"/>
      <w:bookmarkEnd w:id="26"/>
      <w:bookmarkEnd w:id="27"/>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kern w:val="2"/>
          <w:sz w:val="32"/>
          <w:szCs w:val="32"/>
          <w:highlight w:val="yellow"/>
          <w:lang w:val="en-US" w:eastAsia="zh-CN" w:bidi="ar-SA"/>
        </w:rPr>
      </w:pPr>
      <w:r>
        <w:rPr>
          <w:rFonts w:hint="default" w:ascii="Times New Roman" w:hAnsi="Times New Roman" w:eastAsia="仿宋_GB2312" w:cs="Times New Roman"/>
          <w:kern w:val="2"/>
          <w:sz w:val="32"/>
          <w:szCs w:val="32"/>
          <w:lang w:val="en-US" w:eastAsia="zh-CN" w:bidi="ar-SA"/>
        </w:rPr>
        <w:t>2024年度收入、支出总计8205.36万元。与2023年度相比，决算收入总计增加311.96万元，增长4%。2024年度决算支出总计8205.36万元。与2023年度相比，决算支出总计增加311.96万元，增长4%。</w:t>
      </w:r>
      <w:r>
        <w:rPr>
          <w:rFonts w:hint="default" w:ascii="Times New Roman" w:hAnsi="Times New Roman" w:eastAsia="仿宋_GB2312" w:cs="Times New Roman"/>
          <w:kern w:val="2"/>
          <w:sz w:val="32"/>
          <w:szCs w:val="32"/>
          <w:highlight w:val="none"/>
          <w:lang w:val="en-US" w:eastAsia="zh-CN" w:bidi="ar-SA"/>
        </w:rPr>
        <w:t>主要变动原因是学生人数增加、事业收入增加。</w:t>
      </w:r>
    </w:p>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黑体"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rPr>
        <w:t>图</w:t>
      </w:r>
      <w:r>
        <w:rPr>
          <w:rFonts w:hint="default" w:ascii="Times New Roman" w:hAnsi="Times New Roman" w:eastAsia="仿宋_GB2312" w:cs="Times New Roman"/>
          <w:kern w:val="2"/>
          <w:sz w:val="32"/>
          <w:szCs w:val="32"/>
          <w:lang w:val="en-US" w:eastAsia="zh-CN" w:bidi="ar-SA"/>
        </w:rPr>
        <w:t>1</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sz w:val="32"/>
          <w:szCs w:val="32"/>
          <w:highlight w:val="none"/>
          <w:lang w:eastAsia="zh-CN"/>
        </w:rPr>
        <w:t>收入</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sz w:val="32"/>
          <w:szCs w:val="32"/>
          <w:highlight w:val="none"/>
          <w:lang w:eastAsia="zh-CN"/>
        </w:rPr>
        <w:t>支出</w:t>
      </w:r>
      <w:r>
        <w:rPr>
          <w:rFonts w:hint="default" w:ascii="Times New Roman" w:hAnsi="Times New Roman" w:eastAsia="仿宋_GB2312" w:cs="Times New Roman"/>
          <w:color w:val="auto"/>
          <w:sz w:val="32"/>
          <w:szCs w:val="32"/>
          <w:highlight w:val="none"/>
        </w:rPr>
        <w:t>决算总计变动情况图</w:t>
      </w:r>
      <w:bookmarkStart w:id="28" w:name="_Toc15396604"/>
      <w:bookmarkStart w:id="29" w:name="_Toc15377206"/>
    </w:p>
    <w:p>
      <w:pPr>
        <w:pStyle w:val="27"/>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Times New Roman" w:hAnsi="Times New Roman" w:eastAsia="黑体"/>
          <w:color w:val="auto"/>
          <w:sz w:val="32"/>
          <w:szCs w:val="32"/>
          <w:highlight w:val="none"/>
          <w:lang w:eastAsia="zh-CN"/>
        </w:rPr>
      </w:pPr>
      <w:bookmarkStart w:id="30" w:name="_Toc4624"/>
      <w:bookmarkStart w:id="31" w:name="_Toc12103"/>
      <w:r>
        <w:rPr>
          <w:rFonts w:hint="eastAsia" w:ascii="Times New Roman" w:hAnsi="Times New Roman" w:eastAsia="仿宋_GB2312" w:cs="仿宋_GB2312"/>
          <w:color w:val="auto"/>
          <w:sz w:val="32"/>
          <w:szCs w:val="32"/>
          <w:highlight w:val="none"/>
          <w:lang w:eastAsia="zh-CN"/>
        </w:rPr>
        <w:drawing>
          <wp:anchor distT="0" distB="0" distL="114300" distR="114300" simplePos="0" relativeHeight="251660288" behindDoc="0" locked="0" layoutInCell="1" allowOverlap="1">
            <wp:simplePos x="0" y="0"/>
            <wp:positionH relativeFrom="column">
              <wp:posOffset>53340</wp:posOffset>
            </wp:positionH>
            <wp:positionV relativeFrom="page">
              <wp:posOffset>4652010</wp:posOffset>
            </wp:positionV>
            <wp:extent cx="5377180" cy="3326765"/>
            <wp:effectExtent l="4445" t="4445" r="9525" b="21590"/>
            <wp:wrapTopAndBottom/>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r>
        <w:rPr>
          <w:rFonts w:hint="eastAsia" w:ascii="Times New Roman" w:hAnsi="Times New Roman" w:eastAsia="黑体"/>
          <w:color w:val="auto"/>
          <w:sz w:val="32"/>
          <w:szCs w:val="32"/>
          <w:highlight w:val="none"/>
          <w:lang w:eastAsia="zh-CN"/>
        </w:rPr>
        <w:t>二、收入决算情况说明</w:t>
      </w:r>
      <w:bookmarkEnd w:id="28"/>
      <w:bookmarkEnd w:id="29"/>
      <w:bookmarkEnd w:id="30"/>
      <w:bookmarkEnd w:id="31"/>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kern w:val="2"/>
          <w:sz w:val="32"/>
          <w:szCs w:val="32"/>
          <w:lang w:val="en-US" w:eastAsia="zh-CN" w:bidi="ar-SA"/>
        </w:rPr>
      </w:pPr>
      <w:r>
        <w:rPr>
          <w:rFonts w:hint="default" w:ascii="Times New Roman" w:hAnsi="Times New Roman" w:eastAsia="仿宋_GB2312" w:cs="Times New Roman"/>
          <w:kern w:val="2"/>
          <w:sz w:val="32"/>
          <w:szCs w:val="32"/>
          <w:lang w:val="en-US" w:eastAsia="zh-CN" w:bidi="ar-SA"/>
        </w:rPr>
        <w:t>2024年度本年收入合计8205.36万元，其中：一般公共预算财政拨款收入7077.91万元，占86.3%；事业收入630.43万元，占7.7%；其他收入497.01万元，占6%。</w:t>
      </w:r>
    </w:p>
    <w:p>
      <w:pPr>
        <w:keepNext w:val="0"/>
        <w:keepLines w:val="0"/>
        <w:pageBreakBefore/>
        <w:widowControl w:val="0"/>
        <w:kinsoku/>
        <w:wordWrap/>
        <w:overflowPunct/>
        <w:topLinePunct w:val="0"/>
        <w:autoSpaceDE/>
        <w:autoSpaceDN/>
        <w:bidi w:val="0"/>
        <w:adjustRightInd/>
        <w:snapToGrid/>
        <w:jc w:val="center"/>
        <w:textAlignment w:val="auto"/>
        <w:rPr>
          <w:rFonts w:hint="eastAsia" w:ascii="Times New Roman" w:hAnsi="Times New Roman" w:eastAsia="仿宋_GB2312" w:cs="仿宋_GB2312"/>
          <w:color w:val="auto"/>
          <w:sz w:val="32"/>
          <w:szCs w:val="32"/>
          <w:highlight w:val="none"/>
          <w:lang w:eastAsia="zh-CN"/>
        </w:rPr>
      </w:pPr>
      <w:r>
        <w:rPr>
          <w:rFonts w:hint="eastAsia" w:ascii="Times New Roman" w:hAnsi="Times New Roman" w:eastAsia="仿宋_GB2312" w:cs="仿宋_GB2312"/>
          <w:color w:val="auto"/>
          <w:sz w:val="32"/>
          <w:szCs w:val="32"/>
          <w:highlight w:val="none"/>
          <w:lang w:eastAsia="zh-CN"/>
        </w:rPr>
        <w:t>图</w:t>
      </w:r>
      <w:r>
        <w:rPr>
          <w:rFonts w:hint="eastAsia" w:ascii="仿宋_GB2312" w:hAnsi="仿宋_GB2312" w:eastAsia="仿宋_GB2312" w:cs="仿宋_GB2312"/>
          <w:kern w:val="2"/>
          <w:sz w:val="32"/>
          <w:szCs w:val="32"/>
          <w:lang w:val="en-US" w:eastAsia="zh-CN" w:bidi="ar-SA"/>
        </w:rPr>
        <w:t>2</w:t>
      </w:r>
      <w:r>
        <w:rPr>
          <w:rFonts w:hint="eastAsia" w:ascii="Times New Roman" w:hAnsi="Times New Roman" w:eastAsia="仿宋_GB2312" w:cs="仿宋_GB2312"/>
          <w:color w:val="auto"/>
          <w:sz w:val="32"/>
          <w:szCs w:val="32"/>
          <w:highlight w:val="none"/>
          <w:lang w:eastAsia="zh-CN"/>
        </w:rPr>
        <w:t>：收入决算结构图</w:t>
      </w:r>
      <w:r>
        <w:rPr>
          <w:rFonts w:hint="eastAsia" w:ascii="Times New Roman" w:hAnsi="Times New Roman" w:eastAsia="仿宋_GB2312" w:cs="仿宋_GB2312"/>
          <w:color w:val="auto"/>
          <w:sz w:val="32"/>
          <w:szCs w:val="32"/>
          <w:highlight w:val="none"/>
          <w:lang w:eastAsia="zh-CN"/>
        </w:rPr>
        <w:drawing>
          <wp:inline distT="0" distB="0" distL="114300" distR="114300">
            <wp:extent cx="5267960" cy="3202305"/>
            <wp:effectExtent l="4445" t="4445" r="23495" b="12700"/>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pPr>
        <w:pStyle w:val="27"/>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Style w:val="29"/>
          <w:rFonts w:hint="eastAsia" w:ascii="Times New Roman" w:hAnsi="Times New Roman" w:eastAsia="黑体"/>
          <w:b w:val="0"/>
          <w:color w:val="auto"/>
          <w:highlight w:val="none"/>
        </w:rPr>
      </w:pPr>
      <w:bookmarkStart w:id="32" w:name="_Toc15396605"/>
      <w:bookmarkStart w:id="33" w:name="_Toc11631"/>
      <w:bookmarkStart w:id="34" w:name="_Toc15377207"/>
      <w:bookmarkStart w:id="35" w:name="_Toc9113"/>
      <w:r>
        <w:rPr>
          <w:rFonts w:hint="eastAsia" w:ascii="Times New Roman" w:hAnsi="Times New Roman" w:eastAsia="黑体"/>
          <w:color w:val="auto"/>
          <w:sz w:val="32"/>
          <w:szCs w:val="32"/>
          <w:highlight w:val="none"/>
          <w:lang w:eastAsia="zh-CN"/>
        </w:rPr>
        <w:t>三、</w:t>
      </w:r>
      <w:r>
        <w:rPr>
          <w:rFonts w:hint="eastAsia" w:ascii="Times New Roman" w:hAnsi="Times New Roman" w:eastAsia="黑体"/>
          <w:color w:val="auto"/>
          <w:sz w:val="32"/>
          <w:szCs w:val="32"/>
          <w:highlight w:val="none"/>
        </w:rPr>
        <w:t>支</w:t>
      </w:r>
      <w:r>
        <w:rPr>
          <w:rStyle w:val="29"/>
          <w:rFonts w:hint="eastAsia" w:ascii="Times New Roman" w:hAnsi="Times New Roman" w:eastAsia="黑体"/>
          <w:b w:val="0"/>
          <w:color w:val="auto"/>
          <w:highlight w:val="none"/>
        </w:rPr>
        <w:t>出决算情况说明</w:t>
      </w:r>
      <w:bookmarkEnd w:id="32"/>
      <w:bookmarkEnd w:id="33"/>
      <w:bookmarkEnd w:id="34"/>
      <w:bookmarkEnd w:id="35"/>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kern w:val="2"/>
          <w:sz w:val="32"/>
          <w:szCs w:val="32"/>
          <w:lang w:val="en-US" w:eastAsia="zh-CN" w:bidi="ar-SA"/>
        </w:rPr>
      </w:pPr>
      <w:r>
        <w:rPr>
          <w:rFonts w:hint="default" w:ascii="Times New Roman" w:hAnsi="Times New Roman" w:eastAsia="仿宋_GB2312" w:cs="Times New Roman"/>
          <w:kern w:val="2"/>
          <w:sz w:val="32"/>
          <w:szCs w:val="32"/>
          <w:lang w:val="en-US" w:eastAsia="zh-CN" w:bidi="ar-SA"/>
        </w:rPr>
        <w:t>2024年度本年支出合计8205.36万元，其中：基本支出4967.18万元，占60.5%；项目支出3238.18万元，占39.5%。</w:t>
      </w:r>
    </w:p>
    <w:p>
      <w:pPr>
        <w:jc w:val="center"/>
        <w:rPr>
          <w:rFonts w:hint="eastAsia" w:ascii="Times New Roman" w:hAnsi="Times New Roman" w:eastAsia="仿宋_GB2312" w:cs="仿宋_GB2312"/>
          <w:color w:val="auto"/>
          <w:sz w:val="32"/>
          <w:szCs w:val="32"/>
          <w:highlight w:val="none"/>
          <w:lang w:eastAsia="zh-CN"/>
        </w:rPr>
      </w:pPr>
      <w:r>
        <w:rPr>
          <w:rFonts w:hint="eastAsia" w:ascii="Times New Roman" w:hAnsi="Times New Roman" w:eastAsia="仿宋_GB2312" w:cs="仿宋_GB2312"/>
          <w:color w:val="auto"/>
          <w:sz w:val="32"/>
          <w:szCs w:val="32"/>
          <w:highlight w:val="none"/>
          <w:lang w:eastAsia="zh-CN"/>
        </w:rPr>
        <w:t>图</w:t>
      </w:r>
      <w:r>
        <w:rPr>
          <w:rFonts w:hint="eastAsia" w:ascii="仿宋_GB2312" w:hAnsi="仿宋_GB2312" w:eastAsia="仿宋_GB2312" w:cs="仿宋_GB2312"/>
          <w:kern w:val="2"/>
          <w:sz w:val="32"/>
          <w:szCs w:val="32"/>
          <w:lang w:val="en-US" w:eastAsia="zh-CN" w:bidi="ar-SA"/>
        </w:rPr>
        <w:t>3</w:t>
      </w:r>
      <w:r>
        <w:rPr>
          <w:rFonts w:hint="eastAsia" w:ascii="Times New Roman" w:hAnsi="Times New Roman" w:eastAsia="仿宋_GB2312" w:cs="仿宋_GB2312"/>
          <w:color w:val="auto"/>
          <w:sz w:val="32"/>
          <w:szCs w:val="32"/>
          <w:highlight w:val="none"/>
          <w:lang w:eastAsia="zh-CN"/>
        </w:rPr>
        <w:t>：支出决算结构图</w:t>
      </w:r>
    </w:p>
    <w:p>
      <w:pPr>
        <w:pStyle w:val="2"/>
        <w:rPr>
          <w:rFonts w:hint="eastAsia" w:ascii="Times New Roman" w:hAnsi="Times New Roman" w:eastAsia="黑体"/>
          <w:color w:val="auto"/>
          <w:sz w:val="32"/>
          <w:szCs w:val="32"/>
          <w:highlight w:val="none"/>
        </w:rPr>
      </w:pPr>
      <w:r>
        <w:rPr>
          <w:rFonts w:hint="eastAsia"/>
          <w:lang w:eastAsia="zh-CN"/>
        </w:rPr>
        <w:drawing>
          <wp:inline distT="0" distB="0" distL="114300" distR="114300">
            <wp:extent cx="5315585" cy="3321685"/>
            <wp:effectExtent l="4445" t="4445" r="13970" b="7620"/>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bookmarkStart w:id="36" w:name="_Toc15377208"/>
      <w:bookmarkStart w:id="37" w:name="_Toc15396606"/>
    </w:p>
    <w:p>
      <w:pPr>
        <w:spacing w:line="600" w:lineRule="exact"/>
        <w:ind w:firstLine="640" w:firstLineChars="200"/>
        <w:outlineLvl w:val="1"/>
        <w:rPr>
          <w:rStyle w:val="29"/>
          <w:rFonts w:ascii="Times New Roman" w:hAnsi="Times New Roman" w:eastAsia="黑体"/>
          <w:b w:val="0"/>
          <w:color w:val="auto"/>
          <w:highlight w:val="none"/>
        </w:rPr>
      </w:pPr>
      <w:bookmarkStart w:id="38" w:name="_Toc26508"/>
      <w:bookmarkStart w:id="39" w:name="_Toc4006"/>
      <w:r>
        <w:rPr>
          <w:rFonts w:hint="eastAsia" w:ascii="Times New Roman" w:hAnsi="Times New Roman" w:eastAsia="黑体"/>
          <w:color w:val="auto"/>
          <w:sz w:val="32"/>
          <w:szCs w:val="32"/>
          <w:highlight w:val="none"/>
        </w:rPr>
        <w:t>四、财</w:t>
      </w:r>
      <w:r>
        <w:rPr>
          <w:rStyle w:val="29"/>
          <w:rFonts w:hint="eastAsia" w:ascii="Times New Roman" w:hAnsi="Times New Roman" w:eastAsia="黑体"/>
          <w:b w:val="0"/>
          <w:color w:val="auto"/>
          <w:highlight w:val="none"/>
        </w:rPr>
        <w:t>政拨款收入支出决算总体情况说明</w:t>
      </w:r>
      <w:bookmarkEnd w:id="36"/>
      <w:bookmarkEnd w:id="37"/>
      <w:bookmarkEnd w:id="38"/>
      <w:bookmarkEnd w:id="39"/>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kern w:val="2"/>
          <w:sz w:val="32"/>
          <w:szCs w:val="32"/>
          <w:lang w:val="en-US" w:eastAsia="zh-CN" w:bidi="ar-SA"/>
        </w:rPr>
        <w:t>2024年度财政拨款收入、支出总计为7077.91万元。与2023年度相比，财政拨款收入总计、支出总计均减少243.34万元，下降3.3%。</w:t>
      </w:r>
      <w:r>
        <w:rPr>
          <w:rFonts w:hint="default" w:ascii="Times New Roman" w:hAnsi="Times New Roman" w:eastAsia="仿宋_GB2312" w:cs="Times New Roman"/>
          <w:kern w:val="2"/>
          <w:sz w:val="32"/>
          <w:szCs w:val="32"/>
          <w:highlight w:val="none"/>
          <w:lang w:val="en-US" w:eastAsia="zh-CN" w:bidi="ar-SA"/>
        </w:rPr>
        <w:t>主要变动原因是上年结转资金减少。</w:t>
      </w:r>
    </w:p>
    <w:p>
      <w:pPr>
        <w:spacing w:line="600" w:lineRule="exact"/>
        <w:jc w:val="center"/>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图</w:t>
      </w:r>
      <w:r>
        <w:rPr>
          <w:rFonts w:hint="default" w:ascii="Times New Roman" w:hAnsi="Times New Roman" w:eastAsia="仿宋_GB2312" w:cs="Times New Roman"/>
          <w:kern w:val="2"/>
          <w:sz w:val="32"/>
          <w:szCs w:val="32"/>
          <w:lang w:val="en-US" w:eastAsia="zh-CN" w:bidi="ar-SA"/>
        </w:rPr>
        <w:t>4：</w:t>
      </w:r>
      <w:r>
        <w:rPr>
          <w:rFonts w:hint="default" w:ascii="Times New Roman" w:hAnsi="Times New Roman" w:eastAsia="仿宋_GB2312" w:cs="Times New Roman"/>
          <w:color w:val="auto"/>
          <w:kern w:val="2"/>
          <w:sz w:val="32"/>
          <w:szCs w:val="32"/>
          <w:highlight w:val="none"/>
          <w:lang w:val="en-US" w:eastAsia="zh-CN" w:bidi="ar-SA"/>
        </w:rPr>
        <w:t>财政拨款收、支决算总计变动情况</w:t>
      </w:r>
    </w:p>
    <w:p>
      <w:pPr>
        <w:pStyle w:val="2"/>
        <w:rPr>
          <w:rFonts w:hint="eastAsia"/>
          <w:lang w:val="en-US" w:eastAsia="zh-CN"/>
        </w:rPr>
      </w:pPr>
    </w:p>
    <w:p>
      <w:pPr>
        <w:pStyle w:val="2"/>
        <w:jc w:val="both"/>
        <w:rPr>
          <w:rFonts w:hint="eastAsia" w:ascii="Times New Roman" w:hAnsi="Times New Roman" w:eastAsia="仿宋_GB2312" w:cs="仿宋_GB2312"/>
          <w:color w:val="auto"/>
          <w:kern w:val="2"/>
          <w:sz w:val="32"/>
          <w:szCs w:val="32"/>
          <w:highlight w:val="none"/>
          <w:lang w:val="en-US" w:eastAsia="zh-CN" w:bidi="ar-SA"/>
        </w:rPr>
      </w:pPr>
      <w:r>
        <w:rPr>
          <w:rFonts w:hint="eastAsia"/>
          <w:lang w:val="en-US" w:eastAsia="zh-CN"/>
        </w:rPr>
        <w:drawing>
          <wp:inline distT="0" distB="0" distL="114300" distR="114300">
            <wp:extent cx="5322570" cy="3639820"/>
            <wp:effectExtent l="4445" t="4445" r="6985" b="13335"/>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pPr>
        <w:spacing w:line="600" w:lineRule="exact"/>
        <w:ind w:firstLine="640" w:firstLineChars="200"/>
        <w:outlineLvl w:val="1"/>
        <w:rPr>
          <w:rFonts w:hint="eastAsia" w:ascii="Times New Roman" w:hAnsi="Times New Roman" w:eastAsia="黑体"/>
          <w:color w:val="auto"/>
          <w:sz w:val="32"/>
          <w:szCs w:val="32"/>
          <w:highlight w:val="none"/>
        </w:rPr>
      </w:pPr>
      <w:bookmarkStart w:id="40" w:name="_Toc31529"/>
      <w:bookmarkStart w:id="41" w:name="_Toc15396607"/>
      <w:bookmarkStart w:id="42" w:name="_Toc15377209"/>
      <w:bookmarkStart w:id="43" w:name="_Toc12471"/>
    </w:p>
    <w:p>
      <w:pPr>
        <w:spacing w:line="600" w:lineRule="exact"/>
        <w:ind w:firstLine="640" w:firstLineChars="200"/>
        <w:outlineLvl w:val="1"/>
        <w:rPr>
          <w:rStyle w:val="29"/>
          <w:rFonts w:ascii="Times New Roman" w:hAnsi="Times New Roman" w:eastAsia="黑体"/>
          <w:b w:val="0"/>
          <w:color w:val="auto"/>
          <w:highlight w:val="none"/>
        </w:rPr>
      </w:pPr>
      <w:r>
        <w:rPr>
          <w:rFonts w:hint="eastAsia" w:ascii="Times New Roman" w:hAnsi="Times New Roman" w:eastAsia="黑体"/>
          <w:color w:val="auto"/>
          <w:sz w:val="32"/>
          <w:szCs w:val="32"/>
          <w:highlight w:val="none"/>
        </w:rPr>
        <w:t>五、</w:t>
      </w:r>
      <w:r>
        <w:rPr>
          <w:rFonts w:hint="eastAsia" w:ascii="Times New Roman" w:hAnsi="Times New Roman" w:eastAsia="黑体"/>
          <w:b/>
          <w:color w:val="auto"/>
          <w:sz w:val="32"/>
          <w:szCs w:val="32"/>
          <w:highlight w:val="none"/>
        </w:rPr>
        <w:t>一</w:t>
      </w:r>
      <w:r>
        <w:rPr>
          <w:rStyle w:val="29"/>
          <w:rFonts w:hint="eastAsia" w:ascii="Times New Roman" w:hAnsi="Times New Roman" w:eastAsia="黑体"/>
          <w:b w:val="0"/>
          <w:color w:val="auto"/>
          <w:highlight w:val="none"/>
        </w:rPr>
        <w:t>般公共预算财政拨款支出决算情况说明</w:t>
      </w:r>
      <w:bookmarkEnd w:id="40"/>
      <w:bookmarkEnd w:id="41"/>
      <w:bookmarkEnd w:id="42"/>
      <w:bookmarkEnd w:id="43"/>
    </w:p>
    <w:p>
      <w:pPr>
        <w:spacing w:line="600" w:lineRule="exact"/>
        <w:ind w:firstLine="642" w:firstLineChars="200"/>
        <w:outlineLvl w:val="2"/>
        <w:rPr>
          <w:rFonts w:hint="eastAsia" w:ascii="Times New Roman" w:hAnsi="Times New Roman" w:eastAsia="楷体_GB2312" w:cs="楷体_GB2312"/>
          <w:b/>
          <w:color w:val="auto"/>
          <w:sz w:val="32"/>
          <w:szCs w:val="32"/>
          <w:highlight w:val="none"/>
        </w:rPr>
      </w:pPr>
      <w:bookmarkStart w:id="44" w:name="_Toc2123"/>
      <w:bookmarkStart w:id="45" w:name="_Toc15377210"/>
      <w:bookmarkStart w:id="46" w:name="_Toc7014"/>
      <w:r>
        <w:rPr>
          <w:rFonts w:hint="eastAsia" w:ascii="Times New Roman" w:hAnsi="Times New Roman" w:eastAsia="楷体_GB2312" w:cs="楷体_GB2312"/>
          <w:b/>
          <w:color w:val="auto"/>
          <w:sz w:val="32"/>
          <w:szCs w:val="32"/>
          <w:highlight w:val="none"/>
        </w:rPr>
        <w:t>（一）一般公共预算财政拨款支出决算总体情况</w:t>
      </w:r>
      <w:bookmarkEnd w:id="44"/>
      <w:bookmarkEnd w:id="45"/>
      <w:bookmarkEnd w:id="46"/>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kern w:val="2"/>
          <w:sz w:val="32"/>
          <w:szCs w:val="32"/>
          <w:lang w:val="en-US" w:eastAsia="zh-CN" w:bidi="ar-SA"/>
        </w:rPr>
      </w:pPr>
      <w:r>
        <w:rPr>
          <w:rFonts w:hint="default" w:ascii="Times New Roman" w:hAnsi="Times New Roman" w:eastAsia="仿宋_GB2312" w:cs="Times New Roman"/>
          <w:kern w:val="2"/>
          <w:sz w:val="32"/>
          <w:szCs w:val="32"/>
          <w:lang w:val="en-US" w:eastAsia="zh-CN" w:bidi="ar-SA"/>
        </w:rPr>
        <w:t>2024年度一般公共预算财政拨款支出7077.91万元，占本年支出合计的86.3%。与2023年度相比，一般公共预算财政拨款支出减少243.34万元，下降3.3%。</w:t>
      </w:r>
      <w:r>
        <w:rPr>
          <w:rFonts w:hint="default" w:ascii="Times New Roman" w:hAnsi="Times New Roman" w:eastAsia="仿宋_GB2312" w:cs="Times New Roman"/>
          <w:kern w:val="2"/>
          <w:sz w:val="32"/>
          <w:szCs w:val="32"/>
          <w:highlight w:val="none"/>
          <w:lang w:val="en-US" w:eastAsia="zh-CN" w:bidi="ar-SA"/>
        </w:rPr>
        <w:t>主要变动原因是上年结转资金减少。</w:t>
      </w:r>
    </w:p>
    <w:p>
      <w:pPr>
        <w:spacing w:line="600" w:lineRule="exact"/>
        <w:rPr>
          <w:rFonts w:hint="eastAsia" w:ascii="Times New Roman" w:hAnsi="Times New Roman" w:eastAsia="仿宋_GB2312" w:cs="仿宋_GB2312"/>
          <w:color w:val="auto"/>
          <w:kern w:val="2"/>
          <w:sz w:val="32"/>
          <w:szCs w:val="32"/>
          <w:highlight w:val="none"/>
          <w:lang w:val="en-US" w:eastAsia="zh-CN" w:bidi="ar-SA"/>
        </w:rPr>
      </w:pPr>
    </w:p>
    <w:p>
      <w:pPr>
        <w:spacing w:line="600" w:lineRule="exact"/>
        <w:jc w:val="center"/>
        <w:rPr>
          <w:rFonts w:hint="eastAsia"/>
          <w:lang w:val="en-US" w:eastAsia="zh-CN"/>
        </w:rPr>
      </w:pPr>
      <w:r>
        <w:rPr>
          <w:rFonts w:hint="eastAsia" w:ascii="Times New Roman" w:hAnsi="Times New Roman" w:eastAsia="仿宋_GB2312" w:cs="仿宋_GB2312"/>
          <w:color w:val="auto"/>
          <w:kern w:val="2"/>
          <w:sz w:val="32"/>
          <w:szCs w:val="32"/>
          <w:highlight w:val="none"/>
          <w:lang w:val="en-US" w:eastAsia="zh-CN" w:bidi="ar-SA"/>
        </w:rPr>
        <w:t>图</w:t>
      </w:r>
      <w:r>
        <w:rPr>
          <w:rFonts w:hint="eastAsia" w:ascii="仿宋_GB2312" w:hAnsi="仿宋_GB2312" w:eastAsia="仿宋_GB2312" w:cs="仿宋_GB2312"/>
          <w:sz w:val="32"/>
          <w:szCs w:val="32"/>
          <w:lang w:val="en-US" w:eastAsia="zh-CN"/>
        </w:rPr>
        <w:t>5</w:t>
      </w:r>
      <w:r>
        <w:rPr>
          <w:rFonts w:hint="eastAsia" w:ascii="Times New Roman" w:hAnsi="Times New Roman" w:eastAsia="仿宋_GB2312" w:cs="仿宋_GB2312"/>
          <w:color w:val="auto"/>
          <w:kern w:val="2"/>
          <w:sz w:val="32"/>
          <w:szCs w:val="32"/>
          <w:highlight w:val="none"/>
          <w:lang w:val="en-US" w:eastAsia="zh-CN" w:bidi="ar-SA"/>
        </w:rPr>
        <w:t>：一般公共预算财政拨款支出决算变动情况</w:t>
      </w:r>
    </w:p>
    <w:p>
      <w:pPr>
        <w:pStyle w:val="3"/>
        <w:ind w:left="0" w:leftChars="0" w:firstLine="0" w:firstLineChars="0"/>
        <w:rPr>
          <w:rFonts w:hint="eastAsia"/>
          <w:lang w:val="en-US" w:eastAsia="zh-CN"/>
        </w:rPr>
      </w:pPr>
      <w:r>
        <w:rPr>
          <w:rFonts w:hint="eastAsia" w:ascii="Times New Roman" w:hAnsi="Times New Roman" w:eastAsia="仿宋_GB2312" w:cs="仿宋_GB2312"/>
          <w:color w:val="auto"/>
          <w:kern w:val="2"/>
          <w:sz w:val="32"/>
          <w:szCs w:val="32"/>
          <w:highlight w:val="none"/>
          <w:lang w:val="en-US" w:eastAsia="zh-CN" w:bidi="ar-SA"/>
        </w:rPr>
        <w:drawing>
          <wp:inline distT="0" distB="0" distL="114300" distR="114300">
            <wp:extent cx="5256530" cy="2988310"/>
            <wp:effectExtent l="5080" t="4445" r="15240" b="17145"/>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pPr>
        <w:spacing w:line="600" w:lineRule="exact"/>
        <w:ind w:firstLine="642" w:firstLineChars="200"/>
        <w:outlineLvl w:val="2"/>
        <w:rPr>
          <w:rFonts w:hint="eastAsia" w:ascii="Times New Roman" w:hAnsi="Times New Roman" w:eastAsia="楷体_GB2312" w:cs="楷体_GB2312"/>
          <w:b/>
          <w:color w:val="auto"/>
          <w:sz w:val="32"/>
          <w:szCs w:val="32"/>
          <w:highlight w:val="none"/>
        </w:rPr>
      </w:pPr>
      <w:bookmarkStart w:id="47" w:name="_Toc15377211"/>
      <w:bookmarkStart w:id="48" w:name="_Toc1697"/>
      <w:bookmarkStart w:id="49" w:name="_Toc20965"/>
      <w:r>
        <w:rPr>
          <w:rFonts w:hint="eastAsia" w:ascii="Times New Roman" w:hAnsi="Times New Roman" w:eastAsia="楷体_GB2312" w:cs="楷体_GB2312"/>
          <w:b/>
          <w:color w:val="auto"/>
          <w:sz w:val="32"/>
          <w:szCs w:val="32"/>
          <w:highlight w:val="none"/>
        </w:rPr>
        <w:t>（二）一般公共预算财政拨款支出决算结构情况</w:t>
      </w:r>
      <w:bookmarkEnd w:id="47"/>
      <w:bookmarkEnd w:id="48"/>
      <w:bookmarkEnd w:id="49"/>
    </w:p>
    <w:p>
      <w:pPr>
        <w:spacing w:line="600" w:lineRule="exact"/>
        <w:ind w:firstLine="64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2024年度一般公共预算财政拨款支出7077.91万元，主要用于以下方面：</w:t>
      </w:r>
      <w:r>
        <w:rPr>
          <w:rFonts w:hint="default" w:ascii="Times New Roman" w:hAnsi="Times New Roman" w:eastAsia="仿宋_GB2312" w:cs="Times New Roman"/>
          <w:b/>
          <w:bCs/>
          <w:sz w:val="32"/>
          <w:szCs w:val="32"/>
          <w:lang w:val="en-US" w:eastAsia="zh-CN"/>
        </w:rPr>
        <w:t>教育支出（类）</w:t>
      </w:r>
      <w:r>
        <w:rPr>
          <w:rFonts w:hint="default" w:ascii="Times New Roman" w:hAnsi="Times New Roman" w:eastAsia="仿宋_GB2312" w:cs="Times New Roman"/>
          <w:sz w:val="32"/>
          <w:szCs w:val="32"/>
          <w:lang w:val="en-US" w:eastAsia="zh-CN"/>
        </w:rPr>
        <w:t>6250.91万元，占88.3%；</w:t>
      </w:r>
      <w:r>
        <w:rPr>
          <w:rFonts w:hint="default" w:ascii="Times New Roman" w:hAnsi="Times New Roman" w:eastAsia="仿宋_GB2312" w:cs="Times New Roman"/>
          <w:b/>
          <w:bCs/>
          <w:sz w:val="32"/>
          <w:szCs w:val="32"/>
          <w:lang w:val="en-US" w:eastAsia="zh-CN"/>
        </w:rPr>
        <w:t>债务付息支出（类）</w:t>
      </w:r>
      <w:r>
        <w:rPr>
          <w:rFonts w:hint="default" w:ascii="Times New Roman" w:hAnsi="Times New Roman" w:eastAsia="仿宋_GB2312" w:cs="Times New Roman"/>
          <w:sz w:val="32"/>
          <w:szCs w:val="32"/>
          <w:lang w:val="en-US" w:eastAsia="zh-CN"/>
        </w:rPr>
        <w:t>827万元，占11.7%。</w:t>
      </w:r>
    </w:p>
    <w:p>
      <w:pPr>
        <w:pStyle w:val="2"/>
        <w:rPr>
          <w:rFonts w:hint="eastAsia"/>
          <w:lang w:val="en-US" w:eastAsia="zh-CN"/>
        </w:rPr>
      </w:pPr>
    </w:p>
    <w:p>
      <w:pPr>
        <w:spacing w:line="600" w:lineRule="exact"/>
        <w:jc w:val="center"/>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图</w:t>
      </w:r>
      <w:r>
        <w:rPr>
          <w:rFonts w:hint="eastAsia" w:ascii="仿宋_GB2312" w:hAnsi="仿宋_GB2312" w:eastAsia="仿宋_GB2312" w:cs="仿宋_GB2312"/>
          <w:sz w:val="32"/>
          <w:szCs w:val="32"/>
          <w:lang w:val="en-US" w:eastAsia="zh-CN"/>
        </w:rPr>
        <w:t>6</w:t>
      </w:r>
      <w:r>
        <w:rPr>
          <w:rFonts w:hint="eastAsia" w:ascii="Times New Roman" w:hAnsi="Times New Roman" w:eastAsia="仿宋_GB2312" w:cs="仿宋_GB2312"/>
          <w:color w:val="auto"/>
          <w:kern w:val="2"/>
          <w:sz w:val="32"/>
          <w:szCs w:val="32"/>
          <w:highlight w:val="none"/>
          <w:lang w:val="en-US" w:eastAsia="zh-CN" w:bidi="ar-SA"/>
        </w:rPr>
        <w:t>：一般公共预算财政拨款支出决算结构</w:t>
      </w:r>
    </w:p>
    <w:p>
      <w:pPr>
        <w:pStyle w:val="2"/>
        <w:rPr>
          <w:rFonts w:hint="eastAsia" w:ascii="Times New Roman" w:hAnsi="Times New Roman" w:eastAsia="楷体_GB2312" w:cs="楷体_GB2312"/>
          <w:b/>
          <w:color w:val="auto"/>
          <w:sz w:val="32"/>
          <w:szCs w:val="32"/>
          <w:highlight w:val="none"/>
        </w:rPr>
      </w:pPr>
      <w:r>
        <w:rPr>
          <w:rFonts w:hint="eastAsia"/>
          <w:lang w:val="en-US" w:eastAsia="zh-CN"/>
        </w:rPr>
        <w:drawing>
          <wp:inline distT="0" distB="0" distL="114300" distR="114300">
            <wp:extent cx="5320665" cy="2884170"/>
            <wp:effectExtent l="4445" t="4445" r="8890" b="6985"/>
            <wp:docPr id="7"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bookmarkStart w:id="50" w:name="_Toc15377212"/>
    </w:p>
    <w:p>
      <w:pPr>
        <w:keepNext w:val="0"/>
        <w:keepLines w:val="0"/>
        <w:pageBreakBefore/>
        <w:widowControl w:val="0"/>
        <w:kinsoku/>
        <w:wordWrap/>
        <w:overflowPunct/>
        <w:topLinePunct w:val="0"/>
        <w:autoSpaceDE/>
        <w:autoSpaceDN/>
        <w:bidi w:val="0"/>
        <w:adjustRightInd/>
        <w:snapToGrid/>
        <w:spacing w:line="600" w:lineRule="exact"/>
        <w:ind w:firstLine="642" w:firstLineChars="200"/>
        <w:textAlignment w:val="auto"/>
        <w:outlineLvl w:val="2"/>
        <w:rPr>
          <w:rFonts w:hint="eastAsia" w:ascii="Times New Roman" w:hAnsi="Times New Roman" w:eastAsia="楷体_GB2312" w:cs="楷体_GB2312"/>
          <w:b/>
          <w:color w:val="auto"/>
          <w:sz w:val="32"/>
          <w:szCs w:val="32"/>
          <w:highlight w:val="none"/>
        </w:rPr>
      </w:pPr>
      <w:bookmarkStart w:id="51" w:name="_Toc2449"/>
      <w:bookmarkStart w:id="52" w:name="_Toc16899"/>
      <w:r>
        <w:rPr>
          <w:rFonts w:hint="eastAsia" w:ascii="Times New Roman" w:hAnsi="Times New Roman" w:eastAsia="楷体_GB2312" w:cs="楷体_GB2312"/>
          <w:b/>
          <w:color w:val="auto"/>
          <w:sz w:val="32"/>
          <w:szCs w:val="32"/>
          <w:highlight w:val="none"/>
        </w:rPr>
        <w:t>（三）一般公共预算财政拨款支出决算具体情况</w:t>
      </w:r>
      <w:bookmarkEnd w:id="50"/>
      <w:bookmarkEnd w:id="51"/>
      <w:bookmarkEnd w:id="52"/>
    </w:p>
    <w:p>
      <w:pPr>
        <w:spacing w:line="600" w:lineRule="exact"/>
        <w:ind w:firstLine="640"/>
        <w:rPr>
          <w:rFonts w:hint="default" w:ascii="Times New Roman" w:hAnsi="Times New Roman" w:eastAsia="仿宋_GB2312" w:cs="Times New Roman"/>
          <w:b/>
          <w:bCs/>
          <w:sz w:val="32"/>
          <w:szCs w:val="32"/>
          <w:lang w:val="en-US" w:eastAsia="zh-CN"/>
        </w:rPr>
      </w:pPr>
      <w:bookmarkStart w:id="53" w:name="_Toc15378460"/>
      <w:bookmarkStart w:id="54" w:name="_Toc15377444"/>
      <w:bookmarkStart w:id="55" w:name="_Toc15377213"/>
      <w:r>
        <w:rPr>
          <w:rFonts w:hint="default" w:ascii="Times New Roman" w:hAnsi="Times New Roman" w:eastAsia="仿宋_GB2312" w:cs="Times New Roman"/>
          <w:b/>
          <w:bCs/>
          <w:sz w:val="32"/>
          <w:szCs w:val="32"/>
          <w:lang w:val="en-US" w:eastAsia="zh-CN"/>
        </w:rPr>
        <w:t>2024年度一般公共预算财政拨款支出决算数为7077.91，完成预算87.9%。其中：</w:t>
      </w:r>
      <w:bookmarkEnd w:id="53"/>
      <w:bookmarkEnd w:id="54"/>
      <w:bookmarkEnd w:id="55"/>
    </w:p>
    <w:p>
      <w:pPr>
        <w:spacing w:line="600" w:lineRule="exact"/>
        <w:ind w:firstLine="64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b/>
          <w:bCs/>
          <w:sz w:val="32"/>
          <w:szCs w:val="32"/>
          <w:lang w:val="en-US" w:eastAsia="zh-CN"/>
        </w:rPr>
        <w:t>1.教育支出（类）职业教育（款）技校教育（项）：</w:t>
      </w:r>
      <w:r>
        <w:rPr>
          <w:rFonts w:hint="default" w:ascii="Times New Roman" w:hAnsi="Times New Roman" w:eastAsia="仿宋_GB2312" w:cs="Times New Roman"/>
          <w:sz w:val="32"/>
          <w:szCs w:val="32"/>
          <w:lang w:val="en-US" w:eastAsia="zh-CN"/>
        </w:rPr>
        <w:t>支出决算为6250.91万元，完成预算88.3%，决算数小于预算数的</w:t>
      </w:r>
      <w:r>
        <w:rPr>
          <w:rFonts w:hint="default" w:ascii="Times New Roman" w:hAnsi="Times New Roman" w:eastAsia="仿宋_GB2312" w:cs="Times New Roman"/>
          <w:sz w:val="32"/>
          <w:szCs w:val="32"/>
          <w:highlight w:val="none"/>
          <w:lang w:val="en-US" w:eastAsia="zh-CN"/>
        </w:rPr>
        <w:t>主要原因是特定目标类项目现代职业教育质量提升计划资金（中央）中部分资金为跨年支付的采购项目，当年剩余资金已按相关规定结转至下年。</w:t>
      </w:r>
    </w:p>
    <w:p>
      <w:pPr>
        <w:spacing w:line="600" w:lineRule="exact"/>
        <w:ind w:firstLine="64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b/>
          <w:bCs/>
          <w:sz w:val="32"/>
          <w:szCs w:val="32"/>
          <w:lang w:val="en-US" w:eastAsia="zh-CN"/>
        </w:rPr>
        <w:t>2.债务付息支出（类）地方政府一般债务付息支出（款）地方政府一般债务付息支出（项）：</w:t>
      </w:r>
      <w:r>
        <w:rPr>
          <w:rFonts w:hint="default" w:ascii="Times New Roman" w:hAnsi="Times New Roman" w:eastAsia="仿宋_GB2312" w:cs="Times New Roman"/>
          <w:sz w:val="32"/>
          <w:szCs w:val="32"/>
          <w:lang w:val="en-US" w:eastAsia="zh-CN"/>
        </w:rPr>
        <w:t>支出决算为827.00万元，完成预算100%，决算数等于预算数的</w:t>
      </w:r>
      <w:r>
        <w:rPr>
          <w:rFonts w:hint="default" w:ascii="Times New Roman" w:hAnsi="Times New Roman" w:eastAsia="仿宋_GB2312" w:cs="Times New Roman"/>
          <w:sz w:val="32"/>
          <w:szCs w:val="32"/>
          <w:highlight w:val="none"/>
          <w:lang w:val="en-US" w:eastAsia="zh-CN"/>
        </w:rPr>
        <w:t>主要原因是用于支付建设学府校区申请的地方政府一般债券利息已按时限要求依次支付完毕。</w:t>
      </w:r>
    </w:p>
    <w:p>
      <w:pPr>
        <w:tabs>
          <w:tab w:val="right" w:pos="8306"/>
        </w:tabs>
        <w:spacing w:line="600" w:lineRule="exact"/>
        <w:ind w:firstLine="640"/>
        <w:outlineLvl w:val="1"/>
        <w:rPr>
          <w:rStyle w:val="29"/>
          <w:rFonts w:ascii="Times New Roman" w:hAnsi="Times New Roman"/>
          <w:color w:val="auto"/>
          <w:highlight w:val="none"/>
        </w:rPr>
      </w:pPr>
      <w:bookmarkStart w:id="56" w:name="_Toc15377214"/>
      <w:bookmarkStart w:id="57" w:name="_Toc31113"/>
      <w:bookmarkStart w:id="58" w:name="_Toc15396608"/>
      <w:bookmarkStart w:id="59" w:name="_Toc4373"/>
      <w:r>
        <w:rPr>
          <w:rFonts w:hint="eastAsia" w:ascii="Times New Roman" w:hAnsi="Times New Roman" w:eastAsia="黑体"/>
          <w:color w:val="auto"/>
          <w:sz w:val="32"/>
          <w:szCs w:val="32"/>
          <w:highlight w:val="none"/>
        </w:rPr>
        <w:t>六</w:t>
      </w:r>
      <w:r>
        <w:rPr>
          <w:rFonts w:hint="eastAsia" w:ascii="Times New Roman" w:hAnsi="Times New Roman" w:eastAsia="黑体"/>
          <w:b/>
          <w:color w:val="auto"/>
          <w:sz w:val="32"/>
          <w:szCs w:val="32"/>
          <w:highlight w:val="none"/>
        </w:rPr>
        <w:t>、一</w:t>
      </w:r>
      <w:r>
        <w:rPr>
          <w:rStyle w:val="29"/>
          <w:rFonts w:hint="eastAsia" w:ascii="Times New Roman" w:hAnsi="Times New Roman" w:eastAsia="黑体"/>
          <w:b w:val="0"/>
          <w:color w:val="auto"/>
          <w:highlight w:val="none"/>
        </w:rPr>
        <w:t>般公共预算财政拨款基本支出决算情况说明</w:t>
      </w:r>
      <w:bookmarkEnd w:id="56"/>
      <w:bookmarkEnd w:id="57"/>
      <w:bookmarkEnd w:id="58"/>
      <w:bookmarkEnd w:id="59"/>
      <w:r>
        <w:rPr>
          <w:rStyle w:val="29"/>
          <w:rFonts w:ascii="Times New Roman" w:hAnsi="Times New Roman" w:eastAsia="黑体"/>
          <w:b w:val="0"/>
          <w:color w:val="auto"/>
          <w:highlight w:val="none"/>
        </w:rPr>
        <w:tab/>
      </w:r>
    </w:p>
    <w:p>
      <w:pPr>
        <w:spacing w:line="600" w:lineRule="exact"/>
        <w:ind w:firstLine="64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2024年度一般公共预算财政拨款基本支出4306.8万元，其中：</w:t>
      </w:r>
    </w:p>
    <w:p>
      <w:pPr>
        <w:spacing w:line="600" w:lineRule="exact"/>
        <w:ind w:firstLine="640"/>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人员经费</w:t>
      </w:r>
      <w:r>
        <w:rPr>
          <w:rFonts w:hint="default" w:ascii="Times New Roman" w:hAnsi="Times New Roman" w:eastAsia="仿宋_GB2312" w:cs="Times New Roman"/>
          <w:sz w:val="32"/>
          <w:szCs w:val="32"/>
        </w:rPr>
        <w:t>3980.1</w:t>
      </w:r>
      <w:r>
        <w:rPr>
          <w:rFonts w:hint="default" w:ascii="Times New Roman" w:hAnsi="Times New Roman" w:eastAsia="仿宋_GB2312" w:cs="Times New Roman"/>
          <w:color w:val="auto"/>
          <w:kern w:val="2"/>
          <w:sz w:val="32"/>
          <w:szCs w:val="32"/>
          <w:highlight w:val="none"/>
          <w:lang w:val="en-US" w:eastAsia="zh-CN" w:bidi="ar-SA"/>
        </w:rPr>
        <w:t>万元，主要包括：基本工资、津贴补贴、奖金、伙食补助费、绩效工资、机关事业单位基本养老保险缴费、职业年金缴费、其他社会保障缴费、其他工资福利支出、离休费、退休费、抚恤金、生活补助、医疗费补助、奖励金、住房公积金、其他对个人和家庭的补助支出等。</w:t>
      </w:r>
      <w:r>
        <w:rPr>
          <w:rFonts w:hint="default" w:ascii="Times New Roman" w:hAnsi="Times New Roman" w:eastAsia="仿宋_GB2312" w:cs="Times New Roman"/>
          <w:color w:val="auto"/>
          <w:kern w:val="2"/>
          <w:sz w:val="32"/>
          <w:szCs w:val="32"/>
          <w:highlight w:val="none"/>
          <w:lang w:val="en-US" w:eastAsia="zh-CN" w:bidi="ar-SA"/>
        </w:rPr>
        <w:br w:type="textWrapping"/>
      </w:r>
      <w:r>
        <w:rPr>
          <w:rFonts w:hint="default" w:ascii="Times New Roman" w:hAnsi="Times New Roman" w:eastAsia="仿宋_GB2312" w:cs="Times New Roman"/>
          <w:color w:val="auto"/>
          <w:kern w:val="2"/>
          <w:sz w:val="32"/>
          <w:szCs w:val="32"/>
          <w:highlight w:val="none"/>
          <w:lang w:val="en-US" w:eastAsia="zh-CN" w:bidi="ar-SA"/>
        </w:rPr>
        <w:t>　　</w:t>
      </w:r>
    </w:p>
    <w:p>
      <w:pPr>
        <w:spacing w:line="600" w:lineRule="exact"/>
        <w:ind w:firstLine="640"/>
        <w:rPr>
          <w:rFonts w:hint="default" w:ascii="Times New Roman" w:hAnsi="Times New Roman" w:eastAsia="仿宋_GB2312" w:cs="Times New Roman"/>
          <w:color w:val="auto"/>
          <w:kern w:val="2"/>
          <w:sz w:val="32"/>
          <w:szCs w:val="32"/>
          <w:highlight w:val="none"/>
          <w:lang w:val="en-US" w:eastAsia="zh-CN" w:bidi="ar-SA"/>
        </w:rPr>
      </w:pPr>
    </w:p>
    <w:p>
      <w:pPr>
        <w:spacing w:line="600" w:lineRule="exact"/>
        <w:ind w:firstLine="640"/>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公用经费</w:t>
      </w:r>
      <w:r>
        <w:rPr>
          <w:rFonts w:hint="default" w:ascii="Times New Roman" w:hAnsi="Times New Roman" w:eastAsia="仿宋_GB2312" w:cs="Times New Roman"/>
          <w:sz w:val="32"/>
          <w:szCs w:val="32"/>
        </w:rPr>
        <w:t>326.7</w:t>
      </w:r>
      <w:r>
        <w:rPr>
          <w:rFonts w:hint="default" w:ascii="Times New Roman" w:hAnsi="Times New Roman" w:eastAsia="仿宋_GB2312" w:cs="Times New Roman"/>
          <w:color w:val="auto"/>
          <w:kern w:val="2"/>
          <w:sz w:val="32"/>
          <w:szCs w:val="32"/>
          <w:highlight w:val="none"/>
          <w:lang w:val="en-US" w:eastAsia="zh-CN" w:bidi="ar-SA"/>
        </w:rPr>
        <w:t>万元，主要包括：办公费、印刷费、咨询费、手续费、水费、电费、邮电费、取暖费、物业管理费、差旅费、因公出国（境）费用、维修（护）费、租赁费、会议费、培训费、公务接待费、劳务费、委托业务费、工会经费、福利费、公务用车运行维护费、其他交通费、税金及附加费用、其他商品和服务支出、办公设备购置、专用设备购置、信息网络及软件购置更新、其他资本性支出等。</w:t>
      </w:r>
    </w:p>
    <w:p>
      <w:pPr>
        <w:spacing w:line="600" w:lineRule="exact"/>
        <w:ind w:firstLine="640"/>
        <w:outlineLvl w:val="1"/>
        <w:rPr>
          <w:rStyle w:val="29"/>
          <w:rFonts w:ascii="Times New Roman" w:hAnsi="Times New Roman" w:eastAsia="黑体"/>
          <w:b w:val="0"/>
          <w:color w:val="auto"/>
          <w:highlight w:val="none"/>
        </w:rPr>
      </w:pPr>
      <w:bookmarkStart w:id="60" w:name="_Toc15396609"/>
      <w:bookmarkStart w:id="61" w:name="_Toc15377215"/>
      <w:bookmarkStart w:id="62" w:name="_Toc11059"/>
      <w:bookmarkStart w:id="63" w:name="_Toc29451"/>
      <w:r>
        <w:rPr>
          <w:rFonts w:hint="eastAsia" w:ascii="Times New Roman" w:hAnsi="Times New Roman" w:eastAsia="黑体"/>
          <w:color w:val="auto"/>
          <w:sz w:val="32"/>
          <w:szCs w:val="32"/>
          <w:highlight w:val="none"/>
        </w:rPr>
        <w:t>七、</w:t>
      </w:r>
      <w:r>
        <w:rPr>
          <w:rStyle w:val="29"/>
          <w:rFonts w:hint="eastAsia" w:ascii="Times New Roman" w:hAnsi="Times New Roman" w:eastAsia="黑体"/>
          <w:b w:val="0"/>
          <w:color w:val="auto"/>
          <w:highlight w:val="none"/>
        </w:rPr>
        <w:t>财政拨款</w:t>
      </w:r>
      <w:r>
        <w:rPr>
          <w:rStyle w:val="29"/>
          <w:rFonts w:hint="eastAsia" w:ascii="Times New Roman" w:hAnsi="Times New Roman" w:eastAsia="黑体"/>
          <w:color w:val="auto"/>
          <w:highlight w:val="none"/>
        </w:rPr>
        <w:t>“</w:t>
      </w:r>
      <w:r>
        <w:rPr>
          <w:rStyle w:val="29"/>
          <w:rFonts w:hint="eastAsia" w:ascii="Times New Roman" w:hAnsi="Times New Roman" w:eastAsia="黑体"/>
          <w:b w:val="0"/>
          <w:color w:val="auto"/>
          <w:highlight w:val="none"/>
        </w:rPr>
        <w:t>三公”经费支出决算情况说明</w:t>
      </w:r>
      <w:bookmarkEnd w:id="60"/>
      <w:bookmarkEnd w:id="61"/>
      <w:bookmarkEnd w:id="62"/>
      <w:bookmarkEnd w:id="63"/>
    </w:p>
    <w:p>
      <w:pPr>
        <w:spacing w:line="600" w:lineRule="exact"/>
        <w:ind w:firstLine="642" w:firstLineChars="200"/>
        <w:outlineLvl w:val="2"/>
        <w:rPr>
          <w:rFonts w:hint="eastAsia" w:ascii="Times New Roman" w:hAnsi="Times New Roman" w:eastAsia="楷体_GB2312" w:cs="楷体_GB2312"/>
          <w:b/>
          <w:color w:val="auto"/>
          <w:sz w:val="32"/>
          <w:szCs w:val="32"/>
          <w:highlight w:val="none"/>
        </w:rPr>
      </w:pPr>
      <w:bookmarkStart w:id="64" w:name="_Toc5979"/>
      <w:bookmarkStart w:id="65" w:name="_Toc3505"/>
      <w:bookmarkStart w:id="66" w:name="_Toc15377216"/>
      <w:r>
        <w:rPr>
          <w:rFonts w:hint="eastAsia" w:ascii="Times New Roman" w:hAnsi="Times New Roman" w:eastAsia="楷体_GB2312" w:cs="楷体_GB2312"/>
          <w:b/>
          <w:color w:val="auto"/>
          <w:sz w:val="32"/>
          <w:szCs w:val="32"/>
          <w:highlight w:val="none"/>
        </w:rPr>
        <w:t>（一）“三公”经费财政拨款支出决算总体情况说明</w:t>
      </w:r>
      <w:bookmarkEnd w:id="64"/>
      <w:bookmarkEnd w:id="65"/>
      <w:bookmarkEnd w:id="66"/>
    </w:p>
    <w:p>
      <w:pPr>
        <w:spacing w:line="600" w:lineRule="exact"/>
        <w:ind w:firstLine="64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2024年度“三公”经费财政拨款支出决算为</w:t>
      </w:r>
      <w:r>
        <w:rPr>
          <w:rFonts w:hint="default" w:ascii="Times New Roman" w:hAnsi="Times New Roman" w:eastAsia="仿宋_GB2312" w:cs="Times New Roman"/>
          <w:sz w:val="32"/>
          <w:szCs w:val="32"/>
        </w:rPr>
        <w:t>14.98</w:t>
      </w:r>
      <w:r>
        <w:rPr>
          <w:rFonts w:hint="default" w:ascii="Times New Roman" w:hAnsi="Times New Roman" w:eastAsia="仿宋_GB2312" w:cs="Times New Roman"/>
          <w:sz w:val="32"/>
          <w:szCs w:val="32"/>
          <w:lang w:val="en-US" w:eastAsia="zh-CN"/>
        </w:rPr>
        <w:t>万元，完成预算</w:t>
      </w:r>
      <w:r>
        <w:rPr>
          <w:rFonts w:hint="default" w:ascii="Times New Roman" w:hAnsi="Times New Roman" w:eastAsia="仿宋_GB2312" w:cs="Times New Roman"/>
          <w:sz w:val="32"/>
          <w:szCs w:val="32"/>
        </w:rPr>
        <w:t>99.</w:t>
      </w:r>
      <w:r>
        <w:rPr>
          <w:rFonts w:hint="default" w:ascii="Times New Roman" w:hAnsi="Times New Roman" w:eastAsia="仿宋_GB2312" w:cs="Times New Roman"/>
          <w:sz w:val="32"/>
          <w:szCs w:val="32"/>
          <w:lang w:val="en-US" w:eastAsia="zh-CN"/>
        </w:rPr>
        <w:t>9%，较上年度减少2.41万元，下降13.9%。决算数小于预算数的</w:t>
      </w:r>
      <w:r>
        <w:rPr>
          <w:rFonts w:hint="default" w:ascii="Times New Roman" w:hAnsi="Times New Roman" w:eastAsia="仿宋_GB2312" w:cs="Times New Roman"/>
          <w:sz w:val="32"/>
          <w:szCs w:val="32"/>
          <w:highlight w:val="none"/>
          <w:lang w:val="en-US" w:eastAsia="zh-CN"/>
        </w:rPr>
        <w:t>主要原因是厉行节约、减少外出，压缩公务用车运行维护费。</w:t>
      </w:r>
    </w:p>
    <w:p>
      <w:pPr>
        <w:spacing w:line="600" w:lineRule="exact"/>
        <w:ind w:firstLine="642" w:firstLineChars="200"/>
        <w:outlineLvl w:val="2"/>
        <w:rPr>
          <w:rFonts w:hint="eastAsia" w:ascii="Times New Roman" w:hAnsi="Times New Roman" w:eastAsia="楷体_GB2312" w:cs="楷体_GB2312"/>
          <w:b/>
          <w:color w:val="auto"/>
          <w:sz w:val="32"/>
          <w:szCs w:val="32"/>
          <w:highlight w:val="none"/>
        </w:rPr>
      </w:pPr>
      <w:bookmarkStart w:id="67" w:name="_Toc15377217"/>
      <w:bookmarkStart w:id="68" w:name="_Toc25796"/>
      <w:bookmarkStart w:id="69" w:name="_Toc19251"/>
      <w:r>
        <w:rPr>
          <w:rFonts w:hint="eastAsia" w:ascii="Times New Roman" w:hAnsi="Times New Roman" w:eastAsia="楷体_GB2312" w:cs="楷体_GB2312"/>
          <w:b/>
          <w:color w:val="auto"/>
          <w:sz w:val="32"/>
          <w:szCs w:val="32"/>
          <w:highlight w:val="none"/>
        </w:rPr>
        <w:t>（二）“三公”经费财政拨款支出决算具体情况说明</w:t>
      </w:r>
      <w:bookmarkEnd w:id="67"/>
      <w:bookmarkEnd w:id="68"/>
      <w:bookmarkEnd w:id="69"/>
    </w:p>
    <w:p>
      <w:pPr>
        <w:spacing w:line="600" w:lineRule="exact"/>
        <w:ind w:firstLine="640"/>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2024年度“三公”经费财政拨款支出决算中，因公出国（境）费支出决算</w:t>
      </w:r>
      <w:r>
        <w:rPr>
          <w:rFonts w:hint="default" w:ascii="Times New Roman" w:hAnsi="Times New Roman" w:eastAsia="仿宋_GB2312" w:cs="Times New Roman"/>
          <w:sz w:val="32"/>
          <w:szCs w:val="32"/>
        </w:rPr>
        <w:t>0</w:t>
      </w:r>
      <w:r>
        <w:rPr>
          <w:rFonts w:hint="default" w:ascii="Times New Roman" w:hAnsi="Times New Roman" w:eastAsia="仿宋_GB2312" w:cs="Times New Roman"/>
          <w:color w:val="auto"/>
          <w:kern w:val="2"/>
          <w:sz w:val="32"/>
          <w:szCs w:val="32"/>
          <w:highlight w:val="none"/>
          <w:lang w:val="en-US" w:eastAsia="zh-CN" w:bidi="ar-SA"/>
        </w:rPr>
        <w:t>万元；公务用车购置及运行维护费支出决算</w:t>
      </w:r>
      <w:r>
        <w:rPr>
          <w:rFonts w:hint="default" w:ascii="Times New Roman" w:hAnsi="Times New Roman" w:eastAsia="仿宋_GB2312" w:cs="Times New Roman"/>
          <w:sz w:val="32"/>
          <w:szCs w:val="32"/>
        </w:rPr>
        <w:t>14.98</w:t>
      </w:r>
      <w:r>
        <w:rPr>
          <w:rFonts w:hint="default" w:ascii="Times New Roman" w:hAnsi="Times New Roman" w:eastAsia="仿宋_GB2312" w:cs="Times New Roman"/>
          <w:color w:val="auto"/>
          <w:kern w:val="2"/>
          <w:sz w:val="32"/>
          <w:szCs w:val="32"/>
          <w:highlight w:val="none"/>
          <w:lang w:val="en-US" w:eastAsia="zh-CN" w:bidi="ar-SA"/>
        </w:rPr>
        <w:t>万元，占100%；公务接待费支出决算</w:t>
      </w:r>
      <w:r>
        <w:rPr>
          <w:rFonts w:hint="default" w:ascii="Times New Roman" w:hAnsi="Times New Roman" w:eastAsia="仿宋_GB2312" w:cs="Times New Roman"/>
          <w:sz w:val="32"/>
          <w:szCs w:val="32"/>
        </w:rPr>
        <w:t>0</w:t>
      </w:r>
      <w:r>
        <w:rPr>
          <w:rFonts w:hint="default" w:ascii="Times New Roman" w:hAnsi="Times New Roman" w:eastAsia="仿宋_GB2312" w:cs="Times New Roman"/>
          <w:color w:val="auto"/>
          <w:kern w:val="2"/>
          <w:sz w:val="32"/>
          <w:szCs w:val="32"/>
          <w:highlight w:val="none"/>
          <w:lang w:val="en-US" w:eastAsia="zh-CN" w:bidi="ar-SA"/>
        </w:rPr>
        <w:t>万元。具体情况如下：</w:t>
      </w:r>
    </w:p>
    <w:p>
      <w:pPr>
        <w:pStyle w:val="2"/>
        <w:rPr>
          <w:rFonts w:hint="eastAsia" w:ascii="仿宋_GB2312" w:hAnsi="仿宋_GB2312" w:eastAsia="仿宋_GB2312" w:cs="仿宋_GB2312"/>
          <w:color w:val="auto"/>
          <w:kern w:val="2"/>
          <w:sz w:val="32"/>
          <w:szCs w:val="32"/>
          <w:highlight w:val="none"/>
          <w:lang w:val="en-US" w:eastAsia="zh-CN" w:bidi="ar-SA"/>
        </w:rPr>
      </w:pPr>
    </w:p>
    <w:p>
      <w:pPr>
        <w:pStyle w:val="3"/>
        <w:rPr>
          <w:rFonts w:hint="eastAsia" w:ascii="仿宋_GB2312" w:hAnsi="仿宋_GB2312" w:eastAsia="仿宋_GB2312" w:cs="仿宋_GB2312"/>
          <w:color w:val="auto"/>
          <w:kern w:val="2"/>
          <w:sz w:val="32"/>
          <w:szCs w:val="32"/>
          <w:highlight w:val="none"/>
          <w:lang w:val="en-US" w:eastAsia="zh-CN" w:bidi="ar-SA"/>
        </w:rPr>
      </w:pPr>
    </w:p>
    <w:p>
      <w:pPr>
        <w:pStyle w:val="3"/>
        <w:rPr>
          <w:rFonts w:hint="eastAsia" w:ascii="仿宋_GB2312" w:hAnsi="仿宋_GB2312" w:eastAsia="仿宋_GB2312" w:cs="仿宋_GB2312"/>
          <w:color w:val="auto"/>
          <w:kern w:val="2"/>
          <w:sz w:val="32"/>
          <w:szCs w:val="32"/>
          <w:highlight w:val="none"/>
          <w:lang w:val="en-US" w:eastAsia="zh-CN" w:bidi="ar-SA"/>
        </w:rPr>
      </w:pPr>
    </w:p>
    <w:p>
      <w:pPr>
        <w:pStyle w:val="3"/>
        <w:ind w:left="0" w:leftChars="0" w:firstLine="0" w:firstLineChars="0"/>
        <w:rPr>
          <w:rFonts w:hint="eastAsia" w:ascii="仿宋_GB2312" w:hAnsi="仿宋_GB2312" w:eastAsia="仿宋_GB2312" w:cs="仿宋_GB2312"/>
          <w:color w:val="auto"/>
          <w:kern w:val="2"/>
          <w:sz w:val="32"/>
          <w:szCs w:val="32"/>
          <w:highlight w:val="none"/>
          <w:lang w:val="en-US" w:eastAsia="zh-CN" w:bidi="ar-SA"/>
        </w:rPr>
      </w:pPr>
    </w:p>
    <w:p>
      <w:pPr>
        <w:spacing w:line="600" w:lineRule="exact"/>
        <w:jc w:val="center"/>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图</w:t>
      </w:r>
      <w:r>
        <w:rPr>
          <w:rFonts w:hint="eastAsia" w:ascii="仿宋_GB2312" w:hAnsi="仿宋_GB2312" w:eastAsia="仿宋_GB2312" w:cs="仿宋_GB2312"/>
          <w:color w:val="auto"/>
          <w:kern w:val="2"/>
          <w:sz w:val="32"/>
          <w:szCs w:val="32"/>
          <w:highlight w:val="none"/>
          <w:lang w:val="en-US" w:eastAsia="zh-CN" w:bidi="ar-SA"/>
        </w:rPr>
        <w:t>7</w:t>
      </w:r>
      <w:r>
        <w:rPr>
          <w:rFonts w:hint="eastAsia" w:ascii="Times New Roman" w:hAnsi="Times New Roman" w:eastAsia="仿宋_GB2312" w:cs="仿宋_GB2312"/>
          <w:color w:val="auto"/>
          <w:kern w:val="2"/>
          <w:sz w:val="32"/>
          <w:szCs w:val="32"/>
          <w:highlight w:val="none"/>
          <w:lang w:val="en-US" w:eastAsia="zh-CN" w:bidi="ar-SA"/>
        </w:rPr>
        <w:t>：“三公”经费财政拨款支出结构</w:t>
      </w:r>
    </w:p>
    <w:p>
      <w:pPr>
        <w:pStyle w:val="2"/>
        <w:rPr>
          <w:rFonts w:hint="eastAsia"/>
          <w:lang w:val="en-US" w:eastAsia="zh-CN"/>
        </w:rPr>
      </w:pPr>
    </w:p>
    <w:p>
      <w:pPr>
        <w:pStyle w:val="2"/>
        <w:rPr>
          <w:rFonts w:hint="eastAsia"/>
          <w:lang w:val="en-US" w:eastAsia="zh-CN"/>
        </w:rPr>
      </w:pPr>
      <w:r>
        <w:rPr>
          <w:rFonts w:hint="eastAsia"/>
          <w:lang w:val="en-US" w:eastAsia="zh-CN"/>
        </w:rPr>
        <w:drawing>
          <wp:inline distT="0" distB="0" distL="114300" distR="114300">
            <wp:extent cx="5249545" cy="3062605"/>
            <wp:effectExtent l="4445" t="4445" r="22860" b="19050"/>
            <wp:docPr id="8"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pPr>
        <w:spacing w:line="600" w:lineRule="exact"/>
        <w:ind w:firstLine="640"/>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b/>
          <w:bCs/>
          <w:color w:val="auto"/>
          <w:kern w:val="2"/>
          <w:sz w:val="32"/>
          <w:szCs w:val="32"/>
          <w:highlight w:val="none"/>
          <w:lang w:val="en-US" w:eastAsia="zh-CN" w:bidi="ar-SA"/>
        </w:rPr>
        <w:t>1.因公出国（境）经费支出</w:t>
      </w:r>
      <w:r>
        <w:rPr>
          <w:rFonts w:hint="default" w:ascii="Times New Roman" w:hAnsi="Times New Roman" w:eastAsia="仿宋_GB2312" w:cs="Times New Roman"/>
          <w:b w:val="0"/>
          <w:bCs w:val="0"/>
          <w:color w:val="auto"/>
          <w:kern w:val="2"/>
          <w:sz w:val="32"/>
          <w:szCs w:val="32"/>
          <w:highlight w:val="none"/>
          <w:lang w:val="en-US" w:eastAsia="zh-CN" w:bidi="ar-SA"/>
        </w:rPr>
        <w:t>0万元。</w:t>
      </w:r>
      <w:r>
        <w:rPr>
          <w:rFonts w:hint="default" w:ascii="Times New Roman" w:hAnsi="Times New Roman" w:eastAsia="仿宋_GB2312" w:cs="Times New Roman"/>
          <w:color w:val="auto"/>
          <w:kern w:val="2"/>
          <w:sz w:val="32"/>
          <w:szCs w:val="32"/>
          <w:highlight w:val="none"/>
          <w:lang w:val="en-US" w:eastAsia="zh-CN" w:bidi="ar-SA"/>
        </w:rPr>
        <w:t>全年安排因公出国（境）团组0次，出国（境）0人。因公出国（境）支出决算与2023年度持平，均为0万元。主要原因是未产生因公出国（境）费用。</w:t>
      </w:r>
    </w:p>
    <w:p>
      <w:pPr>
        <w:spacing w:line="600" w:lineRule="exact"/>
        <w:ind w:firstLine="640"/>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b/>
          <w:bCs/>
          <w:color w:val="auto"/>
          <w:kern w:val="2"/>
          <w:sz w:val="32"/>
          <w:szCs w:val="32"/>
          <w:highlight w:val="none"/>
          <w:lang w:val="en-US" w:eastAsia="zh-CN" w:bidi="ar-SA"/>
        </w:rPr>
        <w:t>2.公务用车购置及运行维护费支出</w:t>
      </w:r>
      <w:r>
        <w:rPr>
          <w:rFonts w:hint="default" w:ascii="Times New Roman" w:hAnsi="Times New Roman" w:eastAsia="仿宋_GB2312" w:cs="Times New Roman"/>
          <w:color w:val="auto"/>
          <w:kern w:val="2"/>
          <w:sz w:val="32"/>
          <w:szCs w:val="32"/>
          <w:highlight w:val="none"/>
          <w:lang w:val="en-US" w:eastAsia="zh-CN" w:bidi="ar-SA"/>
        </w:rPr>
        <w:t>14.98万元，完成预算99.9%。公务用车购置及运行维护费支出决算比2023年度减少2.41万元，下降13.9%。主要原因是严格把控公务用车经费。</w:t>
      </w:r>
    </w:p>
    <w:p>
      <w:pPr>
        <w:spacing w:line="600" w:lineRule="exact"/>
        <w:ind w:firstLine="640"/>
        <w:rPr>
          <w:rFonts w:hint="default" w:ascii="Times New Roman" w:hAnsi="Times New Roman" w:eastAsia="仿宋_GB2312" w:cs="Times New Roman"/>
          <w:b/>
          <w:bCs/>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其中：</w:t>
      </w:r>
      <w:r>
        <w:rPr>
          <w:rFonts w:hint="default" w:ascii="Times New Roman" w:hAnsi="Times New Roman" w:eastAsia="仿宋_GB2312" w:cs="Times New Roman"/>
          <w:b/>
          <w:bCs/>
          <w:color w:val="auto"/>
          <w:kern w:val="2"/>
          <w:sz w:val="32"/>
          <w:szCs w:val="32"/>
          <w:highlight w:val="none"/>
          <w:lang w:val="en-US" w:eastAsia="zh-CN" w:bidi="ar-SA"/>
        </w:rPr>
        <w:t>公务用车购置支出</w:t>
      </w:r>
      <w:r>
        <w:rPr>
          <w:rFonts w:hint="default" w:ascii="Times New Roman" w:hAnsi="Times New Roman" w:eastAsia="仿宋_GB2312" w:cs="Times New Roman"/>
          <w:color w:val="auto"/>
          <w:kern w:val="2"/>
          <w:sz w:val="32"/>
          <w:szCs w:val="32"/>
          <w:highlight w:val="none"/>
          <w:lang w:val="en-US" w:eastAsia="zh-CN" w:bidi="ar-SA"/>
        </w:rPr>
        <w:t>0万元。全年按规定更新购置公务用车0辆，其中：轿车0辆、金额0万元，越野车0辆、金额0万元，载客汽车0辆、金额0万元，截至2024年12月31日，单位共有公务用车3辆，其中：轿车3辆。</w:t>
      </w:r>
    </w:p>
    <w:p>
      <w:pPr>
        <w:spacing w:line="600" w:lineRule="exact"/>
        <w:ind w:firstLine="640"/>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b/>
          <w:bCs/>
          <w:color w:val="auto"/>
          <w:kern w:val="2"/>
          <w:sz w:val="32"/>
          <w:szCs w:val="32"/>
          <w:highlight w:val="none"/>
          <w:lang w:val="en-US" w:eastAsia="zh-CN" w:bidi="ar-SA"/>
        </w:rPr>
        <w:t>公务用车运行维护费支出</w:t>
      </w:r>
      <w:r>
        <w:rPr>
          <w:rFonts w:hint="default" w:ascii="Times New Roman" w:hAnsi="Times New Roman" w:eastAsia="仿宋_GB2312" w:cs="Times New Roman"/>
          <w:color w:val="auto"/>
          <w:kern w:val="2"/>
          <w:sz w:val="32"/>
          <w:szCs w:val="32"/>
          <w:highlight w:val="none"/>
          <w:lang w:val="en-US" w:eastAsia="zh-CN" w:bidi="ar-SA"/>
        </w:rPr>
        <w:t>14.98万元。主要用于学院教学、招生、校企合作等工作所需的公务用车燃料费、维修费、过路过桥费、保险费等支出。</w:t>
      </w:r>
    </w:p>
    <w:p>
      <w:pPr>
        <w:spacing w:line="600" w:lineRule="exact"/>
        <w:ind w:firstLine="640"/>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b/>
          <w:bCs/>
          <w:color w:val="auto"/>
          <w:kern w:val="2"/>
          <w:sz w:val="32"/>
          <w:szCs w:val="32"/>
          <w:highlight w:val="none"/>
          <w:lang w:val="en-US" w:eastAsia="zh-CN" w:bidi="ar-SA"/>
        </w:rPr>
        <w:t>3.公务接待费支出</w:t>
      </w:r>
      <w:r>
        <w:rPr>
          <w:rFonts w:hint="default" w:ascii="Times New Roman" w:hAnsi="Times New Roman" w:eastAsia="仿宋_GB2312" w:cs="Times New Roman"/>
          <w:color w:val="auto"/>
          <w:kern w:val="2"/>
          <w:sz w:val="32"/>
          <w:szCs w:val="32"/>
          <w:highlight w:val="none"/>
          <w:lang w:val="en-US" w:eastAsia="zh-CN" w:bidi="ar-SA"/>
        </w:rPr>
        <w:t>0万元。公务接待费支出决算与2023年度持平，均为0万。其中：</w:t>
      </w:r>
    </w:p>
    <w:p>
      <w:pPr>
        <w:spacing w:line="600" w:lineRule="exact"/>
        <w:ind w:firstLine="640"/>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b/>
          <w:bCs/>
          <w:color w:val="auto"/>
          <w:kern w:val="2"/>
          <w:sz w:val="32"/>
          <w:szCs w:val="32"/>
          <w:highlight w:val="none"/>
          <w:lang w:val="en-US" w:eastAsia="zh-CN" w:bidi="ar-SA"/>
        </w:rPr>
        <w:t>国内公务接待支出</w:t>
      </w:r>
      <w:r>
        <w:rPr>
          <w:rFonts w:hint="default" w:ascii="Times New Roman" w:hAnsi="Times New Roman" w:eastAsia="仿宋_GB2312" w:cs="Times New Roman"/>
          <w:color w:val="auto"/>
          <w:kern w:val="2"/>
          <w:sz w:val="32"/>
          <w:szCs w:val="32"/>
          <w:highlight w:val="none"/>
          <w:lang w:val="en-US" w:eastAsia="zh-CN" w:bidi="ar-SA"/>
        </w:rPr>
        <w:t>0万元。国内公务接待0批次，0人次（不包括陪同人员），共计支出0万元。</w:t>
      </w:r>
    </w:p>
    <w:p>
      <w:pPr>
        <w:spacing w:line="600" w:lineRule="exact"/>
        <w:ind w:firstLine="640"/>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b/>
          <w:bCs/>
          <w:color w:val="auto"/>
          <w:kern w:val="2"/>
          <w:sz w:val="32"/>
          <w:szCs w:val="32"/>
          <w:highlight w:val="none"/>
          <w:lang w:val="en-US" w:eastAsia="zh-CN" w:bidi="ar-SA"/>
        </w:rPr>
        <w:t>外事接待支出</w:t>
      </w:r>
      <w:r>
        <w:rPr>
          <w:rFonts w:hint="default" w:ascii="Times New Roman" w:hAnsi="Times New Roman" w:eastAsia="仿宋_GB2312" w:cs="Times New Roman"/>
          <w:color w:val="auto"/>
          <w:kern w:val="2"/>
          <w:sz w:val="32"/>
          <w:szCs w:val="32"/>
          <w:highlight w:val="none"/>
          <w:lang w:val="en-US" w:eastAsia="zh-CN" w:bidi="ar-SA"/>
        </w:rPr>
        <w:t>0万元。外事接待0批次，0人次（不包括陪同人员），共计支出0万元。</w:t>
      </w:r>
      <w:bookmarkStart w:id="70" w:name="_Toc15396610"/>
      <w:bookmarkStart w:id="71" w:name="_Toc15377218"/>
    </w:p>
    <w:p>
      <w:pPr>
        <w:spacing w:line="600" w:lineRule="exact"/>
        <w:ind w:firstLine="640"/>
        <w:outlineLvl w:val="1"/>
        <w:rPr>
          <w:rStyle w:val="29"/>
          <w:rFonts w:hint="default" w:ascii="Times New Roman" w:hAnsi="Times New Roman" w:eastAsia="黑体" w:cs="Times New Roman"/>
          <w:color w:val="auto"/>
          <w:highlight w:val="none"/>
        </w:rPr>
      </w:pPr>
      <w:bookmarkStart w:id="72" w:name="_Toc17063"/>
      <w:bookmarkStart w:id="73" w:name="_Toc16746"/>
      <w:r>
        <w:rPr>
          <w:rFonts w:hint="default" w:ascii="Times New Roman" w:hAnsi="Times New Roman" w:eastAsia="黑体" w:cs="Times New Roman"/>
          <w:color w:val="auto"/>
          <w:sz w:val="32"/>
          <w:szCs w:val="32"/>
          <w:highlight w:val="none"/>
        </w:rPr>
        <w:t>八、</w:t>
      </w:r>
      <w:r>
        <w:rPr>
          <w:rStyle w:val="29"/>
          <w:rFonts w:hint="default" w:ascii="Times New Roman" w:hAnsi="Times New Roman" w:eastAsia="黑体" w:cs="Times New Roman"/>
          <w:b w:val="0"/>
          <w:color w:val="auto"/>
          <w:highlight w:val="none"/>
        </w:rPr>
        <w:t>政府性基金预算支出决算情况说明</w:t>
      </w:r>
      <w:bookmarkEnd w:id="70"/>
      <w:bookmarkEnd w:id="71"/>
      <w:bookmarkEnd w:id="72"/>
      <w:bookmarkEnd w:id="73"/>
    </w:p>
    <w:p>
      <w:pPr>
        <w:spacing w:line="600" w:lineRule="exact"/>
        <w:ind w:firstLine="640"/>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2024年度政府性基金预算财政拨款支出0万元，与2023年度持平。</w:t>
      </w:r>
    </w:p>
    <w:p>
      <w:pPr>
        <w:pStyle w:val="2"/>
        <w:rPr>
          <w:rFonts w:hint="eastAsia"/>
          <w:lang w:val="en-US" w:eastAsia="zh-CN"/>
        </w:rPr>
      </w:pPr>
    </w:p>
    <w:p>
      <w:pPr>
        <w:numPr>
          <w:ilvl w:val="0"/>
          <w:numId w:val="0"/>
        </w:numPr>
        <w:spacing w:line="600" w:lineRule="exact"/>
        <w:ind w:left="630" w:leftChars="0"/>
        <w:outlineLvl w:val="1"/>
        <w:rPr>
          <w:rStyle w:val="29"/>
          <w:rFonts w:hint="default" w:ascii="Times New Roman" w:hAnsi="Times New Roman" w:eastAsia="黑体" w:cs="Times New Roman"/>
          <w:b w:val="0"/>
          <w:color w:val="auto"/>
          <w:highlight w:val="none"/>
        </w:rPr>
      </w:pPr>
      <w:bookmarkStart w:id="74" w:name="_Toc31104"/>
      <w:bookmarkStart w:id="75" w:name="_Toc15396611"/>
      <w:bookmarkStart w:id="76" w:name="_Toc15377219"/>
      <w:bookmarkStart w:id="77" w:name="_Toc14102"/>
      <w:r>
        <w:rPr>
          <w:rStyle w:val="29"/>
          <w:rFonts w:hint="default" w:ascii="Times New Roman" w:hAnsi="Times New Roman" w:eastAsia="黑体" w:cs="Times New Roman"/>
          <w:b w:val="0"/>
          <w:color w:val="auto"/>
          <w:highlight w:val="none"/>
          <w:lang w:eastAsia="zh-CN"/>
        </w:rPr>
        <w:t>九、</w:t>
      </w:r>
      <w:r>
        <w:rPr>
          <w:rStyle w:val="29"/>
          <w:rFonts w:hint="default" w:ascii="Times New Roman" w:hAnsi="Times New Roman" w:eastAsia="黑体" w:cs="Times New Roman"/>
          <w:b w:val="0"/>
          <w:color w:val="auto"/>
          <w:highlight w:val="none"/>
        </w:rPr>
        <w:t>国有资本经营预算支出决算情况说明</w:t>
      </w:r>
      <w:bookmarkEnd w:id="74"/>
      <w:bookmarkEnd w:id="75"/>
      <w:bookmarkEnd w:id="76"/>
      <w:bookmarkEnd w:id="77"/>
    </w:p>
    <w:p>
      <w:pPr>
        <w:spacing w:line="600" w:lineRule="exact"/>
        <w:ind w:firstLine="640"/>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2024年度国有资本经营预算财政拨款支出0万元，与2023年度持平。</w:t>
      </w:r>
    </w:p>
    <w:p>
      <w:pPr>
        <w:numPr>
          <w:ilvl w:val="0"/>
          <w:numId w:val="0"/>
        </w:numPr>
        <w:spacing w:line="600" w:lineRule="exact"/>
        <w:ind w:left="630" w:leftChars="0"/>
        <w:outlineLvl w:val="1"/>
        <w:rPr>
          <w:rStyle w:val="29"/>
          <w:rFonts w:hint="default" w:ascii="Times New Roman" w:hAnsi="Times New Roman" w:eastAsia="黑体" w:cs="Times New Roman"/>
          <w:b w:val="0"/>
          <w:color w:val="auto"/>
          <w:highlight w:val="none"/>
        </w:rPr>
      </w:pPr>
      <w:bookmarkStart w:id="78" w:name="_Toc15377221"/>
      <w:bookmarkStart w:id="79" w:name="_Toc20017"/>
      <w:bookmarkStart w:id="80" w:name="_Toc19523"/>
      <w:bookmarkStart w:id="81" w:name="_Toc15396612"/>
      <w:r>
        <w:rPr>
          <w:rStyle w:val="29"/>
          <w:rFonts w:hint="default" w:ascii="Times New Roman" w:hAnsi="Times New Roman" w:eastAsia="黑体" w:cs="Times New Roman"/>
          <w:b w:val="0"/>
          <w:color w:val="auto"/>
          <w:highlight w:val="none"/>
          <w:lang w:eastAsia="zh-CN"/>
        </w:rPr>
        <w:t>十、</w:t>
      </w:r>
      <w:r>
        <w:rPr>
          <w:rStyle w:val="29"/>
          <w:rFonts w:hint="default" w:ascii="Times New Roman" w:hAnsi="Times New Roman" w:eastAsia="黑体" w:cs="Times New Roman"/>
          <w:b w:val="0"/>
          <w:color w:val="auto"/>
          <w:highlight w:val="none"/>
        </w:rPr>
        <w:t>其他重要事项的情况说明</w:t>
      </w:r>
      <w:bookmarkEnd w:id="78"/>
      <w:bookmarkEnd w:id="79"/>
      <w:bookmarkEnd w:id="80"/>
      <w:bookmarkEnd w:id="81"/>
    </w:p>
    <w:p>
      <w:pPr>
        <w:spacing w:line="600" w:lineRule="exact"/>
        <w:ind w:firstLine="642" w:firstLineChars="200"/>
        <w:outlineLvl w:val="2"/>
        <w:rPr>
          <w:rFonts w:hint="default" w:ascii="Times New Roman" w:hAnsi="Times New Roman" w:eastAsia="楷体_GB2312" w:cs="Times New Roman"/>
          <w:b/>
          <w:color w:val="auto"/>
          <w:sz w:val="32"/>
          <w:szCs w:val="32"/>
          <w:highlight w:val="none"/>
        </w:rPr>
      </w:pPr>
      <w:bookmarkStart w:id="82" w:name="_Toc3992"/>
      <w:bookmarkStart w:id="83" w:name="_Toc16731"/>
      <w:bookmarkStart w:id="84" w:name="_Toc15377222"/>
      <w:r>
        <w:rPr>
          <w:rFonts w:hint="default" w:ascii="Times New Roman" w:hAnsi="Times New Roman" w:eastAsia="楷体_GB2312" w:cs="Times New Roman"/>
          <w:b/>
          <w:color w:val="auto"/>
          <w:sz w:val="32"/>
          <w:szCs w:val="32"/>
          <w:highlight w:val="none"/>
        </w:rPr>
        <w:t>（一）机关运行经费支出情况</w:t>
      </w:r>
      <w:bookmarkEnd w:id="82"/>
      <w:bookmarkEnd w:id="83"/>
      <w:bookmarkEnd w:id="84"/>
    </w:p>
    <w:p>
      <w:pPr>
        <w:spacing w:line="600" w:lineRule="exact"/>
        <w:ind w:firstLine="640"/>
        <w:rPr>
          <w:rFonts w:hint="default" w:ascii="Times New Roman" w:hAnsi="Times New Roman" w:eastAsia="楷体_GB2312" w:cs="Times New Roman"/>
          <w:b/>
          <w:color w:val="auto"/>
          <w:sz w:val="32"/>
          <w:szCs w:val="32"/>
          <w:highlight w:val="none"/>
        </w:rPr>
      </w:pPr>
      <w:r>
        <w:rPr>
          <w:rFonts w:hint="default" w:ascii="Times New Roman" w:hAnsi="Times New Roman" w:eastAsia="仿宋_GB2312" w:cs="Times New Roman"/>
          <w:color w:val="auto"/>
          <w:kern w:val="2"/>
          <w:sz w:val="32"/>
          <w:szCs w:val="32"/>
          <w:highlight w:val="none"/>
          <w:lang w:val="en-US" w:eastAsia="zh-CN" w:bidi="ar-SA"/>
        </w:rPr>
        <w:t>2024年度，四川理工技师学院机关运行经费支出0万元，与2023年度决算数持平。主要原因是学院为事业单位，无机关运行经费支出。</w:t>
      </w:r>
      <w:bookmarkStart w:id="85" w:name="_Toc15377223"/>
      <w:bookmarkStart w:id="86" w:name="_Toc16031"/>
      <w:bookmarkStart w:id="87" w:name="_Toc19309"/>
    </w:p>
    <w:p>
      <w:pPr>
        <w:spacing w:line="600" w:lineRule="exact"/>
        <w:ind w:firstLine="642" w:firstLineChars="200"/>
        <w:outlineLvl w:val="2"/>
        <w:rPr>
          <w:rFonts w:hint="eastAsia" w:ascii="Times New Roman" w:hAnsi="Times New Roman" w:eastAsia="楷体_GB2312" w:cs="楷体_GB2312"/>
          <w:b/>
          <w:color w:val="auto"/>
          <w:sz w:val="32"/>
          <w:szCs w:val="32"/>
          <w:highlight w:val="none"/>
        </w:rPr>
      </w:pPr>
      <w:r>
        <w:rPr>
          <w:rFonts w:hint="eastAsia" w:ascii="Times New Roman" w:hAnsi="Times New Roman" w:eastAsia="楷体_GB2312" w:cs="楷体_GB2312"/>
          <w:b/>
          <w:color w:val="auto"/>
          <w:sz w:val="32"/>
          <w:szCs w:val="32"/>
          <w:highlight w:val="none"/>
        </w:rPr>
        <w:t>（二）政府采购支出情况</w:t>
      </w:r>
      <w:bookmarkEnd w:id="85"/>
      <w:bookmarkEnd w:id="86"/>
      <w:bookmarkEnd w:id="87"/>
    </w:p>
    <w:p>
      <w:pPr>
        <w:spacing w:line="600" w:lineRule="exact"/>
        <w:ind w:firstLine="640"/>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2024年度，</w:t>
      </w:r>
      <w:r>
        <w:rPr>
          <w:rFonts w:hint="default" w:ascii="Times New Roman" w:hAnsi="Times New Roman" w:eastAsia="仿宋_GB2312" w:cs="Times New Roman"/>
          <w:sz w:val="32"/>
          <w:szCs w:val="32"/>
        </w:rPr>
        <w:t>四川理工技师学院</w:t>
      </w:r>
      <w:r>
        <w:rPr>
          <w:rFonts w:hint="default" w:ascii="Times New Roman" w:hAnsi="Times New Roman" w:eastAsia="仿宋_GB2312" w:cs="Times New Roman"/>
          <w:color w:val="auto"/>
          <w:kern w:val="2"/>
          <w:sz w:val="32"/>
          <w:szCs w:val="32"/>
          <w:highlight w:val="none"/>
          <w:lang w:val="en-US" w:eastAsia="zh-CN" w:bidi="ar-SA"/>
        </w:rPr>
        <w:t>政府采购支出总额</w:t>
      </w:r>
      <w:r>
        <w:rPr>
          <w:rFonts w:hint="default" w:ascii="Times New Roman" w:hAnsi="Times New Roman" w:eastAsia="仿宋_GB2312" w:cs="Times New Roman"/>
          <w:sz w:val="32"/>
          <w:szCs w:val="32"/>
        </w:rPr>
        <w:t>895.36</w:t>
      </w:r>
      <w:r>
        <w:rPr>
          <w:rFonts w:hint="default" w:ascii="Times New Roman" w:hAnsi="Times New Roman" w:eastAsia="仿宋_GB2312" w:cs="Times New Roman"/>
          <w:color w:val="auto"/>
          <w:kern w:val="2"/>
          <w:sz w:val="32"/>
          <w:szCs w:val="32"/>
          <w:highlight w:val="none"/>
          <w:lang w:val="en-US" w:eastAsia="zh-CN" w:bidi="ar-SA"/>
        </w:rPr>
        <w:t>万元，其中：政府采购货物支出</w:t>
      </w:r>
      <w:r>
        <w:rPr>
          <w:rFonts w:hint="default" w:ascii="Times New Roman" w:hAnsi="Times New Roman" w:eastAsia="仿宋_GB2312" w:cs="Times New Roman"/>
          <w:sz w:val="32"/>
          <w:szCs w:val="32"/>
        </w:rPr>
        <w:t>325.55</w:t>
      </w:r>
      <w:r>
        <w:rPr>
          <w:rFonts w:hint="default" w:ascii="Times New Roman" w:hAnsi="Times New Roman" w:eastAsia="仿宋_GB2312" w:cs="Times New Roman"/>
          <w:color w:val="auto"/>
          <w:kern w:val="2"/>
          <w:sz w:val="32"/>
          <w:szCs w:val="32"/>
          <w:highlight w:val="none"/>
          <w:lang w:val="en-US" w:eastAsia="zh-CN" w:bidi="ar-SA"/>
        </w:rPr>
        <w:t>万元、政府采购工</w:t>
      </w:r>
      <w:r>
        <w:rPr>
          <w:rFonts w:hint="eastAsia" w:ascii="仿宋_GB2312" w:hAnsi="仿宋_GB2312" w:eastAsia="仿宋_GB2312" w:cs="仿宋_GB2312"/>
          <w:color w:val="auto"/>
          <w:kern w:val="2"/>
          <w:sz w:val="32"/>
          <w:szCs w:val="32"/>
          <w:highlight w:val="none"/>
          <w:lang w:val="en-US" w:eastAsia="zh-CN" w:bidi="ar-SA"/>
        </w:rPr>
        <w:t>程</w:t>
      </w:r>
      <w:r>
        <w:rPr>
          <w:rFonts w:hint="default" w:ascii="Times New Roman" w:hAnsi="Times New Roman" w:eastAsia="仿宋_GB2312" w:cs="Times New Roman"/>
          <w:color w:val="auto"/>
          <w:kern w:val="2"/>
          <w:sz w:val="32"/>
          <w:szCs w:val="32"/>
          <w:highlight w:val="none"/>
          <w:lang w:val="en-US" w:eastAsia="zh-CN" w:bidi="ar-SA"/>
        </w:rPr>
        <w:t>支出</w:t>
      </w:r>
      <w:r>
        <w:rPr>
          <w:rFonts w:hint="default" w:ascii="Times New Roman" w:hAnsi="Times New Roman" w:eastAsia="仿宋_GB2312" w:cs="Times New Roman"/>
          <w:sz w:val="32"/>
          <w:szCs w:val="32"/>
        </w:rPr>
        <w:t>0</w:t>
      </w:r>
      <w:r>
        <w:rPr>
          <w:rFonts w:hint="default" w:ascii="Times New Roman" w:hAnsi="Times New Roman" w:eastAsia="仿宋_GB2312" w:cs="Times New Roman"/>
          <w:color w:val="auto"/>
          <w:kern w:val="2"/>
          <w:sz w:val="32"/>
          <w:szCs w:val="32"/>
          <w:highlight w:val="none"/>
          <w:lang w:val="en-US" w:eastAsia="zh-CN" w:bidi="ar-SA"/>
        </w:rPr>
        <w:t>万元、政府采购服务支出</w:t>
      </w:r>
      <w:r>
        <w:rPr>
          <w:rFonts w:hint="default" w:ascii="Times New Roman" w:hAnsi="Times New Roman" w:eastAsia="仿宋_GB2312" w:cs="Times New Roman"/>
          <w:sz w:val="32"/>
          <w:szCs w:val="32"/>
        </w:rPr>
        <w:t>569.81</w:t>
      </w:r>
      <w:r>
        <w:rPr>
          <w:rFonts w:hint="default" w:ascii="Times New Roman" w:hAnsi="Times New Roman" w:eastAsia="仿宋_GB2312" w:cs="Times New Roman"/>
          <w:color w:val="auto"/>
          <w:kern w:val="2"/>
          <w:sz w:val="32"/>
          <w:szCs w:val="32"/>
          <w:highlight w:val="none"/>
          <w:lang w:val="en-US" w:eastAsia="zh-CN" w:bidi="ar-SA"/>
        </w:rPr>
        <w:t>万元。主要用于双校区校园安保及学生宿舍管理服务、校企合作联合培养化学制药技能人才设备采购、制药工程数字化系统和制药软件、教职工工作餐餐饮服务等。授予中小企业合同金额</w:t>
      </w:r>
      <w:r>
        <w:rPr>
          <w:rFonts w:hint="default" w:ascii="Times New Roman" w:hAnsi="Times New Roman" w:eastAsia="仿宋_GB2312" w:cs="Times New Roman"/>
          <w:sz w:val="32"/>
          <w:szCs w:val="32"/>
        </w:rPr>
        <w:t>888.86</w:t>
      </w:r>
      <w:r>
        <w:rPr>
          <w:rFonts w:hint="default" w:ascii="Times New Roman" w:hAnsi="Times New Roman" w:eastAsia="仿宋_GB2312" w:cs="Times New Roman"/>
          <w:color w:val="auto"/>
          <w:kern w:val="2"/>
          <w:sz w:val="32"/>
          <w:szCs w:val="32"/>
          <w:highlight w:val="none"/>
          <w:lang w:val="en-US" w:eastAsia="zh-CN" w:bidi="ar-SA"/>
        </w:rPr>
        <w:t>万元，占政府采购支出总额的</w:t>
      </w:r>
      <w:r>
        <w:rPr>
          <w:rFonts w:hint="default" w:ascii="Times New Roman" w:hAnsi="Times New Roman" w:eastAsia="仿宋_GB2312" w:cs="Times New Roman"/>
          <w:sz w:val="32"/>
          <w:szCs w:val="32"/>
        </w:rPr>
        <w:t>99.</w:t>
      </w:r>
      <w:r>
        <w:rPr>
          <w:rFonts w:hint="default" w:ascii="Times New Roman" w:hAnsi="Times New Roman" w:eastAsia="仿宋_GB2312" w:cs="Times New Roman"/>
          <w:sz w:val="32"/>
          <w:szCs w:val="32"/>
          <w:lang w:val="en-US" w:eastAsia="zh-CN"/>
        </w:rPr>
        <w:t>3</w:t>
      </w:r>
      <w:r>
        <w:rPr>
          <w:rFonts w:hint="default" w:ascii="Times New Roman" w:hAnsi="Times New Roman" w:eastAsia="仿宋_GB2312" w:cs="Times New Roman"/>
          <w:color w:val="auto"/>
          <w:kern w:val="2"/>
          <w:sz w:val="32"/>
          <w:szCs w:val="32"/>
          <w:highlight w:val="none"/>
          <w:lang w:val="en-US" w:eastAsia="zh-CN" w:bidi="ar-SA"/>
        </w:rPr>
        <w:t>%，其中：授予小微企业合同金额</w:t>
      </w:r>
      <w:r>
        <w:rPr>
          <w:rFonts w:hint="default" w:ascii="Times New Roman" w:hAnsi="Times New Roman" w:eastAsia="仿宋_GB2312" w:cs="Times New Roman"/>
          <w:sz w:val="32"/>
          <w:szCs w:val="32"/>
        </w:rPr>
        <w:t>888.86</w:t>
      </w:r>
      <w:r>
        <w:rPr>
          <w:rFonts w:hint="default" w:ascii="Times New Roman" w:hAnsi="Times New Roman" w:eastAsia="仿宋_GB2312" w:cs="Times New Roman"/>
          <w:color w:val="auto"/>
          <w:kern w:val="2"/>
          <w:sz w:val="32"/>
          <w:szCs w:val="32"/>
          <w:highlight w:val="none"/>
          <w:lang w:val="en-US" w:eastAsia="zh-CN" w:bidi="ar-SA"/>
        </w:rPr>
        <w:t>万元，占政府采购支出总额的</w:t>
      </w:r>
      <w:r>
        <w:rPr>
          <w:rFonts w:hint="default" w:ascii="Times New Roman" w:hAnsi="Times New Roman" w:eastAsia="仿宋_GB2312" w:cs="Times New Roman"/>
          <w:sz w:val="32"/>
          <w:szCs w:val="32"/>
        </w:rPr>
        <w:t>99.</w:t>
      </w:r>
      <w:r>
        <w:rPr>
          <w:rFonts w:hint="default" w:ascii="Times New Roman" w:hAnsi="Times New Roman" w:eastAsia="仿宋_GB2312" w:cs="Times New Roman"/>
          <w:sz w:val="32"/>
          <w:szCs w:val="32"/>
          <w:lang w:val="en-US" w:eastAsia="zh-CN"/>
        </w:rPr>
        <w:t>3</w:t>
      </w:r>
      <w:r>
        <w:rPr>
          <w:rFonts w:hint="default" w:ascii="Times New Roman" w:hAnsi="Times New Roman" w:eastAsia="仿宋_GB2312" w:cs="Times New Roman"/>
          <w:color w:val="auto"/>
          <w:kern w:val="2"/>
          <w:sz w:val="32"/>
          <w:szCs w:val="32"/>
          <w:highlight w:val="none"/>
          <w:lang w:val="en-US" w:eastAsia="zh-CN" w:bidi="ar-SA"/>
        </w:rPr>
        <w:t>%。</w:t>
      </w:r>
    </w:p>
    <w:p>
      <w:pPr>
        <w:spacing w:line="600" w:lineRule="exact"/>
        <w:ind w:firstLine="642" w:firstLineChars="200"/>
        <w:outlineLvl w:val="2"/>
        <w:rPr>
          <w:rFonts w:hint="eastAsia" w:ascii="Times New Roman" w:hAnsi="Times New Roman" w:eastAsia="楷体_GB2312" w:cs="楷体_GB2312"/>
          <w:b/>
          <w:color w:val="auto"/>
          <w:sz w:val="32"/>
          <w:szCs w:val="32"/>
          <w:highlight w:val="none"/>
        </w:rPr>
      </w:pPr>
      <w:bookmarkStart w:id="88" w:name="_Toc15377224"/>
      <w:bookmarkStart w:id="89" w:name="_Toc799"/>
      <w:bookmarkStart w:id="90" w:name="_Toc6975"/>
      <w:r>
        <w:rPr>
          <w:rFonts w:hint="eastAsia" w:ascii="Times New Roman" w:hAnsi="Times New Roman" w:eastAsia="楷体_GB2312" w:cs="楷体_GB2312"/>
          <w:b/>
          <w:color w:val="auto"/>
          <w:sz w:val="32"/>
          <w:szCs w:val="32"/>
          <w:highlight w:val="none"/>
        </w:rPr>
        <w:t>（三）国有资产占有使用情况</w:t>
      </w:r>
      <w:bookmarkEnd w:id="88"/>
      <w:bookmarkEnd w:id="89"/>
      <w:bookmarkEnd w:id="90"/>
    </w:p>
    <w:p>
      <w:pPr>
        <w:spacing w:line="600" w:lineRule="exact"/>
        <w:ind w:firstLine="640"/>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截至2024年12月31日，</w:t>
      </w:r>
      <w:r>
        <w:rPr>
          <w:rFonts w:hint="default" w:ascii="Times New Roman" w:hAnsi="Times New Roman" w:eastAsia="仿宋_GB2312" w:cs="Times New Roman"/>
          <w:sz w:val="32"/>
          <w:szCs w:val="32"/>
        </w:rPr>
        <w:t>四川理工技师学院</w:t>
      </w:r>
      <w:r>
        <w:rPr>
          <w:rFonts w:hint="default" w:ascii="Times New Roman" w:hAnsi="Times New Roman" w:eastAsia="仿宋_GB2312" w:cs="Times New Roman"/>
          <w:color w:val="auto"/>
          <w:kern w:val="2"/>
          <w:sz w:val="32"/>
          <w:szCs w:val="32"/>
          <w:highlight w:val="none"/>
          <w:lang w:val="en-US" w:eastAsia="zh-CN" w:bidi="ar-SA"/>
        </w:rPr>
        <w:t>共有车辆</w:t>
      </w:r>
      <w:r>
        <w:rPr>
          <w:rFonts w:hint="default" w:ascii="Times New Roman" w:hAnsi="Times New Roman" w:eastAsia="仿宋_GB2312" w:cs="Times New Roman"/>
          <w:sz w:val="32"/>
          <w:szCs w:val="32"/>
        </w:rPr>
        <w:t>3</w:t>
      </w:r>
      <w:r>
        <w:rPr>
          <w:rFonts w:hint="default" w:ascii="Times New Roman" w:hAnsi="Times New Roman" w:eastAsia="仿宋_GB2312" w:cs="Times New Roman"/>
          <w:color w:val="auto"/>
          <w:kern w:val="2"/>
          <w:sz w:val="32"/>
          <w:szCs w:val="32"/>
          <w:highlight w:val="none"/>
          <w:lang w:val="en-US" w:eastAsia="zh-CN" w:bidi="ar-SA"/>
        </w:rPr>
        <w:t>辆，其中：主要领导干部用车</w:t>
      </w:r>
      <w:r>
        <w:rPr>
          <w:rFonts w:hint="default" w:ascii="Times New Roman" w:hAnsi="Times New Roman" w:eastAsia="仿宋_GB2312" w:cs="Times New Roman"/>
          <w:sz w:val="32"/>
          <w:szCs w:val="32"/>
        </w:rPr>
        <w:t>0</w:t>
      </w:r>
      <w:r>
        <w:rPr>
          <w:rFonts w:hint="default" w:ascii="Times New Roman" w:hAnsi="Times New Roman" w:eastAsia="仿宋_GB2312" w:cs="Times New Roman"/>
          <w:color w:val="auto"/>
          <w:kern w:val="2"/>
          <w:sz w:val="32"/>
          <w:szCs w:val="32"/>
          <w:highlight w:val="none"/>
          <w:lang w:val="en-US" w:eastAsia="zh-CN" w:bidi="ar-SA"/>
        </w:rPr>
        <w:t>辆、机要通信用车</w:t>
      </w:r>
      <w:r>
        <w:rPr>
          <w:rFonts w:hint="default" w:ascii="Times New Roman" w:hAnsi="Times New Roman" w:eastAsia="仿宋_GB2312" w:cs="Times New Roman"/>
          <w:sz w:val="32"/>
          <w:szCs w:val="32"/>
        </w:rPr>
        <w:t>0</w:t>
      </w:r>
      <w:r>
        <w:rPr>
          <w:rFonts w:hint="default" w:ascii="Times New Roman" w:hAnsi="Times New Roman" w:eastAsia="仿宋_GB2312" w:cs="Times New Roman"/>
          <w:color w:val="auto"/>
          <w:kern w:val="2"/>
          <w:sz w:val="32"/>
          <w:szCs w:val="32"/>
          <w:highlight w:val="none"/>
          <w:lang w:val="en-US" w:eastAsia="zh-CN" w:bidi="ar-SA"/>
        </w:rPr>
        <w:t>辆、应急保障用车</w:t>
      </w:r>
      <w:r>
        <w:rPr>
          <w:rFonts w:hint="default" w:ascii="Times New Roman" w:hAnsi="Times New Roman" w:eastAsia="仿宋_GB2312" w:cs="Times New Roman"/>
          <w:sz w:val="32"/>
          <w:szCs w:val="32"/>
        </w:rPr>
        <w:t>0</w:t>
      </w:r>
      <w:r>
        <w:rPr>
          <w:rFonts w:hint="default" w:ascii="Times New Roman" w:hAnsi="Times New Roman" w:eastAsia="仿宋_GB2312" w:cs="Times New Roman"/>
          <w:color w:val="auto"/>
          <w:kern w:val="2"/>
          <w:sz w:val="32"/>
          <w:szCs w:val="32"/>
          <w:highlight w:val="none"/>
          <w:lang w:val="en-US" w:eastAsia="zh-CN" w:bidi="ar-SA"/>
        </w:rPr>
        <w:t>辆、其他用车</w:t>
      </w:r>
      <w:r>
        <w:rPr>
          <w:rFonts w:hint="default" w:ascii="Times New Roman" w:hAnsi="Times New Roman" w:eastAsia="仿宋_GB2312" w:cs="Times New Roman"/>
          <w:sz w:val="32"/>
          <w:szCs w:val="32"/>
        </w:rPr>
        <w:t>3</w:t>
      </w:r>
      <w:r>
        <w:rPr>
          <w:rFonts w:hint="default" w:ascii="Times New Roman" w:hAnsi="Times New Roman" w:eastAsia="仿宋_GB2312" w:cs="Times New Roman"/>
          <w:color w:val="auto"/>
          <w:kern w:val="2"/>
          <w:sz w:val="32"/>
          <w:szCs w:val="32"/>
          <w:highlight w:val="none"/>
          <w:lang w:val="en-US" w:eastAsia="zh-CN" w:bidi="ar-SA"/>
        </w:rPr>
        <w:t>辆，其他用车主要是用于学院教学、招生、校企合作等工作。单价100万元（含）以上设备（不含车辆）</w:t>
      </w:r>
      <w:r>
        <w:rPr>
          <w:rFonts w:hint="default" w:ascii="Times New Roman" w:hAnsi="Times New Roman" w:eastAsia="仿宋_GB2312" w:cs="Times New Roman"/>
          <w:sz w:val="32"/>
          <w:szCs w:val="32"/>
        </w:rPr>
        <w:t>4</w:t>
      </w:r>
      <w:r>
        <w:rPr>
          <w:rFonts w:hint="default" w:ascii="Times New Roman" w:hAnsi="Times New Roman" w:eastAsia="仿宋_GB2312" w:cs="Times New Roman"/>
          <w:color w:val="auto"/>
          <w:kern w:val="2"/>
          <w:sz w:val="32"/>
          <w:szCs w:val="32"/>
          <w:highlight w:val="none"/>
          <w:lang w:val="en-US" w:eastAsia="zh-CN" w:bidi="ar-SA"/>
        </w:rPr>
        <w:t>台（套）。</w:t>
      </w:r>
    </w:p>
    <w:p>
      <w:pPr>
        <w:spacing w:line="600" w:lineRule="exact"/>
        <w:ind w:firstLine="642" w:firstLineChars="200"/>
        <w:outlineLvl w:val="2"/>
        <w:rPr>
          <w:rFonts w:hint="eastAsia" w:ascii="Times New Roman" w:hAnsi="Times New Roman" w:eastAsia="楷体_GB2312" w:cs="楷体_GB2312"/>
          <w:b/>
          <w:color w:val="auto"/>
          <w:sz w:val="32"/>
          <w:szCs w:val="32"/>
          <w:highlight w:val="none"/>
        </w:rPr>
      </w:pPr>
      <w:bookmarkStart w:id="91" w:name="_Toc22406"/>
      <w:bookmarkStart w:id="92" w:name="_Toc19176"/>
      <w:r>
        <w:rPr>
          <w:rFonts w:hint="eastAsia" w:ascii="Times New Roman" w:hAnsi="Times New Roman" w:eastAsia="楷体_GB2312" w:cs="楷体_GB2312"/>
          <w:b/>
          <w:color w:val="auto"/>
          <w:sz w:val="32"/>
          <w:szCs w:val="32"/>
          <w:highlight w:val="none"/>
        </w:rPr>
        <w:t>（四）预算绩效管理情况</w:t>
      </w:r>
      <w:bookmarkEnd w:id="91"/>
      <w:bookmarkEnd w:id="92"/>
    </w:p>
    <w:p>
      <w:pPr>
        <w:spacing w:line="600" w:lineRule="exact"/>
        <w:ind w:firstLine="640"/>
        <w:rPr>
          <w:rFonts w:hint="default" w:ascii="Times New Roman" w:hAnsi="Times New Roman" w:eastAsia="仿宋_GB2312" w:cs="Times New Roman"/>
          <w:b/>
          <w:bCs/>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根据预算绩效管理要求，本单位在2024年度预算编制阶段，组织对“校企合作联合培养化学制药技能人才设备采购”、“现代职业教育质量提升计划资金（中央）”、“2024年招生就业合作经费”、“2024年教职工工作餐餐饮服务”、“2024年中等职业教育学生资助补助”、“2024年现代职业教育质量提升（中央）”、“大规模技术助推乡村振兴”、“工业领域节能降碳产业人才培训班”8个项目开展了预算事前绩效评估，对8个项目编制了绩效目标，预算执行过程中，选取8个项目开展绩效监控，组织对8个项目开展绩效自评，绩效自评表详见第四部分附件。</w:t>
      </w:r>
    </w:p>
    <w:p>
      <w:pPr>
        <w:keepNext w:val="0"/>
        <w:keepLines w:val="0"/>
        <w:pageBreakBefore/>
        <w:widowControl w:val="0"/>
        <w:numPr>
          <w:ilvl w:val="0"/>
          <w:numId w:val="0"/>
        </w:numPr>
        <w:kinsoku/>
        <w:wordWrap/>
        <w:overflowPunct/>
        <w:topLinePunct w:val="0"/>
        <w:autoSpaceDE/>
        <w:autoSpaceDN/>
        <w:bidi w:val="0"/>
        <w:adjustRightInd/>
        <w:snapToGrid/>
        <w:spacing w:line="600" w:lineRule="exact"/>
        <w:jc w:val="center"/>
        <w:textAlignment w:val="auto"/>
        <w:outlineLvl w:val="0"/>
        <w:rPr>
          <w:rFonts w:hint="eastAsia" w:ascii="Times New Roman" w:hAnsi="Times New Roman" w:eastAsia="黑体"/>
          <w:color w:val="auto"/>
          <w:sz w:val="44"/>
          <w:szCs w:val="44"/>
          <w:highlight w:val="none"/>
        </w:rPr>
      </w:pPr>
      <w:bookmarkStart w:id="93" w:name="_Toc15377225"/>
      <w:bookmarkStart w:id="94" w:name="_Toc15396613"/>
      <w:bookmarkStart w:id="95" w:name="_Toc15984"/>
      <w:bookmarkStart w:id="96" w:name="_Toc5408"/>
      <w:r>
        <w:rPr>
          <w:rFonts w:hint="eastAsia" w:ascii="Times New Roman" w:hAnsi="Times New Roman" w:eastAsia="黑体"/>
          <w:color w:val="auto"/>
          <w:sz w:val="44"/>
          <w:szCs w:val="44"/>
          <w:highlight w:val="none"/>
        </w:rPr>
        <w:t>第</w:t>
      </w:r>
      <w:r>
        <w:rPr>
          <w:rFonts w:hint="eastAsia" w:eastAsia="黑体"/>
          <w:color w:val="auto"/>
          <w:sz w:val="44"/>
          <w:szCs w:val="44"/>
          <w:highlight w:val="none"/>
          <w:lang w:eastAsia="zh-CN"/>
        </w:rPr>
        <w:t>三</w:t>
      </w:r>
      <w:r>
        <w:rPr>
          <w:rFonts w:hint="eastAsia" w:ascii="Times New Roman" w:hAnsi="Times New Roman" w:eastAsia="黑体"/>
          <w:color w:val="auto"/>
          <w:sz w:val="44"/>
          <w:szCs w:val="44"/>
          <w:highlight w:val="none"/>
        </w:rPr>
        <w:t>部分</w:t>
      </w:r>
      <w:r>
        <w:rPr>
          <w:rFonts w:hint="eastAsia" w:ascii="Times New Roman" w:hAnsi="Times New Roman" w:eastAsia="黑体"/>
          <w:color w:val="auto"/>
          <w:sz w:val="44"/>
          <w:szCs w:val="44"/>
          <w:highlight w:val="none"/>
          <w:lang w:val="en-US" w:eastAsia="zh-CN"/>
        </w:rPr>
        <w:t xml:space="preserve"> </w:t>
      </w:r>
      <w:r>
        <w:rPr>
          <w:rFonts w:hint="eastAsia" w:eastAsia="黑体"/>
          <w:color w:val="auto"/>
          <w:sz w:val="44"/>
          <w:szCs w:val="44"/>
          <w:highlight w:val="none"/>
          <w:lang w:val="en-US" w:eastAsia="zh-CN"/>
        </w:rPr>
        <w:t xml:space="preserve"> </w:t>
      </w:r>
      <w:r>
        <w:rPr>
          <w:rFonts w:hint="eastAsia" w:ascii="Times New Roman" w:hAnsi="Times New Roman" w:eastAsia="黑体"/>
          <w:color w:val="auto"/>
          <w:sz w:val="44"/>
          <w:szCs w:val="44"/>
          <w:highlight w:val="none"/>
        </w:rPr>
        <w:t>名词解释</w:t>
      </w:r>
      <w:bookmarkEnd w:id="93"/>
      <w:bookmarkEnd w:id="94"/>
      <w:bookmarkEnd w:id="95"/>
      <w:bookmarkEnd w:id="96"/>
    </w:p>
    <w:p>
      <w:pPr>
        <w:spacing w:line="600" w:lineRule="exact"/>
        <w:jc w:val="left"/>
        <w:rPr>
          <w:rFonts w:ascii="Times New Roman" w:hAnsi="Times New Roman"/>
          <w:b/>
          <w:color w:val="auto"/>
          <w:sz w:val="44"/>
          <w:szCs w:val="44"/>
          <w:highlight w:val="none"/>
        </w:rPr>
      </w:pPr>
    </w:p>
    <w:p>
      <w:pPr>
        <w:spacing w:line="600" w:lineRule="exact"/>
        <w:ind w:firstLine="640"/>
        <w:rPr>
          <w:rFonts w:hint="default" w:ascii="Times New Roman" w:hAnsi="Times New Roman" w:eastAsia="仿宋_GB2312" w:cs="Times New Roman"/>
          <w:color w:val="auto"/>
          <w:kern w:val="2"/>
          <w:sz w:val="32"/>
          <w:szCs w:val="32"/>
          <w:highlight w:val="none"/>
          <w:lang w:val="en-US" w:eastAsia="zh-CN" w:bidi="ar-SA"/>
        </w:rPr>
      </w:pPr>
      <w:bookmarkStart w:id="97" w:name="_Toc15377226"/>
      <w:r>
        <w:rPr>
          <w:rFonts w:hint="default" w:ascii="Times New Roman" w:hAnsi="Times New Roman" w:eastAsia="仿宋_GB2312" w:cs="Times New Roman"/>
          <w:color w:val="auto"/>
          <w:kern w:val="2"/>
          <w:sz w:val="32"/>
          <w:szCs w:val="32"/>
          <w:highlight w:val="none"/>
          <w:lang w:val="en-US" w:eastAsia="zh-CN" w:bidi="ar-SA"/>
        </w:rPr>
        <w:t>1.财政拨款收入：指单位从同级财政部门取得的财政预算资金。</w:t>
      </w:r>
    </w:p>
    <w:p>
      <w:pPr>
        <w:spacing w:line="600" w:lineRule="exact"/>
        <w:ind w:firstLine="640"/>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2.事业收入：指事业单位开展专业业务活动及辅助活动取得的收入。如：住宿费等。</w:t>
      </w:r>
    </w:p>
    <w:p>
      <w:pPr>
        <w:spacing w:line="600" w:lineRule="exact"/>
        <w:ind w:firstLine="640"/>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3.经营收入：指事业单位在专业业务活动及其辅助活动之外开展非独立核算经营活动取得的收入。</w:t>
      </w:r>
    </w:p>
    <w:p>
      <w:pPr>
        <w:spacing w:line="600" w:lineRule="exact"/>
        <w:ind w:firstLine="640"/>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4.其他收入：指单位取得的除上述收入以外的各项收入。主要是培训费等。</w:t>
      </w:r>
    </w:p>
    <w:p>
      <w:pPr>
        <w:spacing w:line="600" w:lineRule="exact"/>
        <w:ind w:firstLine="640"/>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5.使用非财政拨款结余：指事业单位使用以前年度积累的非财政拨款结余弥补当年收支差额的金额。</w:t>
      </w:r>
    </w:p>
    <w:p>
      <w:pPr>
        <w:spacing w:line="600" w:lineRule="exact"/>
        <w:ind w:firstLine="640"/>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6.年初结转和结余：指以前年度尚未完成、结转到本年按有关规定继续使用的资金。</w:t>
      </w:r>
    </w:p>
    <w:p>
      <w:pPr>
        <w:spacing w:line="600" w:lineRule="exact"/>
        <w:ind w:firstLine="640"/>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7.结余分配：指事业单位按照会计制度规定缴纳的所得税、提取的专用结余以及转入非财政拨款结余的金额等。</w:t>
      </w:r>
    </w:p>
    <w:p>
      <w:pPr>
        <w:spacing w:line="600" w:lineRule="exact"/>
        <w:ind w:firstLine="640"/>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8.年末结转和结余：指单位按有关规定结转到下年或以后年度继续使用的资金。</w:t>
      </w:r>
    </w:p>
    <w:p>
      <w:pPr>
        <w:spacing w:line="600" w:lineRule="exact"/>
        <w:ind w:firstLine="640"/>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9.教育支出-职业教育-中等职业教育：指各部门举办的中等职业学校支出。</w:t>
      </w:r>
    </w:p>
    <w:p>
      <w:pPr>
        <w:spacing w:line="600" w:lineRule="exact"/>
        <w:ind w:firstLine="640"/>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10.教育支出-职业教育-技校教育：指人力资源社会保障部门举办的技工学校支出。</w:t>
      </w:r>
    </w:p>
    <w:p>
      <w:pPr>
        <w:spacing w:line="600" w:lineRule="exact"/>
        <w:ind w:firstLine="640"/>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11.教育支出-其他教育支出-其他教育支出：指其他用于职业教育方面的支出。</w:t>
      </w:r>
    </w:p>
    <w:p>
      <w:pPr>
        <w:spacing w:line="600" w:lineRule="exact"/>
        <w:ind w:firstLine="640"/>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12.债务付息支出-地方政府一般债务付息支出-地方政府一般债务付息支出：指用于归还一般债券利息所发生的支出。</w:t>
      </w:r>
    </w:p>
    <w:p>
      <w:pPr>
        <w:spacing w:line="600" w:lineRule="exact"/>
        <w:ind w:firstLine="640"/>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13.基本支出：指为保障机构正常运转、完成日常工作任务而发生的人员支出和公用支出。</w:t>
      </w:r>
    </w:p>
    <w:p>
      <w:pPr>
        <w:spacing w:line="600" w:lineRule="exact"/>
        <w:ind w:firstLine="640"/>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14.项目支出：指在基本支出之外为完成特定行政任务和事业发展目标所发生的支出。</w:t>
      </w:r>
    </w:p>
    <w:p>
      <w:pPr>
        <w:spacing w:line="600" w:lineRule="exact"/>
        <w:ind w:firstLine="640"/>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15.“三公”经费：”指单位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spacing w:line="600" w:lineRule="exact"/>
        <w:ind w:firstLine="640"/>
        <w:jc w:val="center"/>
        <w:rPr>
          <w:rFonts w:hint="eastAsia" w:eastAsia="黑体"/>
          <w:color w:val="auto"/>
          <w:sz w:val="44"/>
          <w:szCs w:val="44"/>
          <w:highlight w:val="none"/>
          <w:lang w:eastAsia="zh-CN"/>
        </w:rPr>
      </w:pPr>
      <w:r>
        <w:rPr>
          <w:rFonts w:hint="eastAsia" w:ascii="Times New Roman" w:hAnsi="Times New Roman" w:eastAsia="仿宋_GB2312" w:cs="仿宋_GB2312"/>
          <w:color w:val="auto"/>
          <w:kern w:val="2"/>
          <w:sz w:val="32"/>
          <w:szCs w:val="32"/>
          <w:highlight w:val="none"/>
          <w:lang w:val="en-US" w:eastAsia="zh-CN" w:bidi="ar-SA"/>
        </w:rPr>
        <w:br w:type="page"/>
      </w:r>
      <w:bookmarkStart w:id="98" w:name="_Toc15396614"/>
      <w:bookmarkStart w:id="99" w:name="_Toc6564"/>
      <w:r>
        <w:rPr>
          <w:rFonts w:hint="eastAsia" w:eastAsia="黑体"/>
          <w:color w:val="auto"/>
          <w:sz w:val="44"/>
          <w:szCs w:val="44"/>
          <w:highlight w:val="none"/>
          <w:lang w:eastAsia="zh-CN"/>
        </w:rPr>
        <w:t>第四部分</w:t>
      </w:r>
      <w:r>
        <w:rPr>
          <w:rFonts w:hint="eastAsia" w:eastAsia="黑体"/>
          <w:color w:val="auto"/>
          <w:sz w:val="44"/>
          <w:szCs w:val="44"/>
          <w:highlight w:val="none"/>
          <w:lang w:val="en-US" w:eastAsia="zh-CN"/>
        </w:rPr>
        <w:t xml:space="preserve"> </w:t>
      </w:r>
      <w:r>
        <w:rPr>
          <w:rFonts w:hint="eastAsia" w:eastAsia="黑体"/>
          <w:color w:val="auto"/>
          <w:sz w:val="44"/>
          <w:szCs w:val="44"/>
          <w:highlight w:val="none"/>
          <w:lang w:eastAsia="zh-CN"/>
        </w:rPr>
        <w:t xml:space="preserve"> 附件</w:t>
      </w:r>
      <w:bookmarkEnd w:id="98"/>
      <w:bookmarkEnd w:id="99"/>
    </w:p>
    <w:p>
      <w:pPr>
        <w:spacing w:line="600" w:lineRule="exact"/>
        <w:jc w:val="center"/>
        <w:rPr>
          <w:rFonts w:hint="eastAsia" w:ascii="宋体" w:hAnsi="宋体" w:eastAsia="宋体" w:cs="宋体"/>
          <w:b w:val="0"/>
          <w:bCs w:val="0"/>
          <w:color w:val="auto"/>
          <w:sz w:val="32"/>
          <w:szCs w:val="32"/>
          <w:highlight w:val="none"/>
          <w:lang w:eastAsia="zh-CN"/>
        </w:rPr>
      </w:pPr>
      <w:r>
        <w:rPr>
          <w:rFonts w:hint="eastAsia" w:ascii="宋体" w:hAnsi="宋体" w:eastAsia="宋体" w:cs="宋体"/>
          <w:b w:val="0"/>
          <w:bCs w:val="0"/>
          <w:color w:val="auto"/>
          <w:sz w:val="32"/>
          <w:szCs w:val="32"/>
          <w:highlight w:val="none"/>
          <w:lang w:eastAsia="zh-CN"/>
        </w:rPr>
        <w:t>部门预算项目支出绩效自评表（2024年度）</w:t>
      </w:r>
    </w:p>
    <w:tbl>
      <w:tblPr>
        <w:tblStyle w:val="15"/>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75"/>
        <w:gridCol w:w="696"/>
        <w:gridCol w:w="950"/>
        <w:gridCol w:w="1022"/>
        <w:gridCol w:w="494"/>
        <w:gridCol w:w="554"/>
        <w:gridCol w:w="974"/>
        <w:gridCol w:w="1175"/>
        <w:gridCol w:w="608"/>
        <w:gridCol w:w="608"/>
        <w:gridCol w:w="76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0" w:type="auto"/>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0" w:type="auto"/>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51000022T000006382845-校企合作联合培养化学制药技能人才设备采购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4" w:hRule="atLeast"/>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四川省经济和信息化厅部门</w:t>
            </w:r>
          </w:p>
        </w:tc>
        <w:tc>
          <w:tcPr>
            <w:tcW w:w="0" w:type="auto"/>
            <w:tcBorders>
              <w:top w:val="nil"/>
              <w:left w:val="nil"/>
              <w:bottom w:val="nil"/>
              <w:right w:val="nil"/>
            </w:tcBorders>
            <w:shd w:val="clear" w:color="auto" w:fill="auto"/>
            <w:vAlign w:val="center"/>
          </w:tcPr>
          <w:p>
            <w:pPr>
              <w:keepNext w:val="0"/>
              <w:keepLines w:val="0"/>
              <w:widowControl/>
              <w:suppressLineNumbers w:val="0"/>
              <w:jc w:val="left"/>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四川理工技师学院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30"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0" w:type="auto"/>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9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为了更好服务温江区成都医学城制药企业，扩大校内实训基地服务能力，在校内实训基地建设药物制剂和药物检测实训中心，采购药物制剂实训设备、药物检测实训设备、DCS仿真实训设备等一批。</w:t>
            </w:r>
          </w:p>
        </w:tc>
        <w:tc>
          <w:tcPr>
            <w:tcW w:w="0" w:type="auto"/>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已按计划完成药物制剂与检测实训中心建设，项目分为两包进行招标。第一包：中药技术实训中心；第二包：通风系统及设备。两包均已在2024年12月前完成项目建设并通过验收，设备经安装调试后全面投入教学使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5"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0" w:type="auto"/>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四川理工技师学院通过竞争性磋商方式确定两家供应商，采购校企合作联合培养化学制药技能人才设备。项目分为两包进行招标。第一包：中药技术实训中心；第二包：通风系统及设备。两包均已在2024年12月前完成项目建设并通过验收，设备经安装调试后全面投入教学使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5"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45"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200.00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196.55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98.28%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200.00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196.55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98.28%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38"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0"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服务区域技能专项培训人数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人</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设备利用率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98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38"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完成时间</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经济效益指标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对外培训鉴定可持续性</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2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合作企业提供实习岗位数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个（台、套、件、辆）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服务对象满意度指标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合作企业满意度</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95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85" w:hRule="atLeast"/>
        </w:trPr>
        <w:tc>
          <w:tcPr>
            <w:tcW w:w="0" w:type="auto"/>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9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0" w:type="auto"/>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本项目以校企共同制定联合人才培养方案和联合培养目标，通过系统化实施，全面达成预期目标，成效显著：1.硬件建设：建成中药技术实训中心，新增一批药物制剂、检测仪器及通风设备一批，设备运行稳定率100%；2.教学能力提升：支撑本校制药专业学生开展实训；3.校企协同：与成都医学城6家药企共建培训体系，开展员工技能培训200余人次，企业反馈满意度达98%，助推产教资源双向互通；4.社会效益：实训中心全年开放共享，提升了社会服务能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0" w:type="auto"/>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设备维护成本偏高：部分精密检测仪器故障率高于预期，主因是师生操作规范性培训不足，且未预留专项维保预算；2.课程与企业需求衔接度待提升：仿真实训模块更新滞后于企业技术迭代，因校企定期技术对接机制尚未固化；3.企业参与持续性不足：缺乏长效激励政策。未来需优化设备管理规程、建立动态课程更新机制，并推动政府-学校-企业三方协同保障，确保项目可持续发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3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0" w:type="auto"/>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强化运维保障：设立设备专项维保基金，将操作培训纳入教师考核，推行校企联合巡检制度；2.动态课程共建：联合药企成立“技术委员会”，定期更新实训模块，纳入企业真实生产案例；3.激发企业动力：建议政府将企业参与实训纳入“产教融合型企业”认定指标，给予税收抵扣或技改补贴；4.长效机制构建：推动政校企签订三方协议，明确资源投入、培训义务与知识产权分配，建立年度联席评估机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85" w:hRule="atLeast"/>
        </w:trPr>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项目负责人：蒋雯菁</w:t>
            </w:r>
          </w:p>
        </w:tc>
        <w:tc>
          <w:tcPr>
            <w:tcW w:w="0" w:type="auto"/>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财务负责人：杨雪</w:t>
            </w:r>
          </w:p>
        </w:tc>
      </w:tr>
    </w:tbl>
    <w:p>
      <w:pPr>
        <w:pStyle w:val="3"/>
        <w:ind w:left="0" w:leftChars="0" w:firstLine="0" w:firstLineChars="0"/>
        <w:rPr>
          <w:rFonts w:hint="eastAsia"/>
          <w:lang w:eastAsia="zh-CN"/>
        </w:rPr>
      </w:pPr>
    </w:p>
    <w:tbl>
      <w:tblPr>
        <w:tblStyle w:val="15"/>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36"/>
        <w:gridCol w:w="649"/>
        <w:gridCol w:w="975"/>
        <w:gridCol w:w="1074"/>
        <w:gridCol w:w="507"/>
        <w:gridCol w:w="656"/>
        <w:gridCol w:w="507"/>
        <w:gridCol w:w="901"/>
        <w:gridCol w:w="496"/>
        <w:gridCol w:w="496"/>
        <w:gridCol w:w="162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0" w:type="auto"/>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5" w:hRule="atLeast"/>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0" w:type="auto"/>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51000023T000009638004-现代职业教育质量提升计划资金（中央）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5" w:hRule="atLeast"/>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四川省经济和信息化厅部门</w:t>
            </w:r>
          </w:p>
        </w:tc>
        <w:tc>
          <w:tcPr>
            <w:tcW w:w="0" w:type="auto"/>
            <w:tcBorders>
              <w:top w:val="nil"/>
              <w:left w:val="nil"/>
              <w:bottom w:val="nil"/>
              <w:right w:val="nil"/>
            </w:tcBorders>
            <w:shd w:val="clear" w:color="auto" w:fill="auto"/>
            <w:vAlign w:val="center"/>
          </w:tcPr>
          <w:p>
            <w:pPr>
              <w:keepNext w:val="0"/>
              <w:keepLines w:val="0"/>
              <w:widowControl/>
              <w:suppressLineNumbers w:val="0"/>
              <w:jc w:val="left"/>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四川理工技师学院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0" w:type="auto"/>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5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根据《四川省教育厅 四川省人力资源和社会保障厅 四川省财政厅关于实施四川省中等职业教育名校名专业名实训基地建设工程的通知》（川教函［2021］221号）、《四川理工技师学院“三名工程”项目建设方案》，将资金统筹用于名校名专业名基地共13个建设内容，按期完成各项建设任务。</w:t>
            </w:r>
          </w:p>
        </w:tc>
        <w:tc>
          <w:tcPr>
            <w:tcW w:w="0" w:type="auto"/>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建立了Saas超星智慧校园管理平台，能够满足学校信息化长期持续发展的智慧校园支撑平台，为应用系统建设提供良好的支撑和服务。建立多个OA办公自动化模块，</w:t>
            </w:r>
            <w:bookmarkStart w:id="101" w:name="_GoBack"/>
            <w:bookmarkEnd w:id="101"/>
            <w:r>
              <w:rPr>
                <w:rFonts w:ascii="宋体" w:hAnsi="宋体" w:eastAsia="宋体" w:cs="宋体"/>
                <w:i w:val="0"/>
                <w:iCs w:val="0"/>
                <w:color w:val="000000"/>
                <w:kern w:val="0"/>
                <w:sz w:val="18"/>
                <w:szCs w:val="18"/>
                <w:u w:val="none"/>
                <w:lang w:val="en-US" w:eastAsia="zh-CN" w:bidi="ar"/>
              </w:rPr>
              <w:t>让数据多跑路，让师生少跑腿。采购华为、深信服、安恒等国内知名的网络安全企业产品，取其优势、全面维护校园网络安全防护。</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0" w:type="auto"/>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建成“1+N”智慧管理系统，“1”指智慧管理平台基座，“N”代表多个业务系统，包含教务教学管理、学生管理、招生迎新管理、OA系统、官网、教师研修平台等；逐步融通学院现有业务信息系统，消除信息孤岛；建成一间录播室，一间直播室。</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347.36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347.36</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347.36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347.36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347.36</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347.36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新增、修订制度文件数(个）</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高技能人才培养数量（人次）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人次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服务对象满意度指标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一体化教师培训满意度（%）</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0" w:type="auto"/>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6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0" w:type="auto"/>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建成“1+N”智慧管理系统，“1”指智慧管理平台基座，“N”代表多个业务系统，包含教务教学管理、学生管理、招生迎新管理、OA系统、官网、教师研修平台等；逐步融通学院现有业务信息系统，消除信息孤岛；建成一间录播室，一间直播室；培养2名网络安全管理人员，并取得相应证书；完成官网群站系统等保测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6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0" w:type="auto"/>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1.信息化管理体系需要进一步完善；2.随着信息化程度的提高，学院面临的信息安全风险也日益增大。如何保障信息系统的安全稳定运行，防止数据泄露和网络攻击，成为亟待解决的问题。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6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0" w:type="auto"/>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1.进一步完善信息化、智能化管理体系的建设。2.建立完善健全的信息安全管理体系，明确信息安全责任和要求；加强信息安全基础设施建设，提高信息系统的安全防护能力，提升师生信息安全意识。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项目负责人：何涛</w:t>
            </w:r>
          </w:p>
        </w:tc>
        <w:tc>
          <w:tcPr>
            <w:tcW w:w="0" w:type="auto"/>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财务负责人：杨雪</w:t>
            </w:r>
          </w:p>
        </w:tc>
      </w:tr>
    </w:tbl>
    <w:p>
      <w:pPr>
        <w:pStyle w:val="3"/>
        <w:ind w:left="0" w:leftChars="0" w:firstLine="0" w:firstLineChars="0"/>
        <w:rPr>
          <w:rFonts w:hint="eastAsia"/>
          <w:lang w:eastAsia="zh-CN"/>
        </w:rPr>
      </w:pPr>
    </w:p>
    <w:tbl>
      <w:tblPr>
        <w:tblStyle w:val="15"/>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93"/>
        <w:gridCol w:w="719"/>
        <w:gridCol w:w="882"/>
        <w:gridCol w:w="763"/>
        <w:gridCol w:w="459"/>
        <w:gridCol w:w="607"/>
        <w:gridCol w:w="459"/>
        <w:gridCol w:w="1114"/>
        <w:gridCol w:w="558"/>
        <w:gridCol w:w="558"/>
        <w:gridCol w:w="171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0" w:type="auto"/>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5" w:hRule="atLeast"/>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0" w:type="auto"/>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51000024T000010327109-2024年招生就业合作经费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5" w:hRule="atLeast"/>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四川省经济和信息化厅部门</w:t>
            </w:r>
          </w:p>
        </w:tc>
        <w:tc>
          <w:tcPr>
            <w:tcW w:w="0" w:type="auto"/>
            <w:tcBorders>
              <w:top w:val="nil"/>
              <w:left w:val="nil"/>
              <w:bottom w:val="nil"/>
              <w:right w:val="nil"/>
            </w:tcBorders>
            <w:shd w:val="clear" w:color="auto" w:fill="auto"/>
            <w:vAlign w:val="center"/>
          </w:tcPr>
          <w:p>
            <w:pPr>
              <w:keepNext w:val="0"/>
              <w:keepLines w:val="0"/>
              <w:widowControl/>
              <w:suppressLineNumbers w:val="0"/>
              <w:jc w:val="left"/>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四川理工技师学院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0" w:type="auto"/>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35"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用于学院招生及校企合作共建等就业经费</w:t>
            </w:r>
          </w:p>
        </w:tc>
        <w:tc>
          <w:tcPr>
            <w:tcW w:w="0" w:type="auto"/>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2024年度招生目标任务1000人，实际招生人数（办理学籍注册）1234个，超额完成全年招生目标任务；校企合作就业工作按照年度目标达成，开展校企合作研讨会，就业指导和双选会，对外开展培训工作均完成。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35"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0" w:type="auto"/>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2024年招生工作处在学院党政领导下，按照学院下达的招生目标任务，严格按照年度预算项目，开展招生政策拟定、招生计划申报、招生简章印制、线上线下宣传、培训招生队伍、接待学生参观咨询、组织新生报到和录取注册等工作；校企合作工作实施，按照专业产业就业三业融合方式，邀请专家实施专业研讨，校企合作实习基地建设，学生就业安置和回访等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得分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89.00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67.50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75.84%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因学校资金困难，收入未达到预算数，压缩招生项目开支，调减年初预算。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81.50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73.62%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7.50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7.50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w:t>
            </w:r>
            <w:r>
              <w:rPr>
                <w:rFonts w:ascii="宋体" w:hAnsi="宋体" w:eastAsia="宋体" w:cs="宋体"/>
                <w:i w:val="0"/>
                <w:iCs w:val="0"/>
                <w:color w:val="000000"/>
                <w:kern w:val="0"/>
                <w:sz w:val="18"/>
                <w:szCs w:val="18"/>
                <w:u w:val="none"/>
                <w:lang w:val="en-US" w:eastAsia="zh-CN" w:bidi="ar"/>
              </w:rPr>
              <w:br w:type="textWrapping"/>
            </w:r>
            <w:r>
              <w:rPr>
                <w:rFonts w:ascii="宋体" w:hAnsi="宋体" w:eastAsia="宋体" w:cs="宋体"/>
                <w:i w:val="0"/>
                <w:iCs w:val="0"/>
                <w:color w:val="000000"/>
                <w:kern w:val="0"/>
                <w:sz w:val="18"/>
                <w:szCs w:val="18"/>
                <w:u w:val="none"/>
                <w:lang w:val="en-US" w:eastAsia="zh-CN" w:bidi="ar"/>
              </w:rPr>
              <w:t>（90分）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招生人数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1234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校企合作单位数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92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完成时间</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2024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kern w:val="0"/>
                <w:sz w:val="16"/>
                <w:szCs w:val="16"/>
                <w:u w:val="none"/>
                <w:lang w:val="en-US" w:eastAsia="zh-CN" w:bidi="ar"/>
              </w:rPr>
            </w:pPr>
            <w:r>
              <w:rPr>
                <w:rFonts w:hint="eastAsia" w:ascii="微软雅黑" w:hAnsi="微软雅黑" w:eastAsia="微软雅黑" w:cs="微软雅黑"/>
                <w:i w:val="0"/>
                <w:iCs w:val="0"/>
                <w:color w:val="000000"/>
                <w:kern w:val="0"/>
                <w:sz w:val="16"/>
                <w:szCs w:val="16"/>
                <w:u w:val="none"/>
                <w:lang w:val="en-US" w:eastAsia="zh-CN" w:bidi="ar"/>
              </w:rPr>
              <w:t>2024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培训合格率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kern w:val="0"/>
                <w:sz w:val="16"/>
                <w:szCs w:val="16"/>
                <w:u w:val="none"/>
                <w:lang w:val="en-US" w:eastAsia="zh-CN" w:bidi="ar"/>
              </w:rPr>
            </w:pPr>
            <w:r>
              <w:rPr>
                <w:rFonts w:hint="eastAsia" w:ascii="微软雅黑" w:hAnsi="微软雅黑" w:eastAsia="微软雅黑" w:cs="微软雅黑"/>
                <w:i w:val="0"/>
                <w:iCs w:val="0"/>
                <w:color w:val="000000"/>
                <w:kern w:val="0"/>
                <w:sz w:val="16"/>
                <w:szCs w:val="16"/>
                <w:u w:val="none"/>
                <w:lang w:val="en-US" w:eastAsia="zh-CN" w:bidi="ar"/>
              </w:rPr>
              <w:t>90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服务对象满意度指标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学生就业率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kern w:val="0"/>
                <w:sz w:val="16"/>
                <w:szCs w:val="16"/>
                <w:u w:val="none"/>
                <w:lang w:val="en-US" w:eastAsia="zh-CN" w:bidi="ar"/>
              </w:rPr>
            </w:pPr>
            <w:r>
              <w:rPr>
                <w:rFonts w:hint="eastAsia" w:ascii="微软雅黑" w:hAnsi="微软雅黑" w:eastAsia="微软雅黑" w:cs="微软雅黑"/>
                <w:i w:val="0"/>
                <w:iCs w:val="0"/>
                <w:color w:val="000000"/>
                <w:kern w:val="0"/>
                <w:sz w:val="16"/>
                <w:szCs w:val="16"/>
                <w:u w:val="none"/>
                <w:lang w:val="en-US" w:eastAsia="zh-CN" w:bidi="ar"/>
              </w:rPr>
              <w:t>86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0" w:type="auto"/>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0" w:type="auto"/>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招生工作在学院党政正确领导下、在各个职能部门支持下，超额完成招生任务，招生项目取得预期成效，绩效效应显著，招生工作绩效自评合格；较好完成了校企合作就业处的就业安置、校企合作产教融合、对外培训等项目实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0" w:type="auto"/>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省外优质企业来校招人，学生很少选择出省就业，择业误区较大，需要加大就业指导力度。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0" w:type="auto"/>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加大就业指导讲座，辅导等工作，加大学生跟踪回访工作，加强安全教育提醒和应急帮扶工作，让学生安心就业，高质量就业。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项目负责人：肖金</w:t>
            </w:r>
          </w:p>
        </w:tc>
        <w:tc>
          <w:tcPr>
            <w:tcW w:w="0" w:type="auto"/>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财务负责人：杨雪</w:t>
            </w:r>
          </w:p>
        </w:tc>
      </w:tr>
    </w:tbl>
    <w:p>
      <w:pPr>
        <w:pStyle w:val="3"/>
        <w:ind w:left="0" w:leftChars="0" w:firstLine="0" w:firstLineChars="0"/>
        <w:rPr>
          <w:rFonts w:hint="eastAsia"/>
          <w:lang w:eastAsia="zh-CN"/>
        </w:rPr>
      </w:pPr>
    </w:p>
    <w:tbl>
      <w:tblPr>
        <w:tblStyle w:val="15"/>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08"/>
        <w:gridCol w:w="737"/>
        <w:gridCol w:w="689"/>
        <w:gridCol w:w="886"/>
        <w:gridCol w:w="445"/>
        <w:gridCol w:w="592"/>
        <w:gridCol w:w="445"/>
        <w:gridCol w:w="844"/>
        <w:gridCol w:w="494"/>
        <w:gridCol w:w="494"/>
        <w:gridCol w:w="218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0" w:type="auto"/>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5" w:hRule="atLeast"/>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0" w:type="auto"/>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51000024T000010509491-2024年教职工工作餐餐饮服务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5" w:hRule="atLeast"/>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四川省经济和信息化厅部门</w:t>
            </w:r>
          </w:p>
        </w:tc>
        <w:tc>
          <w:tcPr>
            <w:tcW w:w="0" w:type="auto"/>
            <w:tcBorders>
              <w:top w:val="nil"/>
              <w:left w:val="nil"/>
              <w:bottom w:val="nil"/>
              <w:right w:val="nil"/>
            </w:tcBorders>
            <w:shd w:val="clear" w:color="auto" w:fill="auto"/>
            <w:vAlign w:val="center"/>
          </w:tcPr>
          <w:p>
            <w:pPr>
              <w:keepNext w:val="0"/>
              <w:keepLines w:val="0"/>
              <w:widowControl/>
              <w:suppressLineNumbers w:val="0"/>
              <w:jc w:val="left"/>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四川理工技师学院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0" w:type="auto"/>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75"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为满足教职工上班期间就餐需要，解决教职工的实际需要，提供教职工工作餐服务</w:t>
            </w:r>
          </w:p>
        </w:tc>
        <w:tc>
          <w:tcPr>
            <w:tcW w:w="0" w:type="auto"/>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完成了教职工上班期间就餐需要，解决教职工的实际需求，提供教职工工作餐服务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5"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0" w:type="auto"/>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为学院教职工提供早、中用餐服务及学校临时工作接待服务用餐；投标人应每周制定食谱，每日菜肴品种不类同，提供特色菜品，实现菜品多样化。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149.00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142.32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95.51%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149.00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142.32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95.51%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w:t>
            </w:r>
            <w:r>
              <w:rPr>
                <w:rFonts w:hint="eastAsia" w:ascii="宋体" w:hAnsi="宋体" w:cs="宋体"/>
                <w:i w:val="0"/>
                <w:iCs w:val="0"/>
                <w:color w:val="000000"/>
                <w:kern w:val="0"/>
                <w:sz w:val="18"/>
                <w:szCs w:val="18"/>
                <w:u w:val="none"/>
                <w:lang w:val="en-US" w:eastAsia="zh-CN" w:bidi="ar"/>
              </w:rPr>
              <w:t>0</w:t>
            </w:r>
            <w:r>
              <w:rPr>
                <w:rFonts w:hint="eastAsia" w:ascii="仿宋_GB2312" w:hAnsi="仿宋_GB2312" w:eastAsia="仿宋_GB2312" w:cs="仿宋_GB2312"/>
                <w:color w:val="auto"/>
                <w:kern w:val="2"/>
                <w:sz w:val="32"/>
                <w:szCs w:val="32"/>
                <w:highlight w:val="none"/>
                <w:lang w:val="en-US" w:eastAsia="zh-CN" w:bidi="ar-SA"/>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提供教职工就餐</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人</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150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不出现任何食品安全事故</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完成时限</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2024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2024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教职工工作积极性</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91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30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服务对象满意度指标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教职工满意度</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92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0" w:type="auto"/>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0" w:type="auto"/>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本年度的教职工工作餐服务完成情况良好，自评项目总分为100分，达到了教职工上班期间就餐需要，解决教职工的实际需求，提供教职工工作餐服务</w:t>
            </w:r>
            <w:r>
              <w:rPr>
                <w:rFonts w:hint="eastAsia" w:ascii="宋体" w:hAnsi="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0" w:type="auto"/>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菜品口味和菜品种类有待提高</w:t>
            </w:r>
            <w:r>
              <w:rPr>
                <w:rFonts w:hint="eastAsia" w:ascii="宋体" w:hAnsi="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0" w:type="auto"/>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对菜品的口味和品种定期更换，满足教职工多元化的需求</w:t>
            </w:r>
            <w:r>
              <w:rPr>
                <w:rFonts w:hint="eastAsia" w:ascii="宋体" w:hAnsi="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项目负责人：李勇</w:t>
            </w:r>
          </w:p>
        </w:tc>
        <w:tc>
          <w:tcPr>
            <w:tcW w:w="0" w:type="auto"/>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财务负责人：杨雪</w:t>
            </w:r>
          </w:p>
        </w:tc>
      </w:tr>
    </w:tbl>
    <w:p>
      <w:pPr>
        <w:pStyle w:val="3"/>
        <w:ind w:left="0" w:leftChars="0" w:firstLine="0" w:firstLineChars="0"/>
        <w:rPr>
          <w:rFonts w:hint="eastAsia"/>
          <w:lang w:eastAsia="zh-CN"/>
        </w:rPr>
      </w:pPr>
    </w:p>
    <w:tbl>
      <w:tblPr>
        <w:tblStyle w:val="15"/>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40"/>
        <w:gridCol w:w="896"/>
        <w:gridCol w:w="889"/>
        <w:gridCol w:w="996"/>
        <w:gridCol w:w="537"/>
        <w:gridCol w:w="848"/>
        <w:gridCol w:w="537"/>
        <w:gridCol w:w="1016"/>
        <w:gridCol w:w="530"/>
        <w:gridCol w:w="530"/>
        <w:gridCol w:w="90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0" w:type="auto"/>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0" w:type="auto"/>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51000024T000011876615-2024年中等职业教育学生资助补助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4" w:hRule="atLeast"/>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四川省经济和信息化厅部门</w:t>
            </w:r>
          </w:p>
        </w:tc>
        <w:tc>
          <w:tcPr>
            <w:tcW w:w="0" w:type="auto"/>
            <w:tcBorders>
              <w:top w:val="nil"/>
              <w:left w:val="nil"/>
              <w:bottom w:val="nil"/>
              <w:right w:val="nil"/>
            </w:tcBorders>
            <w:shd w:val="clear" w:color="auto" w:fill="auto"/>
            <w:vAlign w:val="center"/>
          </w:tcPr>
          <w:p>
            <w:pPr>
              <w:keepNext w:val="0"/>
              <w:keepLines w:val="0"/>
              <w:widowControl/>
              <w:suppressLineNumbers w:val="0"/>
              <w:jc w:val="left"/>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四川理工技师学院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525"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0" w:type="auto"/>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2024年中等职业教育学生资助补助经费，保障学院基本运行</w:t>
            </w:r>
          </w:p>
        </w:tc>
        <w:tc>
          <w:tcPr>
            <w:tcW w:w="0" w:type="auto"/>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保障学院2024年基本运行，有效推进办学水平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65"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0" w:type="auto"/>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为保障职业教育运行的高效与顺畅，学院投入了大量资源、资金，用于保障学校的平稳运行，为了确保家庭经济困难学生能够顺利完成中等职业教育，旨在通过经济支持帮助这些学生减轻生活负担。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45"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579.78</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566.22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97.66%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年中追加免学费补助资金项目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579.78</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566.22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97.66%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38"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在籍学生数量</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4200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人</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4820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毕业学生就业率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38"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项目完成时限</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12月底</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12月底</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确保学院正常运转</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推进学院办学水平</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推进学院办学水平</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服务对象满意度指标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师生满意度</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trPr>
        <w:tc>
          <w:tcPr>
            <w:tcW w:w="0" w:type="auto"/>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9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0" w:type="auto"/>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项目自评总分100分，项目实施取得的成效或成果。</w:t>
            </w:r>
            <w:r>
              <w:rPr>
                <w:rFonts w:ascii="宋体" w:hAnsi="宋体" w:eastAsia="宋体" w:cs="宋体"/>
                <w:i w:val="0"/>
                <w:iCs w:val="0"/>
                <w:color w:val="000000"/>
                <w:kern w:val="0"/>
                <w:sz w:val="18"/>
                <w:szCs w:val="18"/>
                <w:u w:val="none"/>
                <w:lang w:val="en-US" w:eastAsia="zh-CN" w:bidi="ar"/>
              </w:rPr>
              <w:br w:type="textWrapping"/>
            </w:r>
            <w:r>
              <w:rPr>
                <w:rFonts w:ascii="宋体" w:hAnsi="宋体" w:eastAsia="宋体" w:cs="宋体"/>
                <w:i w:val="0"/>
                <w:iCs w:val="0"/>
                <w:color w:val="000000"/>
                <w:kern w:val="0"/>
                <w:sz w:val="18"/>
                <w:szCs w:val="18"/>
                <w:u w:val="none"/>
                <w:lang w:val="en-US" w:eastAsia="zh-CN" w:bidi="ar"/>
              </w:rPr>
              <w:t>1. 经济压力减轻程度：学生生活费用支出与资助金额的比例。2. 教育公平性：家庭经济困难学生与其他学生学业成绩的差距。3.资金使用效率：资助资金的发放准确性和及时性。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0" w:type="auto"/>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资金覆盖面有限：尽管资助资金在一定程度上缓解了家庭经济困难学生的经济压力，但仍有部分学生未能得到充分资助。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0" w:type="auto"/>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 xml:space="preserve"> 扩大资金覆盖面：通过增加资金投入，扩大资助范围，确保更多家庭经济困难学生能够受益。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项目负责人：杨雪</w:t>
            </w:r>
          </w:p>
        </w:tc>
        <w:tc>
          <w:tcPr>
            <w:tcW w:w="0" w:type="auto"/>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财务负责人：杨雪</w:t>
            </w:r>
          </w:p>
        </w:tc>
      </w:tr>
    </w:tbl>
    <w:p>
      <w:pPr>
        <w:pStyle w:val="3"/>
        <w:ind w:left="0" w:leftChars="0" w:firstLine="0" w:firstLineChars="0"/>
        <w:rPr>
          <w:rFonts w:hint="eastAsia"/>
          <w:lang w:eastAsia="zh-CN"/>
        </w:rPr>
      </w:pPr>
    </w:p>
    <w:tbl>
      <w:tblPr>
        <w:tblStyle w:val="15"/>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99"/>
        <w:gridCol w:w="726"/>
        <w:gridCol w:w="746"/>
        <w:gridCol w:w="996"/>
        <w:gridCol w:w="474"/>
        <w:gridCol w:w="751"/>
        <w:gridCol w:w="474"/>
        <w:gridCol w:w="1095"/>
        <w:gridCol w:w="578"/>
        <w:gridCol w:w="578"/>
        <w:gridCol w:w="140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0" w:type="auto"/>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660" w:hRule="atLeast"/>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0" w:type="auto"/>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51000024T000011886232-2024年现代职业教育质量提升（中央）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四川省经济和信息化厅部门</w:t>
            </w:r>
          </w:p>
        </w:tc>
        <w:tc>
          <w:tcPr>
            <w:tcW w:w="0" w:type="auto"/>
            <w:tcBorders>
              <w:top w:val="nil"/>
              <w:left w:val="nil"/>
              <w:bottom w:val="nil"/>
              <w:right w:val="nil"/>
            </w:tcBorders>
            <w:shd w:val="clear" w:color="auto" w:fill="auto"/>
            <w:vAlign w:val="center"/>
          </w:tcPr>
          <w:p>
            <w:pPr>
              <w:keepNext w:val="0"/>
              <w:keepLines w:val="0"/>
              <w:widowControl/>
              <w:suppressLineNumbers w:val="0"/>
              <w:jc w:val="left"/>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四川理工技师学院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80"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0" w:type="auto"/>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75"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根据《建设任务书》预算安排和重点建设任务与进度，将资金统筹用于名校名专业名基地共13个建设内容，按期完成各项建设任务。</w:t>
            </w:r>
          </w:p>
        </w:tc>
        <w:tc>
          <w:tcPr>
            <w:tcW w:w="0" w:type="auto"/>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“三名工程”2024年包含名校名专业名基地共13个建设内容，335个任务要点，共完成335个，完成率100%。根据任务书，将资金全部安排于重点建设，按期完成各项建设任务。中期验收获得98分“优秀”等次。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1095"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0" w:type="auto"/>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通过召开会议、进行调研、挂图作战、监察内审等方式用10个月时间有序推进名校建设任务完成；重点完成了化学制药专业和机电一体化技术专业两个板块的名专业建设，通过工学结合、产教融合、赛教融合推进工学一体化人才培养模式；我省六大优势产业需求，依托校企合作、产教融合优化完善基地生产、教学、实训、大赛、评价、科研6大功能布局，完成了名基地建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45"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500.00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381.05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76.21%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剩余资金已完成结转，于下一年度完成支付。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500.00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381.05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76.21%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0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38"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38"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一体化教材开发数量</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硬件设备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达标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达标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38"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资金使用完成时限</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2024年12月25日前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高技能人才培养数量（人次）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人/次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38"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可持续发展指标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教师培训覆盖率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可持续影响指标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新设学生社团数量（个）</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54"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服务对象满意度指标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一体化教师培训满意度（%）</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0" w:type="auto"/>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93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0" w:type="auto"/>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自评分为100分。优质高效完成了项目建设全部任务点，建成了首批示范性技工教育联盟（集团）院校，省级高技能人才工学一体教学教研基地，全国工学一体化教师研修基地，世界技能大赛中国集训基地，正在逐步实现“特色鲜明、西部一流、国内具有影响力的全国双优技师学院”的建设总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3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0" w:type="auto"/>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信息安全体系建设能力相对较弱,骨干专业引领专业群建设作用不明显,国际化交流合作成效不明显,资金使用的效率还需要进一步提升。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93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0" w:type="auto"/>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学校将加强信息安全基础设施建设，培训提升师生信息安全意识，全面提高信息系统安全防护能力。将紧密对接产业链建设专业群，以骨干专业为引领，大力开发工学一体化教学资源，提升专业群的相融性和相互支撑作用，通过校企合作增强服务社会能力。积极融入国家战略，积极参与“一带一路”、“金砖国家”等领域技能竞赛和人才培养等交流合作。加强项目资金使用的培训和监管，确保高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项目负责人：何涛</w:t>
            </w:r>
          </w:p>
        </w:tc>
        <w:tc>
          <w:tcPr>
            <w:tcW w:w="0" w:type="auto"/>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财务负责人：杨雪</w:t>
            </w:r>
          </w:p>
        </w:tc>
      </w:tr>
    </w:tbl>
    <w:p>
      <w:pPr>
        <w:pStyle w:val="3"/>
        <w:ind w:left="0" w:leftChars="0" w:firstLine="0" w:firstLineChars="0"/>
        <w:rPr>
          <w:rFonts w:hint="eastAsia"/>
          <w:lang w:eastAsia="zh-CN"/>
        </w:rPr>
      </w:pPr>
    </w:p>
    <w:tbl>
      <w:tblPr>
        <w:tblStyle w:val="15"/>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94"/>
        <w:gridCol w:w="720"/>
        <w:gridCol w:w="1052"/>
        <w:gridCol w:w="1186"/>
        <w:gridCol w:w="631"/>
        <w:gridCol w:w="662"/>
        <w:gridCol w:w="631"/>
        <w:gridCol w:w="1045"/>
        <w:gridCol w:w="535"/>
        <w:gridCol w:w="535"/>
        <w:gridCol w:w="83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0" w:type="auto"/>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5" w:hRule="atLeast"/>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0" w:type="auto"/>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51000025T000013083047-大规模技术助推乡村振兴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5" w:hRule="atLeast"/>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四川省经济和信息化厅部门</w:t>
            </w:r>
          </w:p>
        </w:tc>
        <w:tc>
          <w:tcPr>
            <w:tcW w:w="0" w:type="auto"/>
            <w:tcBorders>
              <w:top w:val="nil"/>
              <w:left w:val="nil"/>
              <w:bottom w:val="nil"/>
              <w:right w:val="nil"/>
            </w:tcBorders>
            <w:shd w:val="clear" w:color="auto" w:fill="auto"/>
            <w:vAlign w:val="center"/>
          </w:tcPr>
          <w:p>
            <w:pPr>
              <w:keepNext w:val="0"/>
              <w:keepLines w:val="0"/>
              <w:widowControl/>
              <w:suppressLineNumbers w:val="0"/>
              <w:jc w:val="left"/>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四川理工技师学院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0" w:type="auto"/>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深入学习贯彻党的二十大精神和习近平总书记来川视察重要指示精神，围绕四川省大规模设备更新和技术改造以及乡村振兴发展需要，围绕政策宣传，标准解读，技术指导项目服务等主题，组织开展新理论，新技术、新方法专题培训，助推我省大规模设备更新技术和乡村振兴高质量发展。</w:t>
            </w:r>
          </w:p>
        </w:tc>
        <w:tc>
          <w:tcPr>
            <w:tcW w:w="0" w:type="auto"/>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在省厅的统筹下，对来自21个市州相关部门人员和企事业单位的学员，通过五天的培训，全部完成项目培训目标。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1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0" w:type="auto"/>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2024年12月2日至6日，在主管部门的统筹下，学院对来自全省各市州的线上线下600余名人员围绕推进新型工业化，开展工业企业大规模设备更新和技术改造助力地方乡村振兴的培训，培训形式为专题教学、现场教学、线上教学等形式，培训期间，来自省统计局、生态环境厅等相关处（室）的12位专家围绕培训主题进行了精彩又有深度的培训讲解，学员们对本次培训纷纷表示非常满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23.07</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23.07</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2024年12月追加项目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23.07</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23.07</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培训人数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人</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培训人数满意度</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项目按期完成</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strike/>
                <w:color w:val="000000"/>
                <w:sz w:val="18"/>
                <w:szCs w:val="18"/>
              </w:rPr>
            </w:pPr>
            <w:r>
              <w:rPr>
                <w:rFonts w:ascii="宋体" w:hAnsi="宋体" w:eastAsia="宋体" w:cs="宋体"/>
                <w:i w:val="0"/>
                <w:iCs w:val="0"/>
                <w:strike/>
                <w:dstrike w:val="0"/>
                <w:color w:val="000000"/>
                <w:kern w:val="0"/>
                <w:sz w:val="18"/>
                <w:szCs w:val="18"/>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培训辐射范围（市州）</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服务对象满意度指标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学员满意度</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0" w:type="auto"/>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8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0" w:type="auto"/>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本次培训，省厅领导高度重视，培训内容丰富，授课形式多样，组织计划科学、培训管理精细，从严培训纪律，专人跟班管理，参训学员理论素养和技能知识显著提高，按照计划圆满完成培训目标。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8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0" w:type="auto"/>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培训时间较短，专家们授课非常精准，一些学员还想学习，授课安排紧凑，学员之间沟通交流不足。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8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0" w:type="auto"/>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宋体" w:hAnsi="宋体" w:eastAsia="宋体" w:cs="宋体"/>
                <w:i w:val="0"/>
                <w:iCs w:val="0"/>
                <w:color w:val="000000"/>
                <w:kern w:val="0"/>
                <w:sz w:val="18"/>
                <w:szCs w:val="18"/>
                <w:u w:val="none"/>
                <w:lang w:val="en-US" w:eastAsia="zh-CN" w:bidi="ar"/>
              </w:rPr>
              <w:t>根据本次教学安排，我们发现学员每日听课时间较长，接收学习内容较多，下次可适当减少相关课程，给学员之间更多相互沟通交流的时间。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项目负责人：张静</w:t>
            </w:r>
          </w:p>
        </w:tc>
        <w:tc>
          <w:tcPr>
            <w:tcW w:w="0" w:type="auto"/>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财务负责人：杨雪</w:t>
            </w:r>
          </w:p>
        </w:tc>
      </w:tr>
    </w:tbl>
    <w:p>
      <w:pPr>
        <w:pStyle w:val="3"/>
        <w:ind w:left="0" w:leftChars="0" w:firstLine="0" w:firstLineChars="0"/>
        <w:rPr>
          <w:rFonts w:hint="eastAsia"/>
          <w:lang w:eastAsia="zh-CN"/>
        </w:rPr>
      </w:pPr>
    </w:p>
    <w:tbl>
      <w:tblPr>
        <w:tblStyle w:val="15"/>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58"/>
        <w:gridCol w:w="676"/>
        <w:gridCol w:w="895"/>
        <w:gridCol w:w="1320"/>
        <w:gridCol w:w="627"/>
        <w:gridCol w:w="664"/>
        <w:gridCol w:w="627"/>
        <w:gridCol w:w="1084"/>
        <w:gridCol w:w="553"/>
        <w:gridCol w:w="553"/>
        <w:gridCol w:w="86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0" w:type="auto"/>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5" w:hRule="atLeast"/>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0" w:type="auto"/>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51000025T000013083418-工业领域节能降碳产业人才培训班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4" w:hRule="atLeast"/>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四川省经济和信息化厅部门</w:t>
            </w:r>
          </w:p>
        </w:tc>
        <w:tc>
          <w:tcPr>
            <w:tcW w:w="0" w:type="auto"/>
            <w:tcBorders>
              <w:top w:val="nil"/>
              <w:left w:val="nil"/>
              <w:bottom w:val="nil"/>
              <w:right w:val="nil"/>
            </w:tcBorders>
            <w:shd w:val="clear" w:color="auto" w:fill="auto"/>
            <w:vAlign w:val="center"/>
          </w:tcPr>
          <w:p>
            <w:pPr>
              <w:keepNext w:val="0"/>
              <w:keepLines w:val="0"/>
              <w:widowControl/>
              <w:suppressLineNumbers w:val="0"/>
              <w:jc w:val="left"/>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四川理工技师学院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0" w:type="auto"/>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重点学习党的二十大精神和习近平总书记来川视察重要指示精神和省委十二届历次全会精神。围绕《中华人民共和国节约能源法》《工业节能管理办法》等法律法规、国务院印发的《2024—2025年节能降碳行动方案》、国家发展改革委等5部门联合发布的钢铁、炼油、合成氨、水泥4个行业节能降碳专项行动计划、《工业重点领域能效标杆水平和基准水平（2023年版）》《重点用能产品设备能效先进水平、节能水平和准入水平（2024年版）》《四川省工业能效指南（2023年版）》《产业结构调整指导目录（2024年本）》等相关政策进行专家解读。</w:t>
            </w:r>
            <w:r>
              <w:rPr>
                <w:rFonts w:ascii="宋体" w:hAnsi="宋体" w:eastAsia="宋体" w:cs="宋体"/>
                <w:i w:val="0"/>
                <w:iCs w:val="0"/>
                <w:color w:val="000000"/>
                <w:kern w:val="0"/>
                <w:sz w:val="18"/>
                <w:szCs w:val="18"/>
                <w:u w:val="none"/>
                <w:lang w:val="en-US" w:eastAsia="zh-CN" w:bidi="ar"/>
              </w:rPr>
              <w:br w:type="textWrapping"/>
            </w:r>
            <w:r>
              <w:rPr>
                <w:rFonts w:ascii="宋体" w:hAnsi="宋体" w:eastAsia="宋体" w:cs="宋体"/>
                <w:i w:val="0"/>
                <w:iCs w:val="0"/>
                <w:color w:val="000000"/>
                <w:kern w:val="0"/>
                <w:sz w:val="18"/>
                <w:szCs w:val="18"/>
                <w:u w:val="none"/>
                <w:lang w:val="en-US" w:eastAsia="zh-CN" w:bidi="ar"/>
              </w:rPr>
              <w:t>2.培训研讨：组织行业协会、科研院所及重点企业围绕重点行业节能降碳形势、发展现状、设备更新和技术改造痛点难点、绿色低碳技术设备需求、先进适用技术装备推广应用等方面开展交流讨论。</w:t>
            </w:r>
          </w:p>
        </w:tc>
        <w:tc>
          <w:tcPr>
            <w:tcW w:w="0" w:type="auto"/>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项目已全部完成。线下：重点领域企业负责节能降碳的管理人员、技术人员共计80人；线上500人参加培训，并取得合成证书，学员满意度达到95%。资金预算预算执行率100%。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25"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0" w:type="auto"/>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本期培训班自12月23日开班，12月25日结业，为期 3 天。</w:t>
            </w:r>
            <w:r>
              <w:rPr>
                <w:rFonts w:ascii="宋体" w:hAnsi="宋体" w:eastAsia="宋体" w:cs="宋体"/>
                <w:i w:val="0"/>
                <w:iCs w:val="0"/>
                <w:color w:val="000000"/>
                <w:kern w:val="0"/>
                <w:sz w:val="18"/>
                <w:szCs w:val="18"/>
                <w:u w:val="none"/>
                <w:lang w:val="en-US" w:eastAsia="zh-CN" w:bidi="ar"/>
              </w:rPr>
              <w:br w:type="textWrapping"/>
            </w:r>
            <w:r>
              <w:rPr>
                <w:rFonts w:ascii="宋体" w:hAnsi="宋体" w:eastAsia="宋体" w:cs="宋体"/>
                <w:i w:val="0"/>
                <w:iCs w:val="0"/>
                <w:color w:val="000000"/>
                <w:kern w:val="0"/>
                <w:sz w:val="18"/>
                <w:szCs w:val="18"/>
                <w:u w:val="none"/>
                <w:lang w:val="en-US" w:eastAsia="zh-CN" w:bidi="ar"/>
              </w:rPr>
              <w:t xml:space="preserve">现场培训。各市（州）经济和信息化局相关经办科（处）负责同志，部分县（市、区）经济和信息化主管部门经办负责人、重点领域企业负责节能降碳的管理人员、技术人员共计80人。网上培训。各市（州）经信系统工作人员，重点领域企业负责节能降碳的技术人员和管理人员等500人，通过“腾讯会议”APP全程参加线上培训。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10.66</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10.66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2024年12月追加项目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10.66</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10.66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专业技术技能人才、管理人员</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人</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580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项目按期完成率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培训合格率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学员满意度测评</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0" w:type="auto"/>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3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0" w:type="auto"/>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宋体" w:hAnsi="宋体" w:eastAsia="宋体" w:cs="宋体"/>
                <w:i w:val="0"/>
                <w:iCs w:val="0"/>
                <w:color w:val="000000"/>
                <w:kern w:val="0"/>
                <w:sz w:val="18"/>
                <w:szCs w:val="18"/>
                <w:u w:val="none"/>
                <w:lang w:val="en-US" w:eastAsia="zh-CN" w:bidi="ar"/>
              </w:rPr>
              <w:t>培训课程安排合理，实用性强，按期圆满完成了培训任务，项目自评分90分，社会效益值高，学员满意度高，培训合格率达标95%。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3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0" w:type="auto"/>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培训项目多，课程安排时间紧；因报名学员多，分组难度较大。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3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0" w:type="auto"/>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培训时间可以延长，加大培训师资力量，加大对培训单位的费用力度支持。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项目负责人：蒋雯菁</w:t>
            </w:r>
          </w:p>
        </w:tc>
        <w:tc>
          <w:tcPr>
            <w:tcW w:w="0" w:type="auto"/>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财务负责人：杨雪</w:t>
            </w:r>
          </w:p>
        </w:tc>
      </w:tr>
    </w:tbl>
    <w:p>
      <w:pPr>
        <w:pStyle w:val="3"/>
        <w:ind w:left="0" w:leftChars="0" w:firstLine="0" w:firstLineChars="0"/>
        <w:rPr>
          <w:rFonts w:hint="eastAsia"/>
          <w:lang w:eastAsia="zh-CN"/>
        </w:rPr>
      </w:pPr>
    </w:p>
    <w:bookmarkEnd w:id="97"/>
    <w:p>
      <w:pPr>
        <w:keepNext w:val="0"/>
        <w:keepLines w:val="0"/>
        <w:pageBreakBefore/>
        <w:widowControl/>
        <w:kinsoku/>
        <w:wordWrap/>
        <w:overflowPunct/>
        <w:topLinePunct w:val="0"/>
        <w:autoSpaceDE/>
        <w:autoSpaceDN/>
        <w:bidi w:val="0"/>
        <w:adjustRightInd/>
        <w:snapToGrid/>
        <w:jc w:val="center"/>
        <w:textAlignment w:val="auto"/>
        <w:rPr>
          <w:rStyle w:val="28"/>
          <w:rFonts w:hint="eastAsia" w:eastAsia="黑体" w:cstheme="minorBidi"/>
          <w:b w:val="0"/>
          <w:color w:val="auto"/>
          <w:highlight w:val="none"/>
          <w:lang w:val="en-US" w:eastAsia="zh-CN"/>
        </w:rPr>
      </w:pPr>
      <w:bookmarkStart w:id="100" w:name="_Toc14487"/>
      <w:r>
        <w:rPr>
          <w:rStyle w:val="28"/>
          <w:rFonts w:hint="eastAsia" w:ascii="Times New Roman" w:hAnsi="Times New Roman" w:eastAsia="黑体" w:cstheme="minorBidi"/>
          <w:b w:val="0"/>
          <w:color w:val="auto"/>
          <w:highlight w:val="none"/>
          <w:lang w:val="en-US" w:eastAsia="zh-CN"/>
        </w:rPr>
        <w:t>第五部分</w:t>
      </w:r>
      <w:r>
        <w:rPr>
          <w:rStyle w:val="28"/>
          <w:rFonts w:hint="eastAsia" w:eastAsia="黑体" w:cstheme="minorBidi"/>
          <w:b w:val="0"/>
          <w:color w:val="auto"/>
          <w:highlight w:val="none"/>
          <w:lang w:val="en-US" w:eastAsia="zh-CN"/>
        </w:rPr>
        <w:t xml:space="preserve">  附表</w:t>
      </w:r>
    </w:p>
    <w:bookmarkEnd w:id="100"/>
    <w:p>
      <w:pPr>
        <w:pStyle w:val="2"/>
        <w:rPr>
          <w:rStyle w:val="28"/>
          <w:rFonts w:hint="eastAsia" w:eastAsia="黑体" w:cstheme="minorBidi"/>
          <w:b w:val="0"/>
          <w:color w:val="auto"/>
          <w:highlight w:val="none"/>
          <w:lang w:val="en-US" w:eastAsia="zh-CN"/>
        </w:rPr>
      </w:pPr>
    </w:p>
    <w:p>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一、收入支出决算总表</w:t>
      </w:r>
    </w:p>
    <w:p>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二、收入决算表</w:t>
      </w:r>
    </w:p>
    <w:p>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三、支出决算表</w:t>
      </w:r>
    </w:p>
    <w:p>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四、财政拨款收入支出决算总表</w:t>
      </w:r>
    </w:p>
    <w:p>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五、财政拨款支出决算明细表</w:t>
      </w:r>
    </w:p>
    <w:p>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六、一般公共预算财政拨款支出决算表</w:t>
      </w:r>
    </w:p>
    <w:p>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七、一般公共预算财政拨款支出决算明细表</w:t>
      </w:r>
    </w:p>
    <w:p>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八、一般公共预算财政拨款基本支出决算表</w:t>
      </w:r>
    </w:p>
    <w:p>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九、一般公共预算财政拨款项目支出决算表</w:t>
      </w:r>
    </w:p>
    <w:p>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十、政府性基金预算财政拨款收入支出决算表</w:t>
      </w:r>
    </w:p>
    <w:p>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十一、国有资本经营预算</w:t>
      </w:r>
      <w:r>
        <w:rPr>
          <w:rFonts w:hint="eastAsia" w:ascii="Times New Roman" w:hAnsi="Times New Roman" w:eastAsia="仿宋_GB2312" w:cs="仿宋_GB2312"/>
          <w:color w:val="auto"/>
          <w:sz w:val="32"/>
          <w:szCs w:val="32"/>
          <w:highlight w:val="none"/>
          <w:lang w:eastAsia="zh-CN"/>
        </w:rPr>
        <w:t>财政拨款收入</w:t>
      </w:r>
      <w:r>
        <w:rPr>
          <w:rFonts w:hint="eastAsia" w:ascii="Times New Roman" w:hAnsi="Times New Roman" w:eastAsia="仿宋_GB2312" w:cs="仿宋_GB2312"/>
          <w:color w:val="auto"/>
          <w:sz w:val="32"/>
          <w:szCs w:val="32"/>
          <w:highlight w:val="none"/>
        </w:rPr>
        <w:t>支出决算表</w:t>
      </w:r>
    </w:p>
    <w:p>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十二、</w:t>
      </w:r>
      <w:r>
        <w:rPr>
          <w:rFonts w:hint="eastAsia" w:ascii="Times New Roman" w:hAnsi="Times New Roman" w:eastAsia="仿宋_GB2312" w:cs="仿宋_GB2312"/>
          <w:color w:val="auto"/>
          <w:sz w:val="32"/>
          <w:szCs w:val="32"/>
          <w:highlight w:val="none"/>
          <w:lang w:eastAsia="zh-CN"/>
        </w:rPr>
        <w:t>国有资本经营预算财政拨款支出决算表</w:t>
      </w:r>
    </w:p>
    <w:p>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lang w:eastAsia="zh-CN"/>
        </w:rPr>
      </w:pPr>
      <w:r>
        <w:rPr>
          <w:rFonts w:hint="eastAsia" w:ascii="Times New Roman" w:hAnsi="Times New Roman" w:eastAsia="仿宋_GB2312" w:cs="仿宋_GB2312"/>
          <w:color w:val="auto"/>
          <w:sz w:val="32"/>
          <w:szCs w:val="32"/>
          <w:highlight w:val="none"/>
        </w:rPr>
        <w:t>十三、</w:t>
      </w:r>
      <w:r>
        <w:rPr>
          <w:rFonts w:hint="eastAsia" w:ascii="Times New Roman" w:hAnsi="Times New Roman" w:eastAsia="仿宋_GB2312" w:cs="仿宋_GB2312"/>
          <w:color w:val="auto"/>
          <w:sz w:val="32"/>
          <w:szCs w:val="32"/>
          <w:highlight w:val="none"/>
          <w:lang w:eastAsia="zh-CN"/>
        </w:rPr>
        <w:t>财政拨款“三公”经费支出决算表</w:t>
      </w:r>
    </w:p>
    <w:p>
      <w:pPr>
        <w:pStyle w:val="3"/>
        <w:rPr>
          <w:rFonts w:hint="default"/>
          <w:lang w:val="en-US" w:eastAsia="zh-CN"/>
        </w:rPr>
      </w:pPr>
    </w:p>
    <w:p>
      <w:pPr>
        <w:pStyle w:val="2"/>
        <w:rPr>
          <w:rFonts w:hint="default"/>
          <w:lang w:val="en-US" w:eastAsia="zh-CN"/>
        </w:rPr>
      </w:pPr>
    </w:p>
    <w:sectPr>
      <w:footerReference r:id="rId7" w:type="first"/>
      <w:footerReference r:id="rId6" w:type="default"/>
      <w:pgSz w:w="11906" w:h="16838"/>
      <w:pgMar w:top="1440" w:right="1800" w:bottom="1440" w:left="1800" w:header="851" w:footer="992" w:gutter="0"/>
      <w:pgNumType w:fmt="decimal"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00007A87" w:usb1="80000000" w:usb2="00000008"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Cambria">
    <w:altName w:val="Noto Sans Syriac Eastern"/>
    <w:panose1 w:val="02040503050406030204"/>
    <w:charset w:val="00"/>
    <w:family w:val="roman"/>
    <w:pitch w:val="default"/>
    <w:sig w:usb0="00000000" w:usb1="00000000" w:usb2="02000000" w:usb3="00000000" w:csb0="2000019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
    <w:altName w:val="仿宋"/>
    <w:panose1 w:val="00000000000000000000"/>
    <w:charset w:val="00"/>
    <w:family w:val="roman"/>
    <w:pitch w:val="default"/>
    <w:sig w:usb0="00000000" w:usb1="00000000" w:usb2="00000000" w:usb3="00000000" w:csb0="00000000" w:csb1="00000000"/>
  </w:font>
  <w:font w:name="微软雅黑">
    <w:altName w:val="黑体"/>
    <w:panose1 w:val="020B0503020204020204"/>
    <w:charset w:val="86"/>
    <w:family w:val="auto"/>
    <w:pitch w:val="default"/>
    <w:sig w:usb0="00000000" w:usb1="00000000" w:usb2="00000016" w:usb3="00000000" w:csb0="0004001F" w:csb1="00000000"/>
  </w:font>
  <w:font w:name="方正小标宋简体">
    <w:panose1 w:val="02000000000000000000"/>
    <w:charset w:val="86"/>
    <w:family w:val="script"/>
    <w:pitch w:val="default"/>
    <w:sig w:usb0="A00002BF" w:usb1="184F6CFA" w:usb2="00000012" w:usb3="00000000" w:csb0="00040001" w:csb1="00000000"/>
  </w:font>
  <w:font w:name="楷体_GB2312">
    <w:panose1 w:val="02010609030101010101"/>
    <w:charset w:val="86"/>
    <w:family w:val="auto"/>
    <w:pitch w:val="default"/>
    <w:sig w:usb0="00000001" w:usb1="080E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Noto Sans Syriac Eastern">
    <w:panose1 w:val="02040503050306020203"/>
    <w:charset w:val="86"/>
    <w:family w:val="auto"/>
    <w:pitch w:val="default"/>
    <w:sig w:usb0="00000000" w:usb1="00000000" w:usb2="00000080" w:usb3="00000000" w:csb0="203E0161" w:csb1="D7FF0000"/>
  </w:font>
  <w:font w:name="方正宋体S-超大字符集">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center"/>
    </w:pPr>
  </w:p>
  <w:p>
    <w:pPr>
      <w:pStyle w:val="1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pPr>
                          <w:r>
                            <w:fldChar w:fldCharType="begin"/>
                          </w:r>
                          <w:r>
                            <w:instrText xml:space="preserve"> PAGE  \* MERGEFORMAT </w:instrText>
                          </w:r>
                          <w:r>
                            <w:fldChar w:fldCharType="separate"/>
                          </w:r>
                          <w:r>
                            <w:t>- 2 -</w:t>
                          </w:r>
                          <w: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FgAAAGRycy9QSwECFAAUAAAA&#10;CACHTuJAs0lY7tAAAAAFAQAADwAAAAAAAAABACAAAAA4AAAAZHJzL2Rvd25yZXYueG1sUEsBAhQA&#10;FAAAAAgAh07iQIDxM9IdAgAAKQQAAA4AAAAAAAAAAQAgAAAANQEAAGRycy9lMm9Eb2MueG1sUEsF&#10;BgAAAAAGAAYAWQEAAMQFAAAAAA==&#10;">
              <v:fill on="f" focussize="0,0"/>
              <v:stroke on="f" weight="0.5pt"/>
              <v:imagedata o:title=""/>
              <o:lock v:ext="edit" aspectratio="f"/>
              <v:textbox inset="0mm,0mm,0mm,0mm" style="mso-fit-shape-to-text:t;">
                <w:txbxContent>
                  <w:p>
                    <w:pPr>
                      <w:pStyle w:val="11"/>
                    </w:pPr>
                    <w:r>
                      <w:fldChar w:fldCharType="begin"/>
                    </w:r>
                    <w:r>
                      <w:instrText xml:space="preserve"> PAGE  \* MERGEFORMAT </w:instrText>
                    </w:r>
                    <w:r>
                      <w:fldChar w:fldCharType="separate"/>
                    </w:r>
                    <w:r>
                      <w:t>- 2 -</w:t>
                    </w:r>
                    <w:r>
                      <w:fldChar w:fldCharType="end"/>
                    </w:r>
                  </w:p>
                </w:txbxContent>
              </v:textbox>
            </v:shape>
          </w:pict>
        </mc:Fallback>
      </mc:AlternateContent>
    </w:r>
  </w:p>
  <w:p>
    <w:pPr>
      <w:pStyle w:val="11"/>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WAAAAZHJzL1BLAQIUABQAAAAI&#10;AIdO4kCzSVju0AAAAAUBAAAPAAAAAAAAAAEAIAAAADgAAABkcnMvZG93bnJldi54bWxQSwECFAAU&#10;AAAACACHTuJAK8tgzBwCAAApBAAADgAAAAAAAAABACAAAAA1AQAAZHJzL2Uyb0RvYy54bWxQSwUG&#10;AAAAAAYABgBZAQAAwwUAAAAA&#10;">
              <v:fill on="f" focussize="0,0"/>
              <v:stroke on="f" weight="0.5pt"/>
              <v:imagedata o:title=""/>
              <o:lock v:ext="edit" aspectratio="f"/>
              <v:textbox inset="0mm,0mm,0mm,0mm" style="mso-fit-shape-to-text:t;">
                <w:txbxContent>
                  <w:p>
                    <w:pPr>
                      <w:pStyle w:val="11"/>
                    </w:pPr>
                    <w:r>
                      <w:fldChar w:fldCharType="begin"/>
                    </w:r>
                    <w:r>
                      <w:instrText xml:space="preserve"> PAGE  \* MERGEFORMAT </w:instrText>
                    </w:r>
                    <w:r>
                      <w:fldChar w:fldCharType="separate"/>
                    </w:r>
                    <w:r>
                      <w:t>- 1 -</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479556F"/>
    <w:multiLevelType w:val="singleLevel"/>
    <w:tmpl w:val="E479556F"/>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HorizontalSpacing w:val="105"/>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361C"/>
    <w:rsid w:val="000222C6"/>
    <w:rsid w:val="00022C11"/>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42216"/>
    <w:rsid w:val="00144D6A"/>
    <w:rsid w:val="0014729F"/>
    <w:rsid w:val="00157BAB"/>
    <w:rsid w:val="001654D1"/>
    <w:rsid w:val="00174518"/>
    <w:rsid w:val="0018106D"/>
    <w:rsid w:val="001877A7"/>
    <w:rsid w:val="00191536"/>
    <w:rsid w:val="00196687"/>
    <w:rsid w:val="001C0962"/>
    <w:rsid w:val="001D7531"/>
    <w:rsid w:val="001E737D"/>
    <w:rsid w:val="001F0592"/>
    <w:rsid w:val="001F7506"/>
    <w:rsid w:val="002006CD"/>
    <w:rsid w:val="00202B36"/>
    <w:rsid w:val="00204B7A"/>
    <w:rsid w:val="00204CDE"/>
    <w:rsid w:val="0021101A"/>
    <w:rsid w:val="00220536"/>
    <w:rsid w:val="00235629"/>
    <w:rsid w:val="00260C38"/>
    <w:rsid w:val="002616C0"/>
    <w:rsid w:val="00265372"/>
    <w:rsid w:val="002662AA"/>
    <w:rsid w:val="00280496"/>
    <w:rsid w:val="00294DC9"/>
    <w:rsid w:val="00295495"/>
    <w:rsid w:val="002A31DE"/>
    <w:rsid w:val="002B2613"/>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34489"/>
    <w:rsid w:val="00437085"/>
    <w:rsid w:val="00443880"/>
    <w:rsid w:val="004464F4"/>
    <w:rsid w:val="00471401"/>
    <w:rsid w:val="00473F31"/>
    <w:rsid w:val="0048263A"/>
    <w:rsid w:val="00487E5D"/>
    <w:rsid w:val="004A711F"/>
    <w:rsid w:val="004B199D"/>
    <w:rsid w:val="004B4690"/>
    <w:rsid w:val="004E0A2D"/>
    <w:rsid w:val="004E206B"/>
    <w:rsid w:val="004E6DF7"/>
    <w:rsid w:val="004F0FBD"/>
    <w:rsid w:val="00505A47"/>
    <w:rsid w:val="00512FDA"/>
    <w:rsid w:val="00520DA0"/>
    <w:rsid w:val="005664BB"/>
    <w:rsid w:val="00566FFA"/>
    <w:rsid w:val="0057481D"/>
    <w:rsid w:val="0058486E"/>
    <w:rsid w:val="00585B33"/>
    <w:rsid w:val="0059014D"/>
    <w:rsid w:val="005B5C64"/>
    <w:rsid w:val="005C5337"/>
    <w:rsid w:val="005C6BD0"/>
    <w:rsid w:val="005D1C8B"/>
    <w:rsid w:val="005D468D"/>
    <w:rsid w:val="005D5CED"/>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6343B"/>
    <w:rsid w:val="00664777"/>
    <w:rsid w:val="006748A4"/>
    <w:rsid w:val="00681A31"/>
    <w:rsid w:val="00683E73"/>
    <w:rsid w:val="006A3141"/>
    <w:rsid w:val="006A5E34"/>
    <w:rsid w:val="006B2422"/>
    <w:rsid w:val="006B2B9A"/>
    <w:rsid w:val="006C1937"/>
    <w:rsid w:val="006F020C"/>
    <w:rsid w:val="007127B7"/>
    <w:rsid w:val="0071798E"/>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348"/>
    <w:rsid w:val="008253BB"/>
    <w:rsid w:val="0083706E"/>
    <w:rsid w:val="008408F6"/>
    <w:rsid w:val="008423A5"/>
    <w:rsid w:val="00850625"/>
    <w:rsid w:val="00853718"/>
    <w:rsid w:val="00855221"/>
    <w:rsid w:val="00860645"/>
    <w:rsid w:val="00871F71"/>
    <w:rsid w:val="00872FD8"/>
    <w:rsid w:val="00885AF4"/>
    <w:rsid w:val="008939CD"/>
    <w:rsid w:val="008B768C"/>
    <w:rsid w:val="008C4DB1"/>
    <w:rsid w:val="008C4EAF"/>
    <w:rsid w:val="008C5176"/>
    <w:rsid w:val="008C7FD0"/>
    <w:rsid w:val="008E1DE7"/>
    <w:rsid w:val="008E707C"/>
    <w:rsid w:val="00900B08"/>
    <w:rsid w:val="00902155"/>
    <w:rsid w:val="00902FA3"/>
    <w:rsid w:val="00923564"/>
    <w:rsid w:val="0092392E"/>
    <w:rsid w:val="009315F9"/>
    <w:rsid w:val="00933499"/>
    <w:rsid w:val="00935C98"/>
    <w:rsid w:val="00946945"/>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5BB7"/>
    <w:rsid w:val="00A56DF2"/>
    <w:rsid w:val="00A56E6E"/>
    <w:rsid w:val="00A67AB5"/>
    <w:rsid w:val="00A733B2"/>
    <w:rsid w:val="00A741C2"/>
    <w:rsid w:val="00A91760"/>
    <w:rsid w:val="00A93B00"/>
    <w:rsid w:val="00A93C21"/>
    <w:rsid w:val="00AB64C9"/>
    <w:rsid w:val="00AC2542"/>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77EA6"/>
    <w:rsid w:val="00B81598"/>
    <w:rsid w:val="00B841F1"/>
    <w:rsid w:val="00B944D6"/>
    <w:rsid w:val="00BB4DF0"/>
    <w:rsid w:val="00BC289F"/>
    <w:rsid w:val="00BC2D50"/>
    <w:rsid w:val="00BC5361"/>
    <w:rsid w:val="00BC5460"/>
    <w:rsid w:val="00BC6B50"/>
    <w:rsid w:val="00BD0E25"/>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E44F6"/>
    <w:rsid w:val="00CE49DA"/>
    <w:rsid w:val="00CE7B61"/>
    <w:rsid w:val="00D00095"/>
    <w:rsid w:val="00D114F0"/>
    <w:rsid w:val="00D20620"/>
    <w:rsid w:val="00D254F7"/>
    <w:rsid w:val="00D26091"/>
    <w:rsid w:val="00D2685C"/>
    <w:rsid w:val="00D34E7C"/>
    <w:rsid w:val="00D35489"/>
    <w:rsid w:val="00D36AFE"/>
    <w:rsid w:val="00D51276"/>
    <w:rsid w:val="00D7035F"/>
    <w:rsid w:val="00DA634F"/>
    <w:rsid w:val="00DA65AC"/>
    <w:rsid w:val="00DB1913"/>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4633"/>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4A57"/>
    <w:rsid w:val="00F754A1"/>
    <w:rsid w:val="00F81FD9"/>
    <w:rsid w:val="00F841AA"/>
    <w:rsid w:val="00F84A94"/>
    <w:rsid w:val="00F87E96"/>
    <w:rsid w:val="00FA23E8"/>
    <w:rsid w:val="00FD3CC1"/>
    <w:rsid w:val="00FF1E02"/>
    <w:rsid w:val="00FF30B4"/>
    <w:rsid w:val="012A5EC2"/>
    <w:rsid w:val="015975B8"/>
    <w:rsid w:val="01C56D16"/>
    <w:rsid w:val="02FEBE30"/>
    <w:rsid w:val="04916F1E"/>
    <w:rsid w:val="04B01547"/>
    <w:rsid w:val="061E35DE"/>
    <w:rsid w:val="066E0107"/>
    <w:rsid w:val="07996F6E"/>
    <w:rsid w:val="07DFD8BA"/>
    <w:rsid w:val="08A027E8"/>
    <w:rsid w:val="09867E8F"/>
    <w:rsid w:val="0A2032A3"/>
    <w:rsid w:val="0CA8290A"/>
    <w:rsid w:val="0CF20119"/>
    <w:rsid w:val="0D1644B7"/>
    <w:rsid w:val="0D35B1ED"/>
    <w:rsid w:val="0DA33350"/>
    <w:rsid w:val="0E254B6B"/>
    <w:rsid w:val="0F163068"/>
    <w:rsid w:val="0F98263C"/>
    <w:rsid w:val="101860EC"/>
    <w:rsid w:val="101F47CC"/>
    <w:rsid w:val="105E23A9"/>
    <w:rsid w:val="10C055FF"/>
    <w:rsid w:val="11694EBD"/>
    <w:rsid w:val="11772AA4"/>
    <w:rsid w:val="118107EC"/>
    <w:rsid w:val="12E24EE2"/>
    <w:rsid w:val="13D50BC4"/>
    <w:rsid w:val="141D437D"/>
    <w:rsid w:val="14416D13"/>
    <w:rsid w:val="14B17F78"/>
    <w:rsid w:val="159468C1"/>
    <w:rsid w:val="15D7418C"/>
    <w:rsid w:val="165E0673"/>
    <w:rsid w:val="16B831D5"/>
    <w:rsid w:val="16BB723D"/>
    <w:rsid w:val="174560C4"/>
    <w:rsid w:val="174B4BAD"/>
    <w:rsid w:val="17E50567"/>
    <w:rsid w:val="186504BB"/>
    <w:rsid w:val="19A445FC"/>
    <w:rsid w:val="1B900315"/>
    <w:rsid w:val="1BE8440E"/>
    <w:rsid w:val="1D155CEE"/>
    <w:rsid w:val="1D1638FE"/>
    <w:rsid w:val="1D553591"/>
    <w:rsid w:val="1E312DEB"/>
    <w:rsid w:val="1E740ACF"/>
    <w:rsid w:val="1FF35744"/>
    <w:rsid w:val="1FF6BC77"/>
    <w:rsid w:val="20181262"/>
    <w:rsid w:val="21652BA1"/>
    <w:rsid w:val="2186353C"/>
    <w:rsid w:val="21C16C5F"/>
    <w:rsid w:val="22745AB0"/>
    <w:rsid w:val="22EF5136"/>
    <w:rsid w:val="232C7CEB"/>
    <w:rsid w:val="233A2855"/>
    <w:rsid w:val="23860B96"/>
    <w:rsid w:val="238B36B4"/>
    <w:rsid w:val="23C43023"/>
    <w:rsid w:val="240371BF"/>
    <w:rsid w:val="244F3473"/>
    <w:rsid w:val="24C97D99"/>
    <w:rsid w:val="24D242E3"/>
    <w:rsid w:val="25A718F0"/>
    <w:rsid w:val="25BB59F6"/>
    <w:rsid w:val="260F557C"/>
    <w:rsid w:val="26970054"/>
    <w:rsid w:val="2714160F"/>
    <w:rsid w:val="275F6686"/>
    <w:rsid w:val="27FD02F5"/>
    <w:rsid w:val="281408E2"/>
    <w:rsid w:val="287E7677"/>
    <w:rsid w:val="29FD04D3"/>
    <w:rsid w:val="2A3071B6"/>
    <w:rsid w:val="2AD356E3"/>
    <w:rsid w:val="2BFF7BC6"/>
    <w:rsid w:val="2C8A61B5"/>
    <w:rsid w:val="2DF04E50"/>
    <w:rsid w:val="2E3B213B"/>
    <w:rsid w:val="2E4C168F"/>
    <w:rsid w:val="2E586DFA"/>
    <w:rsid w:val="2E861045"/>
    <w:rsid w:val="2F040D46"/>
    <w:rsid w:val="2F6B035B"/>
    <w:rsid w:val="2F9E416C"/>
    <w:rsid w:val="2FAE5751"/>
    <w:rsid w:val="2FB1A395"/>
    <w:rsid w:val="2FCD56E2"/>
    <w:rsid w:val="2FD9A7D8"/>
    <w:rsid w:val="2FDBF714"/>
    <w:rsid w:val="30704498"/>
    <w:rsid w:val="30AB6865"/>
    <w:rsid w:val="311268E7"/>
    <w:rsid w:val="31572824"/>
    <w:rsid w:val="319F7F4E"/>
    <w:rsid w:val="31C85368"/>
    <w:rsid w:val="329F4EEE"/>
    <w:rsid w:val="32BD1EF1"/>
    <w:rsid w:val="32DF6F75"/>
    <w:rsid w:val="3304709D"/>
    <w:rsid w:val="33A773CB"/>
    <w:rsid w:val="33F97BC3"/>
    <w:rsid w:val="349D6851"/>
    <w:rsid w:val="36AA5135"/>
    <w:rsid w:val="36BE0DA7"/>
    <w:rsid w:val="375819F1"/>
    <w:rsid w:val="376B6AA6"/>
    <w:rsid w:val="376D39B2"/>
    <w:rsid w:val="378358AF"/>
    <w:rsid w:val="37E16F03"/>
    <w:rsid w:val="37F53A3B"/>
    <w:rsid w:val="389B6C89"/>
    <w:rsid w:val="38D469F0"/>
    <w:rsid w:val="38E726E0"/>
    <w:rsid w:val="395138A8"/>
    <w:rsid w:val="39627CCD"/>
    <w:rsid w:val="397BAF1F"/>
    <w:rsid w:val="3AB79AF3"/>
    <w:rsid w:val="3AE834C0"/>
    <w:rsid w:val="3B7EF35A"/>
    <w:rsid w:val="3B9FDB6C"/>
    <w:rsid w:val="3BF5BC2F"/>
    <w:rsid w:val="3CEBA265"/>
    <w:rsid w:val="3CFE449C"/>
    <w:rsid w:val="3D976F39"/>
    <w:rsid w:val="3D98207C"/>
    <w:rsid w:val="3DEE7CF3"/>
    <w:rsid w:val="3E3418EB"/>
    <w:rsid w:val="3E740A63"/>
    <w:rsid w:val="3E78745D"/>
    <w:rsid w:val="3EDC080D"/>
    <w:rsid w:val="3EE17838"/>
    <w:rsid w:val="3F55381A"/>
    <w:rsid w:val="3F7F7599"/>
    <w:rsid w:val="3FF4CAE0"/>
    <w:rsid w:val="3FF7B227"/>
    <w:rsid w:val="41147AE1"/>
    <w:rsid w:val="43046206"/>
    <w:rsid w:val="43907590"/>
    <w:rsid w:val="449C6A74"/>
    <w:rsid w:val="44E268DA"/>
    <w:rsid w:val="450D13D7"/>
    <w:rsid w:val="45493A56"/>
    <w:rsid w:val="45506656"/>
    <w:rsid w:val="45E615FB"/>
    <w:rsid w:val="46377F7D"/>
    <w:rsid w:val="46E14BDC"/>
    <w:rsid w:val="46E22739"/>
    <w:rsid w:val="486A6C7A"/>
    <w:rsid w:val="48F22F14"/>
    <w:rsid w:val="4A627F82"/>
    <w:rsid w:val="4B0E749A"/>
    <w:rsid w:val="4B2477C4"/>
    <w:rsid w:val="4B4F25DA"/>
    <w:rsid w:val="4BE068DB"/>
    <w:rsid w:val="4D32215D"/>
    <w:rsid w:val="4D577224"/>
    <w:rsid w:val="4DBF1CEB"/>
    <w:rsid w:val="4DE838CD"/>
    <w:rsid w:val="4DF0007C"/>
    <w:rsid w:val="4EAB630A"/>
    <w:rsid w:val="4ECE2238"/>
    <w:rsid w:val="4F833267"/>
    <w:rsid w:val="4FE9BD67"/>
    <w:rsid w:val="4FFB052F"/>
    <w:rsid w:val="502502A3"/>
    <w:rsid w:val="513A0036"/>
    <w:rsid w:val="537E6D0A"/>
    <w:rsid w:val="53F74C96"/>
    <w:rsid w:val="54E22E3F"/>
    <w:rsid w:val="55170BA8"/>
    <w:rsid w:val="553218C9"/>
    <w:rsid w:val="55346855"/>
    <w:rsid w:val="567E1AA5"/>
    <w:rsid w:val="56B23ED5"/>
    <w:rsid w:val="56E47B74"/>
    <w:rsid w:val="57175D52"/>
    <w:rsid w:val="57BD3DD4"/>
    <w:rsid w:val="58A837E2"/>
    <w:rsid w:val="591C7D2C"/>
    <w:rsid w:val="5A1D0200"/>
    <w:rsid w:val="5A7F2809"/>
    <w:rsid w:val="5AF92295"/>
    <w:rsid w:val="5B250254"/>
    <w:rsid w:val="5B4517BC"/>
    <w:rsid w:val="5BDD79E6"/>
    <w:rsid w:val="5BF561CA"/>
    <w:rsid w:val="5BFF5DFC"/>
    <w:rsid w:val="5CD71FC4"/>
    <w:rsid w:val="5CEC6771"/>
    <w:rsid w:val="5D1F11B5"/>
    <w:rsid w:val="5D695134"/>
    <w:rsid w:val="5DAE1B18"/>
    <w:rsid w:val="5DE7D9E5"/>
    <w:rsid w:val="5E487E58"/>
    <w:rsid w:val="5E5238CE"/>
    <w:rsid w:val="5ECEC941"/>
    <w:rsid w:val="5FBF9FF3"/>
    <w:rsid w:val="5FCD4E2C"/>
    <w:rsid w:val="5FEF394A"/>
    <w:rsid w:val="5FF67715"/>
    <w:rsid w:val="5FFFC827"/>
    <w:rsid w:val="625F7819"/>
    <w:rsid w:val="62BF3928"/>
    <w:rsid w:val="63161C3A"/>
    <w:rsid w:val="639D5F0D"/>
    <w:rsid w:val="63B3701E"/>
    <w:rsid w:val="63BB7FC4"/>
    <w:rsid w:val="647F5392"/>
    <w:rsid w:val="65E16C35"/>
    <w:rsid w:val="65E66580"/>
    <w:rsid w:val="660E6C4E"/>
    <w:rsid w:val="664B1D71"/>
    <w:rsid w:val="664B4E8E"/>
    <w:rsid w:val="671D437A"/>
    <w:rsid w:val="67277B67"/>
    <w:rsid w:val="675BE5DF"/>
    <w:rsid w:val="67AA3209"/>
    <w:rsid w:val="698D0931"/>
    <w:rsid w:val="6A7FE5F3"/>
    <w:rsid w:val="6B053271"/>
    <w:rsid w:val="6BDD78B3"/>
    <w:rsid w:val="6C044D7B"/>
    <w:rsid w:val="6C4A05C8"/>
    <w:rsid w:val="6C8742B8"/>
    <w:rsid w:val="6CFE0684"/>
    <w:rsid w:val="6D567859"/>
    <w:rsid w:val="6DBF5E93"/>
    <w:rsid w:val="6DFF077E"/>
    <w:rsid w:val="6E5E4CB5"/>
    <w:rsid w:val="6E714EF0"/>
    <w:rsid w:val="6E7E3605"/>
    <w:rsid w:val="6E7FDCC7"/>
    <w:rsid w:val="6ED6A62E"/>
    <w:rsid w:val="6EE00B15"/>
    <w:rsid w:val="6F6FB3EB"/>
    <w:rsid w:val="6F79DA15"/>
    <w:rsid w:val="6F8731EA"/>
    <w:rsid w:val="6FCE6052"/>
    <w:rsid w:val="6FD57C00"/>
    <w:rsid w:val="6FEFFFD8"/>
    <w:rsid w:val="6FF5CC65"/>
    <w:rsid w:val="6FFB47EC"/>
    <w:rsid w:val="6FFF034A"/>
    <w:rsid w:val="70484440"/>
    <w:rsid w:val="70847C53"/>
    <w:rsid w:val="712A28F1"/>
    <w:rsid w:val="715C0E4B"/>
    <w:rsid w:val="71992E7C"/>
    <w:rsid w:val="72233669"/>
    <w:rsid w:val="72734D90"/>
    <w:rsid w:val="727B22EE"/>
    <w:rsid w:val="73160E6D"/>
    <w:rsid w:val="7332FE48"/>
    <w:rsid w:val="736E38D1"/>
    <w:rsid w:val="73AB61DA"/>
    <w:rsid w:val="73AD73D5"/>
    <w:rsid w:val="73B6EB34"/>
    <w:rsid w:val="73FA497D"/>
    <w:rsid w:val="744731E5"/>
    <w:rsid w:val="747D3FBF"/>
    <w:rsid w:val="74BBD01D"/>
    <w:rsid w:val="74ED5379"/>
    <w:rsid w:val="75BC511D"/>
    <w:rsid w:val="75DEEEC2"/>
    <w:rsid w:val="75E32345"/>
    <w:rsid w:val="75E5673E"/>
    <w:rsid w:val="75F16C9B"/>
    <w:rsid w:val="75FE0072"/>
    <w:rsid w:val="76E3355F"/>
    <w:rsid w:val="76FF5125"/>
    <w:rsid w:val="7738729E"/>
    <w:rsid w:val="776F6FFA"/>
    <w:rsid w:val="778769C8"/>
    <w:rsid w:val="77A75DCA"/>
    <w:rsid w:val="77B07B65"/>
    <w:rsid w:val="77DC22F5"/>
    <w:rsid w:val="783E271A"/>
    <w:rsid w:val="78616DE9"/>
    <w:rsid w:val="78E875D7"/>
    <w:rsid w:val="79086DAD"/>
    <w:rsid w:val="799534B7"/>
    <w:rsid w:val="79D7FD79"/>
    <w:rsid w:val="79EE5BA4"/>
    <w:rsid w:val="79EF3A27"/>
    <w:rsid w:val="7A894339"/>
    <w:rsid w:val="7AD284E8"/>
    <w:rsid w:val="7AFF7572"/>
    <w:rsid w:val="7B6C7DFB"/>
    <w:rsid w:val="7B7D06A6"/>
    <w:rsid w:val="7BBFBED0"/>
    <w:rsid w:val="7BC3E394"/>
    <w:rsid w:val="7C1F3737"/>
    <w:rsid w:val="7C5D3531"/>
    <w:rsid w:val="7CBFC87B"/>
    <w:rsid w:val="7CF80BFD"/>
    <w:rsid w:val="7CFE0F48"/>
    <w:rsid w:val="7CFE6DC1"/>
    <w:rsid w:val="7D234014"/>
    <w:rsid w:val="7D272ABC"/>
    <w:rsid w:val="7D7EC23E"/>
    <w:rsid w:val="7D8E0949"/>
    <w:rsid w:val="7E01736D"/>
    <w:rsid w:val="7E8ADEBF"/>
    <w:rsid w:val="7EAB70CC"/>
    <w:rsid w:val="7EEF11D3"/>
    <w:rsid w:val="7EFE4840"/>
    <w:rsid w:val="7F0971A6"/>
    <w:rsid w:val="7F1D62E7"/>
    <w:rsid w:val="7F24281C"/>
    <w:rsid w:val="7F3F679B"/>
    <w:rsid w:val="7F4FC4EF"/>
    <w:rsid w:val="7F5E4D54"/>
    <w:rsid w:val="7F6E0135"/>
    <w:rsid w:val="7F79F205"/>
    <w:rsid w:val="7FA30C79"/>
    <w:rsid w:val="7FA79C44"/>
    <w:rsid w:val="7FAF8ABF"/>
    <w:rsid w:val="7FB7269E"/>
    <w:rsid w:val="7FC626F2"/>
    <w:rsid w:val="7FC96657"/>
    <w:rsid w:val="7FDA9588"/>
    <w:rsid w:val="7FDF220F"/>
    <w:rsid w:val="7FEDC5F7"/>
    <w:rsid w:val="7FEDD9DE"/>
    <w:rsid w:val="7FF5890D"/>
    <w:rsid w:val="7FF93490"/>
    <w:rsid w:val="99FF2014"/>
    <w:rsid w:val="A6DD0D7F"/>
    <w:rsid w:val="ACFF4FBB"/>
    <w:rsid w:val="ADC6F725"/>
    <w:rsid w:val="B5BEE776"/>
    <w:rsid w:val="B7CF06AB"/>
    <w:rsid w:val="B7CFA926"/>
    <w:rsid w:val="B7F8786B"/>
    <w:rsid w:val="B879B1DD"/>
    <w:rsid w:val="BABB6AA1"/>
    <w:rsid w:val="BB2F4199"/>
    <w:rsid w:val="BCFFB442"/>
    <w:rsid w:val="BD079C78"/>
    <w:rsid w:val="BD733540"/>
    <w:rsid w:val="BF3735D5"/>
    <w:rsid w:val="BF7F09AC"/>
    <w:rsid w:val="BFD475C3"/>
    <w:rsid w:val="BFDE5EA6"/>
    <w:rsid w:val="BFDFE173"/>
    <w:rsid w:val="BFE14540"/>
    <w:rsid w:val="CF6FC6F3"/>
    <w:rsid w:val="CFD3D3D7"/>
    <w:rsid w:val="CFDF1009"/>
    <w:rsid w:val="CFDF2199"/>
    <w:rsid w:val="D7D7B16A"/>
    <w:rsid w:val="D8D6DB89"/>
    <w:rsid w:val="DB6F4CAB"/>
    <w:rsid w:val="DB777682"/>
    <w:rsid w:val="DD1FB521"/>
    <w:rsid w:val="DEFBFEAE"/>
    <w:rsid w:val="DF1F3B80"/>
    <w:rsid w:val="DF6F9789"/>
    <w:rsid w:val="DFE9BE81"/>
    <w:rsid w:val="DFFFA9E8"/>
    <w:rsid w:val="E5F4E9DC"/>
    <w:rsid w:val="E6D51D25"/>
    <w:rsid w:val="E70FE695"/>
    <w:rsid w:val="EB2E368B"/>
    <w:rsid w:val="ECFED1BC"/>
    <w:rsid w:val="ED1D69BB"/>
    <w:rsid w:val="ED7FD312"/>
    <w:rsid w:val="EDDA66DF"/>
    <w:rsid w:val="EF2E1AC6"/>
    <w:rsid w:val="EF53993F"/>
    <w:rsid w:val="EF6FD633"/>
    <w:rsid w:val="EFBFB2F4"/>
    <w:rsid w:val="EFBFFA21"/>
    <w:rsid w:val="F2BEBCB8"/>
    <w:rsid w:val="F36FB518"/>
    <w:rsid w:val="F3DE1A04"/>
    <w:rsid w:val="F3F722E5"/>
    <w:rsid w:val="F4FBCD07"/>
    <w:rsid w:val="F4FF6CBD"/>
    <w:rsid w:val="FA5F1E70"/>
    <w:rsid w:val="FA5FDB97"/>
    <w:rsid w:val="FB7F486A"/>
    <w:rsid w:val="FBFF5B2E"/>
    <w:rsid w:val="FD7FFE2B"/>
    <w:rsid w:val="FDEE196B"/>
    <w:rsid w:val="FDFE6575"/>
    <w:rsid w:val="FED71FAE"/>
    <w:rsid w:val="FEDFDDC2"/>
    <w:rsid w:val="FEED32F6"/>
    <w:rsid w:val="FEF781DD"/>
    <w:rsid w:val="FF3F7E3F"/>
    <w:rsid w:val="FFBA12D7"/>
    <w:rsid w:val="FFCBD314"/>
    <w:rsid w:val="FFDFF91C"/>
    <w:rsid w:val="FFDFFAEE"/>
    <w:rsid w:val="FFEF6777"/>
    <w:rsid w:val="FFF9B57B"/>
    <w:rsid w:val="FFFD61D9"/>
    <w:rsid w:val="FFFD8F59"/>
    <w:rsid w:val="FFFF2BB1"/>
    <w:rsid w:val="FFFFB04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5">
    <w:name w:val="heading 1"/>
    <w:basedOn w:val="1"/>
    <w:next w:val="1"/>
    <w:link w:val="28"/>
    <w:qFormat/>
    <w:uiPriority w:val="9"/>
    <w:pPr>
      <w:keepNext/>
      <w:keepLines/>
      <w:spacing w:before="340" w:after="330" w:line="578" w:lineRule="auto"/>
      <w:outlineLvl w:val="0"/>
    </w:pPr>
    <w:rPr>
      <w:b/>
      <w:bCs/>
      <w:kern w:val="44"/>
      <w:sz w:val="44"/>
      <w:szCs w:val="44"/>
    </w:rPr>
  </w:style>
  <w:style w:type="paragraph" w:styleId="6">
    <w:name w:val="heading 2"/>
    <w:basedOn w:val="1"/>
    <w:next w:val="1"/>
    <w:link w:val="29"/>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7">
    <w:name w:val="heading 3"/>
    <w:basedOn w:val="1"/>
    <w:next w:val="1"/>
    <w:link w:val="32"/>
    <w:unhideWhenUsed/>
    <w:qFormat/>
    <w:uiPriority w:val="9"/>
    <w:pPr>
      <w:keepNext/>
      <w:keepLines/>
      <w:spacing w:before="260" w:after="260" w:line="416" w:lineRule="auto"/>
      <w:outlineLvl w:val="2"/>
    </w:pPr>
    <w:rPr>
      <w:b/>
      <w:bCs/>
      <w:sz w:val="32"/>
      <w:szCs w:val="32"/>
    </w:rPr>
  </w:style>
  <w:style w:type="character" w:default="1" w:styleId="16">
    <w:name w:val="Default Paragraph Font"/>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footnote text"/>
    <w:basedOn w:val="1"/>
    <w:next w:val="3"/>
    <w:semiHidden/>
    <w:qFormat/>
    <w:uiPriority w:val="0"/>
    <w:pPr>
      <w:snapToGrid w:val="0"/>
      <w:jc w:val="left"/>
    </w:pPr>
    <w:rPr>
      <w:sz w:val="18"/>
      <w:szCs w:val="18"/>
    </w:rPr>
  </w:style>
  <w:style w:type="paragraph" w:styleId="3">
    <w:name w:val="Body Text First Indent 2"/>
    <w:basedOn w:val="4"/>
    <w:unhideWhenUsed/>
    <w:qFormat/>
    <w:uiPriority w:val="99"/>
    <w:pPr>
      <w:ind w:firstLine="420" w:firstLineChars="200"/>
    </w:pPr>
  </w:style>
  <w:style w:type="paragraph" w:styleId="4">
    <w:name w:val="Body Text Indent"/>
    <w:basedOn w:val="1"/>
    <w:next w:val="3"/>
    <w:qFormat/>
    <w:uiPriority w:val="0"/>
    <w:pPr>
      <w:spacing w:after="120"/>
      <w:ind w:leftChars="200"/>
    </w:pPr>
    <w:rPr>
      <w:rFonts w:ascii="仿宋_GB2312"/>
      <w:szCs w:val="32"/>
    </w:rPr>
  </w:style>
  <w:style w:type="paragraph" w:styleId="8">
    <w:name w:val="Body Text"/>
    <w:basedOn w:val="1"/>
    <w:link w:val="25"/>
    <w:qFormat/>
    <w:uiPriority w:val="99"/>
    <w:pPr>
      <w:spacing w:beforeLines="30"/>
    </w:pPr>
    <w:rPr>
      <w:rFonts w:ascii="仿宋_GB2312" w:eastAsia="仿宋_GB2312"/>
      <w:kern w:val="0"/>
      <w:sz w:val="30"/>
    </w:rPr>
  </w:style>
  <w:style w:type="paragraph" w:styleId="9">
    <w:name w:val="toc 3"/>
    <w:basedOn w:val="1"/>
    <w:next w:val="1"/>
    <w:unhideWhenUsed/>
    <w:qFormat/>
    <w:uiPriority w:val="39"/>
    <w:pPr>
      <w:tabs>
        <w:tab w:val="right" w:leader="dot" w:pos="8296"/>
      </w:tabs>
      <w:ind w:left="840" w:leftChars="400"/>
    </w:pPr>
  </w:style>
  <w:style w:type="paragraph" w:styleId="10">
    <w:name w:val="Balloon Text"/>
    <w:basedOn w:val="1"/>
    <w:link w:val="31"/>
    <w:semiHidden/>
    <w:unhideWhenUsed/>
    <w:qFormat/>
    <w:uiPriority w:val="99"/>
    <w:rPr>
      <w:sz w:val="18"/>
      <w:szCs w:val="18"/>
    </w:rPr>
  </w:style>
  <w:style w:type="paragraph" w:styleId="11">
    <w:name w:val="footer"/>
    <w:basedOn w:val="1"/>
    <w:link w:val="23"/>
    <w:qFormat/>
    <w:uiPriority w:val="99"/>
    <w:pPr>
      <w:tabs>
        <w:tab w:val="center" w:pos="4153"/>
        <w:tab w:val="right" w:pos="8306"/>
      </w:tabs>
      <w:snapToGrid w:val="0"/>
      <w:jc w:val="left"/>
    </w:pPr>
    <w:rPr>
      <w:rFonts w:ascii="Calibri" w:hAnsi="Calibri"/>
      <w:kern w:val="0"/>
      <w:sz w:val="18"/>
      <w:szCs w:val="18"/>
    </w:rPr>
  </w:style>
  <w:style w:type="paragraph" w:styleId="12">
    <w:name w:val="header"/>
    <w:basedOn w:val="1"/>
    <w:link w:val="21"/>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3">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4">
    <w:name w:val="toc 2"/>
    <w:basedOn w:val="1"/>
    <w:next w:val="1"/>
    <w:unhideWhenUsed/>
    <w:qFormat/>
    <w:uiPriority w:val="39"/>
    <w:pPr>
      <w:tabs>
        <w:tab w:val="right" w:leader="dot" w:pos="8296"/>
      </w:tabs>
      <w:ind w:left="420" w:leftChars="200"/>
    </w:pPr>
  </w:style>
  <w:style w:type="character" w:styleId="17">
    <w:name w:val="Strong"/>
    <w:basedOn w:val="16"/>
    <w:qFormat/>
    <w:uiPriority w:val="99"/>
    <w:rPr>
      <w:b/>
    </w:rPr>
  </w:style>
  <w:style w:type="character" w:styleId="18">
    <w:name w:val="Hyperlink"/>
    <w:basedOn w:val="16"/>
    <w:unhideWhenUsed/>
    <w:qFormat/>
    <w:uiPriority w:val="99"/>
    <w:rPr>
      <w:color w:val="0000FF" w:themeColor="hyperlink"/>
      <w:u w:val="single"/>
      <w14:textFill>
        <w14:solidFill>
          <w14:schemeClr w14:val="hlink"/>
        </w14:solidFill>
      </w14:textFill>
    </w:rPr>
  </w:style>
  <w:style w:type="paragraph" w:customStyle="1" w:styleId="19">
    <w:name w:val="标题 5（有编号）（绿盟科技）"/>
    <w:next w:val="1"/>
    <w:qFormat/>
    <w:uiPriority w:val="99"/>
    <w:pPr>
      <w:keepNext/>
      <w:keepLines/>
      <w:widowControl w:val="0"/>
      <w:spacing w:before="280" w:after="156" w:line="377" w:lineRule="auto"/>
      <w:jc w:val="left"/>
      <w:outlineLvl w:val="4"/>
    </w:pPr>
    <w:rPr>
      <w:rFonts w:ascii="Arial" w:hAnsi="Arial" w:eastAsia="黑体" w:cs="Times New Roman"/>
      <w:b/>
      <w:kern w:val="2"/>
      <w:sz w:val="24"/>
      <w:szCs w:val="28"/>
      <w:lang w:val="en-US" w:eastAsia="zh-CN" w:bidi="ar-SA"/>
    </w:rPr>
  </w:style>
  <w:style w:type="character" w:customStyle="1" w:styleId="20">
    <w:name w:val="Header Char"/>
    <w:basedOn w:val="16"/>
    <w:semiHidden/>
    <w:qFormat/>
    <w:uiPriority w:val="99"/>
    <w:rPr>
      <w:rFonts w:ascii="Times New Roman" w:hAnsi="Times New Roman"/>
      <w:sz w:val="18"/>
      <w:szCs w:val="18"/>
    </w:rPr>
  </w:style>
  <w:style w:type="character" w:customStyle="1" w:styleId="21">
    <w:name w:val="页眉 Char"/>
    <w:link w:val="12"/>
    <w:semiHidden/>
    <w:qFormat/>
    <w:locked/>
    <w:uiPriority w:val="99"/>
    <w:rPr>
      <w:sz w:val="18"/>
    </w:rPr>
  </w:style>
  <w:style w:type="character" w:customStyle="1" w:styleId="22">
    <w:name w:val="Footer Char"/>
    <w:basedOn w:val="16"/>
    <w:semiHidden/>
    <w:qFormat/>
    <w:uiPriority w:val="99"/>
    <w:rPr>
      <w:rFonts w:ascii="Times New Roman" w:hAnsi="Times New Roman"/>
      <w:sz w:val="18"/>
      <w:szCs w:val="18"/>
    </w:rPr>
  </w:style>
  <w:style w:type="character" w:customStyle="1" w:styleId="23">
    <w:name w:val="页脚 Char"/>
    <w:link w:val="11"/>
    <w:qFormat/>
    <w:locked/>
    <w:uiPriority w:val="99"/>
    <w:rPr>
      <w:sz w:val="18"/>
    </w:rPr>
  </w:style>
  <w:style w:type="character" w:customStyle="1" w:styleId="24">
    <w:name w:val="Body Text Char"/>
    <w:basedOn w:val="16"/>
    <w:semiHidden/>
    <w:qFormat/>
    <w:uiPriority w:val="99"/>
    <w:rPr>
      <w:rFonts w:ascii="Times New Roman" w:hAnsi="Times New Roman"/>
      <w:szCs w:val="24"/>
    </w:rPr>
  </w:style>
  <w:style w:type="character" w:customStyle="1" w:styleId="25">
    <w:name w:val="正文文本 Char"/>
    <w:link w:val="8"/>
    <w:qFormat/>
    <w:locked/>
    <w:uiPriority w:val="99"/>
    <w:rPr>
      <w:rFonts w:ascii="仿宋_GB2312" w:hAnsi="Times New Roman" w:eastAsia="仿宋_GB2312"/>
      <w:sz w:val="24"/>
    </w:rPr>
  </w:style>
  <w:style w:type="paragraph" w:customStyle="1" w:styleId="26">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7">
    <w:name w:val="List Paragraph"/>
    <w:basedOn w:val="1"/>
    <w:qFormat/>
    <w:uiPriority w:val="34"/>
    <w:pPr>
      <w:ind w:firstLine="420" w:firstLineChars="200"/>
    </w:pPr>
  </w:style>
  <w:style w:type="character" w:customStyle="1" w:styleId="28">
    <w:name w:val="标题 1 Char"/>
    <w:basedOn w:val="16"/>
    <w:link w:val="5"/>
    <w:qFormat/>
    <w:uiPriority w:val="9"/>
    <w:rPr>
      <w:rFonts w:ascii="Times New Roman" w:hAnsi="Times New Roman"/>
      <w:b/>
      <w:bCs/>
      <w:kern w:val="44"/>
      <w:sz w:val="44"/>
      <w:szCs w:val="44"/>
    </w:rPr>
  </w:style>
  <w:style w:type="character" w:customStyle="1" w:styleId="29">
    <w:name w:val="标题 2 Char"/>
    <w:basedOn w:val="16"/>
    <w:link w:val="6"/>
    <w:qFormat/>
    <w:uiPriority w:val="9"/>
    <w:rPr>
      <w:rFonts w:asciiTheme="majorHAnsi" w:hAnsiTheme="majorHAnsi" w:eastAsiaTheme="majorEastAsia" w:cstheme="majorBidi"/>
      <w:b/>
      <w:bCs/>
      <w:kern w:val="2"/>
      <w:sz w:val="32"/>
      <w:szCs w:val="32"/>
    </w:rPr>
  </w:style>
  <w:style w:type="paragraph" w:customStyle="1" w:styleId="30">
    <w:name w:val="TOC 标题1"/>
    <w:basedOn w:val="5"/>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1">
    <w:name w:val="批注框文本 Char"/>
    <w:basedOn w:val="16"/>
    <w:link w:val="10"/>
    <w:semiHidden/>
    <w:qFormat/>
    <w:uiPriority w:val="99"/>
    <w:rPr>
      <w:rFonts w:ascii="Times New Roman" w:hAnsi="Times New Roman"/>
      <w:kern w:val="2"/>
      <w:sz w:val="18"/>
      <w:szCs w:val="18"/>
    </w:rPr>
  </w:style>
  <w:style w:type="character" w:customStyle="1" w:styleId="32">
    <w:name w:val="标题 3 Char"/>
    <w:basedOn w:val="16"/>
    <w:link w:val="7"/>
    <w:qFormat/>
    <w:uiPriority w:val="9"/>
    <w:rPr>
      <w:rFonts w:ascii="Times New Roman" w:hAnsi="Times New Roman"/>
      <w:b/>
      <w:bCs/>
      <w:kern w:val="2"/>
      <w:sz w:val="32"/>
      <w:szCs w:val="32"/>
    </w:rPr>
  </w:style>
  <w:style w:type="paragraph" w:customStyle="1" w:styleId="33">
    <w:name w:val="TOC Heading"/>
    <w:basedOn w:val="5"/>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34">
    <w:name w:val="四号正文"/>
    <w:basedOn w:val="1"/>
    <w:qFormat/>
    <w:uiPriority w:val="0"/>
    <w:pPr>
      <w:spacing w:line="360" w:lineRule="auto"/>
    </w:pPr>
    <w:rPr>
      <w:rFonts w:ascii="??" w:hAnsi="??" w:eastAsia="宋体"/>
      <w:color w:val="000000"/>
      <w:kern w:val="0"/>
      <w:sz w:val="28"/>
      <w:szCs w:val="21"/>
      <w:lang w:val="zh-CN" w:eastAsia="zh-CN"/>
    </w:rPr>
  </w:style>
  <w:style w:type="paragraph" w:customStyle="1" w:styleId="35">
    <w:name w:val="WPSOffice手动目录 1"/>
    <w:qFormat/>
    <w:uiPriority w:val="0"/>
    <w:pPr>
      <w:ind w:leftChars="0"/>
    </w:pPr>
    <w:rPr>
      <w:rFonts w:asciiTheme="minorHAnsi" w:hAnsiTheme="minorHAnsi" w:eastAsiaTheme="minorEastAsia" w:cstheme="minorBidi"/>
      <w:sz w:val="20"/>
      <w:szCs w:val="20"/>
    </w:rPr>
  </w:style>
  <w:style w:type="paragraph" w:customStyle="1" w:styleId="36">
    <w:name w:val="WPSOffice手动目录 2"/>
    <w:qFormat/>
    <w:uiPriority w:val="0"/>
    <w:pPr>
      <w:ind w:leftChars="200"/>
    </w:pPr>
    <w:rPr>
      <w:rFonts w:asciiTheme="minorHAnsi" w:hAnsiTheme="minorHAnsi" w:eastAsiaTheme="minorEastAsia" w:cstheme="minorBidi"/>
      <w:sz w:val="20"/>
      <w:szCs w:val="20"/>
    </w:rPr>
  </w:style>
  <w:style w:type="paragraph" w:customStyle="1" w:styleId="37">
    <w:name w:val="WPSOffice手动目录 3"/>
    <w:qFormat/>
    <w:uiPriority w:val="0"/>
    <w:pPr>
      <w:ind w:leftChars="400"/>
    </w:pPr>
    <w:rPr>
      <w:rFonts w:asciiTheme="minorHAnsi" w:hAnsiTheme="minorHAnsi" w:eastAsiaTheme="minorEastAsia" w:cstheme="minorBidi"/>
      <w:sz w:val="20"/>
      <w:szCs w:val="20"/>
    </w:rPr>
  </w:style>
  <w:style w:type="character" w:customStyle="1" w:styleId="38">
    <w:name w:val="font21"/>
    <w:basedOn w:val="16"/>
    <w:qFormat/>
    <w:uiPriority w:val="0"/>
    <w:rPr>
      <w:rFonts w:ascii="宋体" w:hAnsi="宋体" w:eastAsia="宋体" w:cs="宋体"/>
      <w:color w:val="000000"/>
      <w:sz w:val="18"/>
      <w:szCs w:val="18"/>
      <w:u w:val="none"/>
    </w:rPr>
  </w:style>
  <w:style w:type="character" w:customStyle="1" w:styleId="39">
    <w:name w:val="font71"/>
    <w:basedOn w:val="16"/>
    <w:qFormat/>
    <w:uiPriority w:val="0"/>
    <w:rPr>
      <w:rFonts w:hint="eastAsia" w:ascii="微软雅黑" w:hAnsi="微软雅黑" w:eastAsia="微软雅黑" w:cs="微软雅黑"/>
      <w:i/>
      <w:iCs/>
      <w:color w:val="000000"/>
      <w:sz w:val="16"/>
      <w:szCs w:val="16"/>
      <w:u w:val="none"/>
    </w:rPr>
  </w:style>
</w:styles>
</file>

<file path=word/_rels/document.xml.rels><?xml version="1.0" encoding="UTF-8" standalone="yes"?>
<Relationships xmlns="http://schemas.openxmlformats.org/package/2006/relationships"><Relationship Id="rId9" Type="http://schemas.openxmlformats.org/officeDocument/2006/relationships/chart" Target="charts/chart1.xml"/><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chart" Target="charts/chart7.xml"/><Relationship Id="rId14" Type="http://schemas.openxmlformats.org/officeDocument/2006/relationships/chart" Target="charts/chart6.xml"/><Relationship Id="rId13" Type="http://schemas.openxmlformats.org/officeDocument/2006/relationships/chart" Target="charts/chart5.xml"/><Relationship Id="rId12" Type="http://schemas.openxmlformats.org/officeDocument/2006/relationships/chart" Target="charts/chart4.xml"/><Relationship Id="rId11" Type="http://schemas.openxmlformats.org/officeDocument/2006/relationships/chart" Target="charts/chart3.xml"/><Relationship Id="rId10" Type="http://schemas.openxmlformats.org/officeDocument/2006/relationships/chart" Target="charts/chart2.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package" Target="../embeddings/Workbook2.xlsx"/></Relationships>
</file>

<file path=word/charts/_rels/chart2.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_rels/chart3.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package" Target="../embeddings/Workbook4.xlsx"/></Relationships>
</file>

<file path=word/charts/_rels/chart4.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package" Target="../embeddings/Workbook5.xlsx"/></Relationships>
</file>

<file path=word/charts/_rels/chart5.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package" Target="../embeddings/Workbook3.xlsx"/></Relationships>
</file>

<file path=word/charts/_rels/chart6.xml.rels><?xml version="1.0" encoding="UTF-8" standalone="yes"?>
<Relationships xmlns="http://schemas.openxmlformats.org/package/2006/relationships"><Relationship Id="rId3" Type="http://schemas.microsoft.com/office/2011/relationships/chartColorStyle" Target="colors7.xml"/><Relationship Id="rId2" Type="http://schemas.microsoft.com/office/2011/relationships/chartStyle" Target="style7.xml"/><Relationship Id="rId1" Type="http://schemas.openxmlformats.org/officeDocument/2006/relationships/package" Target="../embeddings/Workbook7.xlsx"/></Relationships>
</file>

<file path=word/charts/_rels/chart7.xml.rels><?xml version="1.0" encoding="UTF-8" standalone="yes"?>
<Relationships xmlns="http://schemas.openxmlformats.org/package/2006/relationships"><Relationship Id="rId3" Type="http://schemas.microsoft.com/office/2011/relationships/chartColorStyle" Target="colors6.xml"/><Relationship Id="rId2" Type="http://schemas.microsoft.com/office/2011/relationships/chartStyle" Target="style6.xml"/><Relationship Id="rId1" Type="http://schemas.openxmlformats.org/officeDocument/2006/relationships/package" Target="../embeddings/Workbook6.xlsx"/></Relationships>
</file>

<file path=word/charts/chart1.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barChart>
        <c:barDir val="col"/>
        <c:grouping val="clustered"/>
        <c:varyColors val="false"/>
        <c:ser>
          <c:idx val="0"/>
          <c:order val="0"/>
          <c:tx>
            <c:strRef>
              <c:f>Sheet1!$B$1</c:f>
              <c:strCache>
                <c:ptCount val="1"/>
                <c:pt idx="0">
                  <c:v>2023年（万元）</c:v>
                </c:pt>
              </c:strCache>
            </c:strRef>
          </c:tx>
          <c:spPr>
            <a:solidFill>
              <a:schemeClr val="accent1"/>
            </a:solidFill>
            <a:ln>
              <a:noFill/>
            </a:ln>
            <a:effectLst/>
          </c:spPr>
          <c:invertIfNegative val="false"/>
          <c:dLbls>
            <c:delete val="true"/>
          </c:dLbls>
          <c:cat>
            <c:strRef>
              <c:f>Sheet1!$A$2:$A$3</c:f>
              <c:strCache>
                <c:ptCount val="2"/>
                <c:pt idx="0">
                  <c:v>决算总收入</c:v>
                </c:pt>
                <c:pt idx="1">
                  <c:v>决算总支出</c:v>
                </c:pt>
              </c:strCache>
            </c:strRef>
          </c:cat>
          <c:val>
            <c:numRef>
              <c:f>Sheet1!$B$2:$B$3</c:f>
              <c:numCache>
                <c:formatCode>General</c:formatCode>
                <c:ptCount val="2"/>
                <c:pt idx="0">
                  <c:v>7893.4</c:v>
                </c:pt>
                <c:pt idx="1">
                  <c:v>7893.4</c:v>
                </c:pt>
              </c:numCache>
            </c:numRef>
          </c:val>
        </c:ser>
        <c:ser>
          <c:idx val="1"/>
          <c:order val="1"/>
          <c:tx>
            <c:strRef>
              <c:f>Sheet1!$C$1</c:f>
              <c:strCache>
                <c:ptCount val="1"/>
                <c:pt idx="0">
                  <c:v>2024年（万元）</c:v>
                </c:pt>
              </c:strCache>
            </c:strRef>
          </c:tx>
          <c:spPr>
            <a:solidFill>
              <a:schemeClr val="accent2"/>
            </a:solidFill>
            <a:ln>
              <a:noFill/>
            </a:ln>
            <a:effectLst/>
          </c:spPr>
          <c:invertIfNegative val="false"/>
          <c:dLbls>
            <c:delete val="true"/>
          </c:dLbls>
          <c:cat>
            <c:strRef>
              <c:f>Sheet1!$A$2:$A$3</c:f>
              <c:strCache>
                <c:ptCount val="2"/>
                <c:pt idx="0">
                  <c:v>决算总收入</c:v>
                </c:pt>
                <c:pt idx="1">
                  <c:v>决算总支出</c:v>
                </c:pt>
              </c:strCache>
            </c:strRef>
          </c:cat>
          <c:val>
            <c:numRef>
              <c:f>Sheet1!$C$2:$C$3</c:f>
              <c:numCache>
                <c:formatCode>General</c:formatCode>
                <c:ptCount val="2"/>
                <c:pt idx="0">
                  <c:v>8205.36</c:v>
                </c:pt>
                <c:pt idx="1">
                  <c:v>8205.36</c:v>
                </c:pt>
              </c:numCache>
            </c:numRef>
          </c:val>
        </c:ser>
        <c:dLbls>
          <c:showLegendKey val="false"/>
          <c:showVal val="false"/>
          <c:showCatName val="false"/>
          <c:showSerName val="false"/>
          <c:showPercent val="false"/>
          <c:showBubbleSize val="false"/>
        </c:dLbls>
        <c:gapWidth val="200"/>
        <c:overlap val="0"/>
        <c:axId val="100739973"/>
        <c:axId val="365635781"/>
      </c:barChart>
      <c:catAx>
        <c:axId val="100739973"/>
        <c:scaling>
          <c:orientation val="minMax"/>
        </c:scaling>
        <c:delete val="false"/>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true"/>
          <a:lstStyle/>
          <a:p>
            <a:pPr>
              <a:defRPr lang="zh-CN" sz="1200" b="0" i="0" u="none" strike="noStrike" kern="1200" baseline="0">
                <a:solidFill>
                  <a:schemeClr val="tx1">
                    <a:lumMod val="65000"/>
                    <a:lumOff val="35000"/>
                  </a:schemeClr>
                </a:solidFill>
                <a:latin typeface="宋体" panose="02010600030101010101" charset="-122"/>
                <a:ea typeface="宋体" panose="02010600030101010101" charset="-122"/>
                <a:cs typeface="宋体" panose="02010600030101010101" charset="-122"/>
                <a:sym typeface="宋体" panose="02010600030101010101" charset="-122"/>
              </a:defRPr>
            </a:pPr>
          </a:p>
        </c:txPr>
        <c:crossAx val="365635781"/>
        <c:crosses val="autoZero"/>
        <c:auto val="true"/>
        <c:lblAlgn val="ctr"/>
        <c:lblOffset val="100"/>
        <c:noMultiLvlLbl val="false"/>
      </c:catAx>
      <c:valAx>
        <c:axId val="365635781"/>
        <c:scaling>
          <c:orientation val="minMax"/>
          <c:max val="8300"/>
          <c:min val="7100"/>
        </c:scaling>
        <c:delete val="false"/>
        <c:axPos val="l"/>
        <c:majorGridlines>
          <c:spPr>
            <a:ln w="9525" cap="flat" cmpd="sng" algn="ctr">
              <a:solidFill>
                <a:schemeClr val="lt1">
                  <a:lumMod val="90200"/>
                </a:schemeClr>
              </a:solidFill>
              <a:round/>
            </a:ln>
            <a:effectLst/>
          </c:spPr>
        </c:majorGridlines>
        <c:numFmt formatCode="General" sourceLinked="true"/>
        <c:majorTickMark val="none"/>
        <c:minorTickMark val="none"/>
        <c:tickLblPos val="nextTo"/>
        <c:spPr>
          <a:noFill/>
          <a:ln>
            <a:noFill/>
          </a:ln>
          <a:effectLst/>
        </c:spPr>
        <c:txPr>
          <a:bodyPr rot="-60000000" spcFirstLastPara="0" vertOverflow="ellipsis" vert="horz" wrap="square" anchor="ctr" anchorCtr="true"/>
          <a:lstStyle/>
          <a:p>
            <a:pPr>
              <a:defRPr lang="zh-CN" sz="1200" b="0" i="0" u="none" strike="noStrike" kern="1200" baseline="0">
                <a:solidFill>
                  <a:schemeClr val="tx1">
                    <a:lumMod val="65000"/>
                    <a:lumOff val="35000"/>
                  </a:schemeClr>
                </a:solidFill>
                <a:latin typeface="宋体" panose="02010600030101010101" charset="-122"/>
                <a:ea typeface="宋体" panose="02010600030101010101" charset="-122"/>
                <a:cs typeface="宋体" panose="02010600030101010101" charset="-122"/>
                <a:sym typeface="宋体" panose="02010600030101010101" charset="-122"/>
              </a:defRPr>
            </a:pPr>
          </a:p>
        </c:txPr>
        <c:crossAx val="100739973"/>
        <c:crosses val="autoZero"/>
        <c:crossBetween val="between"/>
        <c:majorUnit val="200"/>
      </c:valAx>
      <c:spPr>
        <a:noFill/>
        <a:ln>
          <a:noFill/>
        </a:ln>
        <a:effectLst/>
      </c:spPr>
    </c:plotArea>
    <c:legend>
      <c:legendPos val="t"/>
      <c:legendEntry>
        <c:idx val="0"/>
        <c:txPr>
          <a:bodyPr rot="0" spcFirstLastPara="0" vertOverflow="ellipsis" vert="horz" wrap="square" anchor="ctr" anchorCtr="true"/>
          <a:lstStyle/>
          <a:p>
            <a:pPr>
              <a:defRPr lang="zh-CN" sz="1200" b="0" i="0" u="none" strike="noStrike" kern="1200" baseline="0">
                <a:solidFill>
                  <a:schemeClr val="tx1">
                    <a:lumMod val="65000"/>
                    <a:lumOff val="35000"/>
                  </a:schemeClr>
                </a:solidFill>
                <a:latin typeface="宋体" panose="02010600030101010101" charset="-122"/>
                <a:ea typeface="宋体" panose="02010600030101010101" charset="-122"/>
                <a:cs typeface="宋体" panose="02010600030101010101" charset="-122"/>
                <a:sym typeface="宋体" panose="02010600030101010101" charset="-122"/>
              </a:defRPr>
            </a:pPr>
          </a:p>
        </c:txPr>
      </c:legendEntry>
      <c:legendEntry>
        <c:idx val="1"/>
        <c:txPr>
          <a:bodyPr rot="0" spcFirstLastPara="0" vertOverflow="ellipsis" vert="horz" wrap="square" anchor="ctr" anchorCtr="true"/>
          <a:lstStyle/>
          <a:p>
            <a:pPr>
              <a:defRPr lang="zh-CN" sz="1200" b="0" i="0" u="none" strike="noStrike" kern="1200" baseline="0">
                <a:solidFill>
                  <a:schemeClr val="tx1">
                    <a:lumMod val="65000"/>
                    <a:lumOff val="35000"/>
                  </a:schemeClr>
                </a:solidFill>
                <a:latin typeface="宋体" panose="02010600030101010101" charset="-122"/>
                <a:ea typeface="宋体" panose="02010600030101010101" charset="-122"/>
                <a:cs typeface="宋体" panose="02010600030101010101" charset="-122"/>
                <a:sym typeface="宋体" panose="02010600030101010101" charset="-122"/>
              </a:defRPr>
            </a:pPr>
          </a:p>
        </c:txPr>
      </c:legendEntry>
      <c:layout/>
      <c:overlay val="false"/>
      <c:spPr>
        <a:noFill/>
        <a:ln>
          <a:noFill/>
        </a:ln>
        <a:effectLst/>
      </c:spPr>
      <c:txPr>
        <a:bodyPr rot="0" spcFirstLastPara="0" vertOverflow="ellipsis" vert="horz" wrap="square" anchor="ctr" anchorCtr="true"/>
        <a:lstStyle/>
        <a:p>
          <a:pPr>
            <a:defRPr lang="zh-CN" sz="1200" b="0" i="0" u="none" strike="noStrike" kern="1200" baseline="0">
              <a:solidFill>
                <a:schemeClr val="tx1">
                  <a:lumMod val="65000"/>
                  <a:lumOff val="35000"/>
                </a:schemeClr>
              </a:solidFill>
              <a:latin typeface="宋体" panose="02010600030101010101" charset="-122"/>
              <a:ea typeface="宋体" panose="02010600030101010101" charset="-122"/>
              <a:cs typeface="宋体" panose="02010600030101010101" charset="-122"/>
              <a:sym typeface="宋体" panose="02010600030101010101" charset="-122"/>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sz="1200">
          <a:latin typeface="宋体" panose="02010600030101010101" charset="-122"/>
          <a:ea typeface="宋体" panose="02010600030101010101" charset="-122"/>
          <a:cs typeface="宋体" panose="02010600030101010101" charset="-122"/>
          <a:sym typeface="宋体" panose="02010600030101010101" charset="-122"/>
        </a:defRPr>
      </a:pPr>
    </a:p>
  </c:txPr>
  <c:externalData r:id="rId1">
    <c:autoUpdate val="false"/>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defTabSz="914400">
              <a:defRPr lang="zh-CN" sz="1200" b="0" i="0" u="none" strike="noStrike" kern="1200" baseline="0">
                <a:solidFill>
                  <a:schemeClr val="tx1">
                    <a:lumMod val="75000"/>
                    <a:lumOff val="25000"/>
                  </a:schemeClr>
                </a:solidFill>
                <a:latin typeface="+mn-ea"/>
                <a:ea typeface="+mn-ea"/>
                <a:cs typeface="+mn-ea"/>
                <a:sym typeface="+mn-ea"/>
              </a:defRPr>
            </a:pPr>
            <a:r>
              <a:rPr sz="1200" b="0">
                <a:latin typeface="+mn-ea"/>
                <a:ea typeface="+mn-ea"/>
                <a:cs typeface="+mn-ea"/>
                <a:sym typeface="+mn-ea"/>
              </a:rPr>
              <a:t>占比</a:t>
            </a:r>
            <a:endParaRPr sz="1200" b="0">
              <a:latin typeface="+mn-ea"/>
              <a:ea typeface="+mn-ea"/>
              <a:cs typeface="+mn-ea"/>
              <a:sym typeface="+mn-ea"/>
            </a:endParaRPr>
          </a:p>
        </c:rich>
      </c:tx>
      <c:layout/>
      <c:overlay val="false"/>
      <c:spPr>
        <a:noFill/>
        <a:ln>
          <a:noFill/>
        </a:ln>
        <a:effectLst/>
      </c:spPr>
    </c:title>
    <c:autoTitleDeleted val="false"/>
    <c:plotArea>
      <c:layout/>
      <c:pieChart>
        <c:varyColors val="true"/>
        <c:ser>
          <c:idx val="0"/>
          <c:order val="0"/>
          <c:tx>
            <c:strRef>
              <c:f>Sheet1!$B$1</c:f>
              <c:strCache>
                <c:ptCount val="1"/>
                <c:pt idx="0">
                  <c:v>金额</c:v>
                </c:pt>
              </c:strCache>
            </c:strRef>
          </c:tx>
          <c:spPr/>
          <c:explosion val="0"/>
          <c:dPt>
            <c:idx val="0"/>
            <c:bubble3D val="false"/>
            <c:spPr>
              <a:solidFill>
                <a:schemeClr val="accent1"/>
              </a:solidFill>
              <a:ln>
                <a:solidFill>
                  <a:schemeClr val="bg1"/>
                </a:solidFill>
              </a:ln>
              <a:effectLst/>
            </c:spPr>
          </c:dPt>
          <c:dPt>
            <c:idx val="1"/>
            <c:bubble3D val="false"/>
            <c:spPr>
              <a:solidFill>
                <a:schemeClr val="accent2"/>
              </a:solidFill>
              <a:ln>
                <a:solidFill>
                  <a:schemeClr val="bg1"/>
                </a:solidFill>
              </a:ln>
              <a:effectLst/>
            </c:spPr>
          </c:dPt>
          <c:dPt>
            <c:idx val="2"/>
            <c:bubble3D val="false"/>
            <c:spPr>
              <a:solidFill>
                <a:schemeClr val="accent3"/>
              </a:solidFill>
              <a:ln>
                <a:solidFill>
                  <a:schemeClr val="bg1"/>
                </a:solidFill>
              </a:ln>
              <a:effectLst/>
            </c:spPr>
          </c:dPt>
          <c:dLbls>
            <c:delete val="true"/>
          </c:dLbls>
          <c:cat>
            <c:strRef>
              <c:f>Sheet1!$A$2:$A$4</c:f>
              <c:strCache>
                <c:ptCount val="3"/>
                <c:pt idx="0">
                  <c:v>一般公共预算财政拨款收入</c:v>
                </c:pt>
                <c:pt idx="1">
                  <c:v>事业收入</c:v>
                </c:pt>
                <c:pt idx="2">
                  <c:v>其他收入</c:v>
                </c:pt>
              </c:strCache>
            </c:strRef>
          </c:cat>
          <c:val>
            <c:numRef>
              <c:f>Sheet1!$B$2:$B$4</c:f>
              <c:numCache>
                <c:formatCode>General</c:formatCode>
                <c:ptCount val="3"/>
                <c:pt idx="0">
                  <c:v>7077.91</c:v>
                </c:pt>
                <c:pt idx="1">
                  <c:v>630.43</c:v>
                </c:pt>
                <c:pt idx="2">
                  <c:v>497.01</c:v>
                </c:pt>
              </c:numCache>
            </c:numRef>
          </c:val>
        </c:ser>
        <c:dLbls>
          <c:showLegendKey val="false"/>
          <c:showVal val="false"/>
          <c:showCatName val="false"/>
          <c:showSerName val="false"/>
          <c:showPercent val="true"/>
          <c:showBubbleSize val="false"/>
          <c:showLeaderLines val="true"/>
        </c:dLbls>
        <c:firstSliceAng val="0"/>
      </c:pieChart>
      <c:spPr>
        <a:noFill/>
        <a:ln>
          <a:noFill/>
        </a:ln>
        <a:effectLst/>
      </c:spPr>
    </c:plotArea>
    <c:legend>
      <c:legendPos val="b"/>
      <c:legendEntry>
        <c:idx val="0"/>
        <c:txPr>
          <a:bodyPr rot="0" spcFirstLastPara="0" vertOverflow="ellipsis" vert="horz" wrap="square" anchor="ctr" anchorCtr="true"/>
          <a:lstStyle/>
          <a:p>
            <a:pPr>
              <a:defRPr lang="zh-CN" sz="1000" b="0" i="0" u="none" strike="noStrike" kern="1200" baseline="0">
                <a:solidFill>
                  <a:schemeClr val="tx1">
                    <a:lumMod val="65000"/>
                    <a:lumOff val="35000"/>
                  </a:schemeClr>
                </a:solidFill>
                <a:latin typeface="+mn-ea"/>
                <a:ea typeface="+mn-ea"/>
                <a:cs typeface="+mn-ea"/>
                <a:sym typeface="+mn-ea"/>
              </a:defRPr>
            </a:pPr>
          </a:p>
        </c:txPr>
      </c:legendEntry>
      <c:legendEntry>
        <c:idx val="1"/>
        <c:txPr>
          <a:bodyPr rot="0" spcFirstLastPara="0" vertOverflow="ellipsis" vert="horz" wrap="square" anchor="ctr" anchorCtr="true"/>
          <a:lstStyle/>
          <a:p>
            <a:pPr>
              <a:defRPr lang="zh-CN" sz="1000" b="0" i="0" u="none" strike="noStrike" kern="1200" baseline="0">
                <a:solidFill>
                  <a:schemeClr val="tx1">
                    <a:lumMod val="65000"/>
                    <a:lumOff val="35000"/>
                  </a:schemeClr>
                </a:solidFill>
                <a:latin typeface="+mn-ea"/>
                <a:ea typeface="+mn-ea"/>
                <a:cs typeface="+mn-ea"/>
                <a:sym typeface="+mn-ea"/>
              </a:defRPr>
            </a:pPr>
          </a:p>
        </c:txPr>
      </c:legendEntry>
      <c:legendEntry>
        <c:idx val="2"/>
        <c:txPr>
          <a:bodyPr rot="0" spcFirstLastPara="0" vertOverflow="ellipsis" vert="horz" wrap="square" anchor="ctr" anchorCtr="true"/>
          <a:lstStyle/>
          <a:p>
            <a:pPr>
              <a:defRPr lang="zh-CN" sz="1000" b="0" i="0" u="none" strike="noStrike" kern="1200" baseline="0">
                <a:solidFill>
                  <a:schemeClr val="tx1">
                    <a:lumMod val="65000"/>
                    <a:lumOff val="35000"/>
                  </a:schemeClr>
                </a:solidFill>
                <a:latin typeface="+mn-ea"/>
                <a:ea typeface="+mn-ea"/>
                <a:cs typeface="+mn-ea"/>
                <a:sym typeface="+mn-ea"/>
              </a:defRPr>
            </a:pPr>
          </a:p>
        </c:txPr>
      </c:legendEntry>
      <c:layout/>
      <c:overlay val="false"/>
      <c:spPr>
        <a:noFill/>
        <a:ln>
          <a:noFill/>
        </a:ln>
        <a:effectLst/>
      </c:spPr>
      <c:txPr>
        <a:bodyPr rot="0" spcFirstLastPara="0" vertOverflow="ellipsis" vert="horz" wrap="square" anchor="ctr" anchorCtr="true"/>
        <a:lstStyle/>
        <a:p>
          <a:pPr>
            <a:defRPr lang="zh-CN" sz="1000" b="0" i="0" u="none" strike="noStrike" kern="1200" baseline="0">
              <a:solidFill>
                <a:schemeClr val="tx1">
                  <a:lumMod val="65000"/>
                  <a:lumOff val="35000"/>
                </a:schemeClr>
              </a:solidFill>
              <a:latin typeface="+mn-ea"/>
              <a:ea typeface="+mn-ea"/>
              <a:cs typeface="+mn-ea"/>
              <a:sym typeface="+mn-ea"/>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sz="1000" b="0">
          <a:latin typeface="+mn-ea"/>
          <a:ea typeface="+mn-ea"/>
          <a:cs typeface="+mn-ea"/>
          <a:sym typeface="+mn-ea"/>
        </a:defRPr>
      </a:pPr>
    </a:p>
  </c:txPr>
  <c:externalData r:id="rId1">
    <c:autoUpdate val="false"/>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defTabSz="914400">
              <a:defRPr lang="zh-CN" sz="1400" b="0" i="0" u="none" strike="noStrike" kern="1200" baseline="0">
                <a:solidFill>
                  <a:schemeClr val="tx1">
                    <a:lumMod val="75000"/>
                    <a:lumOff val="25000"/>
                  </a:schemeClr>
                </a:solidFill>
                <a:latin typeface="+mn-lt"/>
                <a:ea typeface="+mn-ea"/>
                <a:cs typeface="+mn-cs"/>
              </a:defRPr>
            </a:pPr>
            <a:r>
              <a:rPr sz="1400" b="0"/>
              <a:t>占比</a:t>
            </a:r>
            <a:endParaRPr sz="1400" b="0"/>
          </a:p>
        </c:rich>
      </c:tx>
      <c:layout/>
      <c:overlay val="false"/>
      <c:spPr>
        <a:noFill/>
        <a:ln>
          <a:noFill/>
        </a:ln>
        <a:effectLst/>
      </c:spPr>
    </c:title>
    <c:autoTitleDeleted val="false"/>
    <c:plotArea>
      <c:layout/>
      <c:pieChart>
        <c:varyColors val="true"/>
        <c:ser>
          <c:idx val="0"/>
          <c:order val="0"/>
          <c:tx>
            <c:strRef>
              <c:f>Sheet1!$B$1</c:f>
              <c:strCache>
                <c:ptCount val="1"/>
                <c:pt idx="0">
                  <c:v>金额</c:v>
                </c:pt>
              </c:strCache>
            </c:strRef>
          </c:tx>
          <c:spPr/>
          <c:explosion val="0"/>
          <c:dPt>
            <c:idx val="0"/>
            <c:bubble3D val="false"/>
            <c:spPr>
              <a:solidFill>
                <a:schemeClr val="accent1"/>
              </a:solidFill>
              <a:ln>
                <a:solidFill>
                  <a:schemeClr val="bg1"/>
                </a:solidFill>
              </a:ln>
              <a:effectLst/>
            </c:spPr>
          </c:dPt>
          <c:dPt>
            <c:idx val="1"/>
            <c:bubble3D val="false"/>
            <c:spPr>
              <a:solidFill>
                <a:schemeClr val="accent2"/>
              </a:solidFill>
              <a:ln>
                <a:solidFill>
                  <a:schemeClr val="bg1"/>
                </a:solidFill>
              </a:ln>
              <a:effectLst/>
            </c:spPr>
          </c:dPt>
          <c:dLbls>
            <c:delete val="true"/>
          </c:dLbls>
          <c:cat>
            <c:strRef>
              <c:f>Sheet1!$A$2:$A$3</c:f>
              <c:strCache>
                <c:ptCount val="2"/>
                <c:pt idx="0">
                  <c:v>基本支出</c:v>
                </c:pt>
                <c:pt idx="1">
                  <c:v>项目支出</c:v>
                </c:pt>
              </c:strCache>
            </c:strRef>
          </c:cat>
          <c:val>
            <c:numRef>
              <c:f>Sheet1!$B$2:$B$3</c:f>
              <c:numCache>
                <c:formatCode>General</c:formatCode>
                <c:ptCount val="2"/>
                <c:pt idx="0">
                  <c:v>4967.18</c:v>
                </c:pt>
                <c:pt idx="1">
                  <c:v>3238.18</c:v>
                </c:pt>
              </c:numCache>
            </c:numRef>
          </c:val>
        </c:ser>
        <c:dLbls>
          <c:showLegendKey val="false"/>
          <c:showVal val="false"/>
          <c:showCatName val="false"/>
          <c:showSerName val="false"/>
          <c:showPercent val="true"/>
          <c:showBubbleSize val="false"/>
          <c:showLeaderLines val="true"/>
        </c:dLbls>
        <c:firstSliceAng val="0"/>
      </c:pieChart>
      <c:spPr>
        <a:noFill/>
        <a:ln>
          <a:noFill/>
        </a:ln>
        <a:effectLst/>
      </c:spPr>
    </c:plotArea>
    <c:legend>
      <c:legendPos val="b"/>
      <c:legendEntry>
        <c:idx val="0"/>
        <c:txPr>
          <a:bodyPr rot="0" spcFirstLastPara="0" vertOverflow="ellipsis" vert="horz" wrap="square" anchor="ctr" anchorCtr="true"/>
          <a:lstStyle/>
          <a:p>
            <a:pPr>
              <a:defRPr lang="zh-CN" sz="1000" b="0" i="0" u="none" strike="noStrike" kern="1200" baseline="0">
                <a:solidFill>
                  <a:schemeClr val="tx1">
                    <a:lumMod val="65000"/>
                    <a:lumOff val="35000"/>
                  </a:schemeClr>
                </a:solidFill>
                <a:latin typeface="+mn-lt"/>
                <a:ea typeface="+mn-ea"/>
                <a:cs typeface="+mn-cs"/>
              </a:defRPr>
            </a:pPr>
          </a:p>
        </c:txPr>
      </c:legendEntry>
      <c:legendEntry>
        <c:idx val="1"/>
        <c:txPr>
          <a:bodyPr rot="0" spcFirstLastPara="0" vertOverflow="ellipsis" vert="horz" wrap="square" anchor="ctr" anchorCtr="true"/>
          <a:lstStyle/>
          <a:p>
            <a:pPr>
              <a:defRPr lang="zh-CN" sz="1000" b="0" i="0" u="none" strike="noStrike" kern="1200" baseline="0">
                <a:solidFill>
                  <a:schemeClr val="tx1">
                    <a:lumMod val="65000"/>
                    <a:lumOff val="35000"/>
                  </a:schemeClr>
                </a:solidFill>
                <a:latin typeface="+mn-lt"/>
                <a:ea typeface="+mn-ea"/>
                <a:cs typeface="+mn-cs"/>
              </a:defRPr>
            </a:pPr>
          </a:p>
        </c:txPr>
      </c:legendEntry>
      <c:layout/>
      <c:overlay val="false"/>
      <c:spPr>
        <a:noFill/>
        <a:ln>
          <a:noFill/>
        </a:ln>
        <a:effectLst/>
      </c:spPr>
      <c:txPr>
        <a:bodyPr rot="0" spcFirstLastPara="0" vertOverflow="ellipsis" vert="horz" wrap="square" anchor="ctr" anchorCtr="true"/>
        <a:lstStyle/>
        <a:p>
          <a:pPr>
            <a:defRPr lang="zh-CN" sz="10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sz="1400" b="1"/>
      </a:pPr>
    </a:p>
  </c:txPr>
  <c:externalData r:id="rId1">
    <c:autoUpdate val="false"/>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barChart>
        <c:barDir val="col"/>
        <c:grouping val="clustered"/>
        <c:varyColors val="false"/>
        <c:ser>
          <c:idx val="0"/>
          <c:order val="0"/>
          <c:tx>
            <c:strRef>
              <c:f>Sheet1!$B$1</c:f>
              <c:strCache>
                <c:ptCount val="1"/>
                <c:pt idx="0">
                  <c:v>2023年（万元）</c:v>
                </c:pt>
              </c:strCache>
            </c:strRef>
          </c:tx>
          <c:spPr>
            <a:solidFill>
              <a:schemeClr val="accent1"/>
            </a:solidFill>
            <a:ln>
              <a:noFill/>
            </a:ln>
            <a:effectLst/>
          </c:spPr>
          <c:invertIfNegative val="false"/>
          <c:dLbls>
            <c:spPr>
              <a:noFill/>
              <a:ln>
                <a:noFill/>
              </a:ln>
              <a:effectLst/>
            </c:spPr>
            <c:txPr>
              <a:bodyPr rot="0" spcFirstLastPara="0" vertOverflow="ellipsis" vert="horz" wrap="square" lIns="38100" tIns="19050" rIns="38100" bIns="19050" anchor="ctr" anchorCtr="true"/>
              <a:lstStyle/>
              <a:p>
                <a:pPr>
                  <a:defRPr lang="zh-CN" sz="1200" b="0" i="0" u="none" strike="noStrike" kern="1200" baseline="0">
                    <a:solidFill>
                      <a:schemeClr val="tx1">
                        <a:lumMod val="75000"/>
                        <a:lumOff val="25000"/>
                      </a:schemeClr>
                    </a:solidFill>
                    <a:latin typeface="+mn-lt"/>
                    <a:ea typeface="+mn-ea"/>
                    <a:cs typeface="+mn-cs"/>
                  </a:defRPr>
                </a:pPr>
              </a:p>
            </c:txPr>
            <c:dLblPos val="in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Sheet1!$A$2:$A$3</c:f>
              <c:strCache>
                <c:ptCount val="2"/>
                <c:pt idx="0">
                  <c:v>财政拨款收入总计</c:v>
                </c:pt>
                <c:pt idx="1">
                  <c:v>财政拨款支出总计</c:v>
                </c:pt>
              </c:strCache>
            </c:strRef>
          </c:cat>
          <c:val>
            <c:numRef>
              <c:f>Sheet1!$B$2:$B$3</c:f>
              <c:numCache>
                <c:formatCode>General</c:formatCode>
                <c:ptCount val="2"/>
                <c:pt idx="0">
                  <c:v>7321.25</c:v>
                </c:pt>
                <c:pt idx="1">
                  <c:v>7321.25</c:v>
                </c:pt>
              </c:numCache>
            </c:numRef>
          </c:val>
        </c:ser>
        <c:ser>
          <c:idx val="1"/>
          <c:order val="1"/>
          <c:tx>
            <c:strRef>
              <c:f>Sheet1!$C$1:$C$1</c:f>
              <c:strCache>
                <c:ptCount val="1"/>
                <c:pt idx="0">
                  <c:v>2024年（万元）</c:v>
                </c:pt>
              </c:strCache>
            </c:strRef>
          </c:tx>
          <c:spPr>
            <a:solidFill>
              <a:schemeClr val="accent2"/>
            </a:solidFill>
            <a:ln>
              <a:noFill/>
            </a:ln>
            <a:effectLst/>
          </c:spPr>
          <c:invertIfNegative val="false"/>
          <c:dLbls>
            <c:spPr>
              <a:noFill/>
              <a:ln>
                <a:noFill/>
              </a:ln>
              <a:effectLst/>
            </c:spPr>
            <c:txPr>
              <a:bodyPr rot="0" spcFirstLastPara="0" vertOverflow="ellipsis" vert="horz" wrap="square" lIns="38100" tIns="19050" rIns="38100" bIns="19050" anchor="ctr" anchorCtr="true"/>
              <a:lstStyle/>
              <a:p>
                <a:pPr>
                  <a:defRPr lang="zh-CN" sz="1200" b="0" i="0" u="none" strike="noStrike" kern="1200" baseline="0">
                    <a:solidFill>
                      <a:schemeClr val="tx1">
                        <a:lumMod val="75000"/>
                        <a:lumOff val="25000"/>
                      </a:schemeClr>
                    </a:solidFill>
                    <a:latin typeface="+mn-lt"/>
                    <a:ea typeface="+mn-ea"/>
                    <a:cs typeface="+mn-cs"/>
                  </a:defRPr>
                </a:pPr>
              </a:p>
            </c:txPr>
            <c:dLblPos val="in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Sheet1!$A$2:$A$3</c:f>
              <c:strCache>
                <c:ptCount val="2"/>
                <c:pt idx="0">
                  <c:v>财政拨款收入总计</c:v>
                </c:pt>
                <c:pt idx="1">
                  <c:v>财政拨款支出总计</c:v>
                </c:pt>
              </c:strCache>
            </c:strRef>
          </c:cat>
          <c:val>
            <c:numRef>
              <c:f>Sheet1!$C$2:$C$3</c:f>
              <c:numCache>
                <c:formatCode>General</c:formatCode>
                <c:ptCount val="2"/>
                <c:pt idx="0">
                  <c:v>7077.91</c:v>
                </c:pt>
                <c:pt idx="1">
                  <c:v>7077.91</c:v>
                </c:pt>
              </c:numCache>
            </c:numRef>
          </c:val>
        </c:ser>
        <c:dLbls>
          <c:showLegendKey val="false"/>
          <c:showVal val="true"/>
          <c:showCatName val="false"/>
          <c:showSerName val="false"/>
          <c:showPercent val="false"/>
          <c:showBubbleSize val="false"/>
        </c:dLbls>
        <c:gapWidth val="246"/>
        <c:overlap val="0"/>
        <c:axId val="751416018"/>
        <c:axId val="139961437"/>
      </c:barChart>
      <c:catAx>
        <c:axId val="751416018"/>
        <c:scaling>
          <c:orientation val="minMax"/>
        </c:scaling>
        <c:delete val="false"/>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true"/>
          <a:lstStyle/>
          <a:p>
            <a:pPr>
              <a:defRPr lang="zh-CN" sz="1200" b="0" i="0" u="none" strike="noStrike" kern="1200" baseline="0">
                <a:solidFill>
                  <a:schemeClr val="tx1">
                    <a:lumMod val="65000"/>
                    <a:lumOff val="35000"/>
                  </a:schemeClr>
                </a:solidFill>
                <a:latin typeface="+mn-lt"/>
                <a:ea typeface="+mn-ea"/>
                <a:cs typeface="+mn-cs"/>
              </a:defRPr>
            </a:pPr>
          </a:p>
        </c:txPr>
        <c:crossAx val="139961437"/>
        <c:crosses val="autoZero"/>
        <c:auto val="true"/>
        <c:lblAlgn val="ctr"/>
        <c:lblOffset val="100"/>
        <c:noMultiLvlLbl val="false"/>
      </c:catAx>
      <c:valAx>
        <c:axId val="139961437"/>
        <c:scaling>
          <c:orientation val="minMax"/>
          <c:max val="8000"/>
          <c:min val="0"/>
        </c:scaling>
        <c:delete val="false"/>
        <c:axPos val="l"/>
        <c:majorGridlines>
          <c:spPr>
            <a:ln w="9525" cap="flat" cmpd="sng" algn="ctr">
              <a:solidFill>
                <a:schemeClr val="lt1">
                  <a:lumMod val="90200"/>
                </a:schemeClr>
              </a:solidFill>
              <a:round/>
            </a:ln>
            <a:effectLst/>
          </c:spPr>
        </c:majorGridlines>
        <c:numFmt formatCode="General" sourceLinked="true"/>
        <c:majorTickMark val="none"/>
        <c:minorTickMark val="none"/>
        <c:tickLblPos val="nextTo"/>
        <c:spPr>
          <a:noFill/>
          <a:ln>
            <a:noFill/>
          </a:ln>
          <a:effectLst/>
        </c:spPr>
        <c:txPr>
          <a:bodyPr rot="-60000000" spcFirstLastPara="0" vertOverflow="ellipsis" vert="horz" wrap="square" anchor="ctr" anchorCtr="true"/>
          <a:lstStyle/>
          <a:p>
            <a:pPr>
              <a:defRPr lang="zh-CN" sz="1200" b="0" i="0" u="none" strike="noStrike" kern="1200" baseline="0">
                <a:solidFill>
                  <a:schemeClr val="tx1">
                    <a:lumMod val="65000"/>
                    <a:lumOff val="35000"/>
                  </a:schemeClr>
                </a:solidFill>
                <a:latin typeface="+mn-lt"/>
                <a:ea typeface="+mn-ea"/>
                <a:cs typeface="+mn-cs"/>
              </a:defRPr>
            </a:pPr>
          </a:p>
        </c:txPr>
        <c:crossAx val="751416018"/>
        <c:crosses val="autoZero"/>
        <c:crossBetween val="between"/>
        <c:majorUnit val="1000"/>
      </c:valAx>
      <c:spPr>
        <a:noFill/>
        <a:ln>
          <a:noFill/>
        </a:ln>
        <a:effectLst/>
      </c:spPr>
    </c:plotArea>
    <c:legend>
      <c:legendPos val="t"/>
      <c:legendEntry>
        <c:idx val="0"/>
        <c:txPr>
          <a:bodyPr rot="0" spcFirstLastPara="0" vertOverflow="ellipsis" vert="horz" wrap="square" anchor="ctr" anchorCtr="true"/>
          <a:lstStyle/>
          <a:p>
            <a:pPr>
              <a:defRPr lang="zh-CN" sz="1000" b="0" i="0" u="none" strike="noStrike" kern="1200" baseline="0">
                <a:solidFill>
                  <a:schemeClr val="tx1">
                    <a:lumMod val="65000"/>
                    <a:lumOff val="35000"/>
                  </a:schemeClr>
                </a:solidFill>
                <a:latin typeface="+mn-lt"/>
                <a:ea typeface="+mn-ea"/>
                <a:cs typeface="+mn-cs"/>
              </a:defRPr>
            </a:pPr>
          </a:p>
        </c:txPr>
      </c:legendEntry>
      <c:legendEntry>
        <c:idx val="1"/>
        <c:txPr>
          <a:bodyPr rot="0" spcFirstLastPara="0" vertOverflow="ellipsis" vert="horz" wrap="square" anchor="ctr" anchorCtr="true"/>
          <a:lstStyle/>
          <a:p>
            <a:pPr>
              <a:defRPr lang="zh-CN" sz="1000" b="0" i="0" u="none" strike="noStrike" kern="1200" baseline="0">
                <a:solidFill>
                  <a:schemeClr val="tx1">
                    <a:lumMod val="65000"/>
                    <a:lumOff val="35000"/>
                  </a:schemeClr>
                </a:solidFill>
                <a:latin typeface="+mn-lt"/>
                <a:ea typeface="+mn-ea"/>
                <a:cs typeface="+mn-cs"/>
              </a:defRPr>
            </a:pPr>
          </a:p>
        </c:txPr>
      </c:legendEntry>
      <c:layout/>
      <c:overlay val="false"/>
      <c:spPr>
        <a:noFill/>
        <a:ln>
          <a:noFill/>
        </a:ln>
        <a:effectLst/>
      </c:spPr>
      <c:txPr>
        <a:bodyPr rot="0" spcFirstLastPara="0" vertOverflow="ellipsis" vert="horz" wrap="square" anchor="ctr" anchorCtr="true"/>
        <a:lstStyle/>
        <a:p>
          <a:pPr>
            <a:defRPr lang="zh-CN" sz="10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sz="1200"/>
      </a:pPr>
    </a:p>
  </c:txPr>
  <c:externalData r:id="rId1">
    <c:autoUpdate val="false"/>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barChart>
        <c:barDir val="col"/>
        <c:grouping val="clustered"/>
        <c:varyColors val="false"/>
        <c:ser>
          <c:idx val="0"/>
          <c:order val="0"/>
          <c:tx>
            <c:strRef>
              <c:f>Sheet1!$B$1</c:f>
              <c:strCache>
                <c:ptCount val="1"/>
                <c:pt idx="0">
                  <c:v>2023年（万元）</c:v>
                </c:pt>
              </c:strCache>
            </c:strRef>
          </c:tx>
          <c:spPr>
            <a:solidFill>
              <a:schemeClr val="accent1"/>
            </a:solidFill>
            <a:ln>
              <a:noFill/>
            </a:ln>
            <a:effectLst/>
          </c:spPr>
          <c:invertIfNegative val="false"/>
          <c:dLbls>
            <c:spPr>
              <a:noFill/>
              <a:ln>
                <a:noFill/>
              </a:ln>
              <a:effectLst/>
            </c:spPr>
            <c:txPr>
              <a:bodyPr rot="0" spcFirstLastPara="0" vertOverflow="ellipsis" vert="horz" wrap="square" lIns="38100" tIns="19050" rIns="38100" bIns="19050" anchor="ctr" anchorCtr="true"/>
              <a:lstStyle/>
              <a:p>
                <a:pPr>
                  <a:defRPr lang="zh-CN" sz="1200" b="0" i="0" u="none" strike="noStrike" kern="1200" baseline="0">
                    <a:solidFill>
                      <a:schemeClr val="tx1">
                        <a:lumMod val="75000"/>
                        <a:lumOff val="25000"/>
                      </a:schemeClr>
                    </a:solidFill>
                    <a:latin typeface="+mn-lt"/>
                    <a:ea typeface="+mn-ea"/>
                    <a:cs typeface="+mn-cs"/>
                  </a:defRPr>
                </a:pPr>
              </a:p>
            </c:txPr>
            <c:dLblPos val="in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numRef>
              <c:f>Sheet1!$A$2</c:f>
              <c:numCache>
                <c:formatCode>General</c:formatCode>
                <c:ptCount val="1"/>
              </c:numCache>
            </c:numRef>
          </c:cat>
          <c:val>
            <c:numRef>
              <c:f>Sheet1!$B$2</c:f>
              <c:numCache>
                <c:formatCode>General</c:formatCode>
                <c:ptCount val="1"/>
                <c:pt idx="0">
                  <c:v>7321.25</c:v>
                </c:pt>
              </c:numCache>
            </c:numRef>
          </c:val>
        </c:ser>
        <c:ser>
          <c:idx val="1"/>
          <c:order val="1"/>
          <c:tx>
            <c:strRef>
              <c:f>Sheet1!$C$1</c:f>
              <c:strCache>
                <c:ptCount val="1"/>
                <c:pt idx="0">
                  <c:v>2024年（万元）</c:v>
                </c:pt>
              </c:strCache>
            </c:strRef>
          </c:tx>
          <c:spPr>
            <a:solidFill>
              <a:schemeClr val="accent2"/>
            </a:solidFill>
            <a:ln>
              <a:noFill/>
            </a:ln>
            <a:effectLst/>
          </c:spPr>
          <c:invertIfNegative val="false"/>
          <c:dLbls>
            <c:spPr>
              <a:noFill/>
              <a:ln>
                <a:noFill/>
              </a:ln>
              <a:effectLst/>
            </c:spPr>
            <c:txPr>
              <a:bodyPr rot="0" spcFirstLastPara="0" vertOverflow="ellipsis" vert="horz" wrap="square" lIns="38100" tIns="19050" rIns="38100" bIns="19050" anchor="ctr" anchorCtr="true"/>
              <a:lstStyle/>
              <a:p>
                <a:pPr>
                  <a:defRPr lang="zh-CN" sz="1200" b="0" i="0" u="none" strike="noStrike" kern="1200" baseline="0">
                    <a:solidFill>
                      <a:schemeClr val="tx1">
                        <a:lumMod val="75000"/>
                        <a:lumOff val="25000"/>
                      </a:schemeClr>
                    </a:solidFill>
                    <a:latin typeface="+mn-lt"/>
                    <a:ea typeface="+mn-ea"/>
                    <a:cs typeface="+mn-cs"/>
                  </a:defRPr>
                </a:pPr>
              </a:p>
            </c:txPr>
            <c:dLblPos val="in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numRef>
              <c:f>Sheet1!$A$2</c:f>
              <c:numCache>
                <c:formatCode>General</c:formatCode>
                <c:ptCount val="1"/>
              </c:numCache>
            </c:numRef>
          </c:cat>
          <c:val>
            <c:numRef>
              <c:f>Sheet1!$C$2</c:f>
              <c:numCache>
                <c:formatCode>General</c:formatCode>
                <c:ptCount val="1"/>
                <c:pt idx="0">
                  <c:v>7077.91</c:v>
                </c:pt>
              </c:numCache>
            </c:numRef>
          </c:val>
        </c:ser>
        <c:dLbls>
          <c:showLegendKey val="false"/>
          <c:showVal val="false"/>
          <c:showCatName val="false"/>
          <c:showSerName val="false"/>
          <c:showPercent val="false"/>
          <c:showBubbleSize val="false"/>
        </c:dLbls>
        <c:gapWidth val="246"/>
        <c:overlap val="-28"/>
        <c:axId val="245937615"/>
        <c:axId val="226946670"/>
        <c:extLst>
          <c:ext xmlns:c15="http://schemas.microsoft.com/office/drawing/2012/chart" uri="{02D57815-91ED-43cb-92C2-25804820EDAC}">
            <c15:filteredBarSeries>
              <c15:ser>
                <c:idx val="2"/>
                <c:order val="2"/>
                <c:tx>
                  <c:strRef>
                    <c:extLst>
                      <c:ext uri="{02D57815-91ED-43cb-92C2-25804820EDAC}">
                        <c15:formulaRef>
                          <c15:sqref>Sheet1!#REF!</c15:sqref>
                        </c15:formulaRef>
                      </c:ext>
                    </c:extLst>
                    <c:strCache>
                      <c:ptCount val="1"/>
                      <c:pt idx="0">
                        <c:v/>
                      </c:pt>
                    </c:strCache>
                  </c:strRef>
                </c:tx>
                <c:spPr>
                  <a:solidFill>
                    <a:schemeClr val="accent3"/>
                  </a:solidFill>
                  <a:ln>
                    <a:noFill/>
                  </a:ln>
                  <a:effectLst/>
                </c:spPr>
                <c:invertIfNegative val="false"/>
                <c:dLbls>
                  <c:delete val="true"/>
                </c:dLbls>
                <c:cat>
                  <c:numRef>
                    <c:extLst>
                      <c:ext uri="{02D57815-91ED-43cb-92C2-25804820EDAC}">
                        <c15:fullRef>
                          <c15:sqref/>
                        </c15:fullRef>
                        <c15:formulaRef>
                          <c15:sqref>Sheet1!$A$2</c15:sqref>
                        </c15:formulaRef>
                      </c:ext>
                    </c:extLst>
                    <c:numCache>
                      <c:formatCode>General</c:formatCode>
                      <c:ptCount val="1"/>
                    </c:numCache>
                  </c:numRef>
                </c:cat>
                <c:val>
                  <c:numRef>
                    <c:extLst>
                      <c:ext uri="{02D57815-91ED-43cb-92C2-25804820EDAC}">
                        <c15:formulaRef>
                          <c15:sqref>Sheet1!#REF!</c15:sqref>
                        </c15:formulaRef>
                      </c:ext>
                    </c:extLst>
                    <c:numCache>
                      <c:formatCode>General</c:formatCode>
                      <c:ptCount val="1"/>
                      <c:pt idx="0">
                        <c:v>1</c:v>
                      </c:pt>
                    </c:numCache>
                  </c:numRef>
                </c:val>
              </c15:ser>
            </c15:filteredBarSeries>
          </c:ext>
        </c:extLst>
      </c:barChart>
      <c:catAx>
        <c:axId val="245937615"/>
        <c:scaling>
          <c:orientation val="minMax"/>
        </c:scaling>
        <c:delete val="false"/>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true"/>
          <a:lstStyle/>
          <a:p>
            <a:pPr>
              <a:defRPr lang="zh-CN" sz="1200" b="0" i="0" u="none" strike="noStrike" kern="1200" baseline="0">
                <a:solidFill>
                  <a:schemeClr val="tx1">
                    <a:lumMod val="65000"/>
                    <a:lumOff val="35000"/>
                  </a:schemeClr>
                </a:solidFill>
                <a:latin typeface="+mn-lt"/>
                <a:ea typeface="+mn-ea"/>
                <a:cs typeface="+mn-cs"/>
              </a:defRPr>
            </a:pPr>
          </a:p>
        </c:txPr>
        <c:crossAx val="226946670"/>
        <c:crosses val="autoZero"/>
        <c:auto val="true"/>
        <c:lblAlgn val="ctr"/>
        <c:lblOffset val="100"/>
        <c:noMultiLvlLbl val="false"/>
      </c:catAx>
      <c:valAx>
        <c:axId val="226946670"/>
        <c:scaling>
          <c:orientation val="minMax"/>
          <c:min val="0"/>
        </c:scaling>
        <c:delete val="false"/>
        <c:axPos val="l"/>
        <c:majorGridlines>
          <c:spPr>
            <a:ln w="9525" cap="flat" cmpd="sng" algn="ctr">
              <a:solidFill>
                <a:schemeClr val="lt1">
                  <a:lumMod val="90200"/>
                </a:schemeClr>
              </a:solidFill>
              <a:round/>
            </a:ln>
            <a:effectLst/>
          </c:spPr>
        </c:majorGridlines>
        <c:numFmt formatCode="General" sourceLinked="true"/>
        <c:majorTickMark val="none"/>
        <c:minorTickMark val="none"/>
        <c:tickLblPos val="nextTo"/>
        <c:spPr>
          <a:noFill/>
          <a:ln>
            <a:noFill/>
          </a:ln>
          <a:effectLst/>
        </c:spPr>
        <c:txPr>
          <a:bodyPr rot="-60000000" spcFirstLastPara="0" vertOverflow="ellipsis" vert="horz" wrap="square" anchor="ctr" anchorCtr="true"/>
          <a:lstStyle/>
          <a:p>
            <a:pPr>
              <a:defRPr lang="zh-CN" sz="1200" b="0" i="0" u="none" strike="noStrike" kern="1200" baseline="0">
                <a:solidFill>
                  <a:schemeClr val="tx1">
                    <a:lumMod val="65000"/>
                    <a:lumOff val="35000"/>
                  </a:schemeClr>
                </a:solidFill>
                <a:latin typeface="+mn-lt"/>
                <a:ea typeface="+mn-ea"/>
                <a:cs typeface="+mn-cs"/>
              </a:defRPr>
            </a:pPr>
          </a:p>
        </c:txPr>
        <c:crossAx val="245937615"/>
        <c:crosses val="autoZero"/>
        <c:crossBetween val="between"/>
        <c:majorUnit val="1000"/>
      </c:valAx>
      <c:spPr>
        <a:noFill/>
        <a:ln>
          <a:noFill/>
        </a:ln>
        <a:effectLst/>
      </c:spPr>
    </c:plotArea>
    <c:legend>
      <c:legendPos val="b"/>
      <c:legendEntry>
        <c:idx val="0"/>
        <c:txPr>
          <a:bodyPr rot="0" spcFirstLastPara="0" vertOverflow="ellipsis" vert="horz" wrap="square" anchor="ctr" anchorCtr="true"/>
          <a:lstStyle/>
          <a:p>
            <a:pPr>
              <a:defRPr lang="zh-CN" sz="1000" b="0" i="0" u="none" strike="noStrike" kern="1200" baseline="0">
                <a:solidFill>
                  <a:schemeClr val="tx1">
                    <a:lumMod val="65000"/>
                    <a:lumOff val="35000"/>
                  </a:schemeClr>
                </a:solidFill>
                <a:latin typeface="+mn-lt"/>
                <a:ea typeface="+mn-ea"/>
                <a:cs typeface="+mn-cs"/>
              </a:defRPr>
            </a:pPr>
          </a:p>
        </c:txPr>
      </c:legendEntry>
      <c:legendEntry>
        <c:idx val="1"/>
        <c:txPr>
          <a:bodyPr rot="0" spcFirstLastPara="0" vertOverflow="ellipsis" vert="horz" wrap="square" anchor="ctr" anchorCtr="true"/>
          <a:lstStyle/>
          <a:p>
            <a:pPr>
              <a:defRPr lang="zh-CN" sz="1000" b="0" i="0" u="none" strike="noStrike" kern="1200" baseline="0">
                <a:solidFill>
                  <a:schemeClr val="tx1">
                    <a:lumMod val="65000"/>
                    <a:lumOff val="35000"/>
                  </a:schemeClr>
                </a:solidFill>
                <a:latin typeface="+mn-lt"/>
                <a:ea typeface="+mn-ea"/>
                <a:cs typeface="+mn-cs"/>
              </a:defRPr>
            </a:pPr>
          </a:p>
        </c:txPr>
      </c:legendEntry>
      <c:layout/>
      <c:overlay val="false"/>
      <c:spPr>
        <a:noFill/>
        <a:ln>
          <a:noFill/>
        </a:ln>
        <a:effectLst/>
      </c:spPr>
      <c:txPr>
        <a:bodyPr rot="0" spcFirstLastPara="0" vertOverflow="ellipsis" vert="horz" wrap="square" anchor="ctr" anchorCtr="true"/>
        <a:lstStyle/>
        <a:p>
          <a:pPr>
            <a:defRPr lang="zh-CN" sz="10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sz="1200"/>
      </a:pPr>
    </a:p>
  </c:txPr>
  <c:externalData r:id="rId1">
    <c:autoUpdate val="false"/>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defTabSz="914400">
              <a:defRPr lang="zh-CN" sz="1400" b="0" i="0" u="none" strike="noStrike" kern="1200" baseline="0">
                <a:solidFill>
                  <a:schemeClr val="tx1">
                    <a:lumMod val="75000"/>
                    <a:lumOff val="25000"/>
                  </a:schemeClr>
                </a:solidFill>
                <a:latin typeface="+mn-lt"/>
                <a:ea typeface="+mn-ea"/>
                <a:cs typeface="+mn-cs"/>
              </a:defRPr>
            </a:pPr>
            <a:r>
              <a:rPr sz="1400" b="0"/>
              <a:t>占比</a:t>
            </a:r>
            <a:endParaRPr sz="1400" b="0"/>
          </a:p>
        </c:rich>
      </c:tx>
      <c:layout>
        <c:manualLayout>
          <c:xMode val="edge"/>
          <c:yMode val="edge"/>
          <c:x val="0.459899749373434"/>
          <c:y val="0.0336856010568032"/>
        </c:manualLayout>
      </c:layout>
      <c:overlay val="false"/>
      <c:spPr>
        <a:noFill/>
        <a:ln>
          <a:noFill/>
        </a:ln>
        <a:effectLst/>
      </c:spPr>
    </c:title>
    <c:autoTitleDeleted val="false"/>
    <c:plotArea>
      <c:layout/>
      <c:pieChart>
        <c:varyColors val="true"/>
        <c:ser>
          <c:idx val="0"/>
          <c:order val="0"/>
          <c:tx>
            <c:strRef>
              <c:f>Sheet1!$B$1</c:f>
              <c:strCache>
                <c:ptCount val="1"/>
                <c:pt idx="0">
                  <c:v>支出</c:v>
                </c:pt>
              </c:strCache>
            </c:strRef>
          </c:tx>
          <c:spPr/>
          <c:explosion val="0"/>
          <c:dPt>
            <c:idx val="0"/>
            <c:bubble3D val="false"/>
            <c:spPr>
              <a:solidFill>
                <a:schemeClr val="accent1"/>
              </a:solidFill>
              <a:ln>
                <a:solidFill>
                  <a:schemeClr val="bg1"/>
                </a:solidFill>
              </a:ln>
              <a:effectLst/>
            </c:spPr>
          </c:dPt>
          <c:dPt>
            <c:idx val="1"/>
            <c:bubble3D val="false"/>
            <c:spPr>
              <a:solidFill>
                <a:schemeClr val="accent2"/>
              </a:solidFill>
              <a:ln>
                <a:solidFill>
                  <a:schemeClr val="bg1"/>
                </a:solidFill>
              </a:ln>
              <a:effectLst/>
            </c:spPr>
          </c:dPt>
          <c:dLbls>
            <c:delete val="true"/>
          </c:dLbls>
          <c:cat>
            <c:strRef>
              <c:f>Sheet1!$A$2:$A$3</c:f>
              <c:strCache>
                <c:ptCount val="2"/>
                <c:pt idx="0">
                  <c:v>教育支出</c:v>
                </c:pt>
                <c:pt idx="1">
                  <c:v>债务付息支出</c:v>
                </c:pt>
              </c:strCache>
            </c:strRef>
          </c:cat>
          <c:val>
            <c:numRef>
              <c:f>Sheet1!$B$2:$B$3</c:f>
              <c:numCache>
                <c:formatCode>General</c:formatCode>
                <c:ptCount val="2"/>
                <c:pt idx="0">
                  <c:v>6250.91</c:v>
                </c:pt>
                <c:pt idx="1">
                  <c:v>827</c:v>
                </c:pt>
              </c:numCache>
            </c:numRef>
          </c:val>
        </c:ser>
        <c:dLbls>
          <c:showLegendKey val="false"/>
          <c:showVal val="false"/>
          <c:showCatName val="false"/>
          <c:showSerName val="false"/>
          <c:showPercent val="true"/>
          <c:showBubbleSize val="false"/>
          <c:showLeaderLines val="true"/>
        </c:dLbls>
        <c:firstSliceAng val="0"/>
      </c:pieChart>
      <c:spPr>
        <a:noFill/>
        <a:ln>
          <a:noFill/>
        </a:ln>
        <a:effectLst/>
      </c:spPr>
    </c:plotArea>
    <c:legend>
      <c:legendPos val="b"/>
      <c:legendEntry>
        <c:idx val="0"/>
        <c:txPr>
          <a:bodyPr rot="0" spcFirstLastPara="0" vertOverflow="ellipsis" vert="horz" wrap="square" anchor="ctr" anchorCtr="true"/>
          <a:lstStyle/>
          <a:p>
            <a:pPr>
              <a:defRPr lang="zh-CN" sz="1000" b="0" i="0" u="none" strike="noStrike" kern="1200" baseline="0">
                <a:solidFill>
                  <a:schemeClr val="tx1">
                    <a:lumMod val="65000"/>
                    <a:lumOff val="35000"/>
                  </a:schemeClr>
                </a:solidFill>
                <a:latin typeface="+mn-lt"/>
                <a:ea typeface="+mn-ea"/>
                <a:cs typeface="+mn-cs"/>
              </a:defRPr>
            </a:pPr>
          </a:p>
        </c:txPr>
      </c:legendEntry>
      <c:legendEntry>
        <c:idx val="1"/>
        <c:txPr>
          <a:bodyPr rot="0" spcFirstLastPara="0" vertOverflow="ellipsis" vert="horz" wrap="square" anchor="ctr" anchorCtr="true"/>
          <a:lstStyle/>
          <a:p>
            <a:pPr>
              <a:defRPr lang="zh-CN" sz="1000" b="0" i="0" u="none" strike="noStrike" kern="1200" baseline="0">
                <a:solidFill>
                  <a:schemeClr val="tx1">
                    <a:lumMod val="65000"/>
                    <a:lumOff val="35000"/>
                  </a:schemeClr>
                </a:solidFill>
                <a:latin typeface="+mn-lt"/>
                <a:ea typeface="+mn-ea"/>
                <a:cs typeface="+mn-cs"/>
              </a:defRPr>
            </a:pPr>
          </a:p>
        </c:txPr>
      </c:legendEntry>
      <c:layout/>
      <c:overlay val="false"/>
      <c:spPr>
        <a:noFill/>
        <a:ln>
          <a:noFill/>
        </a:ln>
        <a:effectLst/>
      </c:spPr>
      <c:txPr>
        <a:bodyPr rot="0" spcFirstLastPara="0" vertOverflow="ellipsis" vert="horz" wrap="square" anchor="ctr" anchorCtr="true"/>
        <a:lstStyle/>
        <a:p>
          <a:pPr>
            <a:defRPr lang="zh-CN" sz="10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sz="1000"/>
      </a:pPr>
    </a:p>
  </c:txPr>
  <c:externalData r:id="rId1">
    <c:autoUpdate val="false"/>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pieChart>
        <c:varyColors val="true"/>
        <c:ser>
          <c:idx val="0"/>
          <c:order val="0"/>
          <c:tx>
            <c:strRef>
              <c:f>Sheet1!$B$1</c:f>
              <c:strCache>
                <c:ptCount val="1"/>
                <c:pt idx="0">
                  <c:v>销售额</c:v>
                </c:pt>
              </c:strCache>
            </c:strRef>
          </c:tx>
          <c:spPr/>
          <c:explosion val="0"/>
          <c:dPt>
            <c:idx val="0"/>
            <c:bubble3D val="false"/>
            <c:spPr>
              <a:solidFill>
                <a:schemeClr val="accent1"/>
              </a:solidFill>
              <a:ln>
                <a:solidFill>
                  <a:schemeClr val="bg1"/>
                </a:solidFill>
              </a:ln>
              <a:effectLst/>
            </c:spPr>
          </c:dPt>
          <c:dLbls>
            <c:dLbl>
              <c:idx val="0"/>
              <c:layout>
                <c:manualLayout>
                  <c:x val="0.00298131356826814"/>
                  <c:y val="-0.806467646371767"/>
                </c:manualLayout>
              </c:layout>
              <c:dLblPos val="bestFit"/>
              <c:showLegendKey val="false"/>
              <c:showVal val="true"/>
              <c:showCatName val="false"/>
              <c:showSerName val="false"/>
              <c:showPercent val="false"/>
              <c:showBubbleSize val="false"/>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true"/>
              <a:lstStyle/>
              <a:p>
                <a:pPr>
                  <a:defRPr lang="zh-CN" sz="1200" b="0" i="0" u="none" strike="noStrike" kern="1200" baseline="0">
                    <a:solidFill>
                      <a:schemeClr val="tx1">
                        <a:lumMod val="75000"/>
                        <a:lumOff val="25000"/>
                      </a:schemeClr>
                    </a:solidFill>
                    <a:latin typeface="+mn-lt"/>
                    <a:ea typeface="+mn-ea"/>
                    <a:cs typeface="+mn-cs"/>
                  </a:defRPr>
                </a:pPr>
              </a:p>
            </c:txPr>
            <c:dLblPos val="outEnd"/>
            <c:showLegendKey val="false"/>
            <c:showVal val="true"/>
            <c:showCatName val="false"/>
            <c:showSerName val="false"/>
            <c:showPercent val="fals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Sheet1!$A$2</c:f>
              <c:strCache>
                <c:ptCount val="1"/>
                <c:pt idx="0">
                  <c:v>公务用车购置及运行维护费</c:v>
                </c:pt>
              </c:strCache>
            </c:strRef>
          </c:cat>
          <c:val>
            <c:numRef>
              <c:f>Sheet1!$B$2</c:f>
              <c:numCache>
                <c:formatCode>0%</c:formatCode>
                <c:ptCount val="1"/>
                <c:pt idx="0">
                  <c:v>1</c:v>
                </c:pt>
              </c:numCache>
            </c:numRef>
          </c:val>
        </c:ser>
        <c:dLbls>
          <c:showLegendKey val="false"/>
          <c:showVal val="true"/>
          <c:showCatName val="false"/>
          <c:showSerName val="false"/>
          <c:showPercent val="false"/>
          <c:showBubbleSize val="false"/>
          <c:showLeaderLines val="true"/>
        </c:dLbls>
        <c:firstSliceAng val="0"/>
      </c:pieChart>
      <c:spPr>
        <a:noFill/>
        <a:ln>
          <a:noFill/>
        </a:ln>
        <a:effectLst/>
      </c:spPr>
    </c:plotArea>
    <c:legend>
      <c:legendPos val="t"/>
      <c:legendEntry>
        <c:idx val="0"/>
        <c:txPr>
          <a:bodyPr rot="0" spcFirstLastPara="0" vertOverflow="ellipsis" vert="horz" wrap="square" anchor="ctr" anchorCtr="true"/>
          <a:lstStyle/>
          <a:p>
            <a:pPr>
              <a:defRPr lang="zh-CN" sz="1400" b="0" i="0" u="none" strike="noStrike" kern="1200" baseline="0">
                <a:solidFill>
                  <a:schemeClr val="tx1">
                    <a:lumMod val="65000"/>
                    <a:lumOff val="35000"/>
                  </a:schemeClr>
                </a:solidFill>
                <a:latin typeface="+mn-lt"/>
                <a:ea typeface="+mn-ea"/>
                <a:cs typeface="+mn-cs"/>
              </a:defRPr>
            </a:pPr>
          </a:p>
        </c:txPr>
      </c:legendEntry>
      <c:layout/>
      <c:overlay val="false"/>
      <c:spPr>
        <a:noFill/>
        <a:ln>
          <a:noFill/>
        </a:ln>
        <a:effectLst/>
      </c:spPr>
      <c:txPr>
        <a:bodyPr rot="0" spcFirstLastPara="0" vertOverflow="ellipsis" vert="horz" wrap="square" anchor="ctr" anchorCtr="true"/>
        <a:lstStyle/>
        <a:p>
          <a:pPr>
            <a:defRPr lang="zh-CN" sz="14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sz="1000" b="0"/>
      </a:pPr>
    </a:p>
  </c:txPr>
  <c:externalData r:id="rId1">
    <c:autoUpdate val="false"/>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10083">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true">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true">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true">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10083">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true">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true">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true">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10083">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true">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四川省财政厅</Company>
  <Pages>29</Pages>
  <Words>12378</Words>
  <Characters>13929</Characters>
  <Lines>61</Lines>
  <Paragraphs>17</Paragraphs>
  <TotalTime>8</TotalTime>
  <ScaleCrop>false</ScaleCrop>
  <LinksUpToDate>false</LinksUpToDate>
  <CharactersWithSpaces>14121</CharactersWithSpaces>
  <Application>WPS Office_11.8.2.10125_F1E327BC-269C-435d-A152-05C5408002CA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2020-08-10T09:49:00Z</dcterms:created>
  <dc:creator>曹颖</dc:creator>
  <cp:lastModifiedBy>user</cp:lastModifiedBy>
  <cp:lastPrinted>2025-08-07T17:34:00Z</cp:lastPrinted>
  <dcterms:modified xsi:type="dcterms:W3CDTF">2025-09-16T14:34:16Z</dcterms:modified>
  <dc:title>四川省***</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y fmtid="{D5CDD505-2E9C-101B-9397-08002B2CF9AE}" pid="3" name="ICV">
    <vt:lpwstr>312094A44A894E0392DDCA9C71617D02_13</vt:lpwstr>
  </property>
  <property fmtid="{D5CDD505-2E9C-101B-9397-08002B2CF9AE}" pid="4" name="KSOTemplateDocerSaveRecord">
    <vt:lpwstr>eyJoZGlkIjoiMDVkY2U2NGQ2MWJjNGQyMTljZDI1OGFhMmViYmM2MjIiLCJ1c2VySWQiOiI3NjYyNjM2ODMifQ==</vt:lpwstr>
  </property>
</Properties>
</file>