
<file path=[Content_Types].xml><?xml version="1.0" encoding="utf-8"?>
<Types xmlns="http://schemas.openxmlformats.org/package/2006/content-types">
  <Default Extension="xml" ContentType="application/xml"/>
  <Default Extension="xlsx" ContentType="application/vnd.openxmlformats-officedocument.spreadsheetml.sheet"/>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colors3.xml" ContentType="application/vnd.ms-office.chartcolorstyle+xml"/>
  <Override PartName="/word/charts/colors4.xml" ContentType="application/vnd.ms-office.chartcolorstyle+xml"/>
  <Override PartName="/word/charts/colors5.xml" ContentType="application/vnd.ms-office.chartcolorstyle+xml"/>
  <Override PartName="/word/charts/colors6.xml" ContentType="application/vnd.ms-office.chartcolorstyle+xml"/>
  <Override PartName="/word/charts/style1.xml" ContentType="application/vnd.ms-office.chartstyle+xml"/>
  <Override PartName="/word/charts/style2.xml" ContentType="application/vnd.ms-office.chartstyle+xml"/>
  <Override PartName="/word/charts/style3.xml" ContentType="application/vnd.ms-office.chartstyle+xml"/>
  <Override PartName="/word/charts/style4.xml" ContentType="application/vnd.ms-office.chartstyle+xml"/>
  <Override PartName="/word/charts/style5.xml" ContentType="application/vnd.ms-office.chartstyle+xml"/>
  <Override PartName="/word/charts/style6.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theme/themeOverride1.xml" ContentType="application/vnd.openxmlformats-officedocument.themeOverride+xml"/>
  <Override PartName="/word/theme/themeOverride2.xml" ContentType="application/vnd.openxmlformats-officedocument.themeOverride+xml"/>
  <Override PartName="/word/theme/themeOverride3.xml" ContentType="application/vnd.openxmlformats-officedocument.themeOverride+xml"/>
  <Override PartName="/word/theme/themeOverride4.xml" ContentType="application/vnd.openxmlformats-officedocument.themeOverrid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
        <w:rPr>
          <w:rFonts w:hint="default" w:ascii="Times New Roman" w:hAnsi="Times New Roman" w:eastAsia="方正小标宋简体" w:cs="Times New Roman"/>
          <w:color w:val="auto"/>
          <w:kern w:val="2"/>
          <w:sz w:val="72"/>
          <w:szCs w:val="72"/>
          <w:highlight w:val="none"/>
          <w:lang w:val="en-US" w:eastAsia="zh-CN" w:bidi="ar-SA"/>
        </w:rPr>
      </w:pPr>
      <w:bookmarkStart w:id="0" w:name="_Toc15396597"/>
      <w:bookmarkStart w:id="1" w:name="_Toc15377193"/>
      <w:bookmarkStart w:id="2" w:name="_Toc15378441"/>
      <w:bookmarkStart w:id="3" w:name="_Toc15396475"/>
      <w:bookmarkStart w:id="4" w:name="_Toc15377425"/>
      <w:bookmarkStart w:id="5" w:name="_Toc15306267"/>
    </w:p>
    <w:p>
      <w:pPr>
        <w:pStyle w:val="7"/>
        <w:rPr>
          <w:rFonts w:hint="default" w:ascii="Times New Roman" w:hAnsi="Times New Roman" w:eastAsia="方正小标宋简体" w:cs="Times New Roman"/>
          <w:color w:val="auto"/>
          <w:kern w:val="2"/>
          <w:sz w:val="72"/>
          <w:szCs w:val="72"/>
          <w:highlight w:val="none"/>
          <w:lang w:val="en-US" w:eastAsia="zh-CN" w:bidi="ar-SA"/>
        </w:rPr>
      </w:pPr>
    </w:p>
    <w:p>
      <w:pPr>
        <w:rPr>
          <w:rFonts w:hint="default" w:ascii="Times New Roman" w:hAnsi="Times New Roman" w:cs="Times New Roman"/>
        </w:rPr>
      </w:pPr>
    </w:p>
    <w:p>
      <w:pPr>
        <w:pStyle w:val="7"/>
        <w:jc w:val="both"/>
        <w:rPr>
          <w:rFonts w:hint="default" w:ascii="Times New Roman" w:hAnsi="Times New Roman" w:eastAsia="方正小标宋简体" w:cs="Times New Roman"/>
          <w:color w:val="auto"/>
          <w:kern w:val="2"/>
          <w:sz w:val="44"/>
          <w:szCs w:val="44"/>
          <w:highlight w:val="none"/>
          <w:lang w:val="en-US" w:eastAsia="zh-CN" w:bidi="ar-SA"/>
        </w:rPr>
      </w:pPr>
    </w:p>
    <w:p>
      <w:pPr>
        <w:pStyle w:val="7"/>
        <w:jc w:val="center"/>
        <w:rPr>
          <w:rFonts w:hint="default" w:ascii="Times New Roman" w:hAnsi="Times New Roman" w:eastAsia="方正小标宋简体" w:cs="Times New Roman"/>
          <w:color w:val="auto"/>
          <w:kern w:val="2"/>
          <w:sz w:val="72"/>
          <w:szCs w:val="72"/>
          <w:highlight w:val="none"/>
          <w:lang w:val="en-US" w:eastAsia="zh-CN" w:bidi="ar-SA"/>
        </w:rPr>
      </w:pPr>
    </w:p>
    <w:bookmarkEnd w:id="0"/>
    <w:bookmarkEnd w:id="1"/>
    <w:bookmarkEnd w:id="2"/>
    <w:bookmarkEnd w:id="3"/>
    <w:bookmarkEnd w:id="4"/>
    <w:p>
      <w:pPr>
        <w:pStyle w:val="7"/>
        <w:jc w:val="center"/>
        <w:rPr>
          <w:rFonts w:hint="default" w:ascii="Times New Roman" w:hAnsi="Times New Roman" w:eastAsia="方正小标宋简体" w:cs="Times New Roman"/>
          <w:color w:val="auto"/>
          <w:kern w:val="2"/>
          <w:sz w:val="72"/>
          <w:szCs w:val="72"/>
          <w:highlight w:val="none"/>
          <w:lang w:val="en-US" w:eastAsia="zh-CN" w:bidi="ar-SA"/>
        </w:rPr>
      </w:pPr>
      <w:bookmarkStart w:id="6" w:name="_Toc15396598"/>
      <w:bookmarkStart w:id="7" w:name="_Toc15378442"/>
      <w:bookmarkStart w:id="8" w:name="_Toc15396476"/>
      <w:bookmarkStart w:id="9" w:name="_Toc15377194"/>
      <w:bookmarkStart w:id="10" w:name="_Toc15377426"/>
      <w:r>
        <w:rPr>
          <w:rFonts w:hint="default" w:ascii="Times New Roman" w:hAnsi="Times New Roman" w:eastAsia="方正小标宋简体" w:cs="Times New Roman"/>
          <w:color w:val="auto"/>
          <w:kern w:val="2"/>
          <w:sz w:val="72"/>
          <w:szCs w:val="72"/>
          <w:highlight w:val="none"/>
          <w:lang w:val="en-US" w:eastAsia="zh-CN" w:bidi="ar-SA"/>
        </w:rPr>
        <w:t>2024年度</w:t>
      </w:r>
    </w:p>
    <w:p>
      <w:pPr>
        <w:pStyle w:val="7"/>
        <w:jc w:val="center"/>
        <w:rPr>
          <w:rFonts w:hint="default" w:ascii="Times New Roman" w:hAnsi="Times New Roman" w:eastAsia="方正小标宋简体" w:cs="Times New Roman"/>
          <w:color w:val="auto"/>
          <w:kern w:val="2"/>
          <w:sz w:val="72"/>
          <w:szCs w:val="72"/>
          <w:highlight w:val="none"/>
          <w:lang w:val="en-US" w:eastAsia="zh-CN" w:bidi="ar-SA"/>
        </w:rPr>
      </w:pPr>
      <w:r>
        <w:rPr>
          <w:rFonts w:hint="default" w:ascii="Times New Roman" w:hAnsi="Times New Roman" w:eastAsia="方正小标宋简体" w:cs="Times New Roman"/>
          <w:color w:val="auto"/>
          <w:kern w:val="2"/>
          <w:sz w:val="72"/>
          <w:szCs w:val="72"/>
          <w:highlight w:val="none"/>
          <w:lang w:val="en-US" w:eastAsia="zh-CN" w:bidi="ar-SA"/>
        </w:rPr>
        <w:t>四川省</w:t>
      </w:r>
      <w:bookmarkEnd w:id="5"/>
      <w:bookmarkStart w:id="11" w:name="_Toc15306268"/>
      <w:r>
        <w:rPr>
          <w:rFonts w:hint="default" w:ascii="Times New Roman" w:hAnsi="Times New Roman" w:eastAsia="方正小标宋简体" w:cs="Times New Roman"/>
          <w:color w:val="auto"/>
          <w:kern w:val="2"/>
          <w:sz w:val="72"/>
          <w:szCs w:val="72"/>
          <w:highlight w:val="none"/>
          <w:lang w:val="en-US" w:eastAsia="zh-CN" w:bidi="ar-SA"/>
        </w:rPr>
        <w:t>企业发展促进中心</w:t>
      </w:r>
    </w:p>
    <w:p>
      <w:pPr>
        <w:pStyle w:val="7"/>
        <w:jc w:val="center"/>
        <w:rPr>
          <w:rFonts w:hint="default" w:ascii="Times New Roman" w:hAnsi="Times New Roman" w:eastAsia="方正小标宋简体" w:cs="Times New Roman"/>
          <w:color w:val="auto"/>
          <w:kern w:val="2"/>
          <w:sz w:val="72"/>
          <w:szCs w:val="72"/>
          <w:highlight w:val="none"/>
          <w:lang w:val="en-US" w:eastAsia="zh-CN" w:bidi="ar-SA"/>
        </w:rPr>
      </w:pPr>
      <w:r>
        <w:rPr>
          <w:rFonts w:hint="default" w:ascii="Times New Roman" w:hAnsi="Times New Roman" w:eastAsia="方正小标宋简体" w:cs="Times New Roman"/>
          <w:color w:val="auto"/>
          <w:kern w:val="2"/>
          <w:sz w:val="72"/>
          <w:szCs w:val="72"/>
          <w:highlight w:val="none"/>
          <w:lang w:val="en-US" w:eastAsia="zh-CN" w:bidi="ar-SA"/>
        </w:rPr>
        <w:t>单位决算</w:t>
      </w:r>
      <w:bookmarkEnd w:id="6"/>
      <w:bookmarkEnd w:id="7"/>
      <w:bookmarkEnd w:id="8"/>
      <w:bookmarkEnd w:id="9"/>
      <w:bookmarkEnd w:id="10"/>
      <w:bookmarkEnd w:id="11"/>
    </w:p>
    <w:p>
      <w:pPr>
        <w:pStyle w:val="7"/>
        <w:jc w:val="center"/>
        <w:rPr>
          <w:rFonts w:hint="default" w:ascii="Times New Roman" w:hAnsi="Times New Roman" w:eastAsia="方正小标宋简体" w:cs="Times New Roman"/>
          <w:color w:val="auto"/>
          <w:kern w:val="2"/>
          <w:sz w:val="44"/>
          <w:szCs w:val="44"/>
          <w:highlight w:val="none"/>
          <w:lang w:val="en-US" w:eastAsia="zh-CN" w:bidi="ar-SA"/>
        </w:rPr>
      </w:pPr>
    </w:p>
    <w:p>
      <w:pPr>
        <w:pStyle w:val="7"/>
        <w:jc w:val="center"/>
        <w:rPr>
          <w:rFonts w:hint="default" w:ascii="Times New Roman" w:hAnsi="Times New Roman" w:eastAsia="方正小标宋简体" w:cs="Times New Roman"/>
          <w:color w:val="auto"/>
          <w:kern w:val="2"/>
          <w:sz w:val="44"/>
          <w:szCs w:val="44"/>
          <w:highlight w:val="none"/>
          <w:lang w:val="en-US" w:eastAsia="zh-CN" w:bidi="ar-SA"/>
        </w:rPr>
      </w:pPr>
    </w:p>
    <w:p>
      <w:pPr>
        <w:pStyle w:val="7"/>
        <w:jc w:val="center"/>
        <w:rPr>
          <w:rFonts w:hint="default" w:ascii="Times New Roman" w:hAnsi="Times New Roman" w:eastAsia="方正小标宋简体" w:cs="Times New Roman"/>
          <w:color w:val="auto"/>
          <w:kern w:val="2"/>
          <w:sz w:val="44"/>
          <w:szCs w:val="44"/>
          <w:highlight w:val="none"/>
          <w:lang w:val="en-US" w:eastAsia="zh-CN" w:bidi="ar-SA"/>
        </w:rPr>
      </w:pPr>
    </w:p>
    <w:p>
      <w:pPr>
        <w:pStyle w:val="7"/>
        <w:jc w:val="center"/>
        <w:rPr>
          <w:rFonts w:hint="default" w:ascii="Times New Roman" w:hAnsi="Times New Roman" w:eastAsia="方正小标宋简体" w:cs="Times New Roman"/>
          <w:color w:val="auto"/>
          <w:kern w:val="2"/>
          <w:sz w:val="44"/>
          <w:szCs w:val="44"/>
          <w:highlight w:val="none"/>
          <w:lang w:val="en-US" w:eastAsia="zh-CN" w:bidi="ar-SA"/>
        </w:rPr>
      </w:pPr>
    </w:p>
    <w:p>
      <w:pPr>
        <w:pStyle w:val="7"/>
        <w:jc w:val="center"/>
        <w:rPr>
          <w:rFonts w:hint="default" w:ascii="Times New Roman" w:hAnsi="Times New Roman" w:eastAsia="方正小标宋简体" w:cs="Times New Roman"/>
          <w:color w:val="auto"/>
          <w:kern w:val="2"/>
          <w:sz w:val="44"/>
          <w:szCs w:val="44"/>
          <w:highlight w:val="none"/>
          <w:lang w:val="en-US" w:eastAsia="zh-CN" w:bidi="ar-SA"/>
        </w:rPr>
      </w:pPr>
    </w:p>
    <w:p>
      <w:pPr>
        <w:pStyle w:val="7"/>
        <w:jc w:val="center"/>
        <w:rPr>
          <w:rFonts w:hint="default" w:ascii="Times New Roman" w:hAnsi="Times New Roman" w:eastAsia="方正小标宋简体" w:cs="Times New Roman"/>
          <w:color w:val="auto"/>
          <w:kern w:val="2"/>
          <w:sz w:val="44"/>
          <w:szCs w:val="44"/>
          <w:highlight w:val="none"/>
          <w:lang w:val="en-US" w:eastAsia="zh-CN" w:bidi="ar-SA"/>
        </w:rPr>
      </w:pPr>
    </w:p>
    <w:p>
      <w:pPr>
        <w:pStyle w:val="7"/>
        <w:jc w:val="center"/>
        <w:rPr>
          <w:rFonts w:hint="default" w:ascii="Times New Roman" w:hAnsi="Times New Roman" w:eastAsia="方正小标宋简体" w:cs="Times New Roman"/>
          <w:color w:val="auto"/>
          <w:kern w:val="2"/>
          <w:sz w:val="44"/>
          <w:szCs w:val="44"/>
          <w:highlight w:val="none"/>
          <w:lang w:val="en-US" w:eastAsia="zh-CN" w:bidi="ar-SA"/>
        </w:rPr>
      </w:pPr>
    </w:p>
    <w:p>
      <w:pPr>
        <w:pStyle w:val="7"/>
        <w:jc w:val="both"/>
        <w:rPr>
          <w:rFonts w:hint="default" w:ascii="Times New Roman" w:hAnsi="Times New Roman" w:eastAsia="方正小标宋简体" w:cs="Times New Roman"/>
          <w:color w:val="auto"/>
          <w:kern w:val="2"/>
          <w:sz w:val="44"/>
          <w:szCs w:val="44"/>
          <w:highlight w:val="none"/>
          <w:lang w:val="en-US" w:eastAsia="zh-CN" w:bidi="ar-SA"/>
        </w:rPr>
      </w:pPr>
    </w:p>
    <w:p>
      <w:pPr>
        <w:keepNext w:val="0"/>
        <w:keepLines w:val="0"/>
        <w:pageBreakBefore w:val="0"/>
        <w:widowControl w:val="0"/>
        <w:kinsoku/>
        <w:wordWrap/>
        <w:overflowPunct/>
        <w:topLinePunct w:val="0"/>
        <w:autoSpaceDE/>
        <w:autoSpaceDN/>
        <w:bidi w:val="0"/>
        <w:adjustRightInd/>
        <w:snapToGrid/>
        <w:spacing w:before="0" w:beforeLines="0" w:after="0" w:afterLines="0" w:line="460" w:lineRule="exact"/>
        <w:ind w:left="0" w:leftChars="0" w:right="0" w:rightChars="0" w:firstLine="0" w:firstLineChars="0"/>
        <w:jc w:val="center"/>
        <w:textAlignment w:val="auto"/>
        <w:rPr>
          <w:rFonts w:hint="default" w:ascii="Times New Roman" w:hAnsi="Times New Roman" w:eastAsia="宋体" w:cs="Times New Roman"/>
          <w:kern w:val="2"/>
          <w:sz w:val="21"/>
          <w:szCs w:val="24"/>
          <w:lang w:val="en-US" w:eastAsia="zh-CN" w:bidi="ar-SA"/>
        </w:rPr>
        <w:sectPr>
          <w:headerReference r:id="rId3" w:type="default"/>
          <w:footerReference r:id="rId4" w:type="default"/>
          <w:pgSz w:w="11906" w:h="16838"/>
          <w:pgMar w:top="1440" w:right="1800" w:bottom="1440" w:left="1800" w:header="851" w:footer="992" w:gutter="0"/>
          <w:pgNumType w:fmt="numberInDash" w:start="1"/>
          <w:cols w:space="425" w:num="1"/>
          <w:titlePg/>
          <w:docGrid w:type="lines" w:linePitch="312" w:charSpace="0"/>
        </w:sectPr>
      </w:pPr>
    </w:p>
    <w:sdt>
      <w:sdtPr>
        <w:rPr>
          <w:rFonts w:hint="default" w:ascii="Times New Roman" w:hAnsi="Times New Roman" w:eastAsia="宋体" w:cs="Times New Roman"/>
          <w:kern w:val="2"/>
          <w:sz w:val="21"/>
          <w:szCs w:val="24"/>
          <w:lang w:val="en-US" w:eastAsia="zh-CN" w:bidi="ar-SA"/>
        </w:rPr>
        <w:id w:val="147479503"/>
        <w15:color w:val="DBDBDB"/>
        <w:docPartObj>
          <w:docPartGallery w:val="Table of Contents"/>
          <w:docPartUnique/>
        </w:docPartObj>
      </w:sdtPr>
      <w:sdtEndPr>
        <w:rPr>
          <w:rFonts w:hint="default" w:ascii="Times New Roman" w:hAnsi="Times New Roman" w:eastAsia="方正小标宋简体" w:cs="Times New Roman"/>
          <w:color w:val="auto"/>
          <w:kern w:val="2"/>
          <w:sz w:val="30"/>
          <w:szCs w:val="44"/>
          <w:highlight w:val="none"/>
          <w:lang w:val="en-US" w:eastAsia="zh-CN" w:bidi="ar-SA"/>
        </w:rPr>
      </w:sdtEndPr>
      <w:sdtContent>
        <w:p>
          <w:pPr>
            <w:keepNext w:val="0"/>
            <w:keepLines w:val="0"/>
            <w:pageBreakBefore w:val="0"/>
            <w:widowControl w:val="0"/>
            <w:kinsoku/>
            <w:wordWrap/>
            <w:overflowPunct/>
            <w:topLinePunct w:val="0"/>
            <w:autoSpaceDE/>
            <w:autoSpaceDN/>
            <w:bidi w:val="0"/>
            <w:adjustRightInd/>
            <w:snapToGrid/>
            <w:spacing w:before="0" w:beforeLines="0" w:after="0" w:afterLines="0" w:line="240" w:lineRule="auto"/>
            <w:ind w:left="0" w:leftChars="0" w:right="0" w:rightChars="0" w:firstLine="0" w:firstLineChars="0"/>
            <w:jc w:val="center"/>
            <w:textAlignment w:val="auto"/>
            <w:rPr>
              <w:rFonts w:hint="default" w:ascii="Times New Roman" w:hAnsi="Times New Roman" w:eastAsia="黑体" w:cs="Times New Roman"/>
              <w:b w:val="0"/>
              <w:bCs w:val="0"/>
              <w:sz w:val="52"/>
              <w:szCs w:val="52"/>
            </w:rPr>
          </w:pPr>
          <w:r>
            <w:rPr>
              <w:rFonts w:hint="default" w:ascii="Times New Roman" w:hAnsi="Times New Roman" w:eastAsia="黑体" w:cs="Times New Roman"/>
              <w:b w:val="0"/>
              <w:bCs w:val="0"/>
              <w:sz w:val="52"/>
              <w:szCs w:val="52"/>
            </w:rPr>
            <w:t>目</w:t>
          </w:r>
          <w:r>
            <w:rPr>
              <w:rFonts w:hint="default" w:ascii="Times New Roman" w:hAnsi="Times New Roman" w:eastAsia="黑体" w:cs="Times New Roman"/>
              <w:b w:val="0"/>
              <w:bCs w:val="0"/>
              <w:sz w:val="52"/>
              <w:szCs w:val="52"/>
              <w:lang w:val="en-US" w:eastAsia="zh-CN"/>
            </w:rPr>
            <w:t xml:space="preserve">  </w:t>
          </w:r>
          <w:r>
            <w:rPr>
              <w:rFonts w:hint="default" w:ascii="Times New Roman" w:hAnsi="Times New Roman" w:eastAsia="黑体" w:cs="Times New Roman"/>
              <w:b w:val="0"/>
              <w:bCs w:val="0"/>
              <w:sz w:val="52"/>
              <w:szCs w:val="52"/>
            </w:rPr>
            <w:t>录</w:t>
          </w:r>
        </w:p>
        <w:p>
          <w:pPr>
            <w:pStyle w:val="14"/>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公开时间：202</w:t>
          </w:r>
          <w:r>
            <w:rPr>
              <w:rFonts w:hint="default" w:ascii="Times New Roman" w:hAnsi="Times New Roman" w:eastAsia="仿宋_GB2312" w:cs="Times New Roman"/>
              <w:sz w:val="32"/>
              <w:szCs w:val="32"/>
              <w:lang w:val="en-US" w:eastAsia="zh-CN"/>
            </w:rPr>
            <w:t>5</w:t>
          </w:r>
          <w:r>
            <w:rPr>
              <w:rFonts w:hint="default" w:ascii="Times New Roman" w:hAnsi="Times New Roman" w:eastAsia="仿宋_GB2312" w:cs="Times New Roman"/>
              <w:sz w:val="32"/>
              <w:szCs w:val="32"/>
            </w:rPr>
            <w:t>年</w:t>
          </w:r>
          <w:r>
            <w:rPr>
              <w:rFonts w:hint="default" w:ascii="Times New Roman" w:hAnsi="Times New Roman" w:eastAsia="仿宋_GB2312" w:cs="Times New Roman"/>
              <w:sz w:val="32"/>
              <w:szCs w:val="32"/>
              <w:lang w:val="en-US" w:eastAsia="zh-CN"/>
            </w:rPr>
            <w:t>9</w:t>
          </w:r>
          <w:r>
            <w:rPr>
              <w:rFonts w:hint="default" w:ascii="Times New Roman" w:hAnsi="Times New Roman" w:eastAsia="仿宋_GB2312" w:cs="Times New Roman"/>
              <w:sz w:val="32"/>
              <w:szCs w:val="32"/>
            </w:rPr>
            <w:t>月</w:t>
          </w:r>
          <w:r>
            <w:rPr>
              <w:rFonts w:hint="default" w:ascii="Times New Roman" w:hAnsi="Times New Roman" w:eastAsia="仿宋_GB2312" w:cs="Times New Roman"/>
              <w:sz w:val="32"/>
              <w:szCs w:val="32"/>
              <w:lang w:val="en-US" w:eastAsia="zh-CN"/>
            </w:rPr>
            <w:t>12</w:t>
          </w:r>
          <w:r>
            <w:rPr>
              <w:rFonts w:hint="default" w:ascii="Times New Roman" w:hAnsi="Times New Roman" w:eastAsia="仿宋_GB2312" w:cs="Times New Roman"/>
              <w:sz w:val="32"/>
              <w:szCs w:val="32"/>
            </w:rPr>
            <w:t>日</w:t>
          </w:r>
        </w:p>
        <w:p>
          <w:pPr>
            <w:pStyle w:val="2"/>
            <w:rPr>
              <w:rFonts w:hint="default" w:ascii="Times New Roman" w:hAnsi="Times New Roman" w:cs="Times New Roman"/>
            </w:rPr>
          </w:pPr>
        </w:p>
        <w:p>
          <w:pPr>
            <w:pStyle w:val="14"/>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480" w:lineRule="exact"/>
            <w:textAlignment w:val="auto"/>
            <w:rPr>
              <w:rFonts w:hint="default" w:ascii="Times New Roman" w:hAnsi="Times New Roman" w:cs="Times New Roman" w:eastAsiaTheme="majorEastAsia"/>
              <w:sz w:val="24"/>
              <w:szCs w:val="24"/>
            </w:rPr>
          </w:pPr>
          <w:r>
            <w:rPr>
              <w:rFonts w:hint="default" w:ascii="Times New Roman" w:hAnsi="Times New Roman" w:cs="Times New Roman" w:eastAsiaTheme="majorEastAsia"/>
              <w:color w:val="auto"/>
              <w:kern w:val="2"/>
              <w:sz w:val="24"/>
              <w:szCs w:val="24"/>
              <w:highlight w:val="none"/>
              <w:lang w:val="en-US" w:eastAsia="zh-CN" w:bidi="ar-SA"/>
            </w:rPr>
            <w:fldChar w:fldCharType="begin"/>
          </w:r>
          <w:r>
            <w:rPr>
              <w:rFonts w:hint="default" w:ascii="Times New Roman" w:hAnsi="Times New Roman" w:cs="Times New Roman" w:eastAsiaTheme="majorEastAsia"/>
              <w:color w:val="auto"/>
              <w:kern w:val="2"/>
              <w:sz w:val="24"/>
              <w:szCs w:val="24"/>
              <w:highlight w:val="none"/>
              <w:lang w:val="en-US" w:eastAsia="zh-CN" w:bidi="ar-SA"/>
            </w:rPr>
            <w:instrText xml:space="preserve">TOC \o "1-2" \h \u </w:instrText>
          </w:r>
          <w:r>
            <w:rPr>
              <w:rFonts w:hint="default" w:ascii="Times New Roman" w:hAnsi="Times New Roman" w:cs="Times New Roman" w:eastAsiaTheme="majorEastAsia"/>
              <w:color w:val="auto"/>
              <w:kern w:val="2"/>
              <w:sz w:val="24"/>
              <w:szCs w:val="24"/>
              <w:highlight w:val="none"/>
              <w:lang w:val="en-US" w:eastAsia="zh-CN" w:bidi="ar-SA"/>
            </w:rPr>
            <w:fldChar w:fldCharType="separate"/>
          </w:r>
          <w:r>
            <w:rPr>
              <w:rFonts w:hint="default" w:ascii="Times New Roman" w:hAnsi="Times New Roman" w:eastAsia="黑体" w:cs="Times New Roman"/>
              <w:b w:val="0"/>
              <w:bCs w:val="0"/>
              <w:color w:val="auto"/>
              <w:kern w:val="2"/>
              <w:sz w:val="32"/>
              <w:szCs w:val="32"/>
              <w:highlight w:val="none"/>
              <w:lang w:val="en-US" w:eastAsia="zh-CN" w:bidi="ar-SA"/>
            </w:rPr>
            <w:fldChar w:fldCharType="begin"/>
          </w:r>
          <w:r>
            <w:rPr>
              <w:rFonts w:hint="default" w:ascii="Times New Roman" w:hAnsi="Times New Roman" w:eastAsia="黑体" w:cs="Times New Roman"/>
              <w:b w:val="0"/>
              <w:bCs w:val="0"/>
              <w:kern w:val="2"/>
              <w:sz w:val="32"/>
              <w:szCs w:val="32"/>
              <w:highlight w:val="none"/>
              <w:lang w:val="en-US" w:eastAsia="zh-CN" w:bidi="ar-SA"/>
            </w:rPr>
            <w:instrText xml:space="preserve"> HYPERLINK \l _Toc2461 </w:instrText>
          </w:r>
          <w:r>
            <w:rPr>
              <w:rFonts w:hint="default" w:ascii="Times New Roman" w:hAnsi="Times New Roman" w:eastAsia="黑体" w:cs="Times New Roman"/>
              <w:b w:val="0"/>
              <w:bCs w:val="0"/>
              <w:kern w:val="2"/>
              <w:sz w:val="32"/>
              <w:szCs w:val="32"/>
              <w:highlight w:val="none"/>
              <w:lang w:val="en-US" w:eastAsia="zh-CN" w:bidi="ar-SA"/>
            </w:rPr>
            <w:fldChar w:fldCharType="separate"/>
          </w:r>
          <w:r>
            <w:rPr>
              <w:rFonts w:hint="default" w:ascii="Times New Roman" w:hAnsi="Times New Roman" w:eastAsia="黑体" w:cs="Times New Roman"/>
              <w:b w:val="0"/>
              <w:bCs w:val="0"/>
              <w:sz w:val="32"/>
              <w:szCs w:val="32"/>
              <w:highlight w:val="none"/>
            </w:rPr>
            <w:t>第一部分</w:t>
          </w:r>
          <w:r>
            <w:rPr>
              <w:rFonts w:hint="default" w:ascii="Times New Roman" w:hAnsi="Times New Roman" w:eastAsia="黑体" w:cs="Times New Roman"/>
              <w:b w:val="0"/>
              <w:bCs w:val="0"/>
              <w:sz w:val="32"/>
              <w:szCs w:val="32"/>
              <w:highlight w:val="none"/>
              <w:lang w:val="en-US" w:eastAsia="zh-CN"/>
            </w:rPr>
            <w:t xml:space="preserve"> </w:t>
          </w:r>
          <w:r>
            <w:rPr>
              <w:rFonts w:hint="default" w:ascii="Times New Roman" w:hAnsi="Times New Roman" w:eastAsia="黑体" w:cs="Times New Roman"/>
              <w:b w:val="0"/>
              <w:bCs w:val="0"/>
              <w:sz w:val="32"/>
              <w:szCs w:val="32"/>
              <w:highlight w:val="none"/>
            </w:rPr>
            <w:t xml:space="preserve"> </w:t>
          </w:r>
          <w:r>
            <w:rPr>
              <w:rFonts w:hint="default" w:ascii="Times New Roman" w:hAnsi="Times New Roman" w:eastAsia="黑体" w:cs="Times New Roman"/>
              <w:b w:val="0"/>
              <w:bCs w:val="0"/>
              <w:sz w:val="32"/>
              <w:szCs w:val="32"/>
              <w:highlight w:val="none"/>
              <w:lang w:val="en-US" w:eastAsia="zh-CN"/>
            </w:rPr>
            <w:t>单位</w:t>
          </w:r>
          <w:r>
            <w:rPr>
              <w:rFonts w:hint="default" w:ascii="Times New Roman" w:hAnsi="Times New Roman" w:eastAsia="黑体" w:cs="Times New Roman"/>
              <w:b w:val="0"/>
              <w:bCs w:val="0"/>
              <w:sz w:val="32"/>
              <w:szCs w:val="32"/>
              <w:highlight w:val="none"/>
            </w:rPr>
            <w:t>概况</w:t>
          </w:r>
          <w:r>
            <w:rPr>
              <w:rFonts w:hint="default" w:ascii="Times New Roman" w:hAnsi="Times New Roman" w:eastAsia="黑体" w:cs="Times New Roman"/>
              <w:b w:val="0"/>
              <w:bCs w:val="0"/>
              <w:sz w:val="32"/>
              <w:szCs w:val="32"/>
            </w:rPr>
            <w:tab/>
          </w:r>
          <w:r>
            <w:rPr>
              <w:rFonts w:hint="default" w:ascii="Times New Roman" w:hAnsi="Times New Roman" w:eastAsia="黑体" w:cs="Times New Roman"/>
              <w:b w:val="0"/>
              <w:bCs w:val="0"/>
              <w:sz w:val="32"/>
              <w:szCs w:val="32"/>
            </w:rPr>
            <w:fldChar w:fldCharType="begin"/>
          </w:r>
          <w:r>
            <w:rPr>
              <w:rFonts w:hint="default" w:ascii="Times New Roman" w:hAnsi="Times New Roman" w:eastAsia="黑体" w:cs="Times New Roman"/>
              <w:b w:val="0"/>
              <w:bCs w:val="0"/>
              <w:sz w:val="32"/>
              <w:szCs w:val="32"/>
            </w:rPr>
            <w:instrText xml:space="preserve"> PAGEREF _Toc2461 \h </w:instrText>
          </w:r>
          <w:r>
            <w:rPr>
              <w:rFonts w:hint="default" w:ascii="Times New Roman" w:hAnsi="Times New Roman" w:eastAsia="黑体" w:cs="Times New Roman"/>
              <w:b w:val="0"/>
              <w:bCs w:val="0"/>
              <w:sz w:val="32"/>
              <w:szCs w:val="32"/>
            </w:rPr>
            <w:fldChar w:fldCharType="separate"/>
          </w:r>
          <w:r>
            <w:rPr>
              <w:rFonts w:hint="default" w:ascii="Times New Roman" w:hAnsi="Times New Roman" w:eastAsia="黑体" w:cs="Times New Roman"/>
              <w:b w:val="0"/>
              <w:bCs w:val="0"/>
              <w:sz w:val="32"/>
              <w:szCs w:val="32"/>
            </w:rPr>
            <w:t>- 3 -</w:t>
          </w:r>
          <w:r>
            <w:rPr>
              <w:rFonts w:hint="default" w:ascii="Times New Roman" w:hAnsi="Times New Roman" w:eastAsia="黑体" w:cs="Times New Roman"/>
              <w:b w:val="0"/>
              <w:bCs w:val="0"/>
              <w:sz w:val="32"/>
              <w:szCs w:val="32"/>
            </w:rPr>
            <w:fldChar w:fldCharType="end"/>
          </w:r>
          <w:r>
            <w:rPr>
              <w:rFonts w:hint="default" w:ascii="Times New Roman" w:hAnsi="Times New Roman" w:eastAsia="黑体" w:cs="Times New Roman"/>
              <w:b w:val="0"/>
              <w:bCs w:val="0"/>
              <w:color w:val="auto"/>
              <w:kern w:val="2"/>
              <w:sz w:val="32"/>
              <w:szCs w:val="32"/>
              <w:highlight w:val="none"/>
              <w:lang w:val="en-US" w:eastAsia="zh-CN" w:bidi="ar-SA"/>
            </w:rPr>
            <w:fldChar w:fldCharType="end"/>
          </w:r>
        </w:p>
        <w:p>
          <w:pPr>
            <w:pStyle w:val="16"/>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480" w:lineRule="exac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color w:val="auto"/>
              <w:kern w:val="2"/>
              <w:sz w:val="32"/>
              <w:szCs w:val="32"/>
              <w:highlight w:val="none"/>
              <w:lang w:val="en-US" w:eastAsia="zh-CN" w:bidi="ar-SA"/>
            </w:rPr>
            <w:fldChar w:fldCharType="begin"/>
          </w:r>
          <w:r>
            <w:rPr>
              <w:rFonts w:hint="default" w:ascii="Times New Roman" w:hAnsi="Times New Roman" w:eastAsia="仿宋_GB2312" w:cs="Times New Roman"/>
              <w:kern w:val="2"/>
              <w:sz w:val="32"/>
              <w:szCs w:val="32"/>
              <w:highlight w:val="none"/>
              <w:lang w:val="en-US" w:eastAsia="zh-CN" w:bidi="ar-SA"/>
            </w:rPr>
            <w:instrText xml:space="preserve"> HYPERLINK \l _Toc10793 </w:instrText>
          </w:r>
          <w:r>
            <w:rPr>
              <w:rFonts w:hint="default" w:ascii="Times New Roman" w:hAnsi="Times New Roman" w:eastAsia="仿宋_GB2312" w:cs="Times New Roman"/>
              <w:kern w:val="2"/>
              <w:sz w:val="32"/>
              <w:szCs w:val="32"/>
              <w:highlight w:val="none"/>
              <w:lang w:val="en-US" w:eastAsia="zh-CN" w:bidi="ar-SA"/>
            </w:rPr>
            <w:fldChar w:fldCharType="separate"/>
          </w:r>
          <w:r>
            <w:rPr>
              <w:rFonts w:hint="default" w:ascii="Times New Roman" w:hAnsi="Times New Roman" w:eastAsia="仿宋_GB2312" w:cs="Times New Roman"/>
              <w:sz w:val="32"/>
              <w:szCs w:val="32"/>
              <w:lang w:eastAsia="zh-CN"/>
            </w:rPr>
            <w:t>一、</w:t>
          </w:r>
          <w:r>
            <w:rPr>
              <w:rFonts w:hint="default" w:ascii="Times New Roman" w:hAnsi="Times New Roman" w:eastAsia="仿宋_GB2312" w:cs="Times New Roman"/>
              <w:sz w:val="32"/>
              <w:szCs w:val="32"/>
              <w:highlight w:val="none"/>
              <w:lang w:val="en-US" w:eastAsia="zh-CN"/>
            </w:rPr>
            <w:t>单位</w:t>
          </w:r>
          <w:r>
            <w:rPr>
              <w:rFonts w:hint="default" w:ascii="Times New Roman" w:hAnsi="Times New Roman" w:eastAsia="仿宋_GB2312" w:cs="Times New Roman"/>
              <w:sz w:val="32"/>
              <w:szCs w:val="32"/>
              <w:highlight w:val="none"/>
              <w:lang w:eastAsia="zh-CN"/>
            </w:rPr>
            <w:t>职责</w:t>
          </w:r>
          <w:r>
            <w:rPr>
              <w:rFonts w:hint="default" w:ascii="Times New Roman" w:hAnsi="Times New Roman" w:eastAsia="仿宋_GB2312" w:cs="Times New Roman"/>
              <w:sz w:val="32"/>
              <w:szCs w:val="32"/>
            </w:rPr>
            <w:tab/>
          </w:r>
          <w:r>
            <w:rPr>
              <w:rFonts w:hint="default" w:ascii="Times New Roman" w:hAnsi="Times New Roman" w:eastAsia="仿宋_GB2312" w:cs="Times New Roman"/>
              <w:sz w:val="32"/>
              <w:szCs w:val="32"/>
            </w:rPr>
            <w:fldChar w:fldCharType="begin"/>
          </w:r>
          <w:r>
            <w:rPr>
              <w:rFonts w:hint="default" w:ascii="Times New Roman" w:hAnsi="Times New Roman" w:eastAsia="仿宋_GB2312" w:cs="Times New Roman"/>
              <w:sz w:val="32"/>
              <w:szCs w:val="32"/>
            </w:rPr>
            <w:instrText xml:space="preserve"> PAGEREF _Toc10793 \h </w:instrText>
          </w:r>
          <w:r>
            <w:rPr>
              <w:rFonts w:hint="default" w:ascii="Times New Roman" w:hAnsi="Times New Roman" w:eastAsia="仿宋_GB2312" w:cs="Times New Roman"/>
              <w:sz w:val="32"/>
              <w:szCs w:val="32"/>
            </w:rPr>
            <w:fldChar w:fldCharType="separate"/>
          </w:r>
          <w:r>
            <w:rPr>
              <w:rFonts w:hint="default" w:ascii="Times New Roman" w:hAnsi="Times New Roman" w:eastAsia="仿宋_GB2312" w:cs="Times New Roman"/>
              <w:sz w:val="32"/>
              <w:szCs w:val="32"/>
            </w:rPr>
            <w:t>- 3 -</w:t>
          </w:r>
          <w:r>
            <w:rPr>
              <w:rFonts w:hint="default" w:ascii="Times New Roman" w:hAnsi="Times New Roman" w:eastAsia="仿宋_GB2312" w:cs="Times New Roman"/>
              <w:sz w:val="32"/>
              <w:szCs w:val="32"/>
            </w:rPr>
            <w:fldChar w:fldCharType="end"/>
          </w:r>
          <w:r>
            <w:rPr>
              <w:rFonts w:hint="default" w:ascii="Times New Roman" w:hAnsi="Times New Roman" w:eastAsia="仿宋_GB2312" w:cs="Times New Roman"/>
              <w:color w:val="auto"/>
              <w:kern w:val="2"/>
              <w:sz w:val="32"/>
              <w:szCs w:val="32"/>
              <w:highlight w:val="none"/>
              <w:lang w:val="en-US" w:eastAsia="zh-CN" w:bidi="ar-SA"/>
            </w:rPr>
            <w:fldChar w:fldCharType="end"/>
          </w:r>
        </w:p>
        <w:p>
          <w:pPr>
            <w:pStyle w:val="16"/>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480" w:lineRule="exac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color w:val="auto"/>
              <w:kern w:val="2"/>
              <w:sz w:val="32"/>
              <w:szCs w:val="32"/>
              <w:highlight w:val="none"/>
              <w:lang w:val="en-US" w:eastAsia="zh-CN" w:bidi="ar-SA"/>
            </w:rPr>
            <w:fldChar w:fldCharType="begin"/>
          </w:r>
          <w:r>
            <w:rPr>
              <w:rFonts w:hint="default" w:ascii="Times New Roman" w:hAnsi="Times New Roman" w:eastAsia="仿宋_GB2312" w:cs="Times New Roman"/>
              <w:kern w:val="2"/>
              <w:sz w:val="32"/>
              <w:szCs w:val="32"/>
              <w:highlight w:val="none"/>
              <w:lang w:val="en-US" w:eastAsia="zh-CN" w:bidi="ar-SA"/>
            </w:rPr>
            <w:instrText xml:space="preserve"> HYPERLINK \l _Toc25288 </w:instrText>
          </w:r>
          <w:r>
            <w:rPr>
              <w:rFonts w:hint="default" w:ascii="Times New Roman" w:hAnsi="Times New Roman" w:eastAsia="仿宋_GB2312" w:cs="Times New Roman"/>
              <w:kern w:val="2"/>
              <w:sz w:val="32"/>
              <w:szCs w:val="32"/>
              <w:highlight w:val="none"/>
              <w:lang w:val="en-US" w:eastAsia="zh-CN" w:bidi="ar-SA"/>
            </w:rPr>
            <w:fldChar w:fldCharType="separate"/>
          </w:r>
          <w:r>
            <w:rPr>
              <w:rFonts w:hint="default" w:ascii="Times New Roman" w:hAnsi="Times New Roman" w:eastAsia="仿宋_GB2312" w:cs="Times New Roman"/>
              <w:sz w:val="32"/>
              <w:szCs w:val="32"/>
              <w:highlight w:val="none"/>
            </w:rPr>
            <w:t>二、机</w:t>
          </w:r>
          <w:r>
            <w:rPr>
              <w:rFonts w:hint="default" w:ascii="Times New Roman" w:hAnsi="Times New Roman" w:eastAsia="仿宋_GB2312" w:cs="Times New Roman"/>
              <w:bCs w:val="0"/>
              <w:sz w:val="32"/>
              <w:szCs w:val="32"/>
              <w:highlight w:val="none"/>
            </w:rPr>
            <w:t>构设置</w:t>
          </w:r>
          <w:r>
            <w:rPr>
              <w:rFonts w:hint="default" w:ascii="Times New Roman" w:hAnsi="Times New Roman" w:eastAsia="仿宋_GB2312" w:cs="Times New Roman"/>
              <w:sz w:val="32"/>
              <w:szCs w:val="32"/>
            </w:rPr>
            <w:tab/>
          </w:r>
          <w:r>
            <w:rPr>
              <w:rFonts w:hint="default" w:ascii="Times New Roman" w:hAnsi="Times New Roman" w:eastAsia="仿宋_GB2312" w:cs="Times New Roman"/>
              <w:sz w:val="32"/>
              <w:szCs w:val="32"/>
            </w:rPr>
            <w:fldChar w:fldCharType="begin"/>
          </w:r>
          <w:r>
            <w:rPr>
              <w:rFonts w:hint="default" w:ascii="Times New Roman" w:hAnsi="Times New Roman" w:eastAsia="仿宋_GB2312" w:cs="Times New Roman"/>
              <w:sz w:val="32"/>
              <w:szCs w:val="32"/>
            </w:rPr>
            <w:instrText xml:space="preserve"> PAGEREF _Toc25288 \h </w:instrText>
          </w:r>
          <w:r>
            <w:rPr>
              <w:rFonts w:hint="default" w:ascii="Times New Roman" w:hAnsi="Times New Roman" w:eastAsia="仿宋_GB2312" w:cs="Times New Roman"/>
              <w:sz w:val="32"/>
              <w:szCs w:val="32"/>
            </w:rPr>
            <w:fldChar w:fldCharType="separate"/>
          </w:r>
          <w:r>
            <w:rPr>
              <w:rFonts w:hint="default" w:ascii="Times New Roman" w:hAnsi="Times New Roman" w:eastAsia="仿宋_GB2312" w:cs="Times New Roman"/>
              <w:sz w:val="32"/>
              <w:szCs w:val="32"/>
            </w:rPr>
            <w:t>- 3 -</w:t>
          </w:r>
          <w:r>
            <w:rPr>
              <w:rFonts w:hint="default" w:ascii="Times New Roman" w:hAnsi="Times New Roman" w:eastAsia="仿宋_GB2312" w:cs="Times New Roman"/>
              <w:sz w:val="32"/>
              <w:szCs w:val="32"/>
            </w:rPr>
            <w:fldChar w:fldCharType="end"/>
          </w:r>
          <w:r>
            <w:rPr>
              <w:rFonts w:hint="default" w:ascii="Times New Roman" w:hAnsi="Times New Roman" w:eastAsia="仿宋_GB2312" w:cs="Times New Roman"/>
              <w:color w:val="auto"/>
              <w:kern w:val="2"/>
              <w:sz w:val="32"/>
              <w:szCs w:val="32"/>
              <w:highlight w:val="none"/>
              <w:lang w:val="en-US" w:eastAsia="zh-CN" w:bidi="ar-SA"/>
            </w:rPr>
            <w:fldChar w:fldCharType="end"/>
          </w:r>
        </w:p>
        <w:p>
          <w:pPr>
            <w:pStyle w:val="14"/>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480" w:lineRule="exact"/>
            <w:textAlignment w:val="auto"/>
            <w:rPr>
              <w:rFonts w:hint="default" w:ascii="Times New Roman" w:hAnsi="Times New Roman" w:eastAsia="黑体" w:cs="Times New Roman"/>
              <w:b w:val="0"/>
              <w:bCs w:val="0"/>
              <w:color w:val="auto"/>
              <w:kern w:val="2"/>
              <w:sz w:val="32"/>
              <w:szCs w:val="32"/>
              <w:highlight w:val="none"/>
              <w:lang w:val="en-US" w:eastAsia="zh-CN" w:bidi="ar-SA"/>
            </w:rPr>
          </w:pPr>
          <w:r>
            <w:rPr>
              <w:rFonts w:hint="default" w:ascii="Times New Roman" w:hAnsi="Times New Roman" w:eastAsia="黑体" w:cs="Times New Roman"/>
              <w:b w:val="0"/>
              <w:bCs w:val="0"/>
              <w:color w:val="auto"/>
              <w:kern w:val="2"/>
              <w:sz w:val="32"/>
              <w:szCs w:val="32"/>
              <w:highlight w:val="none"/>
              <w:lang w:val="en-US" w:eastAsia="zh-CN" w:bidi="ar-SA"/>
            </w:rPr>
            <w:fldChar w:fldCharType="begin"/>
          </w:r>
          <w:r>
            <w:rPr>
              <w:rFonts w:hint="default" w:ascii="Times New Roman" w:hAnsi="Times New Roman" w:eastAsia="黑体" w:cs="Times New Roman"/>
              <w:b w:val="0"/>
              <w:bCs w:val="0"/>
              <w:color w:val="auto"/>
              <w:kern w:val="2"/>
              <w:sz w:val="32"/>
              <w:szCs w:val="32"/>
              <w:highlight w:val="none"/>
              <w:lang w:val="en-US" w:eastAsia="zh-CN" w:bidi="ar-SA"/>
            </w:rPr>
            <w:instrText xml:space="preserve"> HYPERLINK \l _Toc30551 </w:instrText>
          </w:r>
          <w:r>
            <w:rPr>
              <w:rFonts w:hint="default" w:ascii="Times New Roman" w:hAnsi="Times New Roman" w:eastAsia="黑体" w:cs="Times New Roman"/>
              <w:b w:val="0"/>
              <w:bCs w:val="0"/>
              <w:color w:val="auto"/>
              <w:kern w:val="2"/>
              <w:sz w:val="32"/>
              <w:szCs w:val="32"/>
              <w:highlight w:val="none"/>
              <w:lang w:val="en-US" w:eastAsia="zh-CN" w:bidi="ar-SA"/>
            </w:rPr>
            <w:fldChar w:fldCharType="separate"/>
          </w:r>
          <w:r>
            <w:rPr>
              <w:rFonts w:hint="default" w:ascii="Times New Roman" w:hAnsi="Times New Roman" w:eastAsia="黑体" w:cs="Times New Roman"/>
              <w:b w:val="0"/>
              <w:bCs w:val="0"/>
              <w:color w:val="auto"/>
              <w:kern w:val="2"/>
              <w:sz w:val="32"/>
              <w:szCs w:val="32"/>
              <w:highlight w:val="none"/>
              <w:lang w:val="en-US" w:eastAsia="zh-CN" w:bidi="ar-SA"/>
            </w:rPr>
            <w:t>第二部分  2024年度部门决算情况说明</w:t>
          </w:r>
          <w:r>
            <w:rPr>
              <w:rFonts w:hint="default" w:ascii="Times New Roman" w:hAnsi="Times New Roman" w:eastAsia="黑体" w:cs="Times New Roman"/>
              <w:b w:val="0"/>
              <w:bCs w:val="0"/>
              <w:color w:val="auto"/>
              <w:kern w:val="2"/>
              <w:sz w:val="32"/>
              <w:szCs w:val="32"/>
              <w:highlight w:val="none"/>
              <w:lang w:val="en-US" w:eastAsia="zh-CN" w:bidi="ar-SA"/>
            </w:rPr>
            <w:tab/>
          </w:r>
          <w:r>
            <w:rPr>
              <w:rFonts w:hint="default" w:ascii="Times New Roman" w:hAnsi="Times New Roman" w:eastAsia="黑体" w:cs="Times New Roman"/>
              <w:b w:val="0"/>
              <w:bCs w:val="0"/>
              <w:color w:val="auto"/>
              <w:kern w:val="2"/>
              <w:sz w:val="32"/>
              <w:szCs w:val="32"/>
              <w:highlight w:val="none"/>
              <w:lang w:val="en-US" w:eastAsia="zh-CN" w:bidi="ar-SA"/>
            </w:rPr>
            <w:fldChar w:fldCharType="begin"/>
          </w:r>
          <w:r>
            <w:rPr>
              <w:rFonts w:hint="default" w:ascii="Times New Roman" w:hAnsi="Times New Roman" w:eastAsia="黑体" w:cs="Times New Roman"/>
              <w:b w:val="0"/>
              <w:bCs w:val="0"/>
              <w:color w:val="auto"/>
              <w:kern w:val="2"/>
              <w:sz w:val="32"/>
              <w:szCs w:val="32"/>
              <w:highlight w:val="none"/>
              <w:lang w:val="en-US" w:eastAsia="zh-CN" w:bidi="ar-SA"/>
            </w:rPr>
            <w:instrText xml:space="preserve"> PAGEREF _Toc30551 \h </w:instrText>
          </w:r>
          <w:r>
            <w:rPr>
              <w:rFonts w:hint="default" w:ascii="Times New Roman" w:hAnsi="Times New Roman" w:eastAsia="黑体" w:cs="Times New Roman"/>
              <w:b w:val="0"/>
              <w:bCs w:val="0"/>
              <w:color w:val="auto"/>
              <w:kern w:val="2"/>
              <w:sz w:val="32"/>
              <w:szCs w:val="32"/>
              <w:highlight w:val="none"/>
              <w:lang w:val="en-US" w:eastAsia="zh-CN" w:bidi="ar-SA"/>
            </w:rPr>
            <w:fldChar w:fldCharType="separate"/>
          </w:r>
          <w:r>
            <w:rPr>
              <w:rFonts w:hint="default" w:ascii="Times New Roman" w:hAnsi="Times New Roman" w:eastAsia="黑体" w:cs="Times New Roman"/>
              <w:b w:val="0"/>
              <w:bCs w:val="0"/>
              <w:color w:val="auto"/>
              <w:kern w:val="2"/>
              <w:sz w:val="32"/>
              <w:szCs w:val="32"/>
              <w:highlight w:val="none"/>
              <w:lang w:val="en-US" w:eastAsia="zh-CN" w:bidi="ar-SA"/>
            </w:rPr>
            <w:t>- 4 -</w:t>
          </w:r>
          <w:r>
            <w:rPr>
              <w:rFonts w:hint="default" w:ascii="Times New Roman" w:hAnsi="Times New Roman" w:eastAsia="黑体" w:cs="Times New Roman"/>
              <w:b w:val="0"/>
              <w:bCs w:val="0"/>
              <w:color w:val="auto"/>
              <w:kern w:val="2"/>
              <w:sz w:val="32"/>
              <w:szCs w:val="32"/>
              <w:highlight w:val="none"/>
              <w:lang w:val="en-US" w:eastAsia="zh-CN" w:bidi="ar-SA"/>
            </w:rPr>
            <w:fldChar w:fldCharType="end"/>
          </w:r>
          <w:r>
            <w:rPr>
              <w:rFonts w:hint="default" w:ascii="Times New Roman" w:hAnsi="Times New Roman" w:eastAsia="黑体" w:cs="Times New Roman"/>
              <w:b w:val="0"/>
              <w:bCs w:val="0"/>
              <w:color w:val="auto"/>
              <w:kern w:val="2"/>
              <w:sz w:val="32"/>
              <w:szCs w:val="32"/>
              <w:highlight w:val="none"/>
              <w:lang w:val="en-US" w:eastAsia="zh-CN" w:bidi="ar-SA"/>
            </w:rPr>
            <w:fldChar w:fldCharType="end"/>
          </w:r>
        </w:p>
        <w:p>
          <w:pPr>
            <w:pStyle w:val="16"/>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480" w:lineRule="exact"/>
            <w:textAlignment w:val="auto"/>
            <w:rPr>
              <w:rFonts w:hint="default" w:ascii="Times New Roman" w:hAnsi="Times New Roman" w:eastAsia="仿宋_GB2312" w:cs="Times New Roman"/>
              <w:color w:val="auto"/>
              <w:kern w:val="2"/>
              <w:sz w:val="32"/>
              <w:szCs w:val="32"/>
              <w:highlight w:val="none"/>
              <w:lang w:val="en-US" w:eastAsia="zh-CN" w:bidi="ar-SA"/>
            </w:rPr>
          </w:pPr>
          <w:r>
            <w:rPr>
              <w:rFonts w:hint="default" w:ascii="Times New Roman" w:hAnsi="Times New Roman" w:eastAsia="仿宋_GB2312" w:cs="Times New Roman"/>
              <w:color w:val="auto"/>
              <w:kern w:val="2"/>
              <w:sz w:val="32"/>
              <w:szCs w:val="32"/>
              <w:highlight w:val="none"/>
              <w:lang w:val="en-US" w:eastAsia="zh-CN" w:bidi="ar-SA"/>
            </w:rPr>
            <w:fldChar w:fldCharType="begin"/>
          </w:r>
          <w:r>
            <w:rPr>
              <w:rFonts w:hint="default" w:ascii="Times New Roman" w:hAnsi="Times New Roman" w:eastAsia="仿宋_GB2312" w:cs="Times New Roman"/>
              <w:color w:val="auto"/>
              <w:kern w:val="2"/>
              <w:sz w:val="32"/>
              <w:szCs w:val="32"/>
              <w:highlight w:val="none"/>
              <w:lang w:val="en-US" w:eastAsia="zh-CN" w:bidi="ar-SA"/>
            </w:rPr>
            <w:instrText xml:space="preserve"> HYPERLINK \l _Toc5846 </w:instrText>
          </w:r>
          <w:r>
            <w:rPr>
              <w:rFonts w:hint="default" w:ascii="Times New Roman" w:hAnsi="Times New Roman" w:eastAsia="仿宋_GB2312" w:cs="Times New Roman"/>
              <w:color w:val="auto"/>
              <w:kern w:val="2"/>
              <w:sz w:val="32"/>
              <w:szCs w:val="32"/>
              <w:highlight w:val="none"/>
              <w:lang w:val="en-US" w:eastAsia="zh-CN" w:bidi="ar-SA"/>
            </w:rPr>
            <w:fldChar w:fldCharType="separate"/>
          </w:r>
          <w:r>
            <w:rPr>
              <w:rFonts w:hint="default" w:ascii="Times New Roman" w:hAnsi="Times New Roman" w:eastAsia="仿宋_GB2312" w:cs="Times New Roman"/>
              <w:color w:val="auto"/>
              <w:kern w:val="2"/>
              <w:sz w:val="32"/>
              <w:szCs w:val="32"/>
              <w:highlight w:val="none"/>
              <w:lang w:val="en-US" w:eastAsia="zh-CN" w:bidi="ar-SA"/>
            </w:rPr>
            <w:t>一、收入支出决算总体情况说明</w:t>
          </w:r>
          <w:r>
            <w:rPr>
              <w:rFonts w:hint="default" w:ascii="Times New Roman" w:hAnsi="Times New Roman" w:eastAsia="仿宋_GB2312" w:cs="Times New Roman"/>
              <w:color w:val="auto"/>
              <w:kern w:val="2"/>
              <w:sz w:val="32"/>
              <w:szCs w:val="32"/>
              <w:highlight w:val="none"/>
              <w:lang w:val="en-US" w:eastAsia="zh-CN" w:bidi="ar-SA"/>
            </w:rPr>
            <w:tab/>
          </w:r>
          <w:r>
            <w:rPr>
              <w:rFonts w:hint="default" w:ascii="Times New Roman" w:hAnsi="Times New Roman" w:eastAsia="仿宋_GB2312" w:cs="Times New Roman"/>
              <w:color w:val="auto"/>
              <w:kern w:val="2"/>
              <w:sz w:val="32"/>
              <w:szCs w:val="32"/>
              <w:highlight w:val="none"/>
              <w:lang w:val="en-US" w:eastAsia="zh-CN" w:bidi="ar-SA"/>
            </w:rPr>
            <w:fldChar w:fldCharType="begin"/>
          </w:r>
          <w:r>
            <w:rPr>
              <w:rFonts w:hint="default" w:ascii="Times New Roman" w:hAnsi="Times New Roman" w:eastAsia="仿宋_GB2312" w:cs="Times New Roman"/>
              <w:color w:val="auto"/>
              <w:kern w:val="2"/>
              <w:sz w:val="32"/>
              <w:szCs w:val="32"/>
              <w:highlight w:val="none"/>
              <w:lang w:val="en-US" w:eastAsia="zh-CN" w:bidi="ar-SA"/>
            </w:rPr>
            <w:instrText xml:space="preserve"> PAGEREF _Toc5846 \h </w:instrText>
          </w:r>
          <w:r>
            <w:rPr>
              <w:rFonts w:hint="default" w:ascii="Times New Roman" w:hAnsi="Times New Roman" w:eastAsia="仿宋_GB2312" w:cs="Times New Roman"/>
              <w:color w:val="auto"/>
              <w:kern w:val="2"/>
              <w:sz w:val="32"/>
              <w:szCs w:val="32"/>
              <w:highlight w:val="none"/>
              <w:lang w:val="en-US" w:eastAsia="zh-CN" w:bidi="ar-SA"/>
            </w:rPr>
            <w:fldChar w:fldCharType="separate"/>
          </w:r>
          <w:r>
            <w:rPr>
              <w:rFonts w:hint="default" w:ascii="Times New Roman" w:hAnsi="Times New Roman" w:eastAsia="仿宋_GB2312" w:cs="Times New Roman"/>
              <w:color w:val="auto"/>
              <w:kern w:val="2"/>
              <w:sz w:val="32"/>
              <w:szCs w:val="32"/>
              <w:highlight w:val="none"/>
              <w:lang w:val="en-US" w:eastAsia="zh-CN" w:bidi="ar-SA"/>
            </w:rPr>
            <w:t>- 4 -</w:t>
          </w:r>
          <w:r>
            <w:rPr>
              <w:rFonts w:hint="default" w:ascii="Times New Roman" w:hAnsi="Times New Roman" w:eastAsia="仿宋_GB2312" w:cs="Times New Roman"/>
              <w:color w:val="auto"/>
              <w:kern w:val="2"/>
              <w:sz w:val="32"/>
              <w:szCs w:val="32"/>
              <w:highlight w:val="none"/>
              <w:lang w:val="en-US" w:eastAsia="zh-CN" w:bidi="ar-SA"/>
            </w:rPr>
            <w:fldChar w:fldCharType="end"/>
          </w:r>
          <w:r>
            <w:rPr>
              <w:rFonts w:hint="default" w:ascii="Times New Roman" w:hAnsi="Times New Roman" w:eastAsia="仿宋_GB2312" w:cs="Times New Roman"/>
              <w:color w:val="auto"/>
              <w:kern w:val="2"/>
              <w:sz w:val="32"/>
              <w:szCs w:val="32"/>
              <w:highlight w:val="none"/>
              <w:lang w:val="en-US" w:eastAsia="zh-CN" w:bidi="ar-SA"/>
            </w:rPr>
            <w:fldChar w:fldCharType="end"/>
          </w:r>
        </w:p>
        <w:p>
          <w:pPr>
            <w:pStyle w:val="16"/>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480" w:lineRule="exact"/>
            <w:textAlignment w:val="auto"/>
            <w:rPr>
              <w:rFonts w:hint="default" w:ascii="Times New Roman" w:hAnsi="Times New Roman" w:eastAsia="仿宋_GB2312" w:cs="Times New Roman"/>
              <w:color w:val="auto"/>
              <w:kern w:val="2"/>
              <w:sz w:val="32"/>
              <w:szCs w:val="32"/>
              <w:highlight w:val="none"/>
              <w:lang w:val="en-US" w:eastAsia="zh-CN" w:bidi="ar-SA"/>
            </w:rPr>
          </w:pPr>
          <w:r>
            <w:rPr>
              <w:rFonts w:hint="default" w:ascii="Times New Roman" w:hAnsi="Times New Roman" w:eastAsia="仿宋_GB2312" w:cs="Times New Roman"/>
              <w:color w:val="auto"/>
              <w:kern w:val="2"/>
              <w:sz w:val="32"/>
              <w:szCs w:val="32"/>
              <w:highlight w:val="none"/>
              <w:lang w:val="en-US" w:eastAsia="zh-CN" w:bidi="ar-SA"/>
            </w:rPr>
            <w:fldChar w:fldCharType="begin"/>
          </w:r>
          <w:r>
            <w:rPr>
              <w:rFonts w:hint="default" w:ascii="Times New Roman" w:hAnsi="Times New Roman" w:eastAsia="仿宋_GB2312" w:cs="Times New Roman"/>
              <w:color w:val="auto"/>
              <w:kern w:val="2"/>
              <w:sz w:val="32"/>
              <w:szCs w:val="32"/>
              <w:highlight w:val="none"/>
              <w:lang w:val="en-US" w:eastAsia="zh-CN" w:bidi="ar-SA"/>
            </w:rPr>
            <w:instrText xml:space="preserve"> HYPERLINK \l _Toc6016 </w:instrText>
          </w:r>
          <w:r>
            <w:rPr>
              <w:rFonts w:hint="default" w:ascii="Times New Roman" w:hAnsi="Times New Roman" w:eastAsia="仿宋_GB2312" w:cs="Times New Roman"/>
              <w:color w:val="auto"/>
              <w:kern w:val="2"/>
              <w:sz w:val="32"/>
              <w:szCs w:val="32"/>
              <w:highlight w:val="none"/>
              <w:lang w:val="en-US" w:eastAsia="zh-CN" w:bidi="ar-SA"/>
            </w:rPr>
            <w:fldChar w:fldCharType="separate"/>
          </w:r>
          <w:r>
            <w:rPr>
              <w:rFonts w:hint="default" w:ascii="Times New Roman" w:hAnsi="Times New Roman" w:eastAsia="仿宋_GB2312" w:cs="Times New Roman"/>
              <w:color w:val="auto"/>
              <w:kern w:val="2"/>
              <w:sz w:val="32"/>
              <w:szCs w:val="32"/>
              <w:highlight w:val="none"/>
              <w:lang w:val="en-US" w:eastAsia="zh-CN" w:bidi="ar-SA"/>
            </w:rPr>
            <w:t>二、收入决算情况说明</w:t>
          </w:r>
          <w:r>
            <w:rPr>
              <w:rFonts w:hint="default" w:ascii="Times New Roman" w:hAnsi="Times New Roman" w:eastAsia="仿宋_GB2312" w:cs="Times New Roman"/>
              <w:color w:val="auto"/>
              <w:kern w:val="2"/>
              <w:sz w:val="32"/>
              <w:szCs w:val="32"/>
              <w:highlight w:val="none"/>
              <w:lang w:val="en-US" w:eastAsia="zh-CN" w:bidi="ar-SA"/>
            </w:rPr>
            <w:tab/>
          </w:r>
          <w:r>
            <w:rPr>
              <w:rFonts w:hint="default" w:ascii="Times New Roman" w:hAnsi="Times New Roman" w:eastAsia="仿宋_GB2312" w:cs="Times New Roman"/>
              <w:color w:val="auto"/>
              <w:kern w:val="2"/>
              <w:sz w:val="32"/>
              <w:szCs w:val="32"/>
              <w:highlight w:val="none"/>
              <w:lang w:val="en-US" w:eastAsia="zh-CN" w:bidi="ar-SA"/>
            </w:rPr>
            <w:fldChar w:fldCharType="begin"/>
          </w:r>
          <w:r>
            <w:rPr>
              <w:rFonts w:hint="default" w:ascii="Times New Roman" w:hAnsi="Times New Roman" w:eastAsia="仿宋_GB2312" w:cs="Times New Roman"/>
              <w:color w:val="auto"/>
              <w:kern w:val="2"/>
              <w:sz w:val="32"/>
              <w:szCs w:val="32"/>
              <w:highlight w:val="none"/>
              <w:lang w:val="en-US" w:eastAsia="zh-CN" w:bidi="ar-SA"/>
            </w:rPr>
            <w:instrText xml:space="preserve"> PAGEREF _Toc6016 \h </w:instrText>
          </w:r>
          <w:r>
            <w:rPr>
              <w:rFonts w:hint="default" w:ascii="Times New Roman" w:hAnsi="Times New Roman" w:eastAsia="仿宋_GB2312" w:cs="Times New Roman"/>
              <w:color w:val="auto"/>
              <w:kern w:val="2"/>
              <w:sz w:val="32"/>
              <w:szCs w:val="32"/>
              <w:highlight w:val="none"/>
              <w:lang w:val="en-US" w:eastAsia="zh-CN" w:bidi="ar-SA"/>
            </w:rPr>
            <w:fldChar w:fldCharType="separate"/>
          </w:r>
          <w:r>
            <w:rPr>
              <w:rFonts w:hint="default" w:ascii="Times New Roman" w:hAnsi="Times New Roman" w:eastAsia="仿宋_GB2312" w:cs="Times New Roman"/>
              <w:color w:val="auto"/>
              <w:kern w:val="2"/>
              <w:sz w:val="32"/>
              <w:szCs w:val="32"/>
              <w:highlight w:val="none"/>
              <w:lang w:val="en-US" w:eastAsia="zh-CN" w:bidi="ar-SA"/>
            </w:rPr>
            <w:t>- 4 -</w:t>
          </w:r>
          <w:r>
            <w:rPr>
              <w:rFonts w:hint="default" w:ascii="Times New Roman" w:hAnsi="Times New Roman" w:eastAsia="仿宋_GB2312" w:cs="Times New Roman"/>
              <w:color w:val="auto"/>
              <w:kern w:val="2"/>
              <w:sz w:val="32"/>
              <w:szCs w:val="32"/>
              <w:highlight w:val="none"/>
              <w:lang w:val="en-US" w:eastAsia="zh-CN" w:bidi="ar-SA"/>
            </w:rPr>
            <w:fldChar w:fldCharType="end"/>
          </w:r>
          <w:r>
            <w:rPr>
              <w:rFonts w:hint="default" w:ascii="Times New Roman" w:hAnsi="Times New Roman" w:eastAsia="仿宋_GB2312" w:cs="Times New Roman"/>
              <w:color w:val="auto"/>
              <w:kern w:val="2"/>
              <w:sz w:val="32"/>
              <w:szCs w:val="32"/>
              <w:highlight w:val="none"/>
              <w:lang w:val="en-US" w:eastAsia="zh-CN" w:bidi="ar-SA"/>
            </w:rPr>
            <w:fldChar w:fldCharType="end"/>
          </w:r>
        </w:p>
        <w:p>
          <w:pPr>
            <w:pStyle w:val="16"/>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480" w:lineRule="exact"/>
            <w:textAlignment w:val="auto"/>
            <w:rPr>
              <w:rFonts w:hint="default" w:ascii="Times New Roman" w:hAnsi="Times New Roman" w:eastAsia="仿宋_GB2312" w:cs="Times New Roman"/>
              <w:color w:val="auto"/>
              <w:kern w:val="2"/>
              <w:sz w:val="32"/>
              <w:szCs w:val="32"/>
              <w:highlight w:val="none"/>
              <w:lang w:val="en-US" w:eastAsia="zh-CN" w:bidi="ar-SA"/>
            </w:rPr>
          </w:pPr>
          <w:r>
            <w:rPr>
              <w:rFonts w:hint="default" w:ascii="Times New Roman" w:hAnsi="Times New Roman" w:eastAsia="仿宋_GB2312" w:cs="Times New Roman"/>
              <w:color w:val="auto"/>
              <w:kern w:val="2"/>
              <w:sz w:val="32"/>
              <w:szCs w:val="32"/>
              <w:highlight w:val="none"/>
              <w:lang w:val="en-US" w:eastAsia="zh-CN" w:bidi="ar-SA"/>
            </w:rPr>
            <w:fldChar w:fldCharType="begin"/>
          </w:r>
          <w:r>
            <w:rPr>
              <w:rFonts w:hint="default" w:ascii="Times New Roman" w:hAnsi="Times New Roman" w:eastAsia="仿宋_GB2312" w:cs="Times New Roman"/>
              <w:color w:val="auto"/>
              <w:kern w:val="2"/>
              <w:sz w:val="32"/>
              <w:szCs w:val="32"/>
              <w:highlight w:val="none"/>
              <w:lang w:val="en-US" w:eastAsia="zh-CN" w:bidi="ar-SA"/>
            </w:rPr>
            <w:instrText xml:space="preserve"> HYPERLINK \l _Toc21503 </w:instrText>
          </w:r>
          <w:r>
            <w:rPr>
              <w:rFonts w:hint="default" w:ascii="Times New Roman" w:hAnsi="Times New Roman" w:eastAsia="仿宋_GB2312" w:cs="Times New Roman"/>
              <w:color w:val="auto"/>
              <w:kern w:val="2"/>
              <w:sz w:val="32"/>
              <w:szCs w:val="32"/>
              <w:highlight w:val="none"/>
              <w:lang w:val="en-US" w:eastAsia="zh-CN" w:bidi="ar-SA"/>
            </w:rPr>
            <w:fldChar w:fldCharType="separate"/>
          </w:r>
          <w:r>
            <w:rPr>
              <w:rFonts w:hint="default" w:ascii="Times New Roman" w:hAnsi="Times New Roman" w:eastAsia="仿宋_GB2312" w:cs="Times New Roman"/>
              <w:color w:val="auto"/>
              <w:kern w:val="2"/>
              <w:sz w:val="32"/>
              <w:szCs w:val="32"/>
              <w:highlight w:val="none"/>
              <w:lang w:val="en-US" w:eastAsia="zh-CN" w:bidi="ar-SA"/>
            </w:rPr>
            <w:t>三、支出决算情况说明</w:t>
          </w:r>
          <w:r>
            <w:rPr>
              <w:rFonts w:hint="default" w:ascii="Times New Roman" w:hAnsi="Times New Roman" w:eastAsia="仿宋_GB2312" w:cs="Times New Roman"/>
              <w:color w:val="auto"/>
              <w:kern w:val="2"/>
              <w:sz w:val="32"/>
              <w:szCs w:val="32"/>
              <w:highlight w:val="none"/>
              <w:lang w:val="en-US" w:eastAsia="zh-CN" w:bidi="ar-SA"/>
            </w:rPr>
            <w:tab/>
          </w:r>
          <w:r>
            <w:rPr>
              <w:rFonts w:hint="default" w:ascii="Times New Roman" w:hAnsi="Times New Roman" w:eastAsia="仿宋_GB2312" w:cs="Times New Roman"/>
              <w:color w:val="auto"/>
              <w:kern w:val="2"/>
              <w:sz w:val="32"/>
              <w:szCs w:val="32"/>
              <w:highlight w:val="none"/>
              <w:lang w:val="en-US" w:eastAsia="zh-CN" w:bidi="ar-SA"/>
            </w:rPr>
            <w:fldChar w:fldCharType="begin"/>
          </w:r>
          <w:r>
            <w:rPr>
              <w:rFonts w:hint="default" w:ascii="Times New Roman" w:hAnsi="Times New Roman" w:eastAsia="仿宋_GB2312" w:cs="Times New Roman"/>
              <w:color w:val="auto"/>
              <w:kern w:val="2"/>
              <w:sz w:val="32"/>
              <w:szCs w:val="32"/>
              <w:highlight w:val="none"/>
              <w:lang w:val="en-US" w:eastAsia="zh-CN" w:bidi="ar-SA"/>
            </w:rPr>
            <w:instrText xml:space="preserve"> PAGEREF _Toc21503 \h </w:instrText>
          </w:r>
          <w:r>
            <w:rPr>
              <w:rFonts w:hint="default" w:ascii="Times New Roman" w:hAnsi="Times New Roman" w:eastAsia="仿宋_GB2312" w:cs="Times New Roman"/>
              <w:color w:val="auto"/>
              <w:kern w:val="2"/>
              <w:sz w:val="32"/>
              <w:szCs w:val="32"/>
              <w:highlight w:val="none"/>
              <w:lang w:val="en-US" w:eastAsia="zh-CN" w:bidi="ar-SA"/>
            </w:rPr>
            <w:fldChar w:fldCharType="separate"/>
          </w:r>
          <w:r>
            <w:rPr>
              <w:rFonts w:hint="default" w:ascii="Times New Roman" w:hAnsi="Times New Roman" w:eastAsia="仿宋_GB2312" w:cs="Times New Roman"/>
              <w:color w:val="auto"/>
              <w:kern w:val="2"/>
              <w:sz w:val="32"/>
              <w:szCs w:val="32"/>
              <w:highlight w:val="none"/>
              <w:lang w:val="en-US" w:eastAsia="zh-CN" w:bidi="ar-SA"/>
            </w:rPr>
            <w:t>- 5 -</w:t>
          </w:r>
          <w:r>
            <w:rPr>
              <w:rFonts w:hint="default" w:ascii="Times New Roman" w:hAnsi="Times New Roman" w:eastAsia="仿宋_GB2312" w:cs="Times New Roman"/>
              <w:color w:val="auto"/>
              <w:kern w:val="2"/>
              <w:sz w:val="32"/>
              <w:szCs w:val="32"/>
              <w:highlight w:val="none"/>
              <w:lang w:val="en-US" w:eastAsia="zh-CN" w:bidi="ar-SA"/>
            </w:rPr>
            <w:fldChar w:fldCharType="end"/>
          </w:r>
          <w:r>
            <w:rPr>
              <w:rFonts w:hint="default" w:ascii="Times New Roman" w:hAnsi="Times New Roman" w:eastAsia="仿宋_GB2312" w:cs="Times New Roman"/>
              <w:color w:val="auto"/>
              <w:kern w:val="2"/>
              <w:sz w:val="32"/>
              <w:szCs w:val="32"/>
              <w:highlight w:val="none"/>
              <w:lang w:val="en-US" w:eastAsia="zh-CN" w:bidi="ar-SA"/>
            </w:rPr>
            <w:fldChar w:fldCharType="end"/>
          </w:r>
        </w:p>
        <w:p>
          <w:pPr>
            <w:pStyle w:val="16"/>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480" w:lineRule="exact"/>
            <w:textAlignment w:val="auto"/>
            <w:rPr>
              <w:rFonts w:hint="default" w:ascii="Times New Roman" w:hAnsi="Times New Roman" w:eastAsia="仿宋_GB2312" w:cs="Times New Roman"/>
              <w:color w:val="auto"/>
              <w:kern w:val="2"/>
              <w:sz w:val="32"/>
              <w:szCs w:val="32"/>
              <w:highlight w:val="none"/>
              <w:lang w:val="en-US" w:eastAsia="zh-CN" w:bidi="ar-SA"/>
            </w:rPr>
          </w:pPr>
          <w:r>
            <w:rPr>
              <w:rFonts w:hint="default" w:ascii="Times New Roman" w:hAnsi="Times New Roman" w:eastAsia="仿宋_GB2312" w:cs="Times New Roman"/>
              <w:color w:val="auto"/>
              <w:kern w:val="2"/>
              <w:sz w:val="32"/>
              <w:szCs w:val="32"/>
              <w:highlight w:val="none"/>
              <w:lang w:val="en-US" w:eastAsia="zh-CN" w:bidi="ar-SA"/>
            </w:rPr>
            <w:fldChar w:fldCharType="begin"/>
          </w:r>
          <w:r>
            <w:rPr>
              <w:rFonts w:hint="default" w:ascii="Times New Roman" w:hAnsi="Times New Roman" w:eastAsia="仿宋_GB2312" w:cs="Times New Roman"/>
              <w:color w:val="auto"/>
              <w:kern w:val="2"/>
              <w:sz w:val="32"/>
              <w:szCs w:val="32"/>
              <w:highlight w:val="none"/>
              <w:lang w:val="en-US" w:eastAsia="zh-CN" w:bidi="ar-SA"/>
            </w:rPr>
            <w:instrText xml:space="preserve"> HYPERLINK \l _Toc3898 </w:instrText>
          </w:r>
          <w:r>
            <w:rPr>
              <w:rFonts w:hint="default" w:ascii="Times New Roman" w:hAnsi="Times New Roman" w:eastAsia="仿宋_GB2312" w:cs="Times New Roman"/>
              <w:color w:val="auto"/>
              <w:kern w:val="2"/>
              <w:sz w:val="32"/>
              <w:szCs w:val="32"/>
              <w:highlight w:val="none"/>
              <w:lang w:val="en-US" w:eastAsia="zh-CN" w:bidi="ar-SA"/>
            </w:rPr>
            <w:fldChar w:fldCharType="separate"/>
          </w:r>
          <w:r>
            <w:rPr>
              <w:rFonts w:hint="default" w:ascii="Times New Roman" w:hAnsi="Times New Roman" w:eastAsia="仿宋_GB2312" w:cs="Times New Roman"/>
              <w:color w:val="auto"/>
              <w:kern w:val="2"/>
              <w:sz w:val="32"/>
              <w:szCs w:val="32"/>
              <w:highlight w:val="none"/>
              <w:lang w:val="en-US" w:eastAsia="zh-CN" w:bidi="ar-SA"/>
            </w:rPr>
            <w:t>四、财政拨款收入支出决算总体情况说明</w:t>
          </w:r>
          <w:r>
            <w:rPr>
              <w:rFonts w:hint="default" w:ascii="Times New Roman" w:hAnsi="Times New Roman" w:eastAsia="仿宋_GB2312" w:cs="Times New Roman"/>
              <w:color w:val="auto"/>
              <w:kern w:val="2"/>
              <w:sz w:val="32"/>
              <w:szCs w:val="32"/>
              <w:highlight w:val="none"/>
              <w:lang w:val="en-US" w:eastAsia="zh-CN" w:bidi="ar-SA"/>
            </w:rPr>
            <w:tab/>
          </w:r>
          <w:r>
            <w:rPr>
              <w:rFonts w:hint="default" w:ascii="Times New Roman" w:hAnsi="Times New Roman" w:eastAsia="仿宋_GB2312" w:cs="Times New Roman"/>
              <w:color w:val="auto"/>
              <w:kern w:val="2"/>
              <w:sz w:val="32"/>
              <w:szCs w:val="32"/>
              <w:highlight w:val="none"/>
              <w:lang w:val="en-US" w:eastAsia="zh-CN" w:bidi="ar-SA"/>
            </w:rPr>
            <w:fldChar w:fldCharType="begin"/>
          </w:r>
          <w:r>
            <w:rPr>
              <w:rFonts w:hint="default" w:ascii="Times New Roman" w:hAnsi="Times New Roman" w:eastAsia="仿宋_GB2312" w:cs="Times New Roman"/>
              <w:color w:val="auto"/>
              <w:kern w:val="2"/>
              <w:sz w:val="32"/>
              <w:szCs w:val="32"/>
              <w:highlight w:val="none"/>
              <w:lang w:val="en-US" w:eastAsia="zh-CN" w:bidi="ar-SA"/>
            </w:rPr>
            <w:instrText xml:space="preserve"> PAGEREF _Toc3898 \h </w:instrText>
          </w:r>
          <w:r>
            <w:rPr>
              <w:rFonts w:hint="default" w:ascii="Times New Roman" w:hAnsi="Times New Roman" w:eastAsia="仿宋_GB2312" w:cs="Times New Roman"/>
              <w:color w:val="auto"/>
              <w:kern w:val="2"/>
              <w:sz w:val="32"/>
              <w:szCs w:val="32"/>
              <w:highlight w:val="none"/>
              <w:lang w:val="en-US" w:eastAsia="zh-CN" w:bidi="ar-SA"/>
            </w:rPr>
            <w:fldChar w:fldCharType="separate"/>
          </w:r>
          <w:r>
            <w:rPr>
              <w:rFonts w:hint="default" w:ascii="Times New Roman" w:hAnsi="Times New Roman" w:eastAsia="仿宋_GB2312" w:cs="Times New Roman"/>
              <w:color w:val="auto"/>
              <w:kern w:val="2"/>
              <w:sz w:val="32"/>
              <w:szCs w:val="32"/>
              <w:highlight w:val="none"/>
              <w:lang w:val="en-US" w:eastAsia="zh-CN" w:bidi="ar-SA"/>
            </w:rPr>
            <w:t>- 5 -</w:t>
          </w:r>
          <w:r>
            <w:rPr>
              <w:rFonts w:hint="default" w:ascii="Times New Roman" w:hAnsi="Times New Roman" w:eastAsia="仿宋_GB2312" w:cs="Times New Roman"/>
              <w:color w:val="auto"/>
              <w:kern w:val="2"/>
              <w:sz w:val="32"/>
              <w:szCs w:val="32"/>
              <w:highlight w:val="none"/>
              <w:lang w:val="en-US" w:eastAsia="zh-CN" w:bidi="ar-SA"/>
            </w:rPr>
            <w:fldChar w:fldCharType="end"/>
          </w:r>
          <w:r>
            <w:rPr>
              <w:rFonts w:hint="default" w:ascii="Times New Roman" w:hAnsi="Times New Roman" w:eastAsia="仿宋_GB2312" w:cs="Times New Roman"/>
              <w:color w:val="auto"/>
              <w:kern w:val="2"/>
              <w:sz w:val="32"/>
              <w:szCs w:val="32"/>
              <w:highlight w:val="none"/>
              <w:lang w:val="en-US" w:eastAsia="zh-CN" w:bidi="ar-SA"/>
            </w:rPr>
            <w:fldChar w:fldCharType="end"/>
          </w:r>
        </w:p>
        <w:p>
          <w:pPr>
            <w:pStyle w:val="16"/>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480" w:lineRule="exact"/>
            <w:textAlignment w:val="auto"/>
            <w:rPr>
              <w:rFonts w:hint="default" w:ascii="Times New Roman" w:hAnsi="Times New Roman" w:eastAsia="仿宋_GB2312" w:cs="Times New Roman"/>
              <w:color w:val="auto"/>
              <w:kern w:val="2"/>
              <w:sz w:val="32"/>
              <w:szCs w:val="32"/>
              <w:highlight w:val="none"/>
              <w:lang w:val="en-US" w:eastAsia="zh-CN" w:bidi="ar-SA"/>
            </w:rPr>
          </w:pPr>
          <w:r>
            <w:rPr>
              <w:rFonts w:hint="default" w:ascii="Times New Roman" w:hAnsi="Times New Roman" w:eastAsia="仿宋_GB2312" w:cs="Times New Roman"/>
              <w:color w:val="auto"/>
              <w:kern w:val="2"/>
              <w:sz w:val="32"/>
              <w:szCs w:val="32"/>
              <w:highlight w:val="none"/>
              <w:lang w:val="en-US" w:eastAsia="zh-CN" w:bidi="ar-SA"/>
            </w:rPr>
            <w:fldChar w:fldCharType="begin"/>
          </w:r>
          <w:r>
            <w:rPr>
              <w:rFonts w:hint="default" w:ascii="Times New Roman" w:hAnsi="Times New Roman" w:eastAsia="仿宋_GB2312" w:cs="Times New Roman"/>
              <w:color w:val="auto"/>
              <w:kern w:val="2"/>
              <w:sz w:val="32"/>
              <w:szCs w:val="32"/>
              <w:highlight w:val="none"/>
              <w:lang w:val="en-US" w:eastAsia="zh-CN" w:bidi="ar-SA"/>
            </w:rPr>
            <w:instrText xml:space="preserve"> HYPERLINK \l _Toc18130 </w:instrText>
          </w:r>
          <w:r>
            <w:rPr>
              <w:rFonts w:hint="default" w:ascii="Times New Roman" w:hAnsi="Times New Roman" w:eastAsia="仿宋_GB2312" w:cs="Times New Roman"/>
              <w:color w:val="auto"/>
              <w:kern w:val="2"/>
              <w:sz w:val="32"/>
              <w:szCs w:val="32"/>
              <w:highlight w:val="none"/>
              <w:lang w:val="en-US" w:eastAsia="zh-CN" w:bidi="ar-SA"/>
            </w:rPr>
            <w:fldChar w:fldCharType="separate"/>
          </w:r>
          <w:r>
            <w:rPr>
              <w:rFonts w:hint="default" w:ascii="Times New Roman" w:hAnsi="Times New Roman" w:eastAsia="仿宋_GB2312" w:cs="Times New Roman"/>
              <w:color w:val="auto"/>
              <w:kern w:val="2"/>
              <w:sz w:val="32"/>
              <w:szCs w:val="32"/>
              <w:highlight w:val="none"/>
              <w:lang w:val="en-US" w:eastAsia="zh-CN" w:bidi="ar-SA"/>
            </w:rPr>
            <w:t>五、一般公共预算财政拨款支出决算情况说明</w:t>
          </w:r>
          <w:r>
            <w:rPr>
              <w:rFonts w:hint="default" w:ascii="Times New Roman" w:hAnsi="Times New Roman" w:eastAsia="仿宋_GB2312" w:cs="Times New Roman"/>
              <w:color w:val="auto"/>
              <w:kern w:val="2"/>
              <w:sz w:val="32"/>
              <w:szCs w:val="32"/>
              <w:highlight w:val="none"/>
              <w:lang w:val="en-US" w:eastAsia="zh-CN" w:bidi="ar-SA"/>
            </w:rPr>
            <w:tab/>
          </w:r>
          <w:r>
            <w:rPr>
              <w:rFonts w:hint="default" w:ascii="Times New Roman" w:hAnsi="Times New Roman" w:eastAsia="仿宋_GB2312" w:cs="Times New Roman"/>
              <w:color w:val="auto"/>
              <w:kern w:val="2"/>
              <w:sz w:val="32"/>
              <w:szCs w:val="32"/>
              <w:highlight w:val="none"/>
              <w:lang w:val="en-US" w:eastAsia="zh-CN" w:bidi="ar-SA"/>
            </w:rPr>
            <w:fldChar w:fldCharType="begin"/>
          </w:r>
          <w:r>
            <w:rPr>
              <w:rFonts w:hint="default" w:ascii="Times New Roman" w:hAnsi="Times New Roman" w:eastAsia="仿宋_GB2312" w:cs="Times New Roman"/>
              <w:color w:val="auto"/>
              <w:kern w:val="2"/>
              <w:sz w:val="32"/>
              <w:szCs w:val="32"/>
              <w:highlight w:val="none"/>
              <w:lang w:val="en-US" w:eastAsia="zh-CN" w:bidi="ar-SA"/>
            </w:rPr>
            <w:instrText xml:space="preserve"> PAGEREF _Toc18130 \h </w:instrText>
          </w:r>
          <w:r>
            <w:rPr>
              <w:rFonts w:hint="default" w:ascii="Times New Roman" w:hAnsi="Times New Roman" w:eastAsia="仿宋_GB2312" w:cs="Times New Roman"/>
              <w:color w:val="auto"/>
              <w:kern w:val="2"/>
              <w:sz w:val="32"/>
              <w:szCs w:val="32"/>
              <w:highlight w:val="none"/>
              <w:lang w:val="en-US" w:eastAsia="zh-CN" w:bidi="ar-SA"/>
            </w:rPr>
            <w:fldChar w:fldCharType="separate"/>
          </w:r>
          <w:r>
            <w:rPr>
              <w:rFonts w:hint="default" w:ascii="Times New Roman" w:hAnsi="Times New Roman" w:eastAsia="仿宋_GB2312" w:cs="Times New Roman"/>
              <w:color w:val="auto"/>
              <w:kern w:val="2"/>
              <w:sz w:val="32"/>
              <w:szCs w:val="32"/>
              <w:highlight w:val="none"/>
              <w:lang w:val="en-US" w:eastAsia="zh-CN" w:bidi="ar-SA"/>
            </w:rPr>
            <w:t>- 6 -</w:t>
          </w:r>
          <w:r>
            <w:rPr>
              <w:rFonts w:hint="default" w:ascii="Times New Roman" w:hAnsi="Times New Roman" w:eastAsia="仿宋_GB2312" w:cs="Times New Roman"/>
              <w:color w:val="auto"/>
              <w:kern w:val="2"/>
              <w:sz w:val="32"/>
              <w:szCs w:val="32"/>
              <w:highlight w:val="none"/>
              <w:lang w:val="en-US" w:eastAsia="zh-CN" w:bidi="ar-SA"/>
            </w:rPr>
            <w:fldChar w:fldCharType="end"/>
          </w:r>
          <w:r>
            <w:rPr>
              <w:rFonts w:hint="default" w:ascii="Times New Roman" w:hAnsi="Times New Roman" w:eastAsia="仿宋_GB2312" w:cs="Times New Roman"/>
              <w:color w:val="auto"/>
              <w:kern w:val="2"/>
              <w:sz w:val="32"/>
              <w:szCs w:val="32"/>
              <w:highlight w:val="none"/>
              <w:lang w:val="en-US" w:eastAsia="zh-CN" w:bidi="ar-SA"/>
            </w:rPr>
            <w:fldChar w:fldCharType="end"/>
          </w:r>
        </w:p>
        <w:p>
          <w:pPr>
            <w:pStyle w:val="16"/>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480" w:lineRule="exact"/>
            <w:textAlignment w:val="auto"/>
            <w:rPr>
              <w:rFonts w:hint="default" w:ascii="Times New Roman" w:hAnsi="Times New Roman" w:eastAsia="仿宋_GB2312" w:cs="Times New Roman"/>
              <w:color w:val="auto"/>
              <w:kern w:val="2"/>
              <w:sz w:val="32"/>
              <w:szCs w:val="32"/>
              <w:highlight w:val="none"/>
              <w:lang w:val="en-US" w:eastAsia="zh-CN" w:bidi="ar-SA"/>
            </w:rPr>
          </w:pPr>
          <w:r>
            <w:rPr>
              <w:rFonts w:hint="default" w:ascii="Times New Roman" w:hAnsi="Times New Roman" w:eastAsia="仿宋_GB2312" w:cs="Times New Roman"/>
              <w:color w:val="auto"/>
              <w:kern w:val="2"/>
              <w:sz w:val="32"/>
              <w:szCs w:val="32"/>
              <w:highlight w:val="none"/>
              <w:lang w:val="en-US" w:eastAsia="zh-CN" w:bidi="ar-SA"/>
            </w:rPr>
            <w:fldChar w:fldCharType="begin"/>
          </w:r>
          <w:r>
            <w:rPr>
              <w:rFonts w:hint="default" w:ascii="Times New Roman" w:hAnsi="Times New Roman" w:eastAsia="仿宋_GB2312" w:cs="Times New Roman"/>
              <w:color w:val="auto"/>
              <w:kern w:val="2"/>
              <w:sz w:val="32"/>
              <w:szCs w:val="32"/>
              <w:highlight w:val="none"/>
              <w:lang w:val="en-US" w:eastAsia="zh-CN" w:bidi="ar-SA"/>
            </w:rPr>
            <w:instrText xml:space="preserve"> HYPERLINK \l _Toc29154 </w:instrText>
          </w:r>
          <w:r>
            <w:rPr>
              <w:rFonts w:hint="default" w:ascii="Times New Roman" w:hAnsi="Times New Roman" w:eastAsia="仿宋_GB2312" w:cs="Times New Roman"/>
              <w:color w:val="auto"/>
              <w:kern w:val="2"/>
              <w:sz w:val="32"/>
              <w:szCs w:val="32"/>
              <w:highlight w:val="none"/>
              <w:lang w:val="en-US" w:eastAsia="zh-CN" w:bidi="ar-SA"/>
            </w:rPr>
            <w:fldChar w:fldCharType="separate"/>
          </w:r>
          <w:r>
            <w:rPr>
              <w:rFonts w:hint="default" w:ascii="Times New Roman" w:hAnsi="Times New Roman" w:eastAsia="仿宋_GB2312" w:cs="Times New Roman"/>
              <w:color w:val="auto"/>
              <w:kern w:val="2"/>
              <w:sz w:val="32"/>
              <w:szCs w:val="32"/>
              <w:highlight w:val="none"/>
              <w:lang w:val="en-US" w:eastAsia="zh-CN" w:bidi="ar-SA"/>
            </w:rPr>
            <w:t>六、一般公共预算财政拨款基本支出决算情况说明</w:t>
          </w:r>
          <w:r>
            <w:rPr>
              <w:rFonts w:hint="default" w:ascii="Times New Roman" w:hAnsi="Times New Roman" w:eastAsia="仿宋_GB2312" w:cs="Times New Roman"/>
              <w:color w:val="auto"/>
              <w:kern w:val="2"/>
              <w:sz w:val="32"/>
              <w:szCs w:val="32"/>
              <w:highlight w:val="none"/>
              <w:lang w:val="en-US" w:eastAsia="zh-CN" w:bidi="ar-SA"/>
            </w:rPr>
            <w:tab/>
          </w:r>
          <w:r>
            <w:rPr>
              <w:rFonts w:hint="default" w:ascii="Times New Roman" w:hAnsi="Times New Roman" w:eastAsia="仿宋_GB2312" w:cs="Times New Roman"/>
              <w:color w:val="auto"/>
              <w:kern w:val="2"/>
              <w:sz w:val="32"/>
              <w:szCs w:val="32"/>
              <w:highlight w:val="none"/>
              <w:lang w:val="en-US" w:eastAsia="zh-CN" w:bidi="ar-SA"/>
            </w:rPr>
            <w:fldChar w:fldCharType="begin"/>
          </w:r>
          <w:r>
            <w:rPr>
              <w:rFonts w:hint="default" w:ascii="Times New Roman" w:hAnsi="Times New Roman" w:eastAsia="仿宋_GB2312" w:cs="Times New Roman"/>
              <w:color w:val="auto"/>
              <w:kern w:val="2"/>
              <w:sz w:val="32"/>
              <w:szCs w:val="32"/>
              <w:highlight w:val="none"/>
              <w:lang w:val="en-US" w:eastAsia="zh-CN" w:bidi="ar-SA"/>
            </w:rPr>
            <w:instrText xml:space="preserve"> PAGEREF _Toc29154 \h </w:instrText>
          </w:r>
          <w:r>
            <w:rPr>
              <w:rFonts w:hint="default" w:ascii="Times New Roman" w:hAnsi="Times New Roman" w:eastAsia="仿宋_GB2312" w:cs="Times New Roman"/>
              <w:color w:val="auto"/>
              <w:kern w:val="2"/>
              <w:sz w:val="32"/>
              <w:szCs w:val="32"/>
              <w:highlight w:val="none"/>
              <w:lang w:val="en-US" w:eastAsia="zh-CN" w:bidi="ar-SA"/>
            </w:rPr>
            <w:fldChar w:fldCharType="separate"/>
          </w:r>
          <w:r>
            <w:rPr>
              <w:rFonts w:hint="default" w:ascii="Times New Roman" w:hAnsi="Times New Roman" w:eastAsia="仿宋_GB2312" w:cs="Times New Roman"/>
              <w:color w:val="auto"/>
              <w:kern w:val="2"/>
              <w:sz w:val="32"/>
              <w:szCs w:val="32"/>
              <w:highlight w:val="none"/>
              <w:lang w:val="en-US" w:eastAsia="zh-CN" w:bidi="ar-SA"/>
            </w:rPr>
            <w:t>- 9 -</w:t>
          </w:r>
          <w:r>
            <w:rPr>
              <w:rFonts w:hint="default" w:ascii="Times New Roman" w:hAnsi="Times New Roman" w:eastAsia="仿宋_GB2312" w:cs="Times New Roman"/>
              <w:color w:val="auto"/>
              <w:kern w:val="2"/>
              <w:sz w:val="32"/>
              <w:szCs w:val="32"/>
              <w:highlight w:val="none"/>
              <w:lang w:val="en-US" w:eastAsia="zh-CN" w:bidi="ar-SA"/>
            </w:rPr>
            <w:fldChar w:fldCharType="end"/>
          </w:r>
          <w:r>
            <w:rPr>
              <w:rFonts w:hint="default" w:ascii="Times New Roman" w:hAnsi="Times New Roman" w:eastAsia="仿宋_GB2312" w:cs="Times New Roman"/>
              <w:color w:val="auto"/>
              <w:kern w:val="2"/>
              <w:sz w:val="32"/>
              <w:szCs w:val="32"/>
              <w:highlight w:val="none"/>
              <w:lang w:val="en-US" w:eastAsia="zh-CN" w:bidi="ar-SA"/>
            </w:rPr>
            <w:fldChar w:fldCharType="end"/>
          </w:r>
        </w:p>
        <w:p>
          <w:pPr>
            <w:pStyle w:val="16"/>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480" w:lineRule="exact"/>
            <w:textAlignment w:val="auto"/>
            <w:rPr>
              <w:rFonts w:hint="default" w:ascii="Times New Roman" w:hAnsi="Times New Roman" w:eastAsia="仿宋_GB2312" w:cs="Times New Roman"/>
              <w:color w:val="auto"/>
              <w:kern w:val="2"/>
              <w:sz w:val="32"/>
              <w:szCs w:val="32"/>
              <w:highlight w:val="none"/>
              <w:lang w:val="en-US" w:eastAsia="zh-CN" w:bidi="ar-SA"/>
            </w:rPr>
          </w:pPr>
          <w:r>
            <w:rPr>
              <w:rFonts w:hint="default" w:ascii="Times New Roman" w:hAnsi="Times New Roman" w:eastAsia="仿宋_GB2312" w:cs="Times New Roman"/>
              <w:color w:val="auto"/>
              <w:kern w:val="2"/>
              <w:sz w:val="32"/>
              <w:szCs w:val="32"/>
              <w:highlight w:val="none"/>
              <w:lang w:val="en-US" w:eastAsia="zh-CN" w:bidi="ar-SA"/>
            </w:rPr>
            <w:fldChar w:fldCharType="begin"/>
          </w:r>
          <w:r>
            <w:rPr>
              <w:rFonts w:hint="default" w:ascii="Times New Roman" w:hAnsi="Times New Roman" w:eastAsia="仿宋_GB2312" w:cs="Times New Roman"/>
              <w:color w:val="auto"/>
              <w:kern w:val="2"/>
              <w:sz w:val="32"/>
              <w:szCs w:val="32"/>
              <w:highlight w:val="none"/>
              <w:lang w:val="en-US" w:eastAsia="zh-CN" w:bidi="ar-SA"/>
            </w:rPr>
            <w:instrText xml:space="preserve"> HYPERLINK \l _Toc4631 </w:instrText>
          </w:r>
          <w:r>
            <w:rPr>
              <w:rFonts w:hint="default" w:ascii="Times New Roman" w:hAnsi="Times New Roman" w:eastAsia="仿宋_GB2312" w:cs="Times New Roman"/>
              <w:color w:val="auto"/>
              <w:kern w:val="2"/>
              <w:sz w:val="32"/>
              <w:szCs w:val="32"/>
              <w:highlight w:val="none"/>
              <w:lang w:val="en-US" w:eastAsia="zh-CN" w:bidi="ar-SA"/>
            </w:rPr>
            <w:fldChar w:fldCharType="separate"/>
          </w:r>
          <w:r>
            <w:rPr>
              <w:rFonts w:hint="default" w:ascii="Times New Roman" w:hAnsi="Times New Roman" w:eastAsia="仿宋_GB2312" w:cs="Times New Roman"/>
              <w:color w:val="auto"/>
              <w:kern w:val="2"/>
              <w:sz w:val="32"/>
              <w:szCs w:val="32"/>
              <w:highlight w:val="none"/>
              <w:lang w:val="en-US" w:eastAsia="zh-CN" w:bidi="ar-SA"/>
            </w:rPr>
            <w:t>七、财政拨款“三公”经费支出决算情况说明</w:t>
          </w:r>
          <w:r>
            <w:rPr>
              <w:rFonts w:hint="default" w:ascii="Times New Roman" w:hAnsi="Times New Roman" w:eastAsia="仿宋_GB2312" w:cs="Times New Roman"/>
              <w:color w:val="auto"/>
              <w:kern w:val="2"/>
              <w:sz w:val="32"/>
              <w:szCs w:val="32"/>
              <w:highlight w:val="none"/>
              <w:lang w:val="en-US" w:eastAsia="zh-CN" w:bidi="ar-SA"/>
            </w:rPr>
            <w:tab/>
          </w:r>
          <w:r>
            <w:rPr>
              <w:rFonts w:hint="default" w:ascii="Times New Roman" w:hAnsi="Times New Roman" w:eastAsia="仿宋_GB2312" w:cs="Times New Roman"/>
              <w:color w:val="auto"/>
              <w:kern w:val="2"/>
              <w:sz w:val="32"/>
              <w:szCs w:val="32"/>
              <w:highlight w:val="none"/>
              <w:lang w:val="en-US" w:eastAsia="zh-CN" w:bidi="ar-SA"/>
            </w:rPr>
            <w:fldChar w:fldCharType="begin"/>
          </w:r>
          <w:r>
            <w:rPr>
              <w:rFonts w:hint="default" w:ascii="Times New Roman" w:hAnsi="Times New Roman" w:eastAsia="仿宋_GB2312" w:cs="Times New Roman"/>
              <w:color w:val="auto"/>
              <w:kern w:val="2"/>
              <w:sz w:val="32"/>
              <w:szCs w:val="32"/>
              <w:highlight w:val="none"/>
              <w:lang w:val="en-US" w:eastAsia="zh-CN" w:bidi="ar-SA"/>
            </w:rPr>
            <w:instrText xml:space="preserve"> PAGEREF _Toc4631 \h </w:instrText>
          </w:r>
          <w:r>
            <w:rPr>
              <w:rFonts w:hint="default" w:ascii="Times New Roman" w:hAnsi="Times New Roman" w:eastAsia="仿宋_GB2312" w:cs="Times New Roman"/>
              <w:color w:val="auto"/>
              <w:kern w:val="2"/>
              <w:sz w:val="32"/>
              <w:szCs w:val="32"/>
              <w:highlight w:val="none"/>
              <w:lang w:val="en-US" w:eastAsia="zh-CN" w:bidi="ar-SA"/>
            </w:rPr>
            <w:fldChar w:fldCharType="separate"/>
          </w:r>
          <w:r>
            <w:rPr>
              <w:rFonts w:hint="default" w:ascii="Times New Roman" w:hAnsi="Times New Roman" w:eastAsia="仿宋_GB2312" w:cs="Times New Roman"/>
              <w:color w:val="auto"/>
              <w:kern w:val="2"/>
              <w:sz w:val="32"/>
              <w:szCs w:val="32"/>
              <w:highlight w:val="none"/>
              <w:lang w:val="en-US" w:eastAsia="zh-CN" w:bidi="ar-SA"/>
            </w:rPr>
            <w:t>- 9 -</w:t>
          </w:r>
          <w:r>
            <w:rPr>
              <w:rFonts w:hint="default" w:ascii="Times New Roman" w:hAnsi="Times New Roman" w:eastAsia="仿宋_GB2312" w:cs="Times New Roman"/>
              <w:color w:val="auto"/>
              <w:kern w:val="2"/>
              <w:sz w:val="32"/>
              <w:szCs w:val="32"/>
              <w:highlight w:val="none"/>
              <w:lang w:val="en-US" w:eastAsia="zh-CN" w:bidi="ar-SA"/>
            </w:rPr>
            <w:fldChar w:fldCharType="end"/>
          </w:r>
          <w:r>
            <w:rPr>
              <w:rFonts w:hint="default" w:ascii="Times New Roman" w:hAnsi="Times New Roman" w:eastAsia="仿宋_GB2312" w:cs="Times New Roman"/>
              <w:color w:val="auto"/>
              <w:kern w:val="2"/>
              <w:sz w:val="32"/>
              <w:szCs w:val="32"/>
              <w:highlight w:val="none"/>
              <w:lang w:val="en-US" w:eastAsia="zh-CN" w:bidi="ar-SA"/>
            </w:rPr>
            <w:fldChar w:fldCharType="end"/>
          </w:r>
        </w:p>
        <w:p>
          <w:pPr>
            <w:pStyle w:val="16"/>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480" w:lineRule="exact"/>
            <w:textAlignment w:val="auto"/>
            <w:rPr>
              <w:rFonts w:hint="default" w:ascii="Times New Roman" w:hAnsi="Times New Roman" w:eastAsia="仿宋_GB2312" w:cs="Times New Roman"/>
              <w:color w:val="auto"/>
              <w:kern w:val="2"/>
              <w:sz w:val="32"/>
              <w:szCs w:val="32"/>
              <w:highlight w:val="none"/>
              <w:lang w:val="en-US" w:eastAsia="zh-CN" w:bidi="ar-SA"/>
            </w:rPr>
          </w:pPr>
          <w:r>
            <w:rPr>
              <w:rFonts w:hint="default" w:ascii="Times New Roman" w:hAnsi="Times New Roman" w:eastAsia="仿宋_GB2312" w:cs="Times New Roman"/>
              <w:color w:val="auto"/>
              <w:kern w:val="2"/>
              <w:sz w:val="32"/>
              <w:szCs w:val="32"/>
              <w:highlight w:val="none"/>
              <w:lang w:val="en-US" w:eastAsia="zh-CN" w:bidi="ar-SA"/>
            </w:rPr>
            <w:fldChar w:fldCharType="begin"/>
          </w:r>
          <w:r>
            <w:rPr>
              <w:rFonts w:hint="default" w:ascii="Times New Roman" w:hAnsi="Times New Roman" w:eastAsia="仿宋_GB2312" w:cs="Times New Roman"/>
              <w:color w:val="auto"/>
              <w:kern w:val="2"/>
              <w:sz w:val="32"/>
              <w:szCs w:val="32"/>
              <w:highlight w:val="none"/>
              <w:lang w:val="en-US" w:eastAsia="zh-CN" w:bidi="ar-SA"/>
            </w:rPr>
            <w:instrText xml:space="preserve"> HYPERLINK \l _Toc18554 </w:instrText>
          </w:r>
          <w:r>
            <w:rPr>
              <w:rFonts w:hint="default" w:ascii="Times New Roman" w:hAnsi="Times New Roman" w:eastAsia="仿宋_GB2312" w:cs="Times New Roman"/>
              <w:color w:val="auto"/>
              <w:kern w:val="2"/>
              <w:sz w:val="32"/>
              <w:szCs w:val="32"/>
              <w:highlight w:val="none"/>
              <w:lang w:val="en-US" w:eastAsia="zh-CN" w:bidi="ar-SA"/>
            </w:rPr>
            <w:fldChar w:fldCharType="separate"/>
          </w:r>
          <w:r>
            <w:rPr>
              <w:rFonts w:hint="default" w:ascii="Times New Roman" w:hAnsi="Times New Roman" w:eastAsia="仿宋_GB2312" w:cs="Times New Roman"/>
              <w:color w:val="auto"/>
              <w:kern w:val="2"/>
              <w:sz w:val="32"/>
              <w:szCs w:val="32"/>
              <w:highlight w:val="none"/>
              <w:lang w:val="en-US" w:eastAsia="zh-CN" w:bidi="ar-SA"/>
            </w:rPr>
            <w:t>八、政府性基金预算支出决算情况说明</w:t>
          </w:r>
          <w:r>
            <w:rPr>
              <w:rFonts w:hint="default" w:ascii="Times New Roman" w:hAnsi="Times New Roman" w:eastAsia="仿宋_GB2312" w:cs="Times New Roman"/>
              <w:color w:val="auto"/>
              <w:kern w:val="2"/>
              <w:sz w:val="32"/>
              <w:szCs w:val="32"/>
              <w:highlight w:val="none"/>
              <w:lang w:val="en-US" w:eastAsia="zh-CN" w:bidi="ar-SA"/>
            </w:rPr>
            <w:tab/>
          </w:r>
          <w:r>
            <w:rPr>
              <w:rFonts w:hint="default" w:ascii="Times New Roman" w:hAnsi="Times New Roman" w:eastAsia="仿宋_GB2312" w:cs="Times New Roman"/>
              <w:color w:val="auto"/>
              <w:kern w:val="2"/>
              <w:sz w:val="32"/>
              <w:szCs w:val="32"/>
              <w:highlight w:val="none"/>
              <w:lang w:val="en-US" w:eastAsia="zh-CN" w:bidi="ar-SA"/>
            </w:rPr>
            <w:fldChar w:fldCharType="begin"/>
          </w:r>
          <w:r>
            <w:rPr>
              <w:rFonts w:hint="default" w:ascii="Times New Roman" w:hAnsi="Times New Roman" w:eastAsia="仿宋_GB2312" w:cs="Times New Roman"/>
              <w:color w:val="auto"/>
              <w:kern w:val="2"/>
              <w:sz w:val="32"/>
              <w:szCs w:val="32"/>
              <w:highlight w:val="none"/>
              <w:lang w:val="en-US" w:eastAsia="zh-CN" w:bidi="ar-SA"/>
            </w:rPr>
            <w:instrText xml:space="preserve"> PAGEREF _Toc18554 \h </w:instrText>
          </w:r>
          <w:r>
            <w:rPr>
              <w:rFonts w:hint="default" w:ascii="Times New Roman" w:hAnsi="Times New Roman" w:eastAsia="仿宋_GB2312" w:cs="Times New Roman"/>
              <w:color w:val="auto"/>
              <w:kern w:val="2"/>
              <w:sz w:val="32"/>
              <w:szCs w:val="32"/>
              <w:highlight w:val="none"/>
              <w:lang w:val="en-US" w:eastAsia="zh-CN" w:bidi="ar-SA"/>
            </w:rPr>
            <w:fldChar w:fldCharType="separate"/>
          </w:r>
          <w:r>
            <w:rPr>
              <w:rFonts w:hint="default" w:ascii="Times New Roman" w:hAnsi="Times New Roman" w:eastAsia="仿宋_GB2312" w:cs="Times New Roman"/>
              <w:color w:val="auto"/>
              <w:kern w:val="2"/>
              <w:sz w:val="32"/>
              <w:szCs w:val="32"/>
              <w:highlight w:val="none"/>
              <w:lang w:val="en-US" w:eastAsia="zh-CN" w:bidi="ar-SA"/>
            </w:rPr>
            <w:t>- 11 -</w:t>
          </w:r>
          <w:r>
            <w:rPr>
              <w:rFonts w:hint="default" w:ascii="Times New Roman" w:hAnsi="Times New Roman" w:eastAsia="仿宋_GB2312" w:cs="Times New Roman"/>
              <w:color w:val="auto"/>
              <w:kern w:val="2"/>
              <w:sz w:val="32"/>
              <w:szCs w:val="32"/>
              <w:highlight w:val="none"/>
              <w:lang w:val="en-US" w:eastAsia="zh-CN" w:bidi="ar-SA"/>
            </w:rPr>
            <w:fldChar w:fldCharType="end"/>
          </w:r>
          <w:r>
            <w:rPr>
              <w:rFonts w:hint="default" w:ascii="Times New Roman" w:hAnsi="Times New Roman" w:eastAsia="仿宋_GB2312" w:cs="Times New Roman"/>
              <w:color w:val="auto"/>
              <w:kern w:val="2"/>
              <w:sz w:val="32"/>
              <w:szCs w:val="32"/>
              <w:highlight w:val="none"/>
              <w:lang w:val="en-US" w:eastAsia="zh-CN" w:bidi="ar-SA"/>
            </w:rPr>
            <w:fldChar w:fldCharType="end"/>
          </w:r>
        </w:p>
        <w:p>
          <w:pPr>
            <w:pStyle w:val="16"/>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480" w:lineRule="exact"/>
            <w:textAlignment w:val="auto"/>
            <w:rPr>
              <w:rFonts w:hint="default" w:ascii="Times New Roman" w:hAnsi="Times New Roman" w:eastAsia="仿宋_GB2312" w:cs="Times New Roman"/>
              <w:color w:val="auto"/>
              <w:kern w:val="2"/>
              <w:sz w:val="32"/>
              <w:szCs w:val="32"/>
              <w:highlight w:val="none"/>
              <w:lang w:val="en-US" w:eastAsia="zh-CN" w:bidi="ar-SA"/>
            </w:rPr>
          </w:pPr>
          <w:r>
            <w:rPr>
              <w:rFonts w:hint="default" w:ascii="Times New Roman" w:hAnsi="Times New Roman" w:eastAsia="仿宋_GB2312" w:cs="Times New Roman"/>
              <w:color w:val="auto"/>
              <w:kern w:val="2"/>
              <w:sz w:val="32"/>
              <w:szCs w:val="32"/>
              <w:highlight w:val="none"/>
              <w:lang w:val="en-US" w:eastAsia="zh-CN" w:bidi="ar-SA"/>
            </w:rPr>
            <w:fldChar w:fldCharType="begin"/>
          </w:r>
          <w:r>
            <w:rPr>
              <w:rFonts w:hint="default" w:ascii="Times New Roman" w:hAnsi="Times New Roman" w:eastAsia="仿宋_GB2312" w:cs="Times New Roman"/>
              <w:color w:val="auto"/>
              <w:kern w:val="2"/>
              <w:sz w:val="32"/>
              <w:szCs w:val="32"/>
              <w:highlight w:val="none"/>
              <w:lang w:val="en-US" w:eastAsia="zh-CN" w:bidi="ar-SA"/>
            </w:rPr>
            <w:instrText xml:space="preserve"> HYPERLINK \l _Toc11967 </w:instrText>
          </w:r>
          <w:r>
            <w:rPr>
              <w:rFonts w:hint="default" w:ascii="Times New Roman" w:hAnsi="Times New Roman" w:eastAsia="仿宋_GB2312" w:cs="Times New Roman"/>
              <w:color w:val="auto"/>
              <w:kern w:val="2"/>
              <w:sz w:val="32"/>
              <w:szCs w:val="32"/>
              <w:highlight w:val="none"/>
              <w:lang w:val="en-US" w:eastAsia="zh-CN" w:bidi="ar-SA"/>
            </w:rPr>
            <w:fldChar w:fldCharType="separate"/>
          </w:r>
          <w:r>
            <w:rPr>
              <w:rFonts w:hint="default" w:ascii="Times New Roman" w:hAnsi="Times New Roman" w:eastAsia="仿宋_GB2312" w:cs="Times New Roman"/>
              <w:color w:val="auto"/>
              <w:kern w:val="2"/>
              <w:sz w:val="32"/>
              <w:szCs w:val="32"/>
              <w:highlight w:val="none"/>
              <w:lang w:val="en-US" w:eastAsia="zh-CN" w:bidi="ar-SA"/>
            </w:rPr>
            <w:t>九、国有资本经营预算支出决算情况说明</w:t>
          </w:r>
          <w:r>
            <w:rPr>
              <w:rFonts w:hint="default" w:ascii="Times New Roman" w:hAnsi="Times New Roman" w:eastAsia="仿宋_GB2312" w:cs="Times New Roman"/>
              <w:color w:val="auto"/>
              <w:kern w:val="2"/>
              <w:sz w:val="32"/>
              <w:szCs w:val="32"/>
              <w:highlight w:val="none"/>
              <w:lang w:val="en-US" w:eastAsia="zh-CN" w:bidi="ar-SA"/>
            </w:rPr>
            <w:tab/>
          </w:r>
          <w:r>
            <w:rPr>
              <w:rFonts w:hint="default" w:ascii="Times New Roman" w:hAnsi="Times New Roman" w:eastAsia="仿宋_GB2312" w:cs="Times New Roman"/>
              <w:color w:val="auto"/>
              <w:kern w:val="2"/>
              <w:sz w:val="32"/>
              <w:szCs w:val="32"/>
              <w:highlight w:val="none"/>
              <w:lang w:val="en-US" w:eastAsia="zh-CN" w:bidi="ar-SA"/>
            </w:rPr>
            <w:fldChar w:fldCharType="begin"/>
          </w:r>
          <w:r>
            <w:rPr>
              <w:rFonts w:hint="default" w:ascii="Times New Roman" w:hAnsi="Times New Roman" w:eastAsia="仿宋_GB2312" w:cs="Times New Roman"/>
              <w:color w:val="auto"/>
              <w:kern w:val="2"/>
              <w:sz w:val="32"/>
              <w:szCs w:val="32"/>
              <w:highlight w:val="none"/>
              <w:lang w:val="en-US" w:eastAsia="zh-CN" w:bidi="ar-SA"/>
            </w:rPr>
            <w:instrText xml:space="preserve"> PAGEREF _Toc11967 \h </w:instrText>
          </w:r>
          <w:r>
            <w:rPr>
              <w:rFonts w:hint="default" w:ascii="Times New Roman" w:hAnsi="Times New Roman" w:eastAsia="仿宋_GB2312" w:cs="Times New Roman"/>
              <w:color w:val="auto"/>
              <w:kern w:val="2"/>
              <w:sz w:val="32"/>
              <w:szCs w:val="32"/>
              <w:highlight w:val="none"/>
              <w:lang w:val="en-US" w:eastAsia="zh-CN" w:bidi="ar-SA"/>
            </w:rPr>
            <w:fldChar w:fldCharType="separate"/>
          </w:r>
          <w:r>
            <w:rPr>
              <w:rFonts w:hint="default" w:ascii="Times New Roman" w:hAnsi="Times New Roman" w:eastAsia="仿宋_GB2312" w:cs="Times New Roman"/>
              <w:color w:val="auto"/>
              <w:kern w:val="2"/>
              <w:sz w:val="32"/>
              <w:szCs w:val="32"/>
              <w:highlight w:val="none"/>
              <w:lang w:val="en-US" w:eastAsia="zh-CN" w:bidi="ar-SA"/>
            </w:rPr>
            <w:t>- 12 -</w:t>
          </w:r>
          <w:r>
            <w:rPr>
              <w:rFonts w:hint="default" w:ascii="Times New Roman" w:hAnsi="Times New Roman" w:eastAsia="仿宋_GB2312" w:cs="Times New Roman"/>
              <w:color w:val="auto"/>
              <w:kern w:val="2"/>
              <w:sz w:val="32"/>
              <w:szCs w:val="32"/>
              <w:highlight w:val="none"/>
              <w:lang w:val="en-US" w:eastAsia="zh-CN" w:bidi="ar-SA"/>
            </w:rPr>
            <w:fldChar w:fldCharType="end"/>
          </w:r>
          <w:r>
            <w:rPr>
              <w:rFonts w:hint="default" w:ascii="Times New Roman" w:hAnsi="Times New Roman" w:eastAsia="仿宋_GB2312" w:cs="Times New Roman"/>
              <w:color w:val="auto"/>
              <w:kern w:val="2"/>
              <w:sz w:val="32"/>
              <w:szCs w:val="32"/>
              <w:highlight w:val="none"/>
              <w:lang w:val="en-US" w:eastAsia="zh-CN" w:bidi="ar-SA"/>
            </w:rPr>
            <w:fldChar w:fldCharType="end"/>
          </w:r>
        </w:p>
        <w:p>
          <w:pPr>
            <w:pStyle w:val="16"/>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480" w:lineRule="exact"/>
            <w:textAlignment w:val="auto"/>
            <w:rPr>
              <w:rFonts w:hint="default" w:ascii="Times New Roman" w:hAnsi="Times New Roman" w:cs="Times New Roman" w:eastAsiaTheme="majorEastAsia"/>
              <w:sz w:val="24"/>
              <w:szCs w:val="24"/>
            </w:rPr>
          </w:pPr>
          <w:r>
            <w:rPr>
              <w:rFonts w:hint="default" w:ascii="Times New Roman" w:hAnsi="Times New Roman" w:eastAsia="仿宋_GB2312" w:cs="Times New Roman"/>
              <w:color w:val="auto"/>
              <w:kern w:val="2"/>
              <w:sz w:val="32"/>
              <w:szCs w:val="32"/>
              <w:highlight w:val="none"/>
              <w:lang w:val="en-US" w:eastAsia="zh-CN" w:bidi="ar-SA"/>
            </w:rPr>
            <w:fldChar w:fldCharType="begin"/>
          </w:r>
          <w:r>
            <w:rPr>
              <w:rFonts w:hint="default" w:ascii="Times New Roman" w:hAnsi="Times New Roman" w:eastAsia="仿宋_GB2312" w:cs="Times New Roman"/>
              <w:color w:val="auto"/>
              <w:kern w:val="2"/>
              <w:sz w:val="32"/>
              <w:szCs w:val="32"/>
              <w:highlight w:val="none"/>
              <w:lang w:val="en-US" w:eastAsia="zh-CN" w:bidi="ar-SA"/>
            </w:rPr>
            <w:instrText xml:space="preserve"> HYPERLINK \l _Toc13399 </w:instrText>
          </w:r>
          <w:r>
            <w:rPr>
              <w:rFonts w:hint="default" w:ascii="Times New Roman" w:hAnsi="Times New Roman" w:eastAsia="仿宋_GB2312" w:cs="Times New Roman"/>
              <w:color w:val="auto"/>
              <w:kern w:val="2"/>
              <w:sz w:val="32"/>
              <w:szCs w:val="32"/>
              <w:highlight w:val="none"/>
              <w:lang w:val="en-US" w:eastAsia="zh-CN" w:bidi="ar-SA"/>
            </w:rPr>
            <w:fldChar w:fldCharType="separate"/>
          </w:r>
          <w:r>
            <w:rPr>
              <w:rFonts w:hint="default" w:ascii="Times New Roman" w:hAnsi="Times New Roman" w:eastAsia="仿宋_GB2312" w:cs="Times New Roman"/>
              <w:color w:val="auto"/>
              <w:kern w:val="2"/>
              <w:sz w:val="32"/>
              <w:szCs w:val="32"/>
              <w:highlight w:val="none"/>
              <w:lang w:val="en-US" w:eastAsia="zh-CN" w:bidi="ar-SA"/>
            </w:rPr>
            <w:t>十、其他重要事项的情况说明</w:t>
          </w:r>
          <w:r>
            <w:rPr>
              <w:rFonts w:hint="default" w:ascii="Times New Roman" w:hAnsi="Times New Roman" w:eastAsia="仿宋_GB2312" w:cs="Times New Roman"/>
              <w:color w:val="auto"/>
              <w:kern w:val="2"/>
              <w:sz w:val="32"/>
              <w:szCs w:val="32"/>
              <w:highlight w:val="none"/>
              <w:lang w:val="en-US" w:eastAsia="zh-CN" w:bidi="ar-SA"/>
            </w:rPr>
            <w:tab/>
          </w:r>
          <w:r>
            <w:rPr>
              <w:rFonts w:hint="default" w:ascii="Times New Roman" w:hAnsi="Times New Roman" w:eastAsia="仿宋_GB2312" w:cs="Times New Roman"/>
              <w:color w:val="auto"/>
              <w:kern w:val="2"/>
              <w:sz w:val="32"/>
              <w:szCs w:val="32"/>
              <w:highlight w:val="none"/>
              <w:lang w:val="en-US" w:eastAsia="zh-CN" w:bidi="ar-SA"/>
            </w:rPr>
            <w:fldChar w:fldCharType="begin"/>
          </w:r>
          <w:r>
            <w:rPr>
              <w:rFonts w:hint="default" w:ascii="Times New Roman" w:hAnsi="Times New Roman" w:eastAsia="仿宋_GB2312" w:cs="Times New Roman"/>
              <w:color w:val="auto"/>
              <w:kern w:val="2"/>
              <w:sz w:val="32"/>
              <w:szCs w:val="32"/>
              <w:highlight w:val="none"/>
              <w:lang w:val="en-US" w:eastAsia="zh-CN" w:bidi="ar-SA"/>
            </w:rPr>
            <w:instrText xml:space="preserve"> PAGEREF _Toc13399 \h </w:instrText>
          </w:r>
          <w:r>
            <w:rPr>
              <w:rFonts w:hint="default" w:ascii="Times New Roman" w:hAnsi="Times New Roman" w:eastAsia="仿宋_GB2312" w:cs="Times New Roman"/>
              <w:color w:val="auto"/>
              <w:kern w:val="2"/>
              <w:sz w:val="32"/>
              <w:szCs w:val="32"/>
              <w:highlight w:val="none"/>
              <w:lang w:val="en-US" w:eastAsia="zh-CN" w:bidi="ar-SA"/>
            </w:rPr>
            <w:fldChar w:fldCharType="separate"/>
          </w:r>
          <w:r>
            <w:rPr>
              <w:rFonts w:hint="default" w:ascii="Times New Roman" w:hAnsi="Times New Roman" w:eastAsia="仿宋_GB2312" w:cs="Times New Roman"/>
              <w:color w:val="auto"/>
              <w:kern w:val="2"/>
              <w:sz w:val="32"/>
              <w:szCs w:val="32"/>
              <w:highlight w:val="none"/>
              <w:lang w:val="en-US" w:eastAsia="zh-CN" w:bidi="ar-SA"/>
            </w:rPr>
            <w:t>- 12 -</w:t>
          </w:r>
          <w:r>
            <w:rPr>
              <w:rFonts w:hint="default" w:ascii="Times New Roman" w:hAnsi="Times New Roman" w:eastAsia="仿宋_GB2312" w:cs="Times New Roman"/>
              <w:color w:val="auto"/>
              <w:kern w:val="2"/>
              <w:sz w:val="32"/>
              <w:szCs w:val="32"/>
              <w:highlight w:val="none"/>
              <w:lang w:val="en-US" w:eastAsia="zh-CN" w:bidi="ar-SA"/>
            </w:rPr>
            <w:fldChar w:fldCharType="end"/>
          </w:r>
          <w:r>
            <w:rPr>
              <w:rFonts w:hint="default" w:ascii="Times New Roman" w:hAnsi="Times New Roman" w:eastAsia="仿宋_GB2312" w:cs="Times New Roman"/>
              <w:color w:val="auto"/>
              <w:kern w:val="2"/>
              <w:sz w:val="32"/>
              <w:szCs w:val="32"/>
              <w:highlight w:val="none"/>
              <w:lang w:val="en-US" w:eastAsia="zh-CN" w:bidi="ar-SA"/>
            </w:rPr>
            <w:fldChar w:fldCharType="end"/>
          </w:r>
        </w:p>
        <w:p>
          <w:pPr>
            <w:pStyle w:val="14"/>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480" w:lineRule="exact"/>
            <w:textAlignment w:val="auto"/>
            <w:rPr>
              <w:rFonts w:hint="default" w:ascii="Times New Roman" w:hAnsi="Times New Roman" w:eastAsia="黑体" w:cs="Times New Roman"/>
              <w:b w:val="0"/>
              <w:bCs w:val="0"/>
              <w:color w:val="auto"/>
              <w:kern w:val="2"/>
              <w:sz w:val="32"/>
              <w:szCs w:val="32"/>
              <w:highlight w:val="none"/>
              <w:lang w:val="en-US" w:eastAsia="zh-CN" w:bidi="ar-SA"/>
            </w:rPr>
          </w:pPr>
          <w:r>
            <w:rPr>
              <w:rFonts w:hint="default" w:ascii="Times New Roman" w:hAnsi="Times New Roman" w:eastAsia="黑体" w:cs="Times New Roman"/>
              <w:b w:val="0"/>
              <w:bCs w:val="0"/>
              <w:color w:val="auto"/>
              <w:kern w:val="2"/>
              <w:sz w:val="32"/>
              <w:szCs w:val="32"/>
              <w:highlight w:val="none"/>
              <w:lang w:val="en-US" w:eastAsia="zh-CN" w:bidi="ar-SA"/>
            </w:rPr>
            <w:fldChar w:fldCharType="begin"/>
          </w:r>
          <w:r>
            <w:rPr>
              <w:rFonts w:hint="default" w:ascii="Times New Roman" w:hAnsi="Times New Roman" w:eastAsia="黑体" w:cs="Times New Roman"/>
              <w:b w:val="0"/>
              <w:bCs w:val="0"/>
              <w:color w:val="auto"/>
              <w:kern w:val="2"/>
              <w:sz w:val="32"/>
              <w:szCs w:val="32"/>
              <w:highlight w:val="none"/>
              <w:lang w:val="en-US" w:eastAsia="zh-CN" w:bidi="ar-SA"/>
            </w:rPr>
            <w:instrText xml:space="preserve"> HYPERLINK \l _Toc15431 </w:instrText>
          </w:r>
          <w:r>
            <w:rPr>
              <w:rFonts w:hint="default" w:ascii="Times New Roman" w:hAnsi="Times New Roman" w:eastAsia="黑体" w:cs="Times New Roman"/>
              <w:b w:val="0"/>
              <w:bCs w:val="0"/>
              <w:color w:val="auto"/>
              <w:kern w:val="2"/>
              <w:sz w:val="32"/>
              <w:szCs w:val="32"/>
              <w:highlight w:val="none"/>
              <w:lang w:val="en-US" w:eastAsia="zh-CN" w:bidi="ar-SA"/>
            </w:rPr>
            <w:fldChar w:fldCharType="separate"/>
          </w:r>
          <w:r>
            <w:rPr>
              <w:rFonts w:hint="default" w:ascii="Times New Roman" w:hAnsi="Times New Roman" w:eastAsia="黑体" w:cs="Times New Roman"/>
              <w:b w:val="0"/>
              <w:bCs w:val="0"/>
              <w:color w:val="auto"/>
              <w:kern w:val="2"/>
              <w:sz w:val="32"/>
              <w:szCs w:val="32"/>
              <w:highlight w:val="none"/>
              <w:lang w:val="en-US" w:eastAsia="zh-CN" w:bidi="ar-SA"/>
            </w:rPr>
            <w:t>第三部分 名词解释</w:t>
          </w:r>
          <w:r>
            <w:rPr>
              <w:rFonts w:hint="default" w:ascii="Times New Roman" w:hAnsi="Times New Roman" w:eastAsia="黑体" w:cs="Times New Roman"/>
              <w:b w:val="0"/>
              <w:bCs w:val="0"/>
              <w:color w:val="auto"/>
              <w:kern w:val="2"/>
              <w:sz w:val="32"/>
              <w:szCs w:val="32"/>
              <w:highlight w:val="none"/>
              <w:lang w:val="en-US" w:eastAsia="zh-CN" w:bidi="ar-SA"/>
            </w:rPr>
            <w:tab/>
          </w:r>
          <w:r>
            <w:rPr>
              <w:rFonts w:hint="default" w:ascii="Times New Roman" w:hAnsi="Times New Roman" w:eastAsia="黑体" w:cs="Times New Roman"/>
              <w:b w:val="0"/>
              <w:bCs w:val="0"/>
              <w:color w:val="auto"/>
              <w:kern w:val="2"/>
              <w:sz w:val="32"/>
              <w:szCs w:val="32"/>
              <w:highlight w:val="none"/>
              <w:lang w:val="en-US" w:eastAsia="zh-CN" w:bidi="ar-SA"/>
            </w:rPr>
            <w:fldChar w:fldCharType="begin"/>
          </w:r>
          <w:r>
            <w:rPr>
              <w:rFonts w:hint="default" w:ascii="Times New Roman" w:hAnsi="Times New Roman" w:eastAsia="黑体" w:cs="Times New Roman"/>
              <w:b w:val="0"/>
              <w:bCs w:val="0"/>
              <w:color w:val="auto"/>
              <w:kern w:val="2"/>
              <w:sz w:val="32"/>
              <w:szCs w:val="32"/>
              <w:highlight w:val="none"/>
              <w:lang w:val="en-US" w:eastAsia="zh-CN" w:bidi="ar-SA"/>
            </w:rPr>
            <w:instrText xml:space="preserve"> PAGEREF _Toc15431 \h </w:instrText>
          </w:r>
          <w:r>
            <w:rPr>
              <w:rFonts w:hint="default" w:ascii="Times New Roman" w:hAnsi="Times New Roman" w:eastAsia="黑体" w:cs="Times New Roman"/>
              <w:b w:val="0"/>
              <w:bCs w:val="0"/>
              <w:color w:val="auto"/>
              <w:kern w:val="2"/>
              <w:sz w:val="32"/>
              <w:szCs w:val="32"/>
              <w:highlight w:val="none"/>
              <w:lang w:val="en-US" w:eastAsia="zh-CN" w:bidi="ar-SA"/>
            </w:rPr>
            <w:fldChar w:fldCharType="separate"/>
          </w:r>
          <w:r>
            <w:rPr>
              <w:rFonts w:hint="default" w:ascii="Times New Roman" w:hAnsi="Times New Roman" w:eastAsia="黑体" w:cs="Times New Roman"/>
              <w:b w:val="0"/>
              <w:bCs w:val="0"/>
              <w:color w:val="auto"/>
              <w:kern w:val="2"/>
              <w:sz w:val="32"/>
              <w:szCs w:val="32"/>
              <w:highlight w:val="none"/>
              <w:lang w:val="en-US" w:eastAsia="zh-CN" w:bidi="ar-SA"/>
            </w:rPr>
            <w:t>- 14 -</w:t>
          </w:r>
          <w:r>
            <w:rPr>
              <w:rFonts w:hint="default" w:ascii="Times New Roman" w:hAnsi="Times New Roman" w:eastAsia="黑体" w:cs="Times New Roman"/>
              <w:b w:val="0"/>
              <w:bCs w:val="0"/>
              <w:color w:val="auto"/>
              <w:kern w:val="2"/>
              <w:sz w:val="32"/>
              <w:szCs w:val="32"/>
              <w:highlight w:val="none"/>
              <w:lang w:val="en-US" w:eastAsia="zh-CN" w:bidi="ar-SA"/>
            </w:rPr>
            <w:fldChar w:fldCharType="end"/>
          </w:r>
          <w:r>
            <w:rPr>
              <w:rFonts w:hint="default" w:ascii="Times New Roman" w:hAnsi="Times New Roman" w:eastAsia="黑体" w:cs="Times New Roman"/>
              <w:b w:val="0"/>
              <w:bCs w:val="0"/>
              <w:color w:val="auto"/>
              <w:kern w:val="2"/>
              <w:sz w:val="32"/>
              <w:szCs w:val="32"/>
              <w:highlight w:val="none"/>
              <w:lang w:val="en-US" w:eastAsia="zh-CN" w:bidi="ar-SA"/>
            </w:rPr>
            <w:fldChar w:fldCharType="end"/>
          </w:r>
        </w:p>
        <w:p>
          <w:pPr>
            <w:pStyle w:val="14"/>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480" w:lineRule="exact"/>
            <w:textAlignment w:val="auto"/>
            <w:rPr>
              <w:rFonts w:hint="default" w:ascii="Times New Roman" w:hAnsi="Times New Roman" w:eastAsia="黑体" w:cs="Times New Roman"/>
              <w:b w:val="0"/>
              <w:bCs w:val="0"/>
              <w:color w:val="auto"/>
              <w:kern w:val="2"/>
              <w:sz w:val="32"/>
              <w:szCs w:val="32"/>
              <w:highlight w:val="none"/>
              <w:lang w:val="en-US" w:eastAsia="zh-CN" w:bidi="ar-SA"/>
            </w:rPr>
          </w:pPr>
          <w:r>
            <w:rPr>
              <w:rFonts w:hint="default" w:ascii="Times New Roman" w:hAnsi="Times New Roman" w:eastAsia="黑体" w:cs="Times New Roman"/>
              <w:b w:val="0"/>
              <w:bCs w:val="0"/>
              <w:color w:val="auto"/>
              <w:kern w:val="2"/>
              <w:sz w:val="32"/>
              <w:szCs w:val="32"/>
              <w:highlight w:val="none"/>
              <w:lang w:val="en-US" w:eastAsia="zh-CN" w:bidi="ar-SA"/>
            </w:rPr>
            <w:fldChar w:fldCharType="begin"/>
          </w:r>
          <w:r>
            <w:rPr>
              <w:rFonts w:hint="default" w:ascii="Times New Roman" w:hAnsi="Times New Roman" w:eastAsia="黑体" w:cs="Times New Roman"/>
              <w:b w:val="0"/>
              <w:bCs w:val="0"/>
              <w:color w:val="auto"/>
              <w:kern w:val="2"/>
              <w:sz w:val="32"/>
              <w:szCs w:val="32"/>
              <w:highlight w:val="none"/>
              <w:lang w:val="en-US" w:eastAsia="zh-CN" w:bidi="ar-SA"/>
            </w:rPr>
            <w:instrText xml:space="preserve"> HYPERLINK \l _Toc21629 </w:instrText>
          </w:r>
          <w:r>
            <w:rPr>
              <w:rFonts w:hint="default" w:ascii="Times New Roman" w:hAnsi="Times New Roman" w:eastAsia="黑体" w:cs="Times New Roman"/>
              <w:b w:val="0"/>
              <w:bCs w:val="0"/>
              <w:color w:val="auto"/>
              <w:kern w:val="2"/>
              <w:sz w:val="32"/>
              <w:szCs w:val="32"/>
              <w:highlight w:val="none"/>
              <w:lang w:val="en-US" w:eastAsia="zh-CN" w:bidi="ar-SA"/>
            </w:rPr>
            <w:fldChar w:fldCharType="separate"/>
          </w:r>
          <w:r>
            <w:rPr>
              <w:rFonts w:hint="default" w:ascii="Times New Roman" w:hAnsi="Times New Roman" w:eastAsia="黑体" w:cs="Times New Roman"/>
              <w:b w:val="0"/>
              <w:bCs w:val="0"/>
              <w:color w:val="auto"/>
              <w:kern w:val="2"/>
              <w:sz w:val="32"/>
              <w:szCs w:val="32"/>
              <w:highlight w:val="none"/>
              <w:lang w:val="en-US" w:eastAsia="zh-CN" w:bidi="ar-SA"/>
            </w:rPr>
            <w:t>第四部分 附件</w:t>
          </w:r>
          <w:r>
            <w:rPr>
              <w:rFonts w:hint="default" w:ascii="Times New Roman" w:hAnsi="Times New Roman" w:eastAsia="黑体" w:cs="Times New Roman"/>
              <w:b w:val="0"/>
              <w:bCs w:val="0"/>
              <w:color w:val="auto"/>
              <w:kern w:val="2"/>
              <w:sz w:val="32"/>
              <w:szCs w:val="32"/>
              <w:highlight w:val="none"/>
              <w:lang w:val="en-US" w:eastAsia="zh-CN" w:bidi="ar-SA"/>
            </w:rPr>
            <w:tab/>
          </w:r>
          <w:r>
            <w:rPr>
              <w:rFonts w:hint="default" w:ascii="Times New Roman" w:hAnsi="Times New Roman" w:eastAsia="黑体" w:cs="Times New Roman"/>
              <w:b w:val="0"/>
              <w:bCs w:val="0"/>
              <w:color w:val="auto"/>
              <w:kern w:val="2"/>
              <w:sz w:val="32"/>
              <w:szCs w:val="32"/>
              <w:highlight w:val="none"/>
              <w:lang w:val="en-US" w:eastAsia="zh-CN" w:bidi="ar-SA"/>
            </w:rPr>
            <w:fldChar w:fldCharType="begin"/>
          </w:r>
          <w:r>
            <w:rPr>
              <w:rFonts w:hint="default" w:ascii="Times New Roman" w:hAnsi="Times New Roman" w:eastAsia="黑体" w:cs="Times New Roman"/>
              <w:b w:val="0"/>
              <w:bCs w:val="0"/>
              <w:color w:val="auto"/>
              <w:kern w:val="2"/>
              <w:sz w:val="32"/>
              <w:szCs w:val="32"/>
              <w:highlight w:val="none"/>
              <w:lang w:val="en-US" w:eastAsia="zh-CN" w:bidi="ar-SA"/>
            </w:rPr>
            <w:instrText xml:space="preserve"> PAGEREF _Toc21629 \h </w:instrText>
          </w:r>
          <w:r>
            <w:rPr>
              <w:rFonts w:hint="default" w:ascii="Times New Roman" w:hAnsi="Times New Roman" w:eastAsia="黑体" w:cs="Times New Roman"/>
              <w:b w:val="0"/>
              <w:bCs w:val="0"/>
              <w:color w:val="auto"/>
              <w:kern w:val="2"/>
              <w:sz w:val="32"/>
              <w:szCs w:val="32"/>
              <w:highlight w:val="none"/>
              <w:lang w:val="en-US" w:eastAsia="zh-CN" w:bidi="ar-SA"/>
            </w:rPr>
            <w:fldChar w:fldCharType="separate"/>
          </w:r>
          <w:r>
            <w:rPr>
              <w:rFonts w:hint="default" w:ascii="Times New Roman" w:hAnsi="Times New Roman" w:eastAsia="黑体" w:cs="Times New Roman"/>
              <w:b w:val="0"/>
              <w:bCs w:val="0"/>
              <w:color w:val="auto"/>
              <w:kern w:val="2"/>
              <w:sz w:val="32"/>
              <w:szCs w:val="32"/>
              <w:highlight w:val="none"/>
              <w:lang w:val="en-US" w:eastAsia="zh-CN" w:bidi="ar-SA"/>
            </w:rPr>
            <w:t>- 17 -</w:t>
          </w:r>
          <w:r>
            <w:rPr>
              <w:rFonts w:hint="default" w:ascii="Times New Roman" w:hAnsi="Times New Roman" w:eastAsia="黑体" w:cs="Times New Roman"/>
              <w:b w:val="0"/>
              <w:bCs w:val="0"/>
              <w:color w:val="auto"/>
              <w:kern w:val="2"/>
              <w:sz w:val="32"/>
              <w:szCs w:val="32"/>
              <w:highlight w:val="none"/>
              <w:lang w:val="en-US" w:eastAsia="zh-CN" w:bidi="ar-SA"/>
            </w:rPr>
            <w:fldChar w:fldCharType="end"/>
          </w:r>
          <w:r>
            <w:rPr>
              <w:rFonts w:hint="default" w:ascii="Times New Roman" w:hAnsi="Times New Roman" w:eastAsia="黑体" w:cs="Times New Roman"/>
              <w:b w:val="0"/>
              <w:bCs w:val="0"/>
              <w:color w:val="auto"/>
              <w:kern w:val="2"/>
              <w:sz w:val="32"/>
              <w:szCs w:val="32"/>
              <w:highlight w:val="none"/>
              <w:lang w:val="en-US" w:eastAsia="zh-CN" w:bidi="ar-SA"/>
            </w:rPr>
            <w:fldChar w:fldCharType="end"/>
          </w:r>
        </w:p>
        <w:p>
          <w:pPr>
            <w:pStyle w:val="14"/>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480" w:lineRule="exact"/>
            <w:textAlignment w:val="auto"/>
            <w:rPr>
              <w:rFonts w:hint="default" w:ascii="Times New Roman" w:hAnsi="Times New Roman" w:cs="Times New Roman" w:eastAsiaTheme="majorEastAsia"/>
              <w:b/>
              <w:bCs/>
              <w:color w:val="auto"/>
              <w:kern w:val="2"/>
              <w:sz w:val="24"/>
              <w:szCs w:val="24"/>
              <w:highlight w:val="none"/>
              <w:lang w:val="en-US" w:eastAsia="zh-CN" w:bidi="ar-SA"/>
            </w:rPr>
          </w:pPr>
          <w:r>
            <w:rPr>
              <w:rFonts w:hint="default" w:ascii="Times New Roman" w:hAnsi="Times New Roman" w:eastAsia="黑体" w:cs="Times New Roman"/>
              <w:b w:val="0"/>
              <w:bCs w:val="0"/>
              <w:color w:val="auto"/>
              <w:kern w:val="2"/>
              <w:sz w:val="32"/>
              <w:szCs w:val="32"/>
              <w:highlight w:val="none"/>
              <w:lang w:val="en-US" w:eastAsia="zh-CN" w:bidi="ar-SA"/>
            </w:rPr>
            <w:fldChar w:fldCharType="begin"/>
          </w:r>
          <w:r>
            <w:rPr>
              <w:rFonts w:hint="default" w:ascii="Times New Roman" w:hAnsi="Times New Roman" w:eastAsia="黑体" w:cs="Times New Roman"/>
              <w:b w:val="0"/>
              <w:bCs w:val="0"/>
              <w:color w:val="auto"/>
              <w:kern w:val="2"/>
              <w:sz w:val="32"/>
              <w:szCs w:val="32"/>
              <w:highlight w:val="none"/>
              <w:lang w:val="en-US" w:eastAsia="zh-CN" w:bidi="ar-SA"/>
            </w:rPr>
            <w:instrText xml:space="preserve"> HYPERLINK \l _Toc19769 </w:instrText>
          </w:r>
          <w:r>
            <w:rPr>
              <w:rFonts w:hint="default" w:ascii="Times New Roman" w:hAnsi="Times New Roman" w:eastAsia="黑体" w:cs="Times New Roman"/>
              <w:b w:val="0"/>
              <w:bCs w:val="0"/>
              <w:color w:val="auto"/>
              <w:kern w:val="2"/>
              <w:sz w:val="32"/>
              <w:szCs w:val="32"/>
              <w:highlight w:val="none"/>
              <w:lang w:val="en-US" w:eastAsia="zh-CN" w:bidi="ar-SA"/>
            </w:rPr>
            <w:fldChar w:fldCharType="separate"/>
          </w:r>
          <w:r>
            <w:rPr>
              <w:rFonts w:hint="default" w:ascii="Times New Roman" w:hAnsi="Times New Roman" w:eastAsia="黑体" w:cs="Times New Roman"/>
              <w:b w:val="0"/>
              <w:bCs w:val="0"/>
              <w:color w:val="auto"/>
              <w:kern w:val="2"/>
              <w:sz w:val="32"/>
              <w:szCs w:val="32"/>
              <w:highlight w:val="none"/>
              <w:lang w:val="en-US" w:eastAsia="zh-CN" w:bidi="ar-SA"/>
            </w:rPr>
            <w:t>第五部分 附表</w:t>
          </w:r>
          <w:r>
            <w:rPr>
              <w:rFonts w:hint="default" w:ascii="Times New Roman" w:hAnsi="Times New Roman" w:eastAsia="黑体" w:cs="Times New Roman"/>
              <w:b w:val="0"/>
              <w:bCs w:val="0"/>
              <w:color w:val="auto"/>
              <w:kern w:val="2"/>
              <w:sz w:val="32"/>
              <w:szCs w:val="32"/>
              <w:highlight w:val="none"/>
              <w:lang w:val="en-US" w:eastAsia="zh-CN" w:bidi="ar-SA"/>
            </w:rPr>
            <w:tab/>
          </w:r>
          <w:r>
            <w:rPr>
              <w:rFonts w:hint="default" w:ascii="Times New Roman" w:hAnsi="Times New Roman" w:eastAsia="黑体" w:cs="Times New Roman"/>
              <w:b w:val="0"/>
              <w:bCs w:val="0"/>
              <w:color w:val="auto"/>
              <w:kern w:val="2"/>
              <w:sz w:val="32"/>
              <w:szCs w:val="32"/>
              <w:highlight w:val="none"/>
              <w:lang w:val="en-US" w:eastAsia="zh-CN" w:bidi="ar-SA"/>
            </w:rPr>
            <w:fldChar w:fldCharType="begin"/>
          </w:r>
          <w:r>
            <w:rPr>
              <w:rFonts w:hint="default" w:ascii="Times New Roman" w:hAnsi="Times New Roman" w:eastAsia="黑体" w:cs="Times New Roman"/>
              <w:b w:val="0"/>
              <w:bCs w:val="0"/>
              <w:color w:val="auto"/>
              <w:kern w:val="2"/>
              <w:sz w:val="32"/>
              <w:szCs w:val="32"/>
              <w:highlight w:val="none"/>
              <w:lang w:val="en-US" w:eastAsia="zh-CN" w:bidi="ar-SA"/>
            </w:rPr>
            <w:instrText xml:space="preserve"> PAGEREF _Toc19769 \h </w:instrText>
          </w:r>
          <w:r>
            <w:rPr>
              <w:rFonts w:hint="default" w:ascii="Times New Roman" w:hAnsi="Times New Roman" w:eastAsia="黑体" w:cs="Times New Roman"/>
              <w:b w:val="0"/>
              <w:bCs w:val="0"/>
              <w:color w:val="auto"/>
              <w:kern w:val="2"/>
              <w:sz w:val="32"/>
              <w:szCs w:val="32"/>
              <w:highlight w:val="none"/>
              <w:lang w:val="en-US" w:eastAsia="zh-CN" w:bidi="ar-SA"/>
            </w:rPr>
            <w:fldChar w:fldCharType="separate"/>
          </w:r>
          <w:r>
            <w:rPr>
              <w:rFonts w:hint="default" w:ascii="Times New Roman" w:hAnsi="Times New Roman" w:eastAsia="黑体" w:cs="Times New Roman"/>
              <w:b w:val="0"/>
              <w:bCs w:val="0"/>
              <w:color w:val="auto"/>
              <w:kern w:val="2"/>
              <w:sz w:val="32"/>
              <w:szCs w:val="32"/>
              <w:highlight w:val="none"/>
              <w:lang w:val="en-US" w:eastAsia="zh-CN" w:bidi="ar-SA"/>
            </w:rPr>
            <w:t>- 18 -</w:t>
          </w:r>
          <w:r>
            <w:rPr>
              <w:rFonts w:hint="default" w:ascii="Times New Roman" w:hAnsi="Times New Roman" w:eastAsia="黑体" w:cs="Times New Roman"/>
              <w:b w:val="0"/>
              <w:bCs w:val="0"/>
              <w:color w:val="auto"/>
              <w:kern w:val="2"/>
              <w:sz w:val="32"/>
              <w:szCs w:val="32"/>
              <w:highlight w:val="none"/>
              <w:lang w:val="en-US" w:eastAsia="zh-CN" w:bidi="ar-SA"/>
            </w:rPr>
            <w:fldChar w:fldCharType="end"/>
          </w:r>
          <w:r>
            <w:rPr>
              <w:rFonts w:hint="default" w:ascii="Times New Roman" w:hAnsi="Times New Roman" w:eastAsia="黑体" w:cs="Times New Roman"/>
              <w:b w:val="0"/>
              <w:bCs w:val="0"/>
              <w:color w:val="auto"/>
              <w:kern w:val="2"/>
              <w:sz w:val="32"/>
              <w:szCs w:val="32"/>
              <w:highlight w:val="none"/>
              <w:lang w:val="en-US" w:eastAsia="zh-CN" w:bidi="ar-SA"/>
            </w:rPr>
            <w:fldChar w:fldCharType="end"/>
          </w:r>
        </w:p>
        <w:p>
          <w:pPr>
            <w:pStyle w:val="16"/>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480" w:lineRule="exact"/>
            <w:textAlignment w:val="auto"/>
            <w:rPr>
              <w:rFonts w:hint="default" w:ascii="Times New Roman" w:hAnsi="Times New Roman" w:eastAsia="仿宋_GB2312" w:cs="Times New Roman"/>
              <w:color w:val="auto"/>
              <w:kern w:val="2"/>
              <w:sz w:val="32"/>
              <w:szCs w:val="32"/>
              <w:highlight w:val="none"/>
              <w:lang w:val="en-US" w:eastAsia="zh-CN" w:bidi="ar-SA"/>
            </w:rPr>
          </w:pPr>
          <w:r>
            <w:rPr>
              <w:rFonts w:hint="default" w:ascii="Times New Roman" w:hAnsi="Times New Roman" w:cs="Times New Roman" w:eastAsiaTheme="majorEastAsia"/>
              <w:color w:val="auto"/>
              <w:kern w:val="2"/>
              <w:szCs w:val="24"/>
              <w:highlight w:val="none"/>
              <w:lang w:val="en-US" w:eastAsia="zh-CN" w:bidi="ar-SA"/>
            </w:rPr>
            <w:fldChar w:fldCharType="end"/>
          </w:r>
          <w:r>
            <w:rPr>
              <w:rFonts w:hint="default" w:ascii="Times New Roman" w:hAnsi="Times New Roman" w:eastAsia="仿宋_GB2312" w:cs="Times New Roman"/>
              <w:color w:val="auto"/>
              <w:kern w:val="2"/>
              <w:sz w:val="32"/>
              <w:szCs w:val="32"/>
              <w:highlight w:val="none"/>
              <w:lang w:val="en-US" w:eastAsia="zh-CN" w:bidi="ar-SA"/>
            </w:rPr>
            <w:t>一、收入支出决算总表</w:t>
          </w:r>
        </w:p>
        <w:p>
          <w:pPr>
            <w:pStyle w:val="16"/>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480" w:lineRule="exact"/>
            <w:textAlignment w:val="auto"/>
            <w:rPr>
              <w:rFonts w:hint="default" w:ascii="Times New Roman" w:hAnsi="Times New Roman" w:eastAsia="仿宋_GB2312" w:cs="Times New Roman"/>
              <w:color w:val="auto"/>
              <w:kern w:val="2"/>
              <w:sz w:val="32"/>
              <w:szCs w:val="32"/>
              <w:highlight w:val="none"/>
              <w:lang w:val="en-US" w:eastAsia="zh-CN" w:bidi="ar-SA"/>
            </w:rPr>
          </w:pPr>
          <w:r>
            <w:rPr>
              <w:rFonts w:hint="default" w:ascii="Times New Roman" w:hAnsi="Times New Roman" w:eastAsia="仿宋_GB2312" w:cs="Times New Roman"/>
              <w:color w:val="auto"/>
              <w:kern w:val="2"/>
              <w:sz w:val="32"/>
              <w:szCs w:val="32"/>
              <w:highlight w:val="none"/>
              <w:lang w:val="en-US" w:eastAsia="zh-CN" w:bidi="ar-SA"/>
            </w:rPr>
            <w:t>二、收入决算表</w:t>
          </w:r>
        </w:p>
        <w:p>
          <w:pPr>
            <w:pStyle w:val="16"/>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480" w:lineRule="exact"/>
            <w:textAlignment w:val="auto"/>
            <w:rPr>
              <w:rFonts w:hint="default" w:ascii="Times New Roman" w:hAnsi="Times New Roman" w:eastAsia="仿宋_GB2312" w:cs="Times New Roman"/>
              <w:color w:val="auto"/>
              <w:kern w:val="2"/>
              <w:sz w:val="32"/>
              <w:szCs w:val="32"/>
              <w:highlight w:val="none"/>
              <w:lang w:val="en-US" w:eastAsia="zh-CN" w:bidi="ar-SA"/>
            </w:rPr>
          </w:pPr>
          <w:r>
            <w:rPr>
              <w:rFonts w:hint="default" w:ascii="Times New Roman" w:hAnsi="Times New Roman" w:eastAsia="仿宋_GB2312" w:cs="Times New Roman"/>
              <w:color w:val="auto"/>
              <w:kern w:val="2"/>
              <w:sz w:val="32"/>
              <w:szCs w:val="32"/>
              <w:highlight w:val="none"/>
              <w:lang w:val="en-US" w:eastAsia="zh-CN" w:bidi="ar-SA"/>
            </w:rPr>
            <w:t>三、支出决算表</w:t>
          </w:r>
        </w:p>
        <w:p>
          <w:pPr>
            <w:pStyle w:val="16"/>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480" w:lineRule="exact"/>
            <w:textAlignment w:val="auto"/>
            <w:rPr>
              <w:rFonts w:hint="default" w:ascii="Times New Roman" w:hAnsi="Times New Roman" w:eastAsia="仿宋_GB2312" w:cs="Times New Roman"/>
              <w:color w:val="auto"/>
              <w:kern w:val="2"/>
              <w:sz w:val="32"/>
              <w:szCs w:val="32"/>
              <w:highlight w:val="none"/>
              <w:lang w:val="en-US" w:eastAsia="zh-CN" w:bidi="ar-SA"/>
            </w:rPr>
          </w:pPr>
          <w:r>
            <w:rPr>
              <w:rFonts w:hint="default" w:ascii="Times New Roman" w:hAnsi="Times New Roman" w:eastAsia="仿宋_GB2312" w:cs="Times New Roman"/>
              <w:color w:val="auto"/>
              <w:kern w:val="2"/>
              <w:sz w:val="32"/>
              <w:szCs w:val="32"/>
              <w:highlight w:val="none"/>
              <w:lang w:val="en-US" w:eastAsia="zh-CN" w:bidi="ar-SA"/>
            </w:rPr>
            <w:t>四、财政拨款收入支出决算总表</w:t>
          </w:r>
        </w:p>
        <w:p>
          <w:pPr>
            <w:pStyle w:val="16"/>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480" w:lineRule="exact"/>
            <w:textAlignment w:val="auto"/>
            <w:rPr>
              <w:rFonts w:hint="default" w:ascii="Times New Roman" w:hAnsi="Times New Roman" w:eastAsia="仿宋_GB2312" w:cs="Times New Roman"/>
              <w:color w:val="auto"/>
              <w:kern w:val="2"/>
              <w:sz w:val="32"/>
              <w:szCs w:val="32"/>
              <w:highlight w:val="none"/>
              <w:lang w:val="en-US" w:eastAsia="zh-CN" w:bidi="ar-SA"/>
            </w:rPr>
          </w:pPr>
          <w:r>
            <w:rPr>
              <w:rFonts w:hint="default" w:ascii="Times New Roman" w:hAnsi="Times New Roman" w:eastAsia="仿宋_GB2312" w:cs="Times New Roman"/>
              <w:color w:val="auto"/>
              <w:kern w:val="2"/>
              <w:sz w:val="32"/>
              <w:szCs w:val="32"/>
              <w:highlight w:val="none"/>
              <w:lang w:val="en-US" w:eastAsia="zh-CN" w:bidi="ar-SA"/>
            </w:rPr>
            <w:t>五、财政拨款支出决算明细表</w:t>
          </w:r>
        </w:p>
        <w:p>
          <w:pPr>
            <w:pStyle w:val="16"/>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480" w:lineRule="exact"/>
            <w:textAlignment w:val="auto"/>
            <w:rPr>
              <w:rFonts w:hint="default" w:ascii="Times New Roman" w:hAnsi="Times New Roman" w:eastAsia="仿宋_GB2312" w:cs="Times New Roman"/>
              <w:color w:val="auto"/>
              <w:kern w:val="2"/>
              <w:sz w:val="32"/>
              <w:szCs w:val="32"/>
              <w:highlight w:val="none"/>
              <w:lang w:val="en-US" w:eastAsia="zh-CN" w:bidi="ar-SA"/>
            </w:rPr>
          </w:pPr>
          <w:r>
            <w:rPr>
              <w:rFonts w:hint="default" w:ascii="Times New Roman" w:hAnsi="Times New Roman" w:eastAsia="仿宋_GB2312" w:cs="Times New Roman"/>
              <w:color w:val="auto"/>
              <w:kern w:val="2"/>
              <w:sz w:val="32"/>
              <w:szCs w:val="32"/>
              <w:highlight w:val="none"/>
              <w:lang w:val="en-US" w:eastAsia="zh-CN" w:bidi="ar-SA"/>
            </w:rPr>
            <w:t>六、一般公共预算财政拨款支出决算表</w:t>
          </w:r>
        </w:p>
        <w:p>
          <w:pPr>
            <w:pStyle w:val="16"/>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480" w:lineRule="exact"/>
            <w:textAlignment w:val="auto"/>
            <w:rPr>
              <w:rFonts w:hint="default" w:ascii="Times New Roman" w:hAnsi="Times New Roman" w:eastAsia="仿宋_GB2312" w:cs="Times New Roman"/>
              <w:color w:val="auto"/>
              <w:kern w:val="2"/>
              <w:sz w:val="32"/>
              <w:szCs w:val="32"/>
              <w:highlight w:val="none"/>
              <w:lang w:val="en-US" w:eastAsia="zh-CN" w:bidi="ar-SA"/>
            </w:rPr>
          </w:pPr>
          <w:r>
            <w:rPr>
              <w:rFonts w:hint="default" w:ascii="Times New Roman" w:hAnsi="Times New Roman" w:eastAsia="仿宋_GB2312" w:cs="Times New Roman"/>
              <w:color w:val="auto"/>
              <w:kern w:val="2"/>
              <w:sz w:val="32"/>
              <w:szCs w:val="32"/>
              <w:highlight w:val="none"/>
              <w:lang w:val="en-US" w:eastAsia="zh-CN" w:bidi="ar-SA"/>
            </w:rPr>
            <w:t>七、一般公共预算财政拨款支出决算明细表</w:t>
          </w:r>
        </w:p>
        <w:p>
          <w:pPr>
            <w:pStyle w:val="16"/>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480" w:lineRule="exact"/>
            <w:textAlignment w:val="auto"/>
            <w:rPr>
              <w:rFonts w:hint="default" w:ascii="Times New Roman" w:hAnsi="Times New Roman" w:eastAsia="仿宋_GB2312" w:cs="Times New Roman"/>
              <w:color w:val="auto"/>
              <w:kern w:val="2"/>
              <w:sz w:val="32"/>
              <w:szCs w:val="32"/>
              <w:highlight w:val="none"/>
              <w:lang w:val="en-US" w:eastAsia="zh-CN" w:bidi="ar-SA"/>
            </w:rPr>
          </w:pPr>
          <w:r>
            <w:rPr>
              <w:rFonts w:hint="default" w:ascii="Times New Roman" w:hAnsi="Times New Roman" w:eastAsia="仿宋_GB2312" w:cs="Times New Roman"/>
              <w:color w:val="auto"/>
              <w:kern w:val="2"/>
              <w:sz w:val="32"/>
              <w:szCs w:val="32"/>
              <w:highlight w:val="none"/>
              <w:lang w:val="en-US" w:eastAsia="zh-CN" w:bidi="ar-SA"/>
            </w:rPr>
            <w:t>八、一般公共预算财政拨款基本支出决算明细表</w:t>
          </w:r>
        </w:p>
        <w:p>
          <w:pPr>
            <w:pStyle w:val="16"/>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480" w:lineRule="exact"/>
            <w:textAlignment w:val="auto"/>
            <w:rPr>
              <w:rFonts w:hint="default" w:ascii="Times New Roman" w:hAnsi="Times New Roman" w:eastAsia="仿宋_GB2312" w:cs="Times New Roman"/>
              <w:color w:val="auto"/>
              <w:kern w:val="2"/>
              <w:sz w:val="32"/>
              <w:szCs w:val="32"/>
              <w:highlight w:val="none"/>
              <w:lang w:val="en-US" w:eastAsia="zh-CN" w:bidi="ar-SA"/>
            </w:rPr>
          </w:pPr>
          <w:r>
            <w:rPr>
              <w:rFonts w:hint="default" w:ascii="Times New Roman" w:hAnsi="Times New Roman" w:eastAsia="仿宋_GB2312" w:cs="Times New Roman"/>
              <w:color w:val="auto"/>
              <w:kern w:val="2"/>
              <w:sz w:val="32"/>
              <w:szCs w:val="32"/>
              <w:highlight w:val="none"/>
              <w:lang w:val="en-US" w:eastAsia="zh-CN" w:bidi="ar-SA"/>
            </w:rPr>
            <w:t>九、一般公共预算财政拨款项目支出决算表</w:t>
          </w:r>
        </w:p>
        <w:p>
          <w:pPr>
            <w:pStyle w:val="16"/>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480" w:lineRule="exact"/>
            <w:textAlignment w:val="auto"/>
            <w:rPr>
              <w:rFonts w:hint="default" w:ascii="Times New Roman" w:hAnsi="Times New Roman" w:eastAsia="仿宋_GB2312" w:cs="Times New Roman"/>
              <w:color w:val="auto"/>
              <w:kern w:val="2"/>
              <w:sz w:val="32"/>
              <w:szCs w:val="32"/>
              <w:highlight w:val="none"/>
              <w:lang w:val="en-US" w:eastAsia="zh-CN" w:bidi="ar-SA"/>
            </w:rPr>
          </w:pPr>
          <w:r>
            <w:rPr>
              <w:rFonts w:hint="default" w:ascii="Times New Roman" w:hAnsi="Times New Roman" w:eastAsia="仿宋_GB2312" w:cs="Times New Roman"/>
              <w:color w:val="auto"/>
              <w:kern w:val="2"/>
              <w:sz w:val="32"/>
              <w:szCs w:val="32"/>
              <w:highlight w:val="none"/>
              <w:lang w:val="en-US" w:eastAsia="zh-CN" w:bidi="ar-SA"/>
            </w:rPr>
            <w:t>十、政府性基金预算财政拨款收入支出决算表</w:t>
          </w:r>
        </w:p>
        <w:p>
          <w:pPr>
            <w:pStyle w:val="16"/>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480" w:lineRule="exact"/>
            <w:textAlignment w:val="auto"/>
            <w:rPr>
              <w:rFonts w:hint="default" w:ascii="Times New Roman" w:hAnsi="Times New Roman" w:eastAsia="仿宋_GB2312" w:cs="Times New Roman"/>
              <w:color w:val="auto"/>
              <w:kern w:val="2"/>
              <w:sz w:val="32"/>
              <w:szCs w:val="32"/>
              <w:highlight w:val="none"/>
              <w:lang w:val="en-US" w:eastAsia="zh-CN" w:bidi="ar-SA"/>
            </w:rPr>
          </w:pPr>
          <w:r>
            <w:rPr>
              <w:rFonts w:hint="default" w:ascii="Times New Roman" w:hAnsi="Times New Roman" w:eastAsia="仿宋_GB2312" w:cs="Times New Roman"/>
              <w:color w:val="auto"/>
              <w:kern w:val="2"/>
              <w:sz w:val="32"/>
              <w:szCs w:val="32"/>
              <w:highlight w:val="none"/>
              <w:lang w:val="en-US" w:eastAsia="zh-CN" w:bidi="ar-SA"/>
            </w:rPr>
            <w:t>十一、国有资本经营预算财政拨款收入支出决算表</w:t>
          </w:r>
        </w:p>
        <w:p>
          <w:pPr>
            <w:pStyle w:val="16"/>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480" w:lineRule="exact"/>
            <w:textAlignment w:val="auto"/>
            <w:rPr>
              <w:rFonts w:hint="default" w:ascii="Times New Roman" w:hAnsi="Times New Roman" w:eastAsia="仿宋_GB2312" w:cs="Times New Roman"/>
              <w:color w:val="auto"/>
              <w:kern w:val="2"/>
              <w:sz w:val="32"/>
              <w:szCs w:val="32"/>
              <w:highlight w:val="none"/>
              <w:lang w:val="en-US" w:eastAsia="zh-CN" w:bidi="ar-SA"/>
            </w:rPr>
          </w:pPr>
          <w:r>
            <w:rPr>
              <w:rFonts w:hint="default" w:ascii="Times New Roman" w:hAnsi="Times New Roman" w:eastAsia="仿宋_GB2312" w:cs="Times New Roman"/>
              <w:color w:val="auto"/>
              <w:kern w:val="2"/>
              <w:sz w:val="32"/>
              <w:szCs w:val="32"/>
              <w:highlight w:val="none"/>
              <w:lang w:val="en-US" w:eastAsia="zh-CN" w:bidi="ar-SA"/>
            </w:rPr>
            <w:t>十二、国有资本经营预算财政拨款支出决算表</w:t>
          </w:r>
        </w:p>
        <w:p>
          <w:pPr>
            <w:pStyle w:val="16"/>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480" w:lineRule="exact"/>
            <w:textAlignment w:val="auto"/>
            <w:rPr>
              <w:rFonts w:hint="default" w:ascii="Times New Roman" w:hAnsi="Times New Roman" w:eastAsia="仿宋_GB2312" w:cs="Times New Roman"/>
              <w:color w:val="auto"/>
              <w:kern w:val="2"/>
              <w:sz w:val="32"/>
              <w:szCs w:val="32"/>
              <w:highlight w:val="none"/>
              <w:lang w:val="en-US" w:eastAsia="zh-CN" w:bidi="ar-SA"/>
            </w:rPr>
          </w:pPr>
          <w:r>
            <w:rPr>
              <w:rFonts w:hint="default" w:ascii="Times New Roman" w:hAnsi="Times New Roman" w:eastAsia="仿宋_GB2312" w:cs="Times New Roman"/>
              <w:color w:val="auto"/>
              <w:kern w:val="2"/>
              <w:sz w:val="32"/>
              <w:szCs w:val="32"/>
              <w:highlight w:val="none"/>
              <w:lang w:val="en-US" w:eastAsia="zh-CN" w:bidi="ar-SA"/>
            </w:rPr>
            <w:t>十三、财政拨款“三公”经费支出决算表</w:t>
          </w:r>
        </w:p>
        <w:p>
          <w:pPr>
            <w:pStyle w:val="7"/>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default" w:ascii="Times New Roman" w:hAnsi="Times New Roman" w:eastAsia="方正小标宋简体" w:cs="Times New Roman"/>
              <w:color w:val="auto"/>
              <w:kern w:val="2"/>
              <w:sz w:val="30"/>
              <w:szCs w:val="44"/>
              <w:highlight w:val="none"/>
              <w:lang w:val="en-US" w:eastAsia="zh-CN" w:bidi="ar-SA"/>
            </w:rPr>
          </w:pPr>
        </w:p>
      </w:sdtContent>
    </w:sdt>
    <w:p>
      <w:pPr>
        <w:pStyle w:val="16"/>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560" w:lineRule="exact"/>
        <w:textAlignment w:val="auto"/>
        <w:rPr>
          <w:rFonts w:hint="default" w:ascii="Times New Roman" w:hAnsi="Times New Roman" w:eastAsia="方正小标宋简体" w:cs="Times New Roman"/>
          <w:color w:val="auto"/>
          <w:kern w:val="2"/>
          <w:sz w:val="30"/>
          <w:szCs w:val="44"/>
          <w:highlight w:val="none"/>
          <w:lang w:val="en-US" w:eastAsia="zh-CN" w:bidi="ar-SA"/>
        </w:rPr>
      </w:pPr>
    </w:p>
    <w:p>
      <w:pPr>
        <w:keepNext w:val="0"/>
        <w:keepLines w:val="0"/>
        <w:pageBreakBefore w:val="0"/>
        <w:widowControl/>
        <w:kinsoku/>
        <w:wordWrap/>
        <w:overflowPunct/>
        <w:topLinePunct w:val="0"/>
        <w:autoSpaceDE/>
        <w:autoSpaceDN/>
        <w:bidi w:val="0"/>
        <w:adjustRightInd/>
        <w:snapToGrid/>
        <w:spacing w:line="560" w:lineRule="exact"/>
        <w:jc w:val="left"/>
        <w:textAlignment w:val="auto"/>
        <w:rPr>
          <w:rFonts w:hint="default" w:ascii="Times New Roman" w:hAnsi="Times New Roman" w:eastAsia="仿宋_GB2312" w:cs="Times New Roman"/>
          <w:bCs/>
          <w:color w:val="auto"/>
          <w:kern w:val="44"/>
          <w:sz w:val="32"/>
          <w:szCs w:val="32"/>
          <w:highlight w:val="none"/>
        </w:rPr>
      </w:pPr>
      <w:r>
        <w:rPr>
          <w:rFonts w:hint="default" w:ascii="Times New Roman" w:hAnsi="Times New Roman" w:eastAsia="方正小标宋简体" w:cs="Times New Roman"/>
          <w:color w:val="auto"/>
          <w:sz w:val="36"/>
          <w:szCs w:val="36"/>
          <w:highlight w:val="none"/>
        </w:rPr>
        <w:br w:type="page"/>
      </w:r>
      <w:bookmarkStart w:id="12" w:name="_Toc15377196"/>
      <w:bookmarkStart w:id="13" w:name="_Toc15396599"/>
    </w:p>
    <w:p>
      <w:pPr>
        <w:pStyle w:val="4"/>
        <w:jc w:val="center"/>
        <w:rPr>
          <w:rFonts w:hint="default" w:ascii="Times New Roman" w:hAnsi="Times New Roman" w:eastAsia="黑体" w:cs="Times New Roman"/>
          <w:color w:val="auto"/>
          <w:sz w:val="32"/>
          <w:szCs w:val="32"/>
          <w:highlight w:val="none"/>
        </w:rPr>
      </w:pPr>
      <w:bookmarkStart w:id="14" w:name="_Toc2461"/>
      <w:r>
        <w:rPr>
          <w:rFonts w:hint="default" w:ascii="Times New Roman" w:hAnsi="Times New Roman" w:eastAsia="方正小标宋简体" w:cs="Times New Roman"/>
          <w:b w:val="0"/>
          <w:color w:val="auto"/>
          <w:highlight w:val="none"/>
        </w:rPr>
        <w:t>第一部分</w:t>
      </w:r>
      <w:r>
        <w:rPr>
          <w:rFonts w:hint="default" w:ascii="Times New Roman" w:hAnsi="Times New Roman" w:eastAsia="方正小标宋简体" w:cs="Times New Roman"/>
          <w:b w:val="0"/>
          <w:color w:val="auto"/>
          <w:highlight w:val="none"/>
          <w:lang w:val="en-US" w:eastAsia="zh-CN"/>
        </w:rPr>
        <w:t xml:space="preserve"> </w:t>
      </w:r>
      <w:r>
        <w:rPr>
          <w:rFonts w:hint="default" w:ascii="Times New Roman" w:hAnsi="Times New Roman" w:eastAsia="方正小标宋简体" w:cs="Times New Roman"/>
          <w:b w:val="0"/>
          <w:color w:val="auto"/>
          <w:highlight w:val="none"/>
        </w:rPr>
        <w:t xml:space="preserve"> </w:t>
      </w:r>
      <w:r>
        <w:rPr>
          <w:rFonts w:hint="default" w:ascii="Times New Roman" w:hAnsi="Times New Roman" w:eastAsia="方正小标宋简体" w:cs="Times New Roman"/>
          <w:b w:val="0"/>
          <w:color w:val="auto"/>
          <w:highlight w:val="none"/>
          <w:lang w:val="en-US" w:eastAsia="zh-CN"/>
        </w:rPr>
        <w:t>单位</w:t>
      </w:r>
      <w:r>
        <w:rPr>
          <w:rStyle w:val="30"/>
          <w:rFonts w:hint="default" w:ascii="Times New Roman" w:hAnsi="Times New Roman" w:eastAsia="方正小标宋简体" w:cs="Times New Roman"/>
          <w:b w:val="0"/>
          <w:bCs w:val="0"/>
          <w:color w:val="auto"/>
          <w:highlight w:val="none"/>
        </w:rPr>
        <w:t>概况</w:t>
      </w:r>
      <w:bookmarkEnd w:id="12"/>
      <w:bookmarkEnd w:id="13"/>
      <w:bookmarkEnd w:id="14"/>
    </w:p>
    <w:p>
      <w:pPr>
        <w:pStyle w:val="5"/>
        <w:pageBreakBefore w:val="0"/>
        <w:widowControl w:val="0"/>
        <w:numPr>
          <w:ilvl w:val="0"/>
          <w:numId w:val="1"/>
        </w:numPr>
        <w:kinsoku/>
        <w:wordWrap/>
        <w:overflowPunct/>
        <w:topLinePunct w:val="0"/>
        <w:autoSpaceDE/>
        <w:autoSpaceDN/>
        <w:bidi w:val="0"/>
        <w:adjustRightInd/>
        <w:spacing w:line="560" w:lineRule="exact"/>
        <w:ind w:firstLine="640" w:firstLineChars="200"/>
        <w:textAlignment w:val="auto"/>
        <w:rPr>
          <w:rFonts w:hint="default" w:ascii="Times New Roman" w:hAnsi="Times New Roman" w:eastAsia="黑体" w:cs="Times New Roman"/>
          <w:b w:val="0"/>
          <w:color w:val="auto"/>
          <w:highlight w:val="none"/>
          <w:lang w:eastAsia="zh-CN"/>
        </w:rPr>
      </w:pPr>
      <w:bookmarkStart w:id="15" w:name="_Toc10793"/>
      <w:r>
        <w:rPr>
          <w:rFonts w:hint="default" w:ascii="Times New Roman" w:hAnsi="Times New Roman" w:eastAsia="黑体" w:cs="Times New Roman"/>
          <w:b w:val="0"/>
          <w:color w:val="auto"/>
          <w:highlight w:val="none"/>
          <w:lang w:val="en-US" w:eastAsia="zh-CN"/>
        </w:rPr>
        <w:t>单位</w:t>
      </w:r>
      <w:r>
        <w:rPr>
          <w:rFonts w:hint="default" w:ascii="Times New Roman" w:hAnsi="Times New Roman" w:eastAsia="黑体" w:cs="Times New Roman"/>
          <w:b w:val="0"/>
          <w:color w:val="auto"/>
          <w:highlight w:val="none"/>
          <w:lang w:eastAsia="zh-CN"/>
        </w:rPr>
        <w:t>职责</w:t>
      </w:r>
      <w:bookmarkEnd w:id="15"/>
    </w:p>
    <w:p>
      <w:pPr>
        <w:pageBreakBefore w:val="0"/>
        <w:widowControl w:val="0"/>
        <w:kinsoku/>
        <w:wordWrap/>
        <w:overflowPunct/>
        <w:topLinePunct w:val="0"/>
        <w:autoSpaceDE/>
        <w:autoSpaceDN/>
        <w:bidi w:val="0"/>
        <w:adjustRightInd/>
        <w:snapToGrid w:val="0"/>
        <w:spacing w:line="560" w:lineRule="exact"/>
        <w:ind w:firstLine="640" w:firstLineChars="200"/>
        <w:textAlignment w:val="auto"/>
        <w:rPr>
          <w:rFonts w:hint="default" w:ascii="Times New Roman" w:hAnsi="Times New Roman" w:cs="Times New Roman"/>
          <w:lang w:eastAsia="zh-CN"/>
        </w:rPr>
      </w:pPr>
      <w:r>
        <w:rPr>
          <w:rFonts w:hint="default" w:ascii="Times New Roman" w:hAnsi="Times New Roman" w:eastAsia="仿宋_GB2312" w:cs="Times New Roman"/>
          <w:sz w:val="32"/>
          <w:szCs w:val="32"/>
          <w:lang w:val="en-US" w:eastAsia="zh-CN"/>
        </w:rPr>
        <w:t>四川省企业发展促进中心</w:t>
      </w:r>
      <w:r>
        <w:rPr>
          <w:rFonts w:hint="default" w:ascii="Times New Roman" w:hAnsi="Times New Roman" w:eastAsia="仿宋_GB2312" w:cs="Times New Roman"/>
          <w:sz w:val="32"/>
          <w:szCs w:val="32"/>
        </w:rPr>
        <w:t>承担全省工业企业发展促进、政策咨询、创新服务、对外合作交流以及搭建中小微企业专业化、功能化服务平台等工作。具体如下:</w:t>
      </w:r>
      <w:r>
        <w:rPr>
          <w:rFonts w:hint="default" w:ascii="Times New Roman" w:hAnsi="Times New Roman" w:eastAsia="仿宋_GB2312" w:cs="Times New Roman"/>
          <w:sz w:val="32"/>
          <w:szCs w:val="32"/>
          <w:lang w:val="en-US" w:eastAsia="zh-CN"/>
        </w:rPr>
        <w:t>一是</w:t>
      </w:r>
      <w:r>
        <w:rPr>
          <w:rFonts w:hint="default" w:ascii="Times New Roman" w:hAnsi="Times New Roman" w:eastAsia="仿宋_GB2312" w:cs="Times New Roman"/>
          <w:sz w:val="32"/>
          <w:szCs w:val="32"/>
        </w:rPr>
        <w:t>承担开展国家及省有关促进企业发展的法律法规、政策措施的贯彻落实和咨询工作;</w:t>
      </w:r>
      <w:r>
        <w:rPr>
          <w:rFonts w:hint="default" w:ascii="Times New Roman" w:hAnsi="Times New Roman" w:eastAsia="仿宋_GB2312" w:cs="Times New Roman"/>
          <w:sz w:val="32"/>
          <w:szCs w:val="32"/>
          <w:lang w:val="en-US" w:eastAsia="zh-CN"/>
        </w:rPr>
        <w:t>二是</w:t>
      </w:r>
      <w:r>
        <w:rPr>
          <w:rFonts w:hint="default" w:ascii="Times New Roman" w:hAnsi="Times New Roman" w:eastAsia="仿宋_GB2312" w:cs="Times New Roman"/>
          <w:sz w:val="32"/>
          <w:szCs w:val="32"/>
        </w:rPr>
        <w:t>承担全省工业企业发展促进工作,开展企业培育和品牌建设服务，推动大中小企业融通发展;</w:t>
      </w:r>
      <w:r>
        <w:rPr>
          <w:rFonts w:hint="default" w:ascii="Times New Roman" w:hAnsi="Times New Roman" w:eastAsia="仿宋_GB2312" w:cs="Times New Roman"/>
          <w:sz w:val="32"/>
          <w:szCs w:val="32"/>
          <w:lang w:val="en-US" w:eastAsia="zh-CN"/>
        </w:rPr>
        <w:t>三是</w:t>
      </w:r>
      <w:r>
        <w:rPr>
          <w:rFonts w:hint="default" w:ascii="Times New Roman" w:hAnsi="Times New Roman" w:eastAsia="仿宋_GB2312" w:cs="Times New Roman"/>
          <w:sz w:val="32"/>
          <w:szCs w:val="32"/>
        </w:rPr>
        <w:t>开展企业技术创新服务工作，促进科技成果推广应用</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开展企业、产业发展现状、环境和运行情况的调查研究,提出政策建议;</w:t>
      </w:r>
      <w:r>
        <w:rPr>
          <w:rFonts w:hint="default" w:ascii="Times New Roman" w:hAnsi="Times New Roman" w:eastAsia="仿宋_GB2312" w:cs="Times New Roman"/>
          <w:sz w:val="32"/>
          <w:szCs w:val="32"/>
          <w:lang w:val="en-US" w:eastAsia="zh-CN"/>
        </w:rPr>
        <w:t>四是</w:t>
      </w:r>
      <w:r>
        <w:rPr>
          <w:rFonts w:hint="default" w:ascii="Times New Roman" w:hAnsi="Times New Roman" w:eastAsia="仿宋_GB2312" w:cs="Times New Roman"/>
          <w:sz w:val="32"/>
          <w:szCs w:val="32"/>
        </w:rPr>
        <w:t>协助推进中小企业服务体系建设,协调和组织社会各类服务机构为中小企业提供公共服务和社会化服务;</w:t>
      </w:r>
      <w:r>
        <w:rPr>
          <w:rFonts w:hint="default" w:ascii="Times New Roman" w:hAnsi="Times New Roman" w:eastAsia="仿宋_GB2312" w:cs="Times New Roman"/>
          <w:sz w:val="32"/>
          <w:szCs w:val="32"/>
          <w:lang w:val="en-US" w:eastAsia="zh-CN"/>
        </w:rPr>
        <w:t>五是</w:t>
      </w:r>
      <w:r>
        <w:rPr>
          <w:rFonts w:hint="default" w:ascii="Times New Roman" w:hAnsi="Times New Roman" w:eastAsia="仿宋_GB2312" w:cs="Times New Roman"/>
          <w:sz w:val="32"/>
          <w:szCs w:val="32"/>
        </w:rPr>
        <w:t>搭建中小微企业专业化、功能化服务平台，开展全省中小企业公共服务平台网络的推进工作;</w:t>
      </w:r>
      <w:r>
        <w:rPr>
          <w:rFonts w:hint="default" w:ascii="Times New Roman" w:hAnsi="Times New Roman" w:eastAsia="仿宋_GB2312" w:cs="Times New Roman"/>
          <w:sz w:val="32"/>
          <w:szCs w:val="32"/>
          <w:lang w:val="en-US" w:eastAsia="zh-CN"/>
        </w:rPr>
        <w:t>六是</w:t>
      </w:r>
      <w:r>
        <w:rPr>
          <w:rFonts w:hint="default" w:ascii="Times New Roman" w:hAnsi="Times New Roman" w:eastAsia="仿宋_GB2312" w:cs="Times New Roman"/>
          <w:sz w:val="32"/>
          <w:szCs w:val="32"/>
        </w:rPr>
        <w:t>开展企业对外合作交流、市场拓展、融资服务相关工作;</w:t>
      </w:r>
      <w:r>
        <w:rPr>
          <w:rFonts w:hint="default" w:ascii="Times New Roman" w:hAnsi="Times New Roman" w:eastAsia="仿宋_GB2312" w:cs="Times New Roman"/>
          <w:sz w:val="32"/>
          <w:szCs w:val="32"/>
          <w:lang w:val="en-US" w:eastAsia="zh-CN"/>
        </w:rPr>
        <w:t>七是</w:t>
      </w:r>
      <w:r>
        <w:rPr>
          <w:rFonts w:hint="default" w:ascii="Times New Roman" w:hAnsi="Times New Roman" w:eastAsia="仿宋_GB2312" w:cs="Times New Roman"/>
          <w:sz w:val="32"/>
          <w:szCs w:val="32"/>
        </w:rPr>
        <w:t>承担经济和信息化厅交办的其它事项。</w:t>
      </w:r>
    </w:p>
    <w:p>
      <w:pPr>
        <w:pStyle w:val="5"/>
        <w:pageBreakBefore w:val="0"/>
        <w:widowControl w:val="0"/>
        <w:kinsoku/>
        <w:wordWrap/>
        <w:overflowPunct/>
        <w:topLinePunct w:val="0"/>
        <w:autoSpaceDE/>
        <w:autoSpaceDN/>
        <w:bidi w:val="0"/>
        <w:adjustRightInd/>
        <w:spacing w:line="560" w:lineRule="exact"/>
        <w:ind w:firstLine="640" w:firstLineChars="200"/>
        <w:textAlignment w:val="auto"/>
        <w:rPr>
          <w:rStyle w:val="31"/>
          <w:rFonts w:hint="default" w:ascii="Times New Roman" w:hAnsi="Times New Roman" w:cs="Times New Roman"/>
          <w:b w:val="0"/>
          <w:bCs w:val="0"/>
          <w:color w:val="auto"/>
          <w:highlight w:val="none"/>
        </w:rPr>
      </w:pPr>
      <w:bookmarkStart w:id="16" w:name="_Toc15396601"/>
      <w:bookmarkStart w:id="17" w:name="_Toc15377200"/>
      <w:bookmarkStart w:id="18" w:name="_Toc25288"/>
      <w:r>
        <w:rPr>
          <w:rFonts w:hint="default" w:ascii="Times New Roman" w:hAnsi="Times New Roman" w:eastAsia="黑体" w:cs="Times New Roman"/>
          <w:b w:val="0"/>
          <w:color w:val="auto"/>
          <w:highlight w:val="none"/>
        </w:rPr>
        <w:t>二、机</w:t>
      </w:r>
      <w:r>
        <w:rPr>
          <w:rStyle w:val="31"/>
          <w:rFonts w:hint="default" w:ascii="Times New Roman" w:hAnsi="Times New Roman" w:eastAsia="黑体" w:cs="Times New Roman"/>
          <w:b w:val="0"/>
          <w:bCs w:val="0"/>
          <w:color w:val="auto"/>
          <w:highlight w:val="none"/>
        </w:rPr>
        <w:t>构设置</w:t>
      </w:r>
      <w:bookmarkEnd w:id="16"/>
      <w:bookmarkEnd w:id="17"/>
      <w:bookmarkEnd w:id="18"/>
    </w:p>
    <w:p>
      <w:pPr>
        <w:numPr>
          <w:ilvl w:val="0"/>
          <w:numId w:val="0"/>
        </w:numPr>
        <w:snapToGrid w:val="0"/>
        <w:spacing w:line="520" w:lineRule="exact"/>
        <w:ind w:firstLine="640" w:firstLineChars="20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四川省企业发展促进中心由6个内设部门组成,分别为综合管理部、政策研究部、企业发展部、创新服务部、融资合作部、平台网络部。</w:t>
      </w:r>
    </w:p>
    <w:p>
      <w:pPr>
        <w:pageBreakBefore w:val="0"/>
        <w:widowControl w:val="0"/>
        <w:kinsoku/>
        <w:wordWrap/>
        <w:overflowPunct/>
        <w:topLinePunct w:val="0"/>
        <w:autoSpaceDE/>
        <w:autoSpaceDN/>
        <w:bidi w:val="0"/>
        <w:adjustRightInd/>
        <w:spacing w:line="560" w:lineRule="exact"/>
        <w:ind w:firstLine="420" w:firstLineChars="200"/>
        <w:textAlignment w:val="auto"/>
        <w:rPr>
          <w:rFonts w:hint="default" w:ascii="Times New Roman" w:hAnsi="Times New Roman" w:cs="Times New Roman"/>
        </w:rPr>
      </w:pPr>
    </w:p>
    <w:p>
      <w:pPr>
        <w:pStyle w:val="4"/>
        <w:jc w:val="center"/>
        <w:rPr>
          <w:rFonts w:hint="default" w:ascii="Times New Roman" w:hAnsi="Times New Roman" w:cs="Times New Roman"/>
          <w:color w:val="auto"/>
          <w:highlight w:val="none"/>
        </w:rPr>
      </w:pPr>
      <w:bookmarkStart w:id="19" w:name="_Toc15396602"/>
      <w:bookmarkStart w:id="20" w:name="_Toc15377204"/>
      <w:bookmarkStart w:id="21" w:name="_Toc30551"/>
      <w:r>
        <w:rPr>
          <w:rFonts w:hint="default" w:ascii="Times New Roman" w:hAnsi="Times New Roman" w:eastAsia="方正小标宋简体" w:cs="Times New Roman"/>
          <w:b w:val="0"/>
          <w:color w:val="auto"/>
          <w:highlight w:val="none"/>
        </w:rPr>
        <w:t>第二部分</w:t>
      </w:r>
      <w:r>
        <w:rPr>
          <w:rFonts w:hint="default" w:ascii="Times New Roman" w:hAnsi="Times New Roman" w:eastAsia="方正小标宋简体" w:cs="Times New Roman"/>
          <w:b w:val="0"/>
          <w:color w:val="auto"/>
          <w:highlight w:val="none"/>
          <w:lang w:val="en-US" w:eastAsia="zh-CN"/>
        </w:rPr>
        <w:t xml:space="preserve"> </w:t>
      </w:r>
      <w:r>
        <w:rPr>
          <w:rFonts w:hint="default" w:ascii="Times New Roman" w:hAnsi="Times New Roman" w:eastAsia="方正小标宋简体" w:cs="Times New Roman"/>
          <w:b w:val="0"/>
          <w:color w:val="auto"/>
          <w:highlight w:val="none"/>
        </w:rPr>
        <w:t xml:space="preserve"> </w:t>
      </w:r>
      <w:r>
        <w:rPr>
          <w:rFonts w:hint="default" w:ascii="Times New Roman" w:hAnsi="Times New Roman" w:eastAsia="方正小标宋简体" w:cs="Times New Roman"/>
          <w:b w:val="0"/>
          <w:color w:val="auto"/>
          <w:highlight w:val="none"/>
          <w:lang w:val="en-US" w:eastAsia="zh-CN"/>
        </w:rPr>
        <w:t>2024年度</w:t>
      </w:r>
      <w:r>
        <w:rPr>
          <w:rFonts w:hint="default" w:ascii="Times New Roman" w:hAnsi="Times New Roman" w:eastAsia="方正小标宋简体" w:cs="Times New Roman"/>
          <w:b w:val="0"/>
          <w:color w:val="auto"/>
          <w:highlight w:val="none"/>
        </w:rPr>
        <w:t>部门决算情况说明</w:t>
      </w:r>
      <w:bookmarkEnd w:id="19"/>
      <w:bookmarkEnd w:id="20"/>
      <w:bookmarkEnd w:id="21"/>
    </w:p>
    <w:p>
      <w:pPr>
        <w:pStyle w:val="29"/>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Style w:val="31"/>
          <w:rFonts w:hint="default" w:ascii="Times New Roman" w:hAnsi="Times New Roman" w:eastAsia="黑体" w:cs="Times New Roman"/>
          <w:b w:val="0"/>
          <w:color w:val="auto"/>
          <w:highlight w:val="none"/>
        </w:rPr>
      </w:pPr>
      <w:bookmarkStart w:id="22" w:name="_Toc5846"/>
      <w:bookmarkStart w:id="23" w:name="_Toc15377205"/>
      <w:bookmarkStart w:id="24" w:name="_Toc15396603"/>
      <w:r>
        <w:rPr>
          <w:rFonts w:hint="default" w:ascii="Times New Roman" w:hAnsi="Times New Roman" w:eastAsia="黑体" w:cs="Times New Roman"/>
          <w:color w:val="auto"/>
          <w:sz w:val="32"/>
          <w:szCs w:val="32"/>
          <w:highlight w:val="none"/>
          <w:lang w:eastAsia="zh-CN"/>
        </w:rPr>
        <w:t>一、</w:t>
      </w:r>
      <w:r>
        <w:rPr>
          <w:rFonts w:hint="default" w:ascii="Times New Roman" w:hAnsi="Times New Roman" w:eastAsia="黑体" w:cs="Times New Roman"/>
          <w:color w:val="auto"/>
          <w:sz w:val="32"/>
          <w:szCs w:val="32"/>
          <w:highlight w:val="none"/>
        </w:rPr>
        <w:t>收</w:t>
      </w:r>
      <w:r>
        <w:rPr>
          <w:rStyle w:val="31"/>
          <w:rFonts w:hint="default" w:ascii="Times New Roman" w:hAnsi="Times New Roman" w:eastAsia="黑体" w:cs="Times New Roman"/>
          <w:b w:val="0"/>
          <w:color w:val="auto"/>
          <w:highlight w:val="none"/>
        </w:rPr>
        <w:t>入支出决算总体情况说明</w:t>
      </w:r>
      <w:bookmarkEnd w:id="22"/>
      <w:bookmarkEnd w:id="23"/>
      <w:bookmarkEnd w:id="24"/>
    </w:p>
    <w:p>
      <w:pPr>
        <w:snapToGrid w:val="0"/>
        <w:spacing w:line="520" w:lineRule="exact"/>
        <w:ind w:firstLine="640" w:firstLineChars="20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color w:val="auto"/>
          <w:sz w:val="32"/>
          <w:szCs w:val="32"/>
          <w:highlight w:val="none"/>
          <w:lang w:eastAsia="zh-CN"/>
        </w:rPr>
        <w:t>2024年度收入</w:t>
      </w:r>
      <w:r>
        <w:rPr>
          <w:rFonts w:hint="default" w:ascii="Times New Roman" w:hAnsi="Times New Roman" w:eastAsia="仿宋_GB2312" w:cs="Times New Roman"/>
          <w:color w:val="auto"/>
          <w:sz w:val="32"/>
          <w:szCs w:val="32"/>
          <w:highlight w:val="none"/>
        </w:rPr>
        <w:t>、</w:t>
      </w:r>
      <w:r>
        <w:rPr>
          <w:rFonts w:hint="default" w:ascii="Times New Roman" w:hAnsi="Times New Roman" w:eastAsia="仿宋_GB2312" w:cs="Times New Roman"/>
          <w:color w:val="auto"/>
          <w:sz w:val="32"/>
          <w:szCs w:val="32"/>
          <w:highlight w:val="none"/>
          <w:lang w:eastAsia="zh-CN"/>
        </w:rPr>
        <w:t>支出</w:t>
      </w:r>
      <w:r>
        <w:rPr>
          <w:rFonts w:hint="default" w:ascii="Times New Roman" w:hAnsi="Times New Roman" w:eastAsia="仿宋_GB2312" w:cs="Times New Roman"/>
          <w:color w:val="auto"/>
          <w:sz w:val="32"/>
          <w:szCs w:val="32"/>
          <w:highlight w:val="none"/>
        </w:rPr>
        <w:t>总计</w:t>
      </w:r>
      <w:r>
        <w:rPr>
          <w:rFonts w:hint="default" w:ascii="Times New Roman" w:hAnsi="Times New Roman" w:eastAsia="仿宋_GB2312" w:cs="Times New Roman"/>
          <w:color w:val="auto"/>
          <w:sz w:val="32"/>
          <w:szCs w:val="32"/>
          <w:highlight w:val="none"/>
          <w:lang w:eastAsia="zh-CN"/>
        </w:rPr>
        <w:t>均为</w:t>
      </w:r>
      <w:r>
        <w:rPr>
          <w:rFonts w:hint="default" w:ascii="Times New Roman" w:hAnsi="Times New Roman" w:eastAsia="仿宋_GB2312" w:cs="Times New Roman"/>
          <w:sz w:val="32"/>
          <w:szCs w:val="32"/>
        </w:rPr>
        <w:t>730.49</w:t>
      </w:r>
      <w:r>
        <w:rPr>
          <w:rFonts w:hint="default" w:ascii="Times New Roman" w:hAnsi="Times New Roman" w:eastAsia="仿宋_GB2312" w:cs="Times New Roman"/>
          <w:color w:val="auto"/>
          <w:sz w:val="32"/>
          <w:szCs w:val="32"/>
          <w:highlight w:val="none"/>
        </w:rPr>
        <w:t>万元。与</w:t>
      </w:r>
      <w:r>
        <w:rPr>
          <w:rFonts w:hint="default" w:ascii="Times New Roman" w:hAnsi="Times New Roman" w:eastAsia="仿宋_GB2312" w:cs="Times New Roman"/>
          <w:color w:val="auto"/>
          <w:sz w:val="32"/>
          <w:szCs w:val="32"/>
          <w:highlight w:val="none"/>
          <w:lang w:eastAsia="zh-CN"/>
        </w:rPr>
        <w:t>202</w:t>
      </w:r>
      <w:r>
        <w:rPr>
          <w:rFonts w:hint="default" w:ascii="Times New Roman" w:hAnsi="Times New Roman" w:eastAsia="仿宋_GB2312" w:cs="Times New Roman"/>
          <w:color w:val="auto"/>
          <w:sz w:val="32"/>
          <w:szCs w:val="32"/>
          <w:highlight w:val="none"/>
          <w:lang w:val="en-US" w:eastAsia="zh-CN"/>
        </w:rPr>
        <w:t>3</w:t>
      </w:r>
      <w:r>
        <w:rPr>
          <w:rFonts w:hint="default" w:ascii="Times New Roman" w:hAnsi="Times New Roman" w:eastAsia="仿宋_GB2312" w:cs="Times New Roman"/>
          <w:color w:val="auto"/>
          <w:sz w:val="32"/>
          <w:szCs w:val="32"/>
          <w:highlight w:val="none"/>
        </w:rPr>
        <w:t>年</w:t>
      </w:r>
      <w:r>
        <w:rPr>
          <w:rFonts w:hint="default" w:ascii="Times New Roman" w:hAnsi="Times New Roman" w:eastAsia="仿宋_GB2312" w:cs="Times New Roman"/>
          <w:color w:val="auto"/>
          <w:sz w:val="32"/>
          <w:szCs w:val="32"/>
          <w:highlight w:val="none"/>
          <w:lang w:eastAsia="zh-CN"/>
        </w:rPr>
        <w:t>度</w:t>
      </w:r>
      <w:r>
        <w:rPr>
          <w:rFonts w:hint="default" w:ascii="Times New Roman" w:hAnsi="Times New Roman" w:eastAsia="仿宋_GB2312" w:cs="Times New Roman"/>
          <w:color w:val="auto"/>
          <w:sz w:val="32"/>
          <w:szCs w:val="32"/>
          <w:highlight w:val="none"/>
        </w:rPr>
        <w:t>相比，</w:t>
      </w:r>
      <w:r>
        <w:rPr>
          <w:rFonts w:hint="default" w:ascii="Times New Roman" w:hAnsi="Times New Roman" w:eastAsia="仿宋_GB2312" w:cs="Times New Roman"/>
          <w:color w:val="auto"/>
          <w:sz w:val="32"/>
          <w:szCs w:val="32"/>
          <w:highlight w:val="none"/>
          <w:lang w:eastAsia="zh-CN"/>
        </w:rPr>
        <w:t>收入</w:t>
      </w:r>
      <w:r>
        <w:rPr>
          <w:rFonts w:hint="default" w:ascii="Times New Roman" w:hAnsi="Times New Roman" w:eastAsia="仿宋_GB2312" w:cs="Times New Roman"/>
          <w:color w:val="auto"/>
          <w:sz w:val="32"/>
          <w:szCs w:val="32"/>
          <w:highlight w:val="none"/>
        </w:rPr>
        <w:t>、</w:t>
      </w:r>
      <w:r>
        <w:rPr>
          <w:rFonts w:hint="default" w:ascii="Times New Roman" w:hAnsi="Times New Roman" w:eastAsia="仿宋_GB2312" w:cs="Times New Roman"/>
          <w:color w:val="auto"/>
          <w:sz w:val="32"/>
          <w:szCs w:val="32"/>
          <w:highlight w:val="none"/>
          <w:lang w:eastAsia="zh-CN"/>
        </w:rPr>
        <w:t>支出</w:t>
      </w:r>
      <w:r>
        <w:rPr>
          <w:rFonts w:hint="default" w:ascii="Times New Roman" w:hAnsi="Times New Roman" w:eastAsia="仿宋_GB2312" w:cs="Times New Roman"/>
          <w:sz w:val="32"/>
          <w:szCs w:val="32"/>
        </w:rPr>
        <w:t>比上年度</w:t>
      </w:r>
      <w:r>
        <w:rPr>
          <w:rFonts w:hint="default" w:ascii="Times New Roman" w:hAnsi="Times New Roman" w:eastAsia="仿宋_GB2312" w:cs="Times New Roman"/>
          <w:sz w:val="32"/>
          <w:szCs w:val="32"/>
          <w:lang w:val="en-US" w:eastAsia="zh-CN"/>
        </w:rPr>
        <w:t>减少179.68</w:t>
      </w:r>
      <w:r>
        <w:rPr>
          <w:rFonts w:hint="default" w:ascii="Times New Roman" w:hAnsi="Times New Roman" w:eastAsia="仿宋_GB2312" w:cs="Times New Roman"/>
          <w:sz w:val="32"/>
          <w:szCs w:val="32"/>
        </w:rPr>
        <w:t>万元</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下降19.7%。</w:t>
      </w:r>
      <w:r>
        <w:rPr>
          <w:rFonts w:hint="default" w:ascii="Times New Roman" w:hAnsi="Times New Roman" w:eastAsia="仿宋" w:cs="Times New Roman"/>
          <w:color w:val="auto"/>
          <w:sz w:val="32"/>
          <w:szCs w:val="32"/>
          <w:highlight w:val="none"/>
        </w:rPr>
        <w:t>主要变动原因</w:t>
      </w:r>
      <w:r>
        <w:rPr>
          <w:rFonts w:hint="default" w:ascii="Times New Roman" w:hAnsi="Times New Roman" w:eastAsia="仿宋" w:cs="Times New Roman"/>
          <w:color w:val="auto"/>
          <w:sz w:val="32"/>
          <w:szCs w:val="32"/>
          <w:highlight w:val="none"/>
          <w:lang w:val="en-US" w:eastAsia="zh-CN"/>
        </w:rPr>
        <w:t>是</w:t>
      </w:r>
      <w:r>
        <w:rPr>
          <w:rFonts w:hint="default" w:ascii="Times New Roman" w:hAnsi="Times New Roman" w:eastAsia="仿宋_GB2312" w:cs="Times New Roman"/>
          <w:sz w:val="32"/>
          <w:szCs w:val="32"/>
          <w:lang w:val="en-US" w:eastAsia="zh-CN"/>
        </w:rPr>
        <w:t>项目收入、支出均减少157.25万元，基本收入、支出均减少22.44万元。</w:t>
      </w:r>
    </w:p>
    <w:p>
      <w:pPr>
        <w:pStyle w:val="2"/>
        <w:rPr>
          <w:rFonts w:hint="default" w:ascii="Times New Roman" w:hAnsi="Times New Roman" w:cs="Times New Roman"/>
          <w:lang w:val="en-US" w:eastAsia="zh-CN"/>
        </w:rPr>
      </w:pPr>
    </w:p>
    <w:p>
      <w:pPr>
        <w:pStyle w:val="2"/>
        <w:keepNext w:val="0"/>
        <w:keepLines w:val="0"/>
        <w:pageBreakBefore w:val="0"/>
        <w:widowControl w:val="0"/>
        <w:kinsoku/>
        <w:wordWrap/>
        <w:overflowPunct/>
        <w:topLinePunct w:val="0"/>
        <w:autoSpaceDE/>
        <w:autoSpaceDN/>
        <w:bidi w:val="0"/>
        <w:adjustRightInd/>
        <w:snapToGrid/>
        <w:ind w:left="0" w:leftChars="0" w:firstLine="0" w:firstLineChars="0"/>
        <w:textAlignment w:val="auto"/>
        <w:rPr>
          <w:rFonts w:hint="default" w:ascii="Times New Roman" w:hAnsi="Times New Roman" w:cs="Times New Roman"/>
        </w:rPr>
      </w:pPr>
      <w:r>
        <w:rPr>
          <w:rFonts w:hint="default" w:ascii="Times New Roman" w:hAnsi="Times New Roman" w:eastAsia="仿宋_GB2312" w:cs="Times New Roman"/>
          <w:sz w:val="32"/>
          <w:szCs w:val="32"/>
        </w:rPr>
        <w:drawing>
          <wp:anchor distT="0" distB="0" distL="114300" distR="114300" simplePos="0" relativeHeight="251659264" behindDoc="1" locked="0" layoutInCell="1" allowOverlap="1">
            <wp:simplePos x="0" y="0"/>
            <wp:positionH relativeFrom="column">
              <wp:posOffset>369570</wp:posOffset>
            </wp:positionH>
            <wp:positionV relativeFrom="paragraph">
              <wp:posOffset>71120</wp:posOffset>
            </wp:positionV>
            <wp:extent cx="4951095" cy="2026920"/>
            <wp:effectExtent l="4445" t="4445" r="16510" b="6985"/>
            <wp:wrapThrough wrapText="bothSides">
              <wp:wrapPolygon>
                <wp:start x="-19" y="-47"/>
                <wp:lineTo x="-19" y="21471"/>
                <wp:lineTo x="21506" y="21471"/>
                <wp:lineTo x="21506" y="-47"/>
                <wp:lineTo x="-19" y="-47"/>
              </wp:wrapPolygon>
            </wp:wrapThrough>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anchor>
        </w:drawing>
      </w:r>
    </w:p>
    <w:p>
      <w:pPr>
        <w:keepNext w:val="0"/>
        <w:keepLines w:val="0"/>
        <w:pageBreakBefore w:val="0"/>
        <w:widowControl w:val="0"/>
        <w:kinsoku/>
        <w:wordWrap/>
        <w:overflowPunct/>
        <w:topLinePunct w:val="0"/>
        <w:autoSpaceDE/>
        <w:autoSpaceDN/>
        <w:bidi w:val="0"/>
        <w:adjustRightInd/>
        <w:snapToGrid/>
        <w:textAlignment w:val="auto"/>
        <w:rPr>
          <w:rFonts w:hint="default" w:ascii="Times New Roman" w:hAnsi="Times New Roman" w:eastAsia="仿宋_GB2312" w:cs="Times New Roman"/>
          <w:color w:val="auto"/>
          <w:sz w:val="32"/>
          <w:szCs w:val="32"/>
          <w:highlight w:val="none"/>
        </w:rPr>
      </w:pPr>
    </w:p>
    <w:p>
      <w:pPr>
        <w:keepNext w:val="0"/>
        <w:keepLines w:val="0"/>
        <w:pageBreakBefore w:val="0"/>
        <w:widowControl w:val="0"/>
        <w:kinsoku/>
        <w:wordWrap/>
        <w:overflowPunct/>
        <w:topLinePunct w:val="0"/>
        <w:autoSpaceDE/>
        <w:autoSpaceDN/>
        <w:bidi w:val="0"/>
        <w:adjustRightInd/>
        <w:snapToGrid/>
        <w:ind w:firstLine="640" w:firstLineChars="200"/>
        <w:jc w:val="center"/>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（图1：</w:t>
      </w:r>
      <w:r>
        <w:rPr>
          <w:rFonts w:hint="default" w:ascii="Times New Roman" w:hAnsi="Times New Roman" w:eastAsia="仿宋_GB2312" w:cs="Times New Roman"/>
          <w:color w:val="auto"/>
          <w:sz w:val="32"/>
          <w:szCs w:val="32"/>
          <w:highlight w:val="none"/>
          <w:lang w:eastAsia="zh-CN"/>
        </w:rPr>
        <w:t>收入</w:t>
      </w:r>
      <w:r>
        <w:rPr>
          <w:rFonts w:hint="default" w:ascii="Times New Roman" w:hAnsi="Times New Roman" w:eastAsia="仿宋_GB2312" w:cs="Times New Roman"/>
          <w:color w:val="auto"/>
          <w:sz w:val="32"/>
          <w:szCs w:val="32"/>
          <w:highlight w:val="none"/>
        </w:rPr>
        <w:t>、</w:t>
      </w:r>
      <w:r>
        <w:rPr>
          <w:rFonts w:hint="default" w:ascii="Times New Roman" w:hAnsi="Times New Roman" w:eastAsia="仿宋_GB2312" w:cs="Times New Roman"/>
          <w:color w:val="auto"/>
          <w:sz w:val="32"/>
          <w:szCs w:val="32"/>
          <w:highlight w:val="none"/>
          <w:lang w:eastAsia="zh-CN"/>
        </w:rPr>
        <w:t>支出</w:t>
      </w:r>
      <w:r>
        <w:rPr>
          <w:rFonts w:hint="default" w:ascii="Times New Roman" w:hAnsi="Times New Roman" w:eastAsia="仿宋_GB2312" w:cs="Times New Roman"/>
          <w:color w:val="auto"/>
          <w:sz w:val="32"/>
          <w:szCs w:val="32"/>
          <w:highlight w:val="none"/>
        </w:rPr>
        <w:t>决算总计变动情况图）（柱状图）</w:t>
      </w:r>
    </w:p>
    <w:p>
      <w:pPr>
        <w:pStyle w:val="29"/>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default" w:ascii="Times New Roman" w:hAnsi="Times New Roman" w:eastAsia="黑体" w:cs="Times New Roman"/>
          <w:color w:val="auto"/>
          <w:sz w:val="32"/>
          <w:szCs w:val="32"/>
          <w:highlight w:val="none"/>
          <w:lang w:eastAsia="zh-CN"/>
        </w:rPr>
      </w:pPr>
      <w:bookmarkStart w:id="25" w:name="_Toc15377206"/>
      <w:bookmarkStart w:id="26" w:name="_Toc6016"/>
      <w:bookmarkStart w:id="27" w:name="_Toc15396604"/>
    </w:p>
    <w:p>
      <w:pPr>
        <w:pStyle w:val="29"/>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default" w:ascii="Times New Roman" w:hAnsi="Times New Roman" w:eastAsia="黑体" w:cs="Times New Roman"/>
          <w:color w:val="auto"/>
          <w:sz w:val="32"/>
          <w:szCs w:val="32"/>
          <w:highlight w:val="none"/>
          <w:lang w:eastAsia="zh-CN"/>
        </w:rPr>
      </w:pPr>
      <w:r>
        <w:rPr>
          <w:rFonts w:hint="default" w:ascii="Times New Roman" w:hAnsi="Times New Roman" w:eastAsia="黑体" w:cs="Times New Roman"/>
          <w:color w:val="auto"/>
          <w:sz w:val="32"/>
          <w:szCs w:val="32"/>
          <w:highlight w:val="none"/>
          <w:lang w:eastAsia="zh-CN"/>
        </w:rPr>
        <w:t>二、收入决算情况说明</w:t>
      </w:r>
      <w:bookmarkEnd w:id="25"/>
      <w:bookmarkEnd w:id="26"/>
      <w:bookmarkEnd w:id="27"/>
    </w:p>
    <w:p>
      <w:pPr>
        <w:spacing w:line="600" w:lineRule="exact"/>
        <w:ind w:firstLine="640" w:firstLineChars="200"/>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2024年度本年收入合计</w:t>
      </w:r>
      <w:r>
        <w:rPr>
          <w:rFonts w:hint="default" w:ascii="Times New Roman" w:hAnsi="Times New Roman" w:eastAsia="仿宋_GB2312" w:cs="Times New Roman"/>
          <w:sz w:val="32"/>
          <w:szCs w:val="32"/>
        </w:rPr>
        <w:t>730.49万元，其中：一般公共预算财政拨款收入730.49</w:t>
      </w:r>
      <w:r>
        <w:rPr>
          <w:rFonts w:hint="default" w:ascii="Times New Roman" w:hAnsi="Times New Roman" w:eastAsia="仿宋_GB2312" w:cs="Times New Roman"/>
          <w:color w:val="auto"/>
          <w:sz w:val="32"/>
          <w:szCs w:val="32"/>
          <w:highlight w:val="none"/>
          <w:lang w:eastAsia="zh-CN"/>
        </w:rPr>
        <w:t>万元，占</w:t>
      </w:r>
      <w:r>
        <w:rPr>
          <w:rFonts w:hint="default" w:ascii="Times New Roman" w:hAnsi="Times New Roman" w:eastAsia="仿宋_GB2312" w:cs="Times New Roman"/>
          <w:sz w:val="32"/>
          <w:szCs w:val="32"/>
        </w:rPr>
        <w:t>100</w:t>
      </w:r>
      <w:r>
        <w:rPr>
          <w:rFonts w:hint="default" w:ascii="Times New Roman" w:hAnsi="Times New Roman" w:eastAsia="仿宋_GB2312" w:cs="Times New Roman"/>
          <w:color w:val="auto"/>
          <w:sz w:val="32"/>
          <w:szCs w:val="32"/>
          <w:highlight w:val="none"/>
          <w:lang w:eastAsia="zh-CN"/>
        </w:rPr>
        <w:t>%。</w:t>
      </w:r>
    </w:p>
    <w:p>
      <w:pPr>
        <w:pStyle w:val="2"/>
        <w:rPr>
          <w:rFonts w:hint="default" w:ascii="Times New Roman" w:hAnsi="Times New Roman" w:cs="Times New Roman"/>
          <w:lang w:eastAsia="zh-CN"/>
        </w:rPr>
      </w:pPr>
    </w:p>
    <w:p>
      <w:pPr>
        <w:pStyle w:val="29"/>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0" w:firstLineChars="0"/>
        <w:jc w:val="center"/>
        <w:textAlignment w:val="auto"/>
        <w:outlineLvl w:val="9"/>
        <w:rPr>
          <w:rFonts w:hint="default" w:ascii="Times New Roman" w:hAnsi="Times New Roman" w:eastAsia="仿宋_GB2312" w:cs="Times New Roman"/>
          <w:sz w:val="32"/>
          <w:szCs w:val="32"/>
          <w:highlight w:val="yellow"/>
        </w:rPr>
      </w:pPr>
      <w:r>
        <w:rPr>
          <w:rFonts w:hint="default" w:ascii="Times New Roman" w:hAnsi="Times New Roman" w:eastAsia="仿宋_GB2312" w:cs="Times New Roman"/>
          <w:sz w:val="32"/>
          <w:szCs w:val="32"/>
          <w:highlight w:val="yellow"/>
        </w:rPr>
        <w:object>
          <v:shape id="_x0000_i1025" o:spt="75" type="#_x0000_t75" style="height:179.25pt;width:378pt;" o:ole="t" filled="f" o:preferrelative="t" stroked="f" coordsize="21600,21600">
            <v:path/>
            <v:fill on="f" focussize="0,0"/>
            <v:stroke on="f"/>
            <v:imagedata r:id="rId11" o:title=""/>
            <o:lock v:ext="edit" aspectratio="t"/>
            <w10:wrap type="none"/>
            <w10:anchorlock/>
          </v:shape>
          <o:OLEObject Type="Embed" ProgID="excel.sheet.8" ShapeID="_x0000_i1025" DrawAspect="Content" ObjectID="_1468075725" r:id="rId10">
            <o:LockedField>false</o:LockedField>
          </o:OLEObject>
        </w:object>
      </w:r>
    </w:p>
    <w:p>
      <w:pPr>
        <w:pStyle w:val="29"/>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0" w:firstLineChars="0"/>
        <w:jc w:val="center"/>
        <w:textAlignment w:val="auto"/>
        <w:outlineLvl w:val="9"/>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（图2：收入决算结构图）（饼状图）</w:t>
      </w:r>
    </w:p>
    <w:p>
      <w:pPr>
        <w:pStyle w:val="29"/>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default" w:ascii="Times New Roman" w:hAnsi="Times New Roman" w:eastAsia="黑体" w:cs="Times New Roman"/>
          <w:color w:val="auto"/>
          <w:sz w:val="32"/>
          <w:szCs w:val="32"/>
          <w:highlight w:val="none"/>
          <w:lang w:eastAsia="zh-CN"/>
        </w:rPr>
      </w:pPr>
      <w:bookmarkStart w:id="28" w:name="_Toc21503"/>
      <w:bookmarkStart w:id="29" w:name="_Toc15396605"/>
      <w:bookmarkStart w:id="30" w:name="_Toc15377207"/>
    </w:p>
    <w:p>
      <w:pPr>
        <w:pStyle w:val="29"/>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Style w:val="31"/>
          <w:rFonts w:hint="default" w:ascii="Times New Roman" w:hAnsi="Times New Roman" w:eastAsia="黑体" w:cs="Times New Roman"/>
          <w:b w:val="0"/>
          <w:color w:val="auto"/>
          <w:highlight w:val="none"/>
        </w:rPr>
      </w:pPr>
      <w:r>
        <w:rPr>
          <w:rFonts w:hint="default" w:ascii="Times New Roman" w:hAnsi="Times New Roman" w:eastAsia="黑体" w:cs="Times New Roman"/>
          <w:color w:val="auto"/>
          <w:sz w:val="32"/>
          <w:szCs w:val="32"/>
          <w:highlight w:val="none"/>
          <w:lang w:eastAsia="zh-CN"/>
        </w:rPr>
        <w:t>三、</w:t>
      </w:r>
      <w:r>
        <w:rPr>
          <w:rFonts w:hint="default" w:ascii="Times New Roman" w:hAnsi="Times New Roman" w:eastAsia="黑体" w:cs="Times New Roman"/>
          <w:color w:val="auto"/>
          <w:sz w:val="32"/>
          <w:szCs w:val="32"/>
          <w:highlight w:val="none"/>
        </w:rPr>
        <w:t>支</w:t>
      </w:r>
      <w:r>
        <w:rPr>
          <w:rStyle w:val="31"/>
          <w:rFonts w:hint="default" w:ascii="Times New Roman" w:hAnsi="Times New Roman" w:eastAsia="黑体" w:cs="Times New Roman"/>
          <w:b w:val="0"/>
          <w:color w:val="auto"/>
          <w:highlight w:val="none"/>
        </w:rPr>
        <w:t>出决算情况说明</w:t>
      </w:r>
      <w:bookmarkEnd w:id="28"/>
      <w:bookmarkEnd w:id="29"/>
      <w:bookmarkEnd w:id="30"/>
    </w:p>
    <w:p>
      <w:pPr>
        <w:pStyle w:val="29"/>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outlineLvl w:val="9"/>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2024年度本年支出合计</w:t>
      </w:r>
      <w:r>
        <w:rPr>
          <w:rFonts w:hint="default" w:ascii="Times New Roman" w:hAnsi="Times New Roman" w:eastAsia="仿宋_GB2312" w:cs="Times New Roman"/>
          <w:sz w:val="32"/>
          <w:szCs w:val="32"/>
        </w:rPr>
        <w:t>730.49</w:t>
      </w:r>
      <w:r>
        <w:rPr>
          <w:rFonts w:hint="default" w:ascii="Times New Roman" w:hAnsi="Times New Roman" w:eastAsia="仿宋_GB2312" w:cs="Times New Roman"/>
          <w:color w:val="auto"/>
          <w:sz w:val="32"/>
          <w:szCs w:val="32"/>
          <w:highlight w:val="none"/>
          <w:lang w:eastAsia="zh-CN"/>
        </w:rPr>
        <w:t>万元，其中：基本支出</w:t>
      </w:r>
      <w:r>
        <w:rPr>
          <w:rFonts w:hint="default" w:ascii="Times New Roman" w:hAnsi="Times New Roman" w:eastAsia="仿宋_GB2312" w:cs="Times New Roman"/>
          <w:sz w:val="32"/>
          <w:szCs w:val="32"/>
        </w:rPr>
        <w:t>610.48</w:t>
      </w:r>
      <w:r>
        <w:rPr>
          <w:rFonts w:hint="default" w:ascii="Times New Roman" w:hAnsi="Times New Roman" w:eastAsia="仿宋_GB2312" w:cs="Times New Roman"/>
          <w:color w:val="auto"/>
          <w:sz w:val="32"/>
          <w:szCs w:val="32"/>
          <w:highlight w:val="none"/>
          <w:lang w:eastAsia="zh-CN"/>
        </w:rPr>
        <w:t>万元，占</w:t>
      </w:r>
      <w:r>
        <w:rPr>
          <w:rFonts w:hint="default" w:ascii="Times New Roman" w:hAnsi="Times New Roman" w:eastAsia="仿宋_GB2312" w:cs="Times New Roman"/>
          <w:sz w:val="32"/>
          <w:szCs w:val="32"/>
        </w:rPr>
        <w:t>83.</w:t>
      </w:r>
      <w:r>
        <w:rPr>
          <w:rFonts w:hint="default" w:ascii="Times New Roman" w:hAnsi="Times New Roman" w:eastAsia="仿宋_GB2312" w:cs="Times New Roman"/>
          <w:sz w:val="32"/>
          <w:szCs w:val="32"/>
          <w:lang w:val="en-US" w:eastAsia="zh-CN"/>
        </w:rPr>
        <w:t>6</w:t>
      </w:r>
      <w:r>
        <w:rPr>
          <w:rFonts w:hint="default" w:ascii="Times New Roman" w:hAnsi="Times New Roman" w:eastAsia="仿宋_GB2312" w:cs="Times New Roman"/>
          <w:color w:val="auto"/>
          <w:sz w:val="32"/>
          <w:szCs w:val="32"/>
          <w:highlight w:val="none"/>
          <w:lang w:eastAsia="zh-CN"/>
        </w:rPr>
        <w:t>%；项目支出</w:t>
      </w:r>
      <w:r>
        <w:rPr>
          <w:rFonts w:hint="default" w:ascii="Times New Roman" w:hAnsi="Times New Roman" w:eastAsia="仿宋_GB2312" w:cs="Times New Roman"/>
          <w:sz w:val="32"/>
          <w:szCs w:val="32"/>
        </w:rPr>
        <w:t>120.01</w:t>
      </w:r>
      <w:r>
        <w:rPr>
          <w:rFonts w:hint="default" w:ascii="Times New Roman" w:hAnsi="Times New Roman" w:eastAsia="仿宋_GB2312" w:cs="Times New Roman"/>
          <w:color w:val="auto"/>
          <w:sz w:val="32"/>
          <w:szCs w:val="32"/>
          <w:highlight w:val="none"/>
          <w:lang w:eastAsia="zh-CN"/>
        </w:rPr>
        <w:t>万元，占</w:t>
      </w:r>
      <w:r>
        <w:rPr>
          <w:rFonts w:hint="default" w:ascii="Times New Roman" w:hAnsi="Times New Roman" w:eastAsia="仿宋_GB2312" w:cs="Times New Roman"/>
          <w:sz w:val="32"/>
          <w:szCs w:val="32"/>
        </w:rPr>
        <w:t>16.4</w:t>
      </w:r>
      <w:r>
        <w:rPr>
          <w:rFonts w:hint="default" w:ascii="Times New Roman" w:hAnsi="Times New Roman" w:eastAsia="仿宋_GB2312" w:cs="Times New Roman"/>
          <w:color w:val="auto"/>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drawing>
          <wp:inline distT="0" distB="0" distL="114300" distR="114300">
            <wp:extent cx="5256530" cy="2988310"/>
            <wp:effectExtent l="5080" t="4445" r="15240" b="17145"/>
            <wp:docPr id="5"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pPr>
        <w:ind w:firstLine="800" w:firstLineChars="250"/>
        <w:rPr>
          <w:rFonts w:hint="default" w:ascii="Times New Roman" w:hAnsi="Times New Roman" w:eastAsia="黑体" w:cs="Times New Roman"/>
          <w:color w:val="auto"/>
          <w:sz w:val="32"/>
          <w:szCs w:val="32"/>
          <w:highlight w:val="none"/>
        </w:rPr>
      </w:pPr>
      <w:r>
        <w:rPr>
          <w:rFonts w:hint="default" w:ascii="Times New Roman" w:hAnsi="Times New Roman" w:eastAsia="仿宋_GB2312" w:cs="Times New Roman"/>
          <w:color w:val="auto"/>
          <w:sz w:val="32"/>
          <w:szCs w:val="32"/>
          <w:highlight w:val="none"/>
          <w:lang w:eastAsia="zh-CN"/>
        </w:rPr>
        <w:t>（图3：支出决算结构图）（饼状图）</w:t>
      </w:r>
      <w:bookmarkStart w:id="31" w:name="_Toc15377208"/>
      <w:bookmarkStart w:id="32" w:name="_Toc15396606"/>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outlineLvl w:val="1"/>
        <w:rPr>
          <w:rFonts w:hint="default" w:ascii="Times New Roman" w:hAnsi="Times New Roman" w:eastAsia="黑体" w:cs="Times New Roman"/>
          <w:color w:val="auto"/>
          <w:sz w:val="32"/>
          <w:szCs w:val="32"/>
          <w:highlight w:val="none"/>
        </w:rPr>
      </w:pPr>
      <w:bookmarkStart w:id="33" w:name="_Toc3898"/>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outlineLvl w:val="1"/>
        <w:rPr>
          <w:rStyle w:val="31"/>
          <w:rFonts w:hint="default" w:ascii="Times New Roman" w:hAnsi="Times New Roman" w:eastAsia="黑体" w:cs="Times New Roman"/>
          <w:b w:val="0"/>
          <w:color w:val="auto"/>
          <w:highlight w:val="none"/>
        </w:rPr>
      </w:pPr>
      <w:r>
        <w:rPr>
          <w:rFonts w:hint="default" w:ascii="Times New Roman" w:hAnsi="Times New Roman" w:eastAsia="黑体" w:cs="Times New Roman"/>
          <w:color w:val="auto"/>
          <w:sz w:val="32"/>
          <w:szCs w:val="32"/>
          <w:highlight w:val="none"/>
        </w:rPr>
        <w:t>四、财</w:t>
      </w:r>
      <w:r>
        <w:rPr>
          <w:rStyle w:val="31"/>
          <w:rFonts w:hint="default" w:ascii="Times New Roman" w:hAnsi="Times New Roman" w:eastAsia="黑体" w:cs="Times New Roman"/>
          <w:b w:val="0"/>
          <w:color w:val="auto"/>
          <w:highlight w:val="none"/>
        </w:rPr>
        <w:t>政拨款收入支出决算总体情况说明</w:t>
      </w:r>
      <w:bookmarkEnd w:id="31"/>
      <w:bookmarkEnd w:id="32"/>
      <w:bookmarkEnd w:id="33"/>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color w:val="auto"/>
          <w:kern w:val="2"/>
          <w:sz w:val="32"/>
          <w:szCs w:val="32"/>
          <w:highlight w:val="none"/>
          <w:lang w:val="en-US" w:eastAsia="zh-CN" w:bidi="ar-SA"/>
        </w:rPr>
        <w:t>2024年度财政拨款收入、支出总计均为</w:t>
      </w:r>
      <w:r>
        <w:rPr>
          <w:rFonts w:hint="default" w:ascii="Times New Roman" w:hAnsi="Times New Roman" w:eastAsia="仿宋_GB2312" w:cs="Times New Roman"/>
          <w:sz w:val="32"/>
          <w:szCs w:val="32"/>
        </w:rPr>
        <w:t>730.49</w:t>
      </w:r>
      <w:r>
        <w:rPr>
          <w:rFonts w:hint="default" w:ascii="Times New Roman" w:hAnsi="Times New Roman" w:eastAsia="仿宋_GB2312" w:cs="Times New Roman"/>
          <w:color w:val="auto"/>
          <w:kern w:val="2"/>
          <w:sz w:val="32"/>
          <w:szCs w:val="32"/>
          <w:highlight w:val="none"/>
          <w:lang w:val="en-US" w:eastAsia="zh-CN" w:bidi="ar-SA"/>
        </w:rPr>
        <w:t>万元。与2023年度相比，财政拨款收入总计、支出总计</w:t>
      </w:r>
      <w:r>
        <w:rPr>
          <w:rFonts w:hint="default" w:ascii="Times New Roman" w:hAnsi="Times New Roman" w:eastAsia="仿宋_GB2312" w:cs="Times New Roman"/>
          <w:sz w:val="32"/>
          <w:szCs w:val="32"/>
        </w:rPr>
        <w:t>比上年度</w:t>
      </w:r>
      <w:r>
        <w:rPr>
          <w:rFonts w:hint="default" w:ascii="Times New Roman" w:hAnsi="Times New Roman" w:eastAsia="仿宋_GB2312" w:cs="Times New Roman"/>
          <w:sz w:val="32"/>
          <w:szCs w:val="32"/>
          <w:lang w:val="en-US" w:eastAsia="zh-CN"/>
        </w:rPr>
        <w:t>均减少179.68</w:t>
      </w:r>
      <w:r>
        <w:rPr>
          <w:rFonts w:hint="default" w:ascii="Times New Roman" w:hAnsi="Times New Roman" w:eastAsia="仿宋_GB2312" w:cs="Times New Roman"/>
          <w:sz w:val="32"/>
          <w:szCs w:val="32"/>
        </w:rPr>
        <w:t>万元</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下降19.7%。</w:t>
      </w:r>
      <w:r>
        <w:rPr>
          <w:rFonts w:hint="default" w:ascii="Times New Roman" w:hAnsi="Times New Roman" w:eastAsia="仿宋" w:cs="Times New Roman"/>
          <w:color w:val="auto"/>
          <w:sz w:val="32"/>
          <w:szCs w:val="32"/>
          <w:highlight w:val="none"/>
        </w:rPr>
        <w:t>主要变动原因</w:t>
      </w:r>
      <w:r>
        <w:rPr>
          <w:rFonts w:hint="default" w:ascii="Times New Roman" w:hAnsi="Times New Roman" w:eastAsia="仿宋" w:cs="Times New Roman"/>
          <w:color w:val="auto"/>
          <w:sz w:val="32"/>
          <w:szCs w:val="32"/>
          <w:highlight w:val="none"/>
          <w:lang w:val="en-US" w:eastAsia="zh-CN"/>
        </w:rPr>
        <w:t>是</w:t>
      </w:r>
      <w:r>
        <w:rPr>
          <w:rFonts w:hint="default" w:ascii="Times New Roman" w:hAnsi="Times New Roman" w:eastAsia="仿宋_GB2312" w:cs="Times New Roman"/>
          <w:sz w:val="32"/>
          <w:szCs w:val="32"/>
          <w:lang w:val="en-US" w:eastAsia="zh-CN"/>
        </w:rPr>
        <w:t>项目收入、支出均减少157.25万元，基本收入、支出均减少22.44万元。</w:t>
      </w:r>
    </w:p>
    <w:p>
      <w:pPr>
        <w:pStyle w:val="2"/>
        <w:keepNext w:val="0"/>
        <w:keepLines w:val="0"/>
        <w:pageBreakBefore w:val="0"/>
        <w:widowControl w:val="0"/>
        <w:kinsoku/>
        <w:wordWrap/>
        <w:overflowPunct/>
        <w:topLinePunct w:val="0"/>
        <w:autoSpaceDE/>
        <w:autoSpaceDN/>
        <w:bidi w:val="0"/>
        <w:adjustRightInd/>
        <w:snapToGrid/>
        <w:ind w:left="0" w:leftChars="0" w:firstLine="0" w:firstLineChars="0"/>
        <w:jc w:val="center"/>
        <w:textAlignment w:val="auto"/>
        <w:rPr>
          <w:rFonts w:hint="default" w:ascii="Times New Roman" w:hAnsi="Times New Roman" w:eastAsia="仿宋_GB2312" w:cs="Times New Roman"/>
          <w:color w:val="auto"/>
          <w:kern w:val="2"/>
          <w:sz w:val="32"/>
          <w:szCs w:val="32"/>
          <w:highlight w:val="none"/>
          <w:lang w:val="en-US" w:eastAsia="zh-CN" w:bidi="ar-SA"/>
        </w:rPr>
      </w:pPr>
      <w:r>
        <w:rPr>
          <w:rFonts w:hint="default" w:ascii="Times New Roman" w:hAnsi="Times New Roman" w:eastAsia="仿宋_GB2312" w:cs="Times New Roman"/>
          <w:sz w:val="32"/>
          <w:szCs w:val="32"/>
        </w:rPr>
        <w:drawing>
          <wp:inline distT="0" distB="0" distL="114300" distR="114300">
            <wp:extent cx="5025390" cy="2806700"/>
            <wp:effectExtent l="4445" t="4445" r="18415" b="8255"/>
            <wp:docPr id="6" name="图表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pPr>
        <w:spacing w:line="600" w:lineRule="exact"/>
        <w:ind w:firstLine="640" w:firstLineChars="200"/>
        <w:rPr>
          <w:rFonts w:hint="default" w:ascii="Times New Roman" w:hAnsi="Times New Roman" w:eastAsia="仿宋_GB2312" w:cs="Times New Roman"/>
          <w:color w:val="auto"/>
          <w:kern w:val="2"/>
          <w:sz w:val="32"/>
          <w:szCs w:val="32"/>
          <w:highlight w:val="none"/>
          <w:lang w:val="en-US" w:eastAsia="zh-CN" w:bidi="ar-SA"/>
        </w:rPr>
      </w:pPr>
      <w:r>
        <w:rPr>
          <w:rFonts w:hint="default" w:ascii="Times New Roman" w:hAnsi="Times New Roman" w:eastAsia="仿宋_GB2312" w:cs="Times New Roman"/>
          <w:color w:val="auto"/>
          <w:kern w:val="2"/>
          <w:sz w:val="32"/>
          <w:szCs w:val="32"/>
          <w:highlight w:val="none"/>
          <w:lang w:val="en-US" w:eastAsia="zh-CN" w:bidi="ar-SA"/>
        </w:rPr>
        <w:t>（图4：财政拨款收、支决算总计变动情况）（柱状图）</w:t>
      </w:r>
    </w:p>
    <w:p>
      <w:pPr>
        <w:keepNext w:val="0"/>
        <w:keepLines w:val="0"/>
        <w:pageBreakBefore w:val="0"/>
        <w:kinsoku/>
        <w:wordWrap/>
        <w:overflowPunct/>
        <w:topLinePunct w:val="0"/>
        <w:autoSpaceDE/>
        <w:autoSpaceDN/>
        <w:bidi w:val="0"/>
        <w:spacing w:line="560" w:lineRule="exact"/>
        <w:ind w:firstLine="640" w:firstLineChars="200"/>
        <w:textAlignment w:val="auto"/>
        <w:outlineLvl w:val="1"/>
        <w:rPr>
          <w:rFonts w:hint="default" w:ascii="Times New Roman" w:hAnsi="Times New Roman" w:eastAsia="黑体" w:cs="Times New Roman"/>
          <w:color w:val="auto"/>
          <w:sz w:val="32"/>
          <w:szCs w:val="32"/>
          <w:highlight w:val="none"/>
        </w:rPr>
      </w:pPr>
      <w:bookmarkStart w:id="34" w:name="_Toc15377209"/>
      <w:bookmarkStart w:id="35" w:name="_Toc18130"/>
      <w:bookmarkStart w:id="36" w:name="_Toc15396607"/>
    </w:p>
    <w:p>
      <w:pPr>
        <w:keepNext w:val="0"/>
        <w:keepLines w:val="0"/>
        <w:pageBreakBefore w:val="0"/>
        <w:kinsoku/>
        <w:wordWrap/>
        <w:overflowPunct/>
        <w:topLinePunct w:val="0"/>
        <w:autoSpaceDE/>
        <w:autoSpaceDN/>
        <w:bidi w:val="0"/>
        <w:spacing w:line="560" w:lineRule="exact"/>
        <w:ind w:firstLine="640" w:firstLineChars="200"/>
        <w:textAlignment w:val="auto"/>
        <w:outlineLvl w:val="1"/>
        <w:rPr>
          <w:rStyle w:val="31"/>
          <w:rFonts w:hint="default" w:ascii="Times New Roman" w:hAnsi="Times New Roman" w:eastAsia="黑体" w:cs="Times New Roman"/>
          <w:b w:val="0"/>
          <w:color w:val="auto"/>
          <w:highlight w:val="none"/>
        </w:rPr>
      </w:pPr>
      <w:r>
        <w:rPr>
          <w:rFonts w:hint="default" w:ascii="Times New Roman" w:hAnsi="Times New Roman" w:eastAsia="黑体" w:cs="Times New Roman"/>
          <w:color w:val="auto"/>
          <w:sz w:val="32"/>
          <w:szCs w:val="32"/>
          <w:highlight w:val="none"/>
        </w:rPr>
        <w:t>五、</w:t>
      </w:r>
      <w:r>
        <w:rPr>
          <w:rFonts w:hint="default" w:ascii="Times New Roman" w:hAnsi="Times New Roman" w:eastAsia="黑体" w:cs="Times New Roman"/>
          <w:b/>
          <w:color w:val="auto"/>
          <w:sz w:val="32"/>
          <w:szCs w:val="32"/>
          <w:highlight w:val="none"/>
        </w:rPr>
        <w:t>一</w:t>
      </w:r>
      <w:r>
        <w:rPr>
          <w:rStyle w:val="31"/>
          <w:rFonts w:hint="default" w:ascii="Times New Roman" w:hAnsi="Times New Roman" w:eastAsia="黑体" w:cs="Times New Roman"/>
          <w:b w:val="0"/>
          <w:color w:val="auto"/>
          <w:highlight w:val="none"/>
        </w:rPr>
        <w:t>般公共预算财政拨款支出决算情况说明</w:t>
      </w:r>
      <w:bookmarkEnd w:id="34"/>
      <w:bookmarkEnd w:id="35"/>
      <w:bookmarkEnd w:id="36"/>
    </w:p>
    <w:p>
      <w:pPr>
        <w:keepNext w:val="0"/>
        <w:keepLines w:val="0"/>
        <w:pageBreakBefore w:val="0"/>
        <w:kinsoku/>
        <w:wordWrap/>
        <w:overflowPunct/>
        <w:topLinePunct w:val="0"/>
        <w:autoSpaceDE/>
        <w:autoSpaceDN/>
        <w:bidi w:val="0"/>
        <w:spacing w:line="560" w:lineRule="exact"/>
        <w:ind w:firstLine="642" w:firstLineChars="200"/>
        <w:textAlignment w:val="auto"/>
        <w:outlineLvl w:val="9"/>
        <w:rPr>
          <w:rFonts w:hint="default" w:ascii="Times New Roman" w:hAnsi="Times New Roman" w:eastAsia="楷体_GB2312" w:cs="Times New Roman"/>
          <w:b/>
          <w:color w:val="auto"/>
          <w:sz w:val="32"/>
          <w:szCs w:val="32"/>
          <w:highlight w:val="none"/>
        </w:rPr>
      </w:pPr>
      <w:bookmarkStart w:id="37" w:name="_Toc15377210"/>
      <w:r>
        <w:rPr>
          <w:rFonts w:hint="default" w:ascii="Times New Roman" w:hAnsi="Times New Roman" w:eastAsia="楷体_GB2312" w:cs="Times New Roman"/>
          <w:b/>
          <w:color w:val="auto"/>
          <w:sz w:val="32"/>
          <w:szCs w:val="32"/>
          <w:highlight w:val="none"/>
        </w:rPr>
        <w:t>（一）一般公共预算财政拨款支出决算总体情况</w:t>
      </w:r>
      <w:bookmarkEnd w:id="37"/>
    </w:p>
    <w:p>
      <w:pPr>
        <w:snapToGrid w:val="0"/>
        <w:spacing w:line="520" w:lineRule="exact"/>
        <w:ind w:firstLine="640" w:firstLineChars="20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kern w:val="2"/>
          <w:sz w:val="32"/>
          <w:szCs w:val="32"/>
          <w:highlight w:val="none"/>
          <w:lang w:val="en-US" w:eastAsia="zh-CN" w:bidi="ar-SA"/>
        </w:rPr>
        <w:t>2024年度一般公共预算财政拨款支出</w:t>
      </w:r>
      <w:r>
        <w:rPr>
          <w:rFonts w:hint="default" w:ascii="Times New Roman" w:hAnsi="Times New Roman" w:eastAsia="仿宋_GB2312" w:cs="Times New Roman"/>
          <w:sz w:val="32"/>
          <w:szCs w:val="32"/>
        </w:rPr>
        <w:t>730.49</w:t>
      </w:r>
      <w:r>
        <w:rPr>
          <w:rFonts w:hint="default" w:ascii="Times New Roman" w:hAnsi="Times New Roman" w:eastAsia="仿宋_GB2312" w:cs="Times New Roman"/>
          <w:color w:val="auto"/>
          <w:kern w:val="2"/>
          <w:sz w:val="32"/>
          <w:szCs w:val="32"/>
          <w:highlight w:val="none"/>
          <w:lang w:val="en-US" w:eastAsia="zh-CN" w:bidi="ar-SA"/>
        </w:rPr>
        <w:t>万元，占本年支出合计的</w:t>
      </w:r>
      <w:r>
        <w:rPr>
          <w:rFonts w:hint="default" w:ascii="Times New Roman" w:hAnsi="Times New Roman" w:eastAsia="仿宋_GB2312" w:cs="Times New Roman"/>
          <w:sz w:val="32"/>
          <w:szCs w:val="32"/>
        </w:rPr>
        <w:t>100</w:t>
      </w:r>
      <w:r>
        <w:rPr>
          <w:rFonts w:hint="default" w:ascii="Times New Roman" w:hAnsi="Times New Roman" w:eastAsia="仿宋_GB2312" w:cs="Times New Roman"/>
          <w:color w:val="auto"/>
          <w:kern w:val="2"/>
          <w:sz w:val="32"/>
          <w:szCs w:val="32"/>
          <w:highlight w:val="none"/>
          <w:lang w:val="en-US" w:eastAsia="zh-CN" w:bidi="ar-SA"/>
        </w:rPr>
        <w:t>%。与2023年度相比，一般公共预算财政拨款支出</w:t>
      </w:r>
      <w:r>
        <w:rPr>
          <w:rFonts w:hint="default" w:ascii="Times New Roman" w:hAnsi="Times New Roman" w:eastAsia="仿宋_GB2312" w:cs="Times New Roman"/>
          <w:color w:val="auto"/>
          <w:sz w:val="32"/>
          <w:szCs w:val="32"/>
          <w:highlight w:val="none"/>
          <w:lang w:val="en-US" w:eastAsia="zh-CN"/>
        </w:rPr>
        <w:t>减少179.68万元，下降19.7%</w:t>
      </w:r>
      <w:r>
        <w:rPr>
          <w:rFonts w:hint="default" w:ascii="Times New Roman" w:hAnsi="Times New Roman" w:eastAsia="仿宋_GB2312" w:cs="Times New Roman"/>
          <w:color w:val="auto"/>
          <w:sz w:val="32"/>
          <w:szCs w:val="32"/>
          <w:highlight w:val="none"/>
        </w:rPr>
        <w:t>。主要变动原因</w:t>
      </w:r>
      <w:r>
        <w:rPr>
          <w:rFonts w:hint="default" w:ascii="Times New Roman" w:hAnsi="Times New Roman" w:eastAsia="仿宋_GB2312" w:cs="Times New Roman"/>
          <w:color w:val="auto"/>
          <w:sz w:val="32"/>
          <w:szCs w:val="32"/>
          <w:highlight w:val="none"/>
          <w:lang w:val="en-US" w:eastAsia="zh-CN"/>
        </w:rPr>
        <w:t>是</w:t>
      </w:r>
      <w:r>
        <w:rPr>
          <w:rFonts w:hint="default" w:ascii="Times New Roman" w:hAnsi="Times New Roman" w:eastAsia="仿宋_GB2312" w:cs="Times New Roman"/>
          <w:sz w:val="32"/>
          <w:szCs w:val="32"/>
          <w:lang w:val="en-US" w:eastAsia="zh-CN"/>
        </w:rPr>
        <w:t>项目支出减少157.25万元，基本支出减少22.44万元</w:t>
      </w:r>
      <w:r>
        <w:rPr>
          <w:rFonts w:hint="default" w:ascii="Times New Roman" w:hAnsi="Times New Roman" w:eastAsia="仿宋_GB2312" w:cs="Times New Roman"/>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imes New Roman" w:hAnsi="Times New Roman" w:eastAsia="仿宋_GB2312" w:cs="Times New Roman"/>
          <w:color w:val="auto"/>
          <w:kern w:val="2"/>
          <w:sz w:val="32"/>
          <w:szCs w:val="32"/>
          <w:highlight w:val="none"/>
          <w:lang w:val="en-US" w:eastAsia="zh-CN" w:bidi="ar-SA"/>
        </w:rPr>
      </w:pPr>
      <w:r>
        <w:rPr>
          <w:rFonts w:hint="default" w:ascii="Times New Roman" w:hAnsi="Times New Roman" w:eastAsia="仿宋_GB2312" w:cs="Times New Roman"/>
          <w:sz w:val="32"/>
          <w:szCs w:val="32"/>
        </w:rPr>
        <w:drawing>
          <wp:inline distT="0" distB="0" distL="114300" distR="114300">
            <wp:extent cx="5025390" cy="2806700"/>
            <wp:effectExtent l="4445" t="4445" r="18415" b="8255"/>
            <wp:docPr id="7" name="图表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pPr>
        <w:keepNext w:val="0"/>
        <w:keepLines w:val="0"/>
        <w:pageBreakBefore w:val="0"/>
        <w:kinsoku/>
        <w:wordWrap/>
        <w:overflowPunct/>
        <w:topLinePunct w:val="0"/>
        <w:autoSpaceDE/>
        <w:autoSpaceDN/>
        <w:bidi w:val="0"/>
        <w:spacing w:line="560" w:lineRule="exact"/>
        <w:textAlignment w:val="auto"/>
        <w:rPr>
          <w:rFonts w:hint="default" w:ascii="Times New Roman" w:hAnsi="Times New Roman" w:eastAsia="仿宋_GB2312" w:cs="Times New Roman"/>
          <w:color w:val="auto"/>
          <w:kern w:val="2"/>
          <w:sz w:val="32"/>
          <w:szCs w:val="32"/>
          <w:highlight w:val="none"/>
          <w:lang w:val="en-US" w:eastAsia="zh-CN" w:bidi="ar-SA"/>
        </w:rPr>
      </w:pPr>
      <w:r>
        <w:rPr>
          <w:rFonts w:hint="default" w:ascii="Times New Roman" w:hAnsi="Times New Roman" w:eastAsia="仿宋_GB2312" w:cs="Times New Roman"/>
          <w:color w:val="auto"/>
          <w:kern w:val="2"/>
          <w:sz w:val="32"/>
          <w:szCs w:val="32"/>
          <w:highlight w:val="none"/>
          <w:lang w:val="en-US" w:eastAsia="zh-CN" w:bidi="ar-SA"/>
        </w:rPr>
        <w:t>（图5：一般公共预算财政拨款支出决算变动情况）（柱状图）</w:t>
      </w:r>
    </w:p>
    <w:p>
      <w:pPr>
        <w:keepNext w:val="0"/>
        <w:keepLines w:val="0"/>
        <w:pageBreakBefore w:val="0"/>
        <w:kinsoku/>
        <w:wordWrap/>
        <w:overflowPunct/>
        <w:topLinePunct w:val="0"/>
        <w:autoSpaceDE/>
        <w:autoSpaceDN/>
        <w:bidi w:val="0"/>
        <w:spacing w:line="560" w:lineRule="exact"/>
        <w:ind w:firstLine="640" w:firstLineChars="200"/>
        <w:textAlignment w:val="auto"/>
        <w:rPr>
          <w:rFonts w:hint="default" w:ascii="Times New Roman" w:hAnsi="Times New Roman" w:eastAsia="仿宋_GB2312" w:cs="Times New Roman"/>
          <w:color w:val="auto"/>
          <w:kern w:val="2"/>
          <w:sz w:val="32"/>
          <w:szCs w:val="32"/>
          <w:highlight w:val="none"/>
          <w:lang w:val="en-US" w:eastAsia="zh-CN" w:bidi="ar-SA"/>
        </w:rPr>
      </w:pPr>
    </w:p>
    <w:p>
      <w:pPr>
        <w:keepNext w:val="0"/>
        <w:keepLines w:val="0"/>
        <w:pageBreakBefore w:val="0"/>
        <w:kinsoku/>
        <w:wordWrap/>
        <w:overflowPunct/>
        <w:topLinePunct w:val="0"/>
        <w:autoSpaceDE/>
        <w:autoSpaceDN/>
        <w:bidi w:val="0"/>
        <w:spacing w:line="560" w:lineRule="exact"/>
        <w:ind w:firstLine="642" w:firstLineChars="200"/>
        <w:textAlignment w:val="auto"/>
        <w:outlineLvl w:val="9"/>
        <w:rPr>
          <w:rFonts w:hint="default" w:ascii="Times New Roman" w:hAnsi="Times New Roman" w:eastAsia="楷体_GB2312" w:cs="Times New Roman"/>
          <w:b/>
          <w:color w:val="auto"/>
          <w:sz w:val="32"/>
          <w:szCs w:val="32"/>
          <w:highlight w:val="none"/>
        </w:rPr>
      </w:pPr>
      <w:bookmarkStart w:id="38" w:name="_Toc15377211"/>
      <w:r>
        <w:rPr>
          <w:rFonts w:hint="default" w:ascii="Times New Roman" w:hAnsi="Times New Roman" w:eastAsia="楷体_GB2312" w:cs="Times New Roman"/>
          <w:b/>
          <w:color w:val="auto"/>
          <w:sz w:val="32"/>
          <w:szCs w:val="32"/>
          <w:highlight w:val="none"/>
        </w:rPr>
        <w:t>（二）一般公共预算财政拨款支出决算结构情况</w:t>
      </w:r>
      <w:bookmarkEnd w:id="38"/>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kern w:val="2"/>
          <w:sz w:val="32"/>
          <w:szCs w:val="32"/>
          <w:highlight w:val="none"/>
          <w:lang w:val="en-US" w:eastAsia="zh-CN" w:bidi="ar-SA"/>
        </w:rPr>
      </w:pPr>
      <w:r>
        <w:rPr>
          <w:rFonts w:hint="default" w:ascii="Times New Roman" w:hAnsi="Times New Roman" w:eastAsia="仿宋_GB2312" w:cs="Times New Roman"/>
          <w:color w:val="auto"/>
          <w:kern w:val="2"/>
          <w:sz w:val="32"/>
          <w:szCs w:val="32"/>
          <w:highlight w:val="none"/>
          <w:lang w:val="en-US" w:eastAsia="zh-CN" w:bidi="ar-SA"/>
        </w:rPr>
        <w:t>2024年度一般公共预算财政拨款支出</w:t>
      </w:r>
      <w:r>
        <w:rPr>
          <w:rFonts w:hint="default" w:ascii="Times New Roman" w:hAnsi="Times New Roman" w:eastAsia="仿宋_GB2312" w:cs="Times New Roman"/>
          <w:sz w:val="32"/>
          <w:szCs w:val="32"/>
        </w:rPr>
        <w:t>730.49</w:t>
      </w:r>
      <w:r>
        <w:rPr>
          <w:rFonts w:hint="default" w:ascii="Times New Roman" w:hAnsi="Times New Roman" w:eastAsia="仿宋_GB2312" w:cs="Times New Roman"/>
          <w:color w:val="auto"/>
          <w:kern w:val="2"/>
          <w:sz w:val="32"/>
          <w:szCs w:val="32"/>
          <w:highlight w:val="none"/>
          <w:lang w:val="en-US" w:eastAsia="zh-CN" w:bidi="ar-SA"/>
        </w:rPr>
        <w:t>万元，主要用于以下方面：一般公共服务支出577.72万元，占79%；社会保障和就业支出90.49万元，占12%；卫生健康支出31.49万元，占4%；住房保障支出28.13万元，占4%；资源勘探工业信息等支出2.66万元，占1%。</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仿宋_GB2312" w:cs="Times New Roman"/>
          <w:b/>
          <w:bCs/>
          <w:color w:val="auto"/>
          <w:kern w:val="2"/>
          <w:sz w:val="32"/>
          <w:szCs w:val="32"/>
          <w:highlight w:val="none"/>
          <w:lang w:val="en-US" w:eastAsia="zh-CN" w:bidi="ar-SA"/>
        </w:rPr>
      </w:pPr>
      <w:r>
        <w:rPr>
          <w:rFonts w:hint="default" w:ascii="Times New Roman" w:hAnsi="Times New Roman" w:eastAsia="仿宋_GB2312" w:cs="Times New Roman"/>
          <w:b/>
          <w:bCs/>
          <w:color w:val="auto"/>
          <w:kern w:val="2"/>
          <w:sz w:val="32"/>
          <w:szCs w:val="32"/>
          <w:highlight w:val="none"/>
          <w:lang w:val="en-US" w:eastAsia="zh-CN" w:bidi="ar-SA"/>
        </w:rPr>
        <w:drawing>
          <wp:inline distT="0" distB="0" distL="114300" distR="114300">
            <wp:extent cx="5408295" cy="3378835"/>
            <wp:effectExtent l="4445" t="4445" r="16510" b="7620"/>
            <wp:docPr id="2"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pPr>
        <w:keepNext w:val="0"/>
        <w:keepLines w:val="0"/>
        <w:pageBreakBefore w:val="0"/>
        <w:kinsoku/>
        <w:wordWrap/>
        <w:overflowPunct/>
        <w:topLinePunct w:val="0"/>
        <w:autoSpaceDE/>
        <w:autoSpaceDN/>
        <w:bidi w:val="0"/>
        <w:spacing w:line="560" w:lineRule="exact"/>
        <w:ind w:firstLine="640" w:firstLineChars="200"/>
        <w:textAlignment w:val="auto"/>
        <w:rPr>
          <w:rFonts w:hint="default" w:ascii="Times New Roman" w:hAnsi="Times New Roman" w:eastAsia="仿宋_GB2312" w:cs="Times New Roman"/>
          <w:color w:val="auto"/>
          <w:kern w:val="2"/>
          <w:sz w:val="32"/>
          <w:szCs w:val="32"/>
          <w:highlight w:val="none"/>
          <w:lang w:val="en-US" w:eastAsia="zh-CN" w:bidi="ar-SA"/>
        </w:rPr>
      </w:pPr>
      <w:r>
        <w:rPr>
          <w:rFonts w:hint="default" w:ascii="Times New Roman" w:hAnsi="Times New Roman" w:eastAsia="仿宋_GB2312" w:cs="Times New Roman"/>
          <w:color w:val="auto"/>
          <w:kern w:val="2"/>
          <w:sz w:val="32"/>
          <w:szCs w:val="32"/>
          <w:highlight w:val="none"/>
          <w:lang w:val="en-US" w:eastAsia="zh-CN" w:bidi="ar-SA"/>
        </w:rPr>
        <w:t>（图6：一般公共预算财政拨款支出决算结构）（饼状图）</w:t>
      </w:r>
    </w:p>
    <w:p>
      <w:pPr>
        <w:keepNext w:val="0"/>
        <w:keepLines w:val="0"/>
        <w:pageBreakBefore w:val="0"/>
        <w:widowControl w:val="0"/>
        <w:kinsoku/>
        <w:wordWrap/>
        <w:overflowPunct/>
        <w:topLinePunct w:val="0"/>
        <w:autoSpaceDE/>
        <w:autoSpaceDN/>
        <w:bidi w:val="0"/>
        <w:adjustRightInd/>
        <w:snapToGrid/>
        <w:spacing w:line="560" w:lineRule="exact"/>
        <w:ind w:firstLine="642" w:firstLineChars="200"/>
        <w:textAlignment w:val="auto"/>
        <w:outlineLvl w:val="2"/>
        <w:rPr>
          <w:rFonts w:hint="default" w:ascii="Times New Roman" w:hAnsi="Times New Roman" w:eastAsia="方正楷体_GB2312" w:cs="Times New Roman"/>
          <w:b/>
          <w:sz w:val="32"/>
          <w:szCs w:val="32"/>
        </w:rPr>
      </w:pPr>
      <w:bookmarkStart w:id="39" w:name="_Toc15377212"/>
      <w:bookmarkStart w:id="40" w:name="_Toc3996"/>
      <w:bookmarkStart w:id="41" w:name="_Toc24813"/>
      <w:r>
        <w:rPr>
          <w:rFonts w:hint="default" w:ascii="Times New Roman" w:hAnsi="Times New Roman" w:eastAsia="方正楷体_GB2312" w:cs="Times New Roman"/>
          <w:b/>
          <w:sz w:val="32"/>
          <w:szCs w:val="32"/>
        </w:rPr>
        <w:t>（三）一般公共预算财政拨款支出决算具体情况</w:t>
      </w:r>
      <w:bookmarkEnd w:id="39"/>
      <w:bookmarkEnd w:id="40"/>
      <w:bookmarkEnd w:id="41"/>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Style w:val="19"/>
          <w:rFonts w:hint="default" w:ascii="Times New Roman" w:hAnsi="Times New Roman" w:eastAsia="仿宋" w:cs="Times New Roman"/>
          <w:b w:val="0"/>
          <w:bCs w:val="0"/>
          <w:color w:val="auto"/>
          <w:sz w:val="32"/>
          <w:szCs w:val="32"/>
          <w:highlight w:val="none"/>
          <w:lang w:val="en-US" w:eastAsia="zh-CN"/>
        </w:rPr>
      </w:pPr>
      <w:bookmarkStart w:id="42" w:name="_Toc15377213"/>
      <w:bookmarkStart w:id="43" w:name="_Toc15378460"/>
      <w:bookmarkStart w:id="44" w:name="_Toc4626"/>
      <w:bookmarkStart w:id="45" w:name="_Toc15377444"/>
      <w:r>
        <w:rPr>
          <w:rStyle w:val="19"/>
          <w:rFonts w:hint="default" w:ascii="Times New Roman" w:hAnsi="Times New Roman" w:eastAsia="仿宋" w:cs="Times New Roman"/>
          <w:b w:val="0"/>
          <w:bCs w:val="0"/>
          <w:color w:val="auto"/>
          <w:sz w:val="32"/>
          <w:szCs w:val="32"/>
          <w:highlight w:val="none"/>
          <w:lang w:val="en-US" w:eastAsia="zh-CN"/>
        </w:rPr>
        <w:t>2024年度一般公共预算支出决算数为730.49，完成预算100%。其中：</w:t>
      </w:r>
      <w:bookmarkEnd w:id="42"/>
      <w:bookmarkEnd w:id="43"/>
      <w:bookmarkEnd w:id="44"/>
      <w:bookmarkEnd w:id="45"/>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Style w:val="19"/>
          <w:rFonts w:hint="default" w:ascii="Times New Roman" w:hAnsi="Times New Roman" w:eastAsia="仿宋_GB2312" w:cs="Times New Roman"/>
          <w:b w:val="0"/>
          <w:bCs w:val="0"/>
          <w:color w:val="auto"/>
          <w:sz w:val="32"/>
          <w:szCs w:val="32"/>
          <w:highlight w:val="none"/>
          <w:lang w:val="en-US" w:eastAsia="zh-CN"/>
        </w:rPr>
      </w:pPr>
      <w:r>
        <w:rPr>
          <w:rStyle w:val="19"/>
          <w:rFonts w:hint="default" w:ascii="Times New Roman" w:hAnsi="Times New Roman" w:eastAsia="仿宋_GB2312" w:cs="Times New Roman"/>
          <w:b w:val="0"/>
          <w:bCs w:val="0"/>
          <w:color w:val="auto"/>
          <w:sz w:val="32"/>
          <w:szCs w:val="32"/>
          <w:highlight w:val="none"/>
          <w:lang w:val="en-US" w:eastAsia="zh-CN"/>
        </w:rPr>
        <w:t>1.一般公共服务支出（类）其他一般公共服务支出（（款）其他一般公共服务支出（项）: 支出决算为577.72万元，完成预算100%。</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b w:val="0"/>
          <w:bCs w:val="0"/>
          <w:sz w:val="32"/>
          <w:szCs w:val="32"/>
        </w:rPr>
      </w:pPr>
      <w:r>
        <w:rPr>
          <w:rStyle w:val="19"/>
          <w:rFonts w:hint="default" w:ascii="Times New Roman" w:hAnsi="Times New Roman" w:eastAsia="仿宋_GB2312" w:cs="Times New Roman"/>
          <w:b w:val="0"/>
          <w:bCs w:val="0"/>
          <w:sz w:val="32"/>
          <w:szCs w:val="32"/>
          <w:lang w:val="en-US" w:eastAsia="zh-CN"/>
        </w:rPr>
        <w:t>2</w:t>
      </w:r>
      <w:r>
        <w:rPr>
          <w:rStyle w:val="19"/>
          <w:rFonts w:hint="default" w:ascii="Times New Roman" w:hAnsi="Times New Roman" w:eastAsia="仿宋_GB2312" w:cs="Times New Roman"/>
          <w:b w:val="0"/>
          <w:bCs w:val="0"/>
          <w:sz w:val="32"/>
          <w:szCs w:val="32"/>
        </w:rPr>
        <w:t>.</w:t>
      </w:r>
      <w:r>
        <w:rPr>
          <w:rStyle w:val="19"/>
          <w:rFonts w:hint="default" w:ascii="Times New Roman" w:hAnsi="Times New Roman" w:eastAsia="仿宋_GB2312" w:cs="Times New Roman"/>
          <w:b w:val="0"/>
          <w:bCs w:val="0"/>
          <w:color w:val="auto"/>
          <w:sz w:val="32"/>
          <w:szCs w:val="32"/>
          <w:highlight w:val="none"/>
          <w:lang w:val="en-US" w:eastAsia="zh-CN"/>
        </w:rPr>
        <w:t>社会保障和就业支出</w:t>
      </w:r>
      <w:r>
        <w:rPr>
          <w:rStyle w:val="19"/>
          <w:rFonts w:hint="default" w:ascii="Times New Roman" w:hAnsi="Times New Roman" w:eastAsia="仿宋_GB2312" w:cs="Times New Roman"/>
          <w:b w:val="0"/>
          <w:bCs w:val="0"/>
          <w:color w:val="auto"/>
          <w:sz w:val="32"/>
          <w:szCs w:val="32"/>
          <w:highlight w:val="none"/>
        </w:rPr>
        <w:t>（类）行政事业单位养老支出（款）</w:t>
      </w:r>
      <w:r>
        <w:rPr>
          <w:rStyle w:val="19"/>
          <w:rFonts w:hint="default" w:ascii="Times New Roman" w:hAnsi="Times New Roman" w:eastAsia="仿宋_GB2312" w:cs="Times New Roman"/>
          <w:b w:val="0"/>
          <w:bCs w:val="0"/>
          <w:color w:val="auto"/>
          <w:sz w:val="32"/>
          <w:szCs w:val="32"/>
          <w:highlight w:val="none"/>
          <w:lang w:val="en-US" w:eastAsia="zh-CN"/>
        </w:rPr>
        <w:t>机关事业单位基本养老保险缴费支出</w:t>
      </w:r>
      <w:r>
        <w:rPr>
          <w:rStyle w:val="19"/>
          <w:rFonts w:hint="default" w:ascii="Times New Roman" w:hAnsi="Times New Roman" w:eastAsia="仿宋_GB2312" w:cs="Times New Roman"/>
          <w:b w:val="0"/>
          <w:bCs w:val="0"/>
          <w:color w:val="auto"/>
          <w:sz w:val="32"/>
          <w:szCs w:val="32"/>
          <w:highlight w:val="none"/>
        </w:rPr>
        <w:t>（项）: 支出决算为</w:t>
      </w:r>
      <w:r>
        <w:rPr>
          <w:rStyle w:val="19"/>
          <w:rFonts w:hint="default" w:ascii="Times New Roman" w:hAnsi="Times New Roman" w:eastAsia="仿宋_GB2312" w:cs="Times New Roman"/>
          <w:b w:val="0"/>
          <w:bCs w:val="0"/>
          <w:color w:val="auto"/>
          <w:sz w:val="32"/>
          <w:szCs w:val="32"/>
          <w:highlight w:val="none"/>
          <w:lang w:val="en-US" w:eastAsia="zh-CN"/>
        </w:rPr>
        <w:t>53.6</w:t>
      </w:r>
      <w:r>
        <w:rPr>
          <w:rStyle w:val="19"/>
          <w:rFonts w:hint="default" w:ascii="Times New Roman" w:hAnsi="Times New Roman" w:eastAsia="仿宋_GB2312" w:cs="Times New Roman"/>
          <w:b w:val="0"/>
          <w:bCs w:val="0"/>
          <w:color w:val="auto"/>
          <w:sz w:val="32"/>
          <w:szCs w:val="32"/>
          <w:highlight w:val="none"/>
        </w:rPr>
        <w:t>万元，完成预算</w:t>
      </w:r>
      <w:r>
        <w:rPr>
          <w:rStyle w:val="19"/>
          <w:rFonts w:hint="default" w:ascii="Times New Roman" w:hAnsi="Times New Roman" w:eastAsia="仿宋_GB2312" w:cs="Times New Roman"/>
          <w:b w:val="0"/>
          <w:bCs w:val="0"/>
          <w:color w:val="auto"/>
          <w:sz w:val="32"/>
          <w:szCs w:val="32"/>
          <w:highlight w:val="none"/>
          <w:lang w:val="en-US" w:eastAsia="zh-CN"/>
        </w:rPr>
        <w:t>100</w:t>
      </w:r>
      <w:r>
        <w:rPr>
          <w:rStyle w:val="19"/>
          <w:rFonts w:hint="default" w:ascii="Times New Roman" w:hAnsi="Times New Roman" w:eastAsia="仿宋_GB2312" w:cs="Times New Roman"/>
          <w:b w:val="0"/>
          <w:bCs w:val="0"/>
          <w:color w:val="auto"/>
          <w:sz w:val="32"/>
          <w:szCs w:val="32"/>
          <w:highlight w:val="none"/>
        </w:rPr>
        <w:t>%</w:t>
      </w:r>
      <w:r>
        <w:rPr>
          <w:rStyle w:val="19"/>
          <w:rFonts w:hint="default" w:ascii="Times New Roman" w:hAnsi="Times New Roman" w:eastAsia="仿宋_GB2312" w:cs="Times New Roman"/>
          <w:b w:val="0"/>
          <w:bCs w:val="0"/>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Style w:val="19"/>
          <w:rFonts w:hint="default" w:ascii="Times New Roman" w:hAnsi="Times New Roman" w:eastAsia="仿宋_GB2312" w:cs="Times New Roman"/>
          <w:b w:val="0"/>
          <w:bCs w:val="0"/>
          <w:color w:val="auto"/>
          <w:sz w:val="32"/>
          <w:szCs w:val="32"/>
          <w:highlight w:val="none"/>
          <w:lang w:val="en-US" w:eastAsia="zh-CN"/>
        </w:rPr>
      </w:pPr>
      <w:r>
        <w:rPr>
          <w:rStyle w:val="19"/>
          <w:rFonts w:hint="default" w:ascii="Times New Roman" w:hAnsi="Times New Roman" w:eastAsia="仿宋_GB2312" w:cs="Times New Roman"/>
          <w:b w:val="0"/>
          <w:bCs w:val="0"/>
          <w:sz w:val="32"/>
          <w:szCs w:val="32"/>
          <w:lang w:val="en-US" w:eastAsia="zh-CN"/>
        </w:rPr>
        <w:t>3</w:t>
      </w:r>
      <w:r>
        <w:rPr>
          <w:rStyle w:val="19"/>
          <w:rFonts w:hint="default" w:ascii="Times New Roman" w:hAnsi="Times New Roman" w:eastAsia="仿宋_GB2312" w:cs="Times New Roman"/>
          <w:b w:val="0"/>
          <w:bCs w:val="0"/>
          <w:sz w:val="32"/>
          <w:szCs w:val="32"/>
        </w:rPr>
        <w:t>.</w:t>
      </w:r>
      <w:r>
        <w:rPr>
          <w:rStyle w:val="19"/>
          <w:rFonts w:hint="default" w:ascii="Times New Roman" w:hAnsi="Times New Roman" w:eastAsia="仿宋_GB2312" w:cs="Times New Roman"/>
          <w:b w:val="0"/>
          <w:bCs w:val="0"/>
          <w:color w:val="auto"/>
          <w:sz w:val="32"/>
          <w:szCs w:val="32"/>
          <w:highlight w:val="none"/>
          <w:lang w:val="en-US" w:eastAsia="zh-CN"/>
        </w:rPr>
        <w:t>社会保障和就业支出</w:t>
      </w:r>
      <w:r>
        <w:rPr>
          <w:rStyle w:val="19"/>
          <w:rFonts w:hint="default" w:ascii="Times New Roman" w:hAnsi="Times New Roman" w:eastAsia="仿宋_GB2312" w:cs="Times New Roman"/>
          <w:b w:val="0"/>
          <w:bCs w:val="0"/>
          <w:color w:val="auto"/>
          <w:sz w:val="32"/>
          <w:szCs w:val="32"/>
          <w:highlight w:val="none"/>
        </w:rPr>
        <w:t>（类）行政事业单位养老支出（款）</w:t>
      </w:r>
      <w:r>
        <w:rPr>
          <w:rStyle w:val="19"/>
          <w:rFonts w:hint="default" w:ascii="Times New Roman" w:hAnsi="Times New Roman" w:eastAsia="仿宋_GB2312" w:cs="Times New Roman"/>
          <w:b w:val="0"/>
          <w:bCs w:val="0"/>
          <w:color w:val="auto"/>
          <w:sz w:val="32"/>
          <w:szCs w:val="32"/>
          <w:highlight w:val="none"/>
          <w:lang w:val="en-US" w:eastAsia="zh-CN"/>
        </w:rPr>
        <w:t>机关事业单位职业年金缴费支出</w:t>
      </w:r>
      <w:r>
        <w:rPr>
          <w:rStyle w:val="19"/>
          <w:rFonts w:hint="default" w:ascii="Times New Roman" w:hAnsi="Times New Roman" w:eastAsia="仿宋_GB2312" w:cs="Times New Roman"/>
          <w:b w:val="0"/>
          <w:bCs w:val="0"/>
          <w:color w:val="auto"/>
          <w:sz w:val="32"/>
          <w:szCs w:val="32"/>
          <w:highlight w:val="none"/>
        </w:rPr>
        <w:t>（项）: 支出决算为</w:t>
      </w:r>
      <w:r>
        <w:rPr>
          <w:rStyle w:val="19"/>
          <w:rFonts w:hint="default" w:ascii="Times New Roman" w:hAnsi="Times New Roman" w:eastAsia="仿宋_GB2312" w:cs="Times New Roman"/>
          <w:b w:val="0"/>
          <w:bCs w:val="0"/>
          <w:color w:val="auto"/>
          <w:sz w:val="32"/>
          <w:szCs w:val="32"/>
          <w:highlight w:val="none"/>
          <w:lang w:val="en-US" w:eastAsia="zh-CN"/>
        </w:rPr>
        <w:t>21.1</w:t>
      </w:r>
      <w:r>
        <w:rPr>
          <w:rStyle w:val="19"/>
          <w:rFonts w:hint="default" w:ascii="Times New Roman" w:hAnsi="Times New Roman" w:eastAsia="仿宋_GB2312" w:cs="Times New Roman"/>
          <w:b w:val="0"/>
          <w:bCs w:val="0"/>
          <w:color w:val="auto"/>
          <w:sz w:val="32"/>
          <w:szCs w:val="32"/>
          <w:highlight w:val="none"/>
        </w:rPr>
        <w:t>万元，完成预算</w:t>
      </w:r>
      <w:r>
        <w:rPr>
          <w:rStyle w:val="19"/>
          <w:rFonts w:hint="default" w:ascii="Times New Roman" w:hAnsi="Times New Roman" w:eastAsia="仿宋_GB2312" w:cs="Times New Roman"/>
          <w:b w:val="0"/>
          <w:bCs w:val="0"/>
          <w:color w:val="auto"/>
          <w:sz w:val="32"/>
          <w:szCs w:val="32"/>
          <w:highlight w:val="none"/>
          <w:lang w:val="en-US" w:eastAsia="zh-CN"/>
        </w:rPr>
        <w:t>100</w:t>
      </w:r>
      <w:r>
        <w:rPr>
          <w:rStyle w:val="19"/>
          <w:rFonts w:hint="default" w:ascii="Times New Roman" w:hAnsi="Times New Roman" w:eastAsia="仿宋_GB2312" w:cs="Times New Roman"/>
          <w:b w:val="0"/>
          <w:bCs w:val="0"/>
          <w:color w:val="auto"/>
          <w:sz w:val="32"/>
          <w:szCs w:val="32"/>
          <w:highlight w:val="none"/>
        </w:rPr>
        <w:t>%</w:t>
      </w:r>
      <w:r>
        <w:rPr>
          <w:rStyle w:val="19"/>
          <w:rFonts w:hint="default" w:ascii="Times New Roman" w:hAnsi="Times New Roman" w:eastAsia="仿宋_GB2312" w:cs="Times New Roman"/>
          <w:b w:val="0"/>
          <w:bCs w:val="0"/>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Style w:val="19"/>
          <w:rFonts w:hint="default" w:ascii="Times New Roman" w:hAnsi="Times New Roman" w:eastAsia="仿宋_GB2312" w:cs="Times New Roman"/>
          <w:b w:val="0"/>
          <w:bCs w:val="0"/>
          <w:color w:val="auto"/>
          <w:sz w:val="32"/>
          <w:szCs w:val="32"/>
          <w:highlight w:val="none"/>
          <w:lang w:val="en-US" w:eastAsia="zh-CN"/>
        </w:rPr>
      </w:pPr>
      <w:r>
        <w:rPr>
          <w:rStyle w:val="19"/>
          <w:rFonts w:hint="default" w:ascii="Times New Roman" w:hAnsi="Times New Roman" w:eastAsia="仿宋_GB2312" w:cs="Times New Roman"/>
          <w:b w:val="0"/>
          <w:bCs w:val="0"/>
          <w:sz w:val="32"/>
          <w:szCs w:val="32"/>
          <w:lang w:val="en-US" w:eastAsia="zh-CN"/>
        </w:rPr>
        <w:t>4</w:t>
      </w:r>
      <w:r>
        <w:rPr>
          <w:rStyle w:val="19"/>
          <w:rFonts w:hint="default" w:ascii="Times New Roman" w:hAnsi="Times New Roman" w:eastAsia="仿宋_GB2312" w:cs="Times New Roman"/>
          <w:b w:val="0"/>
          <w:bCs w:val="0"/>
          <w:sz w:val="32"/>
          <w:szCs w:val="32"/>
        </w:rPr>
        <w:t>.</w:t>
      </w:r>
      <w:r>
        <w:rPr>
          <w:rStyle w:val="19"/>
          <w:rFonts w:hint="default" w:ascii="Times New Roman" w:hAnsi="Times New Roman" w:eastAsia="仿宋_GB2312" w:cs="Times New Roman"/>
          <w:b w:val="0"/>
          <w:bCs w:val="0"/>
          <w:color w:val="auto"/>
          <w:sz w:val="32"/>
          <w:szCs w:val="32"/>
          <w:highlight w:val="none"/>
          <w:lang w:val="en-US" w:eastAsia="zh-CN"/>
        </w:rPr>
        <w:t>社会保障和就业支出</w:t>
      </w:r>
      <w:r>
        <w:rPr>
          <w:rStyle w:val="19"/>
          <w:rFonts w:hint="default" w:ascii="Times New Roman" w:hAnsi="Times New Roman" w:eastAsia="仿宋_GB2312" w:cs="Times New Roman"/>
          <w:b w:val="0"/>
          <w:bCs w:val="0"/>
          <w:color w:val="auto"/>
          <w:sz w:val="32"/>
          <w:szCs w:val="32"/>
          <w:highlight w:val="none"/>
        </w:rPr>
        <w:t>（类）其他社会保障和就业支出（款）</w:t>
      </w:r>
      <w:r>
        <w:rPr>
          <w:rStyle w:val="19"/>
          <w:rFonts w:hint="default" w:ascii="Times New Roman" w:hAnsi="Times New Roman" w:eastAsia="仿宋_GB2312" w:cs="Times New Roman"/>
          <w:b w:val="0"/>
          <w:bCs w:val="0"/>
          <w:color w:val="auto"/>
          <w:sz w:val="32"/>
          <w:szCs w:val="32"/>
          <w:highlight w:val="none"/>
          <w:lang w:val="en-US" w:eastAsia="zh-CN"/>
        </w:rPr>
        <w:t>其他社会保障和就业支出</w:t>
      </w:r>
      <w:r>
        <w:rPr>
          <w:rStyle w:val="19"/>
          <w:rFonts w:hint="default" w:ascii="Times New Roman" w:hAnsi="Times New Roman" w:eastAsia="仿宋_GB2312" w:cs="Times New Roman"/>
          <w:b w:val="0"/>
          <w:bCs w:val="0"/>
          <w:color w:val="auto"/>
          <w:sz w:val="32"/>
          <w:szCs w:val="32"/>
          <w:highlight w:val="none"/>
        </w:rPr>
        <w:t>（项）: 支出决算为</w:t>
      </w:r>
      <w:r>
        <w:rPr>
          <w:rStyle w:val="19"/>
          <w:rFonts w:hint="default" w:ascii="Times New Roman" w:hAnsi="Times New Roman" w:eastAsia="仿宋_GB2312" w:cs="Times New Roman"/>
          <w:b w:val="0"/>
          <w:bCs w:val="0"/>
          <w:color w:val="auto"/>
          <w:sz w:val="32"/>
          <w:szCs w:val="32"/>
          <w:highlight w:val="none"/>
          <w:lang w:val="en-US" w:eastAsia="zh-CN"/>
        </w:rPr>
        <w:t>15.49</w:t>
      </w:r>
      <w:r>
        <w:rPr>
          <w:rStyle w:val="19"/>
          <w:rFonts w:hint="default" w:ascii="Times New Roman" w:hAnsi="Times New Roman" w:eastAsia="仿宋_GB2312" w:cs="Times New Roman"/>
          <w:b w:val="0"/>
          <w:bCs w:val="0"/>
          <w:color w:val="auto"/>
          <w:sz w:val="32"/>
          <w:szCs w:val="32"/>
          <w:highlight w:val="none"/>
        </w:rPr>
        <w:t>万元，完成预算</w:t>
      </w:r>
      <w:r>
        <w:rPr>
          <w:rStyle w:val="19"/>
          <w:rFonts w:hint="default" w:ascii="Times New Roman" w:hAnsi="Times New Roman" w:eastAsia="仿宋_GB2312" w:cs="Times New Roman"/>
          <w:b w:val="0"/>
          <w:bCs w:val="0"/>
          <w:color w:val="auto"/>
          <w:sz w:val="32"/>
          <w:szCs w:val="32"/>
          <w:highlight w:val="none"/>
          <w:lang w:val="en-US" w:eastAsia="zh-CN"/>
        </w:rPr>
        <w:t>100</w:t>
      </w:r>
      <w:r>
        <w:rPr>
          <w:rStyle w:val="19"/>
          <w:rFonts w:hint="default" w:ascii="Times New Roman" w:hAnsi="Times New Roman" w:eastAsia="仿宋_GB2312" w:cs="Times New Roman"/>
          <w:b w:val="0"/>
          <w:bCs w:val="0"/>
          <w:color w:val="auto"/>
          <w:sz w:val="32"/>
          <w:szCs w:val="32"/>
          <w:highlight w:val="none"/>
        </w:rPr>
        <w:t>%</w:t>
      </w:r>
      <w:r>
        <w:rPr>
          <w:rStyle w:val="19"/>
          <w:rFonts w:hint="default" w:ascii="Times New Roman" w:hAnsi="Times New Roman" w:eastAsia="仿宋_GB2312" w:cs="Times New Roman"/>
          <w:b w:val="0"/>
          <w:bCs w:val="0"/>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cs="Times New Roman"/>
          <w:lang w:val="en-US" w:eastAsia="zh-CN"/>
        </w:rPr>
      </w:pPr>
      <w:r>
        <w:rPr>
          <w:rStyle w:val="19"/>
          <w:rFonts w:hint="default" w:ascii="Times New Roman" w:hAnsi="Times New Roman" w:eastAsia="仿宋_GB2312" w:cs="Times New Roman"/>
          <w:b w:val="0"/>
          <w:bCs w:val="0"/>
          <w:sz w:val="32"/>
          <w:szCs w:val="32"/>
          <w:lang w:val="en-US" w:eastAsia="zh-CN"/>
        </w:rPr>
        <w:t>5.卫生健康支出（类）行政事业单位医疗（款）事业单位医疗（项）：支出决算为31.49万元，完成预算100%。</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b w:val="0"/>
          <w:bCs w:val="0"/>
          <w:sz w:val="32"/>
          <w:szCs w:val="32"/>
        </w:rPr>
      </w:pPr>
      <w:r>
        <w:rPr>
          <w:rStyle w:val="19"/>
          <w:rFonts w:hint="default" w:ascii="Times New Roman" w:hAnsi="Times New Roman" w:eastAsia="仿宋_GB2312" w:cs="Times New Roman"/>
          <w:b w:val="0"/>
          <w:bCs w:val="0"/>
          <w:sz w:val="32"/>
          <w:szCs w:val="32"/>
          <w:lang w:val="en-US" w:eastAsia="zh-CN"/>
        </w:rPr>
        <w:t>6</w:t>
      </w:r>
      <w:r>
        <w:rPr>
          <w:rStyle w:val="19"/>
          <w:rFonts w:hint="default" w:ascii="Times New Roman" w:hAnsi="Times New Roman" w:eastAsia="仿宋_GB2312" w:cs="Times New Roman"/>
          <w:b w:val="0"/>
          <w:bCs w:val="0"/>
          <w:sz w:val="32"/>
          <w:szCs w:val="32"/>
        </w:rPr>
        <w:t>.</w:t>
      </w:r>
      <w:r>
        <w:rPr>
          <w:rStyle w:val="19"/>
          <w:rFonts w:hint="default" w:ascii="Times New Roman" w:hAnsi="Times New Roman" w:eastAsia="仿宋_GB2312" w:cs="Times New Roman"/>
          <w:b w:val="0"/>
          <w:bCs w:val="0"/>
          <w:color w:val="auto"/>
          <w:sz w:val="32"/>
          <w:szCs w:val="32"/>
          <w:highlight w:val="none"/>
        </w:rPr>
        <w:t>资源勘探工业信息等支出（类）</w:t>
      </w:r>
      <w:r>
        <w:rPr>
          <w:rStyle w:val="19"/>
          <w:rFonts w:hint="default" w:ascii="Times New Roman" w:hAnsi="Times New Roman" w:eastAsia="仿宋_GB2312" w:cs="Times New Roman"/>
          <w:b w:val="0"/>
          <w:bCs w:val="0"/>
          <w:color w:val="auto"/>
          <w:sz w:val="32"/>
          <w:szCs w:val="32"/>
          <w:highlight w:val="none"/>
          <w:lang w:val="en-US" w:eastAsia="zh-CN"/>
        </w:rPr>
        <w:t>制造业</w:t>
      </w:r>
      <w:r>
        <w:rPr>
          <w:rStyle w:val="19"/>
          <w:rFonts w:hint="default" w:ascii="Times New Roman" w:hAnsi="Times New Roman" w:eastAsia="仿宋_GB2312" w:cs="Times New Roman"/>
          <w:b w:val="0"/>
          <w:bCs w:val="0"/>
          <w:color w:val="auto"/>
          <w:sz w:val="32"/>
          <w:szCs w:val="32"/>
          <w:highlight w:val="none"/>
        </w:rPr>
        <w:t>支出（款）</w:t>
      </w:r>
      <w:r>
        <w:rPr>
          <w:rStyle w:val="19"/>
          <w:rFonts w:hint="default" w:ascii="Times New Roman" w:hAnsi="Times New Roman" w:eastAsia="仿宋_GB2312" w:cs="Times New Roman"/>
          <w:b w:val="0"/>
          <w:bCs w:val="0"/>
          <w:color w:val="auto"/>
          <w:sz w:val="32"/>
          <w:szCs w:val="32"/>
          <w:highlight w:val="none"/>
          <w:lang w:val="en-US" w:eastAsia="zh-CN"/>
        </w:rPr>
        <w:t>机关服务</w:t>
      </w:r>
      <w:r>
        <w:rPr>
          <w:rStyle w:val="19"/>
          <w:rFonts w:hint="default" w:ascii="Times New Roman" w:hAnsi="Times New Roman" w:eastAsia="仿宋_GB2312" w:cs="Times New Roman"/>
          <w:b w:val="0"/>
          <w:bCs w:val="0"/>
          <w:color w:val="auto"/>
          <w:sz w:val="32"/>
          <w:szCs w:val="32"/>
          <w:highlight w:val="none"/>
        </w:rPr>
        <w:t>（项）: 支出决算为</w:t>
      </w:r>
      <w:r>
        <w:rPr>
          <w:rStyle w:val="19"/>
          <w:rFonts w:hint="default" w:ascii="Times New Roman" w:hAnsi="Times New Roman" w:eastAsia="仿宋_GB2312" w:cs="Times New Roman"/>
          <w:b w:val="0"/>
          <w:bCs w:val="0"/>
          <w:color w:val="auto"/>
          <w:sz w:val="32"/>
          <w:szCs w:val="32"/>
          <w:highlight w:val="none"/>
          <w:lang w:val="en-US" w:eastAsia="zh-CN"/>
        </w:rPr>
        <w:t>2.66</w:t>
      </w:r>
      <w:r>
        <w:rPr>
          <w:rStyle w:val="19"/>
          <w:rFonts w:hint="default" w:ascii="Times New Roman" w:hAnsi="Times New Roman" w:eastAsia="仿宋_GB2312" w:cs="Times New Roman"/>
          <w:b w:val="0"/>
          <w:bCs w:val="0"/>
          <w:color w:val="auto"/>
          <w:sz w:val="32"/>
          <w:szCs w:val="32"/>
          <w:highlight w:val="none"/>
        </w:rPr>
        <w:t>万元，完成预算</w:t>
      </w:r>
      <w:r>
        <w:rPr>
          <w:rStyle w:val="19"/>
          <w:rFonts w:hint="default" w:ascii="Times New Roman" w:hAnsi="Times New Roman" w:eastAsia="仿宋_GB2312" w:cs="Times New Roman"/>
          <w:b w:val="0"/>
          <w:bCs w:val="0"/>
          <w:color w:val="auto"/>
          <w:sz w:val="32"/>
          <w:szCs w:val="32"/>
          <w:highlight w:val="none"/>
          <w:lang w:val="en-US" w:eastAsia="zh-CN"/>
        </w:rPr>
        <w:t>100</w:t>
      </w:r>
      <w:r>
        <w:rPr>
          <w:rStyle w:val="19"/>
          <w:rFonts w:hint="default" w:ascii="Times New Roman" w:hAnsi="Times New Roman" w:eastAsia="仿宋_GB2312" w:cs="Times New Roman"/>
          <w:b w:val="0"/>
          <w:bCs w:val="0"/>
          <w:color w:val="auto"/>
          <w:sz w:val="32"/>
          <w:szCs w:val="32"/>
          <w:highlight w:val="none"/>
        </w:rPr>
        <w:t>%</w:t>
      </w:r>
      <w:r>
        <w:rPr>
          <w:rStyle w:val="19"/>
          <w:rFonts w:hint="default" w:ascii="Times New Roman" w:hAnsi="Times New Roman" w:eastAsia="仿宋_GB2312" w:cs="Times New Roman"/>
          <w:b w:val="0"/>
          <w:bCs w:val="0"/>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b w:val="0"/>
          <w:bCs w:val="0"/>
          <w:sz w:val="32"/>
          <w:szCs w:val="32"/>
        </w:rPr>
      </w:pPr>
      <w:r>
        <w:rPr>
          <w:rStyle w:val="19"/>
          <w:rFonts w:hint="default" w:ascii="Times New Roman" w:hAnsi="Times New Roman" w:eastAsia="仿宋_GB2312" w:cs="Times New Roman"/>
          <w:b w:val="0"/>
          <w:bCs w:val="0"/>
          <w:sz w:val="32"/>
          <w:szCs w:val="32"/>
          <w:lang w:val="en-US" w:eastAsia="zh-CN"/>
        </w:rPr>
        <w:t>7</w:t>
      </w:r>
      <w:r>
        <w:rPr>
          <w:rStyle w:val="19"/>
          <w:rFonts w:hint="default" w:ascii="Times New Roman" w:hAnsi="Times New Roman" w:eastAsia="仿宋_GB2312" w:cs="Times New Roman"/>
          <w:b w:val="0"/>
          <w:bCs w:val="0"/>
          <w:sz w:val="32"/>
          <w:szCs w:val="32"/>
        </w:rPr>
        <w:t>.</w:t>
      </w:r>
      <w:r>
        <w:rPr>
          <w:rStyle w:val="19"/>
          <w:rFonts w:hint="default" w:ascii="Times New Roman" w:hAnsi="Times New Roman" w:eastAsia="仿宋_GB2312" w:cs="Times New Roman"/>
          <w:b w:val="0"/>
          <w:bCs w:val="0"/>
          <w:color w:val="auto"/>
          <w:sz w:val="32"/>
          <w:szCs w:val="32"/>
          <w:highlight w:val="none"/>
          <w:lang w:val="en-US" w:eastAsia="zh-CN"/>
        </w:rPr>
        <w:t>住房保障支出</w:t>
      </w:r>
      <w:r>
        <w:rPr>
          <w:rStyle w:val="19"/>
          <w:rFonts w:hint="default" w:ascii="Times New Roman" w:hAnsi="Times New Roman" w:eastAsia="仿宋_GB2312" w:cs="Times New Roman"/>
          <w:b w:val="0"/>
          <w:bCs w:val="0"/>
          <w:color w:val="auto"/>
          <w:sz w:val="32"/>
          <w:szCs w:val="32"/>
          <w:highlight w:val="none"/>
        </w:rPr>
        <w:t>（类）</w:t>
      </w:r>
      <w:r>
        <w:rPr>
          <w:rStyle w:val="19"/>
          <w:rFonts w:hint="default" w:ascii="Times New Roman" w:hAnsi="Times New Roman" w:eastAsia="仿宋_GB2312" w:cs="Times New Roman"/>
          <w:b w:val="0"/>
          <w:bCs w:val="0"/>
          <w:color w:val="auto"/>
          <w:sz w:val="32"/>
          <w:szCs w:val="32"/>
          <w:highlight w:val="none"/>
          <w:lang w:val="en-US" w:eastAsia="zh-CN"/>
        </w:rPr>
        <w:t>住房改革支出</w:t>
      </w:r>
      <w:r>
        <w:rPr>
          <w:rStyle w:val="19"/>
          <w:rFonts w:hint="default" w:ascii="Times New Roman" w:hAnsi="Times New Roman" w:eastAsia="仿宋_GB2312" w:cs="Times New Roman"/>
          <w:b w:val="0"/>
          <w:bCs w:val="0"/>
          <w:color w:val="auto"/>
          <w:sz w:val="32"/>
          <w:szCs w:val="32"/>
          <w:highlight w:val="none"/>
        </w:rPr>
        <w:t>（款）</w:t>
      </w:r>
      <w:r>
        <w:rPr>
          <w:rStyle w:val="19"/>
          <w:rFonts w:hint="default" w:ascii="Times New Roman" w:hAnsi="Times New Roman" w:eastAsia="仿宋_GB2312" w:cs="Times New Roman"/>
          <w:b w:val="0"/>
          <w:bCs w:val="0"/>
          <w:color w:val="auto"/>
          <w:sz w:val="32"/>
          <w:szCs w:val="32"/>
          <w:highlight w:val="none"/>
          <w:lang w:val="en-US" w:eastAsia="zh-CN"/>
        </w:rPr>
        <w:t>住房公积金</w:t>
      </w:r>
      <w:r>
        <w:rPr>
          <w:rStyle w:val="19"/>
          <w:rFonts w:hint="default" w:ascii="Times New Roman" w:hAnsi="Times New Roman" w:eastAsia="仿宋_GB2312" w:cs="Times New Roman"/>
          <w:b w:val="0"/>
          <w:bCs w:val="0"/>
          <w:color w:val="auto"/>
          <w:sz w:val="32"/>
          <w:szCs w:val="32"/>
          <w:highlight w:val="none"/>
        </w:rPr>
        <w:t>（项）: 支出决算为</w:t>
      </w:r>
      <w:r>
        <w:rPr>
          <w:rStyle w:val="19"/>
          <w:rFonts w:hint="default" w:ascii="Times New Roman" w:hAnsi="Times New Roman" w:eastAsia="仿宋_GB2312" w:cs="Times New Roman"/>
          <w:b w:val="0"/>
          <w:bCs w:val="0"/>
          <w:color w:val="auto"/>
          <w:sz w:val="32"/>
          <w:szCs w:val="32"/>
          <w:highlight w:val="none"/>
          <w:lang w:val="en-US" w:eastAsia="zh-CN"/>
        </w:rPr>
        <w:t>28.13</w:t>
      </w:r>
      <w:r>
        <w:rPr>
          <w:rStyle w:val="19"/>
          <w:rFonts w:hint="default" w:ascii="Times New Roman" w:hAnsi="Times New Roman" w:eastAsia="仿宋_GB2312" w:cs="Times New Roman"/>
          <w:b w:val="0"/>
          <w:bCs w:val="0"/>
          <w:color w:val="auto"/>
          <w:sz w:val="32"/>
          <w:szCs w:val="32"/>
          <w:highlight w:val="none"/>
        </w:rPr>
        <w:t>万元，完成预算</w:t>
      </w:r>
      <w:r>
        <w:rPr>
          <w:rStyle w:val="19"/>
          <w:rFonts w:hint="default" w:ascii="Times New Roman" w:hAnsi="Times New Roman" w:eastAsia="仿宋_GB2312" w:cs="Times New Roman"/>
          <w:b w:val="0"/>
          <w:bCs w:val="0"/>
          <w:color w:val="auto"/>
          <w:sz w:val="32"/>
          <w:szCs w:val="32"/>
          <w:highlight w:val="none"/>
          <w:lang w:val="en-US" w:eastAsia="zh-CN"/>
        </w:rPr>
        <w:t>100</w:t>
      </w:r>
      <w:r>
        <w:rPr>
          <w:rStyle w:val="19"/>
          <w:rFonts w:hint="default" w:ascii="Times New Roman" w:hAnsi="Times New Roman" w:eastAsia="仿宋_GB2312" w:cs="Times New Roman"/>
          <w:b w:val="0"/>
          <w:bCs w:val="0"/>
          <w:color w:val="auto"/>
          <w:sz w:val="32"/>
          <w:szCs w:val="32"/>
          <w:highlight w:val="none"/>
        </w:rPr>
        <w:t>%</w:t>
      </w:r>
      <w:r>
        <w:rPr>
          <w:rStyle w:val="19"/>
          <w:rFonts w:hint="default" w:ascii="Times New Roman" w:hAnsi="Times New Roman" w:eastAsia="仿宋_GB2312" w:cs="Times New Roman"/>
          <w:b w:val="0"/>
          <w:bCs w:val="0"/>
          <w:color w:val="auto"/>
          <w:sz w:val="32"/>
          <w:szCs w:val="32"/>
          <w:highlight w:val="none"/>
          <w:lang w:val="en-US" w:eastAsia="zh-CN"/>
        </w:rPr>
        <w:t>。</w:t>
      </w:r>
    </w:p>
    <w:p>
      <w:pPr>
        <w:keepNext w:val="0"/>
        <w:keepLines w:val="0"/>
        <w:pageBreakBefore w:val="0"/>
        <w:tabs>
          <w:tab w:val="right" w:pos="8306"/>
        </w:tabs>
        <w:kinsoku/>
        <w:wordWrap/>
        <w:overflowPunct/>
        <w:topLinePunct w:val="0"/>
        <w:autoSpaceDE/>
        <w:autoSpaceDN/>
        <w:bidi w:val="0"/>
        <w:spacing w:line="560" w:lineRule="exact"/>
        <w:ind w:firstLine="640" w:firstLineChars="200"/>
        <w:textAlignment w:val="auto"/>
        <w:outlineLvl w:val="1"/>
        <w:rPr>
          <w:rFonts w:hint="default" w:ascii="Times New Roman" w:hAnsi="Times New Roman" w:eastAsia="黑体" w:cs="Times New Roman"/>
          <w:color w:val="auto"/>
          <w:sz w:val="32"/>
          <w:szCs w:val="32"/>
          <w:highlight w:val="none"/>
        </w:rPr>
      </w:pPr>
      <w:bookmarkStart w:id="46" w:name="_Toc15377214"/>
      <w:bookmarkStart w:id="47" w:name="_Toc29154"/>
      <w:bookmarkStart w:id="48" w:name="_Toc15396608"/>
    </w:p>
    <w:p>
      <w:pPr>
        <w:keepNext w:val="0"/>
        <w:keepLines w:val="0"/>
        <w:pageBreakBefore w:val="0"/>
        <w:tabs>
          <w:tab w:val="right" w:pos="8306"/>
        </w:tabs>
        <w:kinsoku/>
        <w:wordWrap/>
        <w:overflowPunct/>
        <w:topLinePunct w:val="0"/>
        <w:autoSpaceDE/>
        <w:autoSpaceDN/>
        <w:bidi w:val="0"/>
        <w:spacing w:line="560" w:lineRule="exact"/>
        <w:ind w:firstLine="640" w:firstLineChars="200"/>
        <w:textAlignment w:val="auto"/>
        <w:outlineLvl w:val="1"/>
        <w:rPr>
          <w:rStyle w:val="31"/>
          <w:rFonts w:hint="default" w:ascii="Times New Roman" w:hAnsi="Times New Roman" w:cs="Times New Roman"/>
          <w:color w:val="auto"/>
          <w:highlight w:val="none"/>
        </w:rPr>
      </w:pPr>
      <w:r>
        <w:rPr>
          <w:rFonts w:hint="default" w:ascii="Times New Roman" w:hAnsi="Times New Roman" w:eastAsia="黑体" w:cs="Times New Roman"/>
          <w:color w:val="auto"/>
          <w:sz w:val="32"/>
          <w:szCs w:val="32"/>
          <w:highlight w:val="none"/>
        </w:rPr>
        <w:t>六</w:t>
      </w:r>
      <w:r>
        <w:rPr>
          <w:rFonts w:hint="default" w:ascii="Times New Roman" w:hAnsi="Times New Roman" w:eastAsia="黑体" w:cs="Times New Roman"/>
          <w:b/>
          <w:color w:val="auto"/>
          <w:sz w:val="32"/>
          <w:szCs w:val="32"/>
          <w:highlight w:val="none"/>
        </w:rPr>
        <w:t>、一</w:t>
      </w:r>
      <w:r>
        <w:rPr>
          <w:rStyle w:val="31"/>
          <w:rFonts w:hint="default" w:ascii="Times New Roman" w:hAnsi="Times New Roman" w:eastAsia="黑体" w:cs="Times New Roman"/>
          <w:b w:val="0"/>
          <w:color w:val="auto"/>
          <w:highlight w:val="none"/>
        </w:rPr>
        <w:t>般公共预算财政拨款基本支出决算情况说明</w:t>
      </w:r>
      <w:bookmarkEnd w:id="46"/>
      <w:bookmarkEnd w:id="47"/>
      <w:bookmarkEnd w:id="48"/>
      <w:r>
        <w:rPr>
          <w:rStyle w:val="31"/>
          <w:rFonts w:hint="default" w:ascii="Times New Roman" w:hAnsi="Times New Roman" w:eastAsia="黑体" w:cs="Times New Roman"/>
          <w:b w:val="0"/>
          <w:color w:val="auto"/>
          <w:highlight w:val="none"/>
        </w:rPr>
        <w:tab/>
      </w:r>
    </w:p>
    <w:p>
      <w:pPr>
        <w:keepNext w:val="0"/>
        <w:keepLines w:val="0"/>
        <w:pageBreakBefore w:val="0"/>
        <w:kinsoku/>
        <w:wordWrap/>
        <w:overflowPunct/>
        <w:topLinePunct w:val="0"/>
        <w:autoSpaceDE/>
        <w:autoSpaceDN/>
        <w:bidi w:val="0"/>
        <w:spacing w:line="560" w:lineRule="exact"/>
        <w:ind w:firstLine="640" w:firstLineChars="200"/>
        <w:textAlignment w:val="auto"/>
        <w:rPr>
          <w:rFonts w:hint="default" w:ascii="Times New Roman" w:hAnsi="Times New Roman" w:eastAsia="仿宋_GB2312" w:cs="Times New Roman"/>
          <w:color w:val="auto"/>
          <w:kern w:val="2"/>
          <w:sz w:val="32"/>
          <w:szCs w:val="32"/>
          <w:highlight w:val="none"/>
          <w:lang w:val="en-US" w:eastAsia="zh-CN" w:bidi="ar-SA"/>
        </w:rPr>
      </w:pPr>
      <w:r>
        <w:rPr>
          <w:rFonts w:hint="default" w:ascii="Times New Roman" w:hAnsi="Times New Roman" w:eastAsia="仿宋_GB2312" w:cs="Times New Roman"/>
          <w:color w:val="auto"/>
          <w:kern w:val="2"/>
          <w:sz w:val="32"/>
          <w:szCs w:val="32"/>
          <w:highlight w:val="none"/>
          <w:lang w:val="en-US" w:eastAsia="zh-CN" w:bidi="ar-SA"/>
        </w:rPr>
        <w:t>2024年度一般公共预算财政拨款基本支出</w:t>
      </w:r>
      <w:r>
        <w:rPr>
          <w:rFonts w:hint="default" w:ascii="Times New Roman" w:hAnsi="Times New Roman" w:eastAsia="仿宋_GB2312" w:cs="Times New Roman"/>
          <w:sz w:val="32"/>
          <w:szCs w:val="32"/>
        </w:rPr>
        <w:t>610.48</w:t>
      </w:r>
      <w:r>
        <w:rPr>
          <w:rFonts w:hint="default" w:ascii="Times New Roman" w:hAnsi="Times New Roman" w:eastAsia="仿宋_GB2312" w:cs="Times New Roman"/>
          <w:color w:val="auto"/>
          <w:kern w:val="2"/>
          <w:sz w:val="32"/>
          <w:szCs w:val="32"/>
          <w:highlight w:val="none"/>
          <w:lang w:val="en-US" w:eastAsia="zh-CN" w:bidi="ar-SA"/>
        </w:rPr>
        <w:t>万元，其中：</w:t>
      </w:r>
    </w:p>
    <w:p>
      <w:pPr>
        <w:keepNext w:val="0"/>
        <w:keepLines w:val="0"/>
        <w:pageBreakBefore w:val="0"/>
        <w:kinsoku/>
        <w:wordWrap/>
        <w:overflowPunct/>
        <w:topLinePunct w:val="0"/>
        <w:autoSpaceDE/>
        <w:autoSpaceDN/>
        <w:bidi w:val="0"/>
        <w:spacing w:line="560" w:lineRule="exact"/>
        <w:ind w:firstLine="640" w:firstLineChars="200"/>
        <w:textAlignment w:val="auto"/>
        <w:rPr>
          <w:rFonts w:hint="default" w:ascii="Times New Roman" w:hAnsi="Times New Roman" w:eastAsia="仿宋_GB2312" w:cs="Times New Roman"/>
          <w:color w:val="auto"/>
          <w:kern w:val="2"/>
          <w:sz w:val="32"/>
          <w:szCs w:val="32"/>
          <w:highlight w:val="none"/>
          <w:lang w:val="en-US" w:eastAsia="zh-CN" w:bidi="ar-SA"/>
        </w:rPr>
      </w:pPr>
      <w:r>
        <w:rPr>
          <w:rFonts w:hint="default" w:ascii="Times New Roman" w:hAnsi="Times New Roman" w:eastAsia="仿宋_GB2312" w:cs="Times New Roman"/>
          <w:color w:val="auto"/>
          <w:kern w:val="2"/>
          <w:sz w:val="32"/>
          <w:szCs w:val="32"/>
          <w:highlight w:val="none"/>
          <w:lang w:val="en-US" w:eastAsia="zh-CN" w:bidi="ar-SA"/>
        </w:rPr>
        <w:t>人员经费</w:t>
      </w:r>
      <w:r>
        <w:rPr>
          <w:rFonts w:hint="default" w:ascii="Times New Roman" w:hAnsi="Times New Roman" w:eastAsia="仿宋_GB2312" w:cs="Times New Roman"/>
          <w:sz w:val="32"/>
          <w:szCs w:val="32"/>
        </w:rPr>
        <w:t>563.2</w:t>
      </w:r>
      <w:r>
        <w:rPr>
          <w:rFonts w:hint="default" w:ascii="Times New Roman" w:hAnsi="Times New Roman" w:eastAsia="仿宋_GB2312" w:cs="Times New Roman"/>
          <w:color w:val="auto"/>
          <w:kern w:val="2"/>
          <w:sz w:val="32"/>
          <w:szCs w:val="32"/>
          <w:highlight w:val="none"/>
          <w:lang w:val="en-US" w:eastAsia="zh-CN" w:bidi="ar-SA"/>
        </w:rPr>
        <w:t>万元，主要包括：基本工资、津贴补贴、绩效工资、机关事业单位基本养老保险缴费、职业年金缴费、  职工基本医疗保险缴费、其他社会保障缴费、住房公积金、其他工资福利支出、其他对个人和家庭的补助支出等。</w:t>
      </w:r>
      <w:r>
        <w:rPr>
          <w:rFonts w:hint="default" w:ascii="Times New Roman" w:hAnsi="Times New Roman" w:eastAsia="仿宋_GB2312" w:cs="Times New Roman"/>
          <w:color w:val="auto"/>
          <w:kern w:val="2"/>
          <w:sz w:val="32"/>
          <w:szCs w:val="32"/>
          <w:highlight w:val="none"/>
          <w:lang w:val="en-US" w:eastAsia="zh-CN" w:bidi="ar-SA"/>
        </w:rPr>
        <w:br w:type="textWrapping"/>
      </w:r>
      <w:r>
        <w:rPr>
          <w:rFonts w:hint="default" w:ascii="Times New Roman" w:hAnsi="Times New Roman" w:eastAsia="仿宋_GB2312" w:cs="Times New Roman"/>
          <w:color w:val="auto"/>
          <w:kern w:val="2"/>
          <w:sz w:val="32"/>
          <w:szCs w:val="32"/>
          <w:highlight w:val="none"/>
          <w:lang w:val="en-US" w:eastAsia="zh-CN" w:bidi="ar-SA"/>
        </w:rPr>
        <w:t>　　公用经费</w:t>
      </w:r>
      <w:r>
        <w:rPr>
          <w:rFonts w:hint="default" w:ascii="Times New Roman" w:hAnsi="Times New Roman" w:eastAsia="仿宋_GB2312" w:cs="Times New Roman"/>
          <w:sz w:val="32"/>
          <w:szCs w:val="32"/>
        </w:rPr>
        <w:t>47.28</w:t>
      </w:r>
      <w:r>
        <w:rPr>
          <w:rFonts w:hint="default" w:ascii="Times New Roman" w:hAnsi="Times New Roman" w:eastAsia="仿宋_GB2312" w:cs="Times New Roman"/>
          <w:color w:val="auto"/>
          <w:kern w:val="2"/>
          <w:sz w:val="32"/>
          <w:szCs w:val="32"/>
          <w:highlight w:val="none"/>
          <w:lang w:val="en-US" w:eastAsia="zh-CN" w:bidi="ar-SA"/>
        </w:rPr>
        <w:t>万元，主要包括：办公费、差旅费、公务接待费、工会经费、福利费、公务用车运行维护费、其他商品和服务支出等。</w:t>
      </w:r>
    </w:p>
    <w:p>
      <w:pPr>
        <w:keepNext w:val="0"/>
        <w:keepLines w:val="0"/>
        <w:pageBreakBefore w:val="0"/>
        <w:kinsoku/>
        <w:wordWrap/>
        <w:overflowPunct/>
        <w:topLinePunct w:val="0"/>
        <w:autoSpaceDE/>
        <w:autoSpaceDN/>
        <w:bidi w:val="0"/>
        <w:spacing w:line="560" w:lineRule="exact"/>
        <w:ind w:firstLine="640" w:firstLineChars="200"/>
        <w:textAlignment w:val="auto"/>
        <w:outlineLvl w:val="1"/>
        <w:rPr>
          <w:rFonts w:hint="default" w:ascii="Times New Roman" w:hAnsi="Times New Roman" w:eastAsia="黑体" w:cs="Times New Roman"/>
          <w:color w:val="auto"/>
          <w:sz w:val="32"/>
          <w:szCs w:val="32"/>
          <w:highlight w:val="none"/>
        </w:rPr>
      </w:pPr>
      <w:bookmarkStart w:id="49" w:name="_Toc4631"/>
      <w:bookmarkStart w:id="50" w:name="_Toc15396609"/>
      <w:bookmarkStart w:id="51" w:name="_Toc15377215"/>
    </w:p>
    <w:p>
      <w:pPr>
        <w:keepNext w:val="0"/>
        <w:keepLines w:val="0"/>
        <w:pageBreakBefore w:val="0"/>
        <w:kinsoku/>
        <w:wordWrap/>
        <w:overflowPunct/>
        <w:topLinePunct w:val="0"/>
        <w:autoSpaceDE/>
        <w:autoSpaceDN/>
        <w:bidi w:val="0"/>
        <w:spacing w:line="560" w:lineRule="exact"/>
        <w:ind w:firstLine="640" w:firstLineChars="200"/>
        <w:textAlignment w:val="auto"/>
        <w:outlineLvl w:val="1"/>
        <w:rPr>
          <w:rStyle w:val="31"/>
          <w:rFonts w:hint="default" w:ascii="Times New Roman" w:hAnsi="Times New Roman" w:eastAsia="黑体" w:cs="Times New Roman"/>
          <w:b w:val="0"/>
          <w:color w:val="auto"/>
          <w:highlight w:val="none"/>
        </w:rPr>
      </w:pPr>
      <w:r>
        <w:rPr>
          <w:rFonts w:hint="default" w:ascii="Times New Roman" w:hAnsi="Times New Roman" w:eastAsia="黑体" w:cs="Times New Roman"/>
          <w:color w:val="auto"/>
          <w:sz w:val="32"/>
          <w:szCs w:val="32"/>
          <w:highlight w:val="none"/>
        </w:rPr>
        <w:t>七、</w:t>
      </w:r>
      <w:r>
        <w:rPr>
          <w:rStyle w:val="31"/>
          <w:rFonts w:hint="default" w:ascii="Times New Roman" w:hAnsi="Times New Roman" w:eastAsia="黑体" w:cs="Times New Roman"/>
          <w:b w:val="0"/>
          <w:color w:val="auto"/>
          <w:highlight w:val="none"/>
        </w:rPr>
        <w:t>财政拨款</w:t>
      </w:r>
      <w:r>
        <w:rPr>
          <w:rStyle w:val="31"/>
          <w:rFonts w:hint="default" w:ascii="Times New Roman" w:hAnsi="Times New Roman" w:eastAsia="黑体" w:cs="Times New Roman"/>
          <w:color w:val="auto"/>
          <w:highlight w:val="none"/>
        </w:rPr>
        <w:t>“</w:t>
      </w:r>
      <w:r>
        <w:rPr>
          <w:rStyle w:val="31"/>
          <w:rFonts w:hint="default" w:ascii="Times New Roman" w:hAnsi="Times New Roman" w:eastAsia="黑体" w:cs="Times New Roman"/>
          <w:b w:val="0"/>
          <w:color w:val="auto"/>
          <w:highlight w:val="none"/>
        </w:rPr>
        <w:t>三公”经费支出决算情况说明</w:t>
      </w:r>
      <w:bookmarkEnd w:id="49"/>
      <w:bookmarkEnd w:id="50"/>
      <w:bookmarkEnd w:id="51"/>
    </w:p>
    <w:p>
      <w:pPr>
        <w:keepNext w:val="0"/>
        <w:keepLines w:val="0"/>
        <w:pageBreakBefore w:val="0"/>
        <w:kinsoku/>
        <w:wordWrap/>
        <w:overflowPunct/>
        <w:topLinePunct w:val="0"/>
        <w:autoSpaceDE/>
        <w:autoSpaceDN/>
        <w:bidi w:val="0"/>
        <w:spacing w:line="560" w:lineRule="exact"/>
        <w:ind w:firstLine="642" w:firstLineChars="200"/>
        <w:textAlignment w:val="auto"/>
        <w:outlineLvl w:val="9"/>
        <w:rPr>
          <w:rFonts w:hint="default" w:ascii="Times New Roman" w:hAnsi="Times New Roman" w:eastAsia="楷体_GB2312" w:cs="Times New Roman"/>
          <w:b/>
          <w:color w:val="auto"/>
          <w:sz w:val="32"/>
          <w:szCs w:val="32"/>
          <w:highlight w:val="none"/>
        </w:rPr>
      </w:pPr>
      <w:bookmarkStart w:id="52" w:name="_Toc15377216"/>
      <w:r>
        <w:rPr>
          <w:rFonts w:hint="default" w:ascii="Times New Roman" w:hAnsi="Times New Roman" w:eastAsia="楷体_GB2312" w:cs="Times New Roman"/>
          <w:b/>
          <w:color w:val="auto"/>
          <w:sz w:val="32"/>
          <w:szCs w:val="32"/>
          <w:highlight w:val="none"/>
        </w:rPr>
        <w:t>（一）“三公”经费财政拨款支出决算总体情况说明</w:t>
      </w:r>
      <w:bookmarkEnd w:id="52"/>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kern w:val="2"/>
          <w:sz w:val="32"/>
          <w:szCs w:val="32"/>
          <w:highlight w:val="none"/>
          <w:lang w:val="en-US" w:eastAsia="zh-CN" w:bidi="ar-SA"/>
        </w:rPr>
      </w:pPr>
      <w:r>
        <w:rPr>
          <w:rFonts w:hint="default" w:ascii="Times New Roman" w:hAnsi="Times New Roman" w:eastAsia="仿宋_GB2312" w:cs="Times New Roman"/>
          <w:color w:val="auto"/>
          <w:kern w:val="2"/>
          <w:sz w:val="32"/>
          <w:szCs w:val="32"/>
          <w:highlight w:val="none"/>
          <w:lang w:val="en-US" w:eastAsia="zh-CN" w:bidi="ar-SA"/>
        </w:rPr>
        <w:t>2024年度“三公”经费财政拨款支出决算为</w:t>
      </w:r>
      <w:r>
        <w:rPr>
          <w:rFonts w:hint="default" w:ascii="Times New Roman" w:hAnsi="Times New Roman" w:eastAsia="仿宋_GB2312" w:cs="Times New Roman"/>
          <w:sz w:val="32"/>
          <w:szCs w:val="32"/>
        </w:rPr>
        <w:t>2.06</w:t>
      </w:r>
      <w:r>
        <w:rPr>
          <w:rFonts w:hint="default" w:ascii="Times New Roman" w:hAnsi="Times New Roman" w:eastAsia="仿宋_GB2312" w:cs="Times New Roman"/>
          <w:color w:val="auto"/>
          <w:kern w:val="2"/>
          <w:sz w:val="32"/>
          <w:szCs w:val="32"/>
          <w:highlight w:val="none"/>
          <w:lang w:val="en-US" w:eastAsia="zh-CN" w:bidi="ar-SA"/>
        </w:rPr>
        <w:t>万元，完成预算</w:t>
      </w:r>
      <w:r>
        <w:rPr>
          <w:rFonts w:hint="default" w:ascii="Times New Roman" w:hAnsi="Times New Roman" w:eastAsia="仿宋_GB2312" w:cs="Times New Roman"/>
          <w:sz w:val="32"/>
          <w:szCs w:val="32"/>
        </w:rPr>
        <w:t>10.1</w:t>
      </w:r>
      <w:r>
        <w:rPr>
          <w:rFonts w:hint="default" w:ascii="Times New Roman" w:hAnsi="Times New Roman" w:eastAsia="仿宋_GB2312" w:cs="Times New Roman"/>
          <w:color w:val="auto"/>
          <w:kern w:val="2"/>
          <w:sz w:val="32"/>
          <w:szCs w:val="32"/>
          <w:highlight w:val="none"/>
          <w:lang w:val="en-US" w:eastAsia="zh-CN" w:bidi="ar-SA"/>
        </w:rPr>
        <w:t>%，较上年度增加0.33万元，增长19%。决算数小于预算数的主要原因2024年度公务用车购置费因采购项目未完成，计划于2025年度完成支付。</w:t>
      </w:r>
    </w:p>
    <w:p>
      <w:pPr>
        <w:keepNext w:val="0"/>
        <w:keepLines w:val="0"/>
        <w:pageBreakBefore w:val="0"/>
        <w:widowControl w:val="0"/>
        <w:kinsoku/>
        <w:wordWrap/>
        <w:overflowPunct/>
        <w:topLinePunct w:val="0"/>
        <w:autoSpaceDE/>
        <w:autoSpaceDN/>
        <w:bidi w:val="0"/>
        <w:adjustRightInd/>
        <w:snapToGrid/>
        <w:spacing w:line="560" w:lineRule="exact"/>
        <w:ind w:firstLine="642" w:firstLineChars="200"/>
        <w:textAlignment w:val="auto"/>
        <w:outlineLvl w:val="9"/>
        <w:rPr>
          <w:rFonts w:hint="default" w:ascii="Times New Roman" w:hAnsi="Times New Roman" w:eastAsia="楷体_GB2312" w:cs="Times New Roman"/>
          <w:b/>
          <w:color w:val="auto"/>
          <w:sz w:val="32"/>
          <w:szCs w:val="32"/>
          <w:highlight w:val="none"/>
        </w:rPr>
      </w:pPr>
      <w:bookmarkStart w:id="53" w:name="_Toc15377217"/>
      <w:r>
        <w:rPr>
          <w:rFonts w:hint="default" w:ascii="Times New Roman" w:hAnsi="Times New Roman" w:eastAsia="楷体_GB2312" w:cs="Times New Roman"/>
          <w:b/>
          <w:color w:val="auto"/>
          <w:sz w:val="32"/>
          <w:szCs w:val="32"/>
          <w:highlight w:val="none"/>
        </w:rPr>
        <w:t>（二）“三公”经费财政拨款支出决算具体情况说明</w:t>
      </w:r>
      <w:bookmarkEnd w:id="53"/>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kern w:val="2"/>
          <w:sz w:val="32"/>
          <w:szCs w:val="32"/>
          <w:highlight w:val="none"/>
          <w:lang w:val="en-US" w:eastAsia="zh-CN" w:bidi="ar-SA"/>
        </w:rPr>
      </w:pPr>
      <w:r>
        <w:rPr>
          <w:rFonts w:hint="default" w:ascii="Times New Roman" w:hAnsi="Times New Roman" w:eastAsia="仿宋_GB2312" w:cs="Times New Roman"/>
          <w:color w:val="auto"/>
          <w:kern w:val="2"/>
          <w:sz w:val="32"/>
          <w:szCs w:val="32"/>
          <w:highlight w:val="none"/>
          <w:lang w:val="en-US" w:eastAsia="zh-CN" w:bidi="ar-SA"/>
        </w:rPr>
        <w:t>2024年度“三公”经费财政拨款支出决算中，因公出国（境）费支出决算</w:t>
      </w:r>
      <w:r>
        <w:rPr>
          <w:rFonts w:hint="default" w:ascii="Times New Roman" w:hAnsi="Times New Roman" w:eastAsia="仿宋_GB2312" w:cs="Times New Roman"/>
          <w:sz w:val="32"/>
          <w:szCs w:val="32"/>
        </w:rPr>
        <w:t>0</w:t>
      </w:r>
      <w:r>
        <w:rPr>
          <w:rFonts w:hint="default" w:ascii="Times New Roman" w:hAnsi="Times New Roman" w:eastAsia="仿宋_GB2312" w:cs="Times New Roman"/>
          <w:color w:val="auto"/>
          <w:kern w:val="2"/>
          <w:sz w:val="32"/>
          <w:szCs w:val="32"/>
          <w:highlight w:val="none"/>
          <w:lang w:val="en-US" w:eastAsia="zh-CN" w:bidi="ar-SA"/>
        </w:rPr>
        <w:t>万元，占0%；公务用车购置及运行维护费支出决算</w:t>
      </w:r>
      <w:r>
        <w:rPr>
          <w:rFonts w:hint="default" w:ascii="Times New Roman" w:hAnsi="Times New Roman" w:eastAsia="仿宋_GB2312" w:cs="Times New Roman"/>
          <w:sz w:val="32"/>
          <w:szCs w:val="32"/>
        </w:rPr>
        <w:t>2</w:t>
      </w:r>
      <w:r>
        <w:rPr>
          <w:rFonts w:hint="default" w:ascii="Times New Roman" w:hAnsi="Times New Roman" w:eastAsia="仿宋_GB2312" w:cs="Times New Roman"/>
          <w:color w:val="auto"/>
          <w:kern w:val="2"/>
          <w:sz w:val="32"/>
          <w:szCs w:val="32"/>
          <w:highlight w:val="none"/>
          <w:lang w:val="en-US" w:eastAsia="zh-CN" w:bidi="ar-SA"/>
        </w:rPr>
        <w:t>万元，占97%；公务接待费支出决算</w:t>
      </w:r>
      <w:r>
        <w:rPr>
          <w:rFonts w:hint="default" w:ascii="Times New Roman" w:hAnsi="Times New Roman" w:eastAsia="仿宋_GB2312" w:cs="Times New Roman"/>
          <w:sz w:val="32"/>
          <w:szCs w:val="32"/>
        </w:rPr>
        <w:t>0.06</w:t>
      </w:r>
      <w:r>
        <w:rPr>
          <w:rFonts w:hint="default" w:ascii="Times New Roman" w:hAnsi="Times New Roman" w:eastAsia="仿宋_GB2312" w:cs="Times New Roman"/>
          <w:color w:val="auto"/>
          <w:kern w:val="2"/>
          <w:sz w:val="32"/>
          <w:szCs w:val="32"/>
          <w:highlight w:val="none"/>
          <w:lang w:val="en-US" w:eastAsia="zh-CN" w:bidi="ar-SA"/>
        </w:rPr>
        <w:t>万元，占3%。具体情况如下：</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仿宋_GB2312" w:cs="Times New Roman"/>
          <w:color w:val="auto"/>
          <w:kern w:val="2"/>
          <w:sz w:val="32"/>
          <w:szCs w:val="32"/>
          <w:highlight w:val="none"/>
          <w:lang w:val="en-US" w:eastAsia="zh-CN" w:bidi="ar-SA"/>
        </w:rPr>
      </w:pPr>
      <w:r>
        <w:rPr>
          <w:rFonts w:hint="default" w:ascii="Times New Roman" w:hAnsi="Times New Roman" w:eastAsia="仿宋_GB2312" w:cs="Times New Roman"/>
          <w:sz w:val="32"/>
          <w:szCs w:val="32"/>
          <w:highlight w:val="yellow"/>
        </w:rPr>
        <w:drawing>
          <wp:inline distT="0" distB="0" distL="114300" distR="114300">
            <wp:extent cx="4535805" cy="2921000"/>
            <wp:effectExtent l="4445" t="4445" r="12700" b="8255"/>
            <wp:docPr id="14" name="图表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pPr>
        <w:keepNext w:val="0"/>
        <w:keepLines w:val="0"/>
        <w:pageBreakBefore w:val="0"/>
        <w:kinsoku/>
        <w:wordWrap/>
        <w:overflowPunct/>
        <w:topLinePunct w:val="0"/>
        <w:autoSpaceDE/>
        <w:autoSpaceDN/>
        <w:bidi w:val="0"/>
        <w:spacing w:line="560" w:lineRule="exact"/>
        <w:ind w:firstLine="640" w:firstLineChars="200"/>
        <w:textAlignment w:val="auto"/>
        <w:rPr>
          <w:rFonts w:hint="default" w:ascii="Times New Roman" w:hAnsi="Times New Roman" w:eastAsia="仿宋_GB2312" w:cs="Times New Roman"/>
          <w:color w:val="auto"/>
          <w:kern w:val="2"/>
          <w:sz w:val="32"/>
          <w:szCs w:val="32"/>
          <w:highlight w:val="none"/>
          <w:lang w:val="en-US" w:eastAsia="zh-CN" w:bidi="ar-SA"/>
        </w:rPr>
      </w:pPr>
      <w:r>
        <w:rPr>
          <w:rFonts w:hint="default" w:ascii="Times New Roman" w:hAnsi="Times New Roman" w:eastAsia="仿宋_GB2312" w:cs="Times New Roman"/>
          <w:color w:val="auto"/>
          <w:kern w:val="2"/>
          <w:sz w:val="32"/>
          <w:szCs w:val="32"/>
          <w:highlight w:val="none"/>
          <w:lang w:val="en-US" w:eastAsia="zh-CN" w:bidi="ar-SA"/>
        </w:rPr>
        <w:t>（图7：“三公”经费财政拨款支出结构）（饼状图）</w:t>
      </w:r>
    </w:p>
    <w:p>
      <w:pPr>
        <w:keepNext w:val="0"/>
        <w:keepLines w:val="0"/>
        <w:pageBreakBefore w:val="0"/>
        <w:widowControl w:val="0"/>
        <w:kinsoku/>
        <w:wordWrap/>
        <w:overflowPunct/>
        <w:topLinePunct w:val="0"/>
        <w:autoSpaceDE/>
        <w:autoSpaceDN/>
        <w:bidi w:val="0"/>
        <w:adjustRightInd/>
        <w:snapToGrid/>
        <w:spacing w:line="560" w:lineRule="exact"/>
        <w:ind w:firstLine="642" w:firstLineChars="200"/>
        <w:textAlignment w:val="auto"/>
        <w:rPr>
          <w:rFonts w:hint="default" w:ascii="Times New Roman" w:hAnsi="Times New Roman" w:eastAsia="仿宋_GB2312" w:cs="Times New Roman"/>
          <w:color w:val="auto"/>
          <w:kern w:val="2"/>
          <w:sz w:val="32"/>
          <w:szCs w:val="32"/>
          <w:highlight w:val="none"/>
          <w:lang w:val="en-US" w:eastAsia="zh-CN" w:bidi="ar-SA"/>
        </w:rPr>
      </w:pPr>
      <w:r>
        <w:rPr>
          <w:rFonts w:hint="default" w:ascii="Times New Roman" w:hAnsi="Times New Roman" w:eastAsia="仿宋_GB2312" w:cs="Times New Roman"/>
          <w:b/>
          <w:bCs/>
          <w:color w:val="auto"/>
          <w:kern w:val="2"/>
          <w:sz w:val="32"/>
          <w:szCs w:val="32"/>
          <w:highlight w:val="none"/>
          <w:lang w:val="en-US" w:eastAsia="zh-CN" w:bidi="ar-SA"/>
        </w:rPr>
        <w:t>1.因公出国（境）经费支出0万元。</w:t>
      </w:r>
      <w:r>
        <w:rPr>
          <w:rFonts w:hint="default" w:ascii="Times New Roman" w:hAnsi="Times New Roman" w:eastAsia="仿宋_GB2312" w:cs="Times New Roman"/>
          <w:color w:val="auto"/>
          <w:kern w:val="2"/>
          <w:sz w:val="32"/>
          <w:szCs w:val="32"/>
          <w:highlight w:val="none"/>
          <w:lang w:val="en-US" w:eastAsia="zh-CN" w:bidi="ar-SA"/>
        </w:rPr>
        <w:t>全年安排因公出国（境）团组</w:t>
      </w:r>
      <w:r>
        <w:rPr>
          <w:rFonts w:hint="default" w:ascii="Times New Roman" w:hAnsi="Times New Roman" w:eastAsia="仿宋_GB2312" w:cs="Times New Roman"/>
          <w:sz w:val="32"/>
          <w:szCs w:val="32"/>
        </w:rPr>
        <w:t>0</w:t>
      </w:r>
      <w:r>
        <w:rPr>
          <w:rFonts w:hint="default" w:ascii="Times New Roman" w:hAnsi="Times New Roman" w:eastAsia="仿宋_GB2312" w:cs="Times New Roman"/>
          <w:color w:val="auto"/>
          <w:kern w:val="2"/>
          <w:sz w:val="32"/>
          <w:szCs w:val="32"/>
          <w:highlight w:val="none"/>
          <w:lang w:val="en-US" w:eastAsia="zh-CN" w:bidi="ar-SA"/>
        </w:rPr>
        <w:t>次，出国（境）</w:t>
      </w:r>
      <w:r>
        <w:rPr>
          <w:rFonts w:hint="default" w:ascii="Times New Roman" w:hAnsi="Times New Roman" w:eastAsia="仿宋_GB2312" w:cs="Times New Roman"/>
          <w:sz w:val="32"/>
          <w:szCs w:val="32"/>
        </w:rPr>
        <w:t>0</w:t>
      </w:r>
      <w:r>
        <w:rPr>
          <w:rFonts w:hint="default" w:ascii="Times New Roman" w:hAnsi="Times New Roman" w:eastAsia="仿宋_GB2312" w:cs="Times New Roman"/>
          <w:color w:val="auto"/>
          <w:kern w:val="2"/>
          <w:sz w:val="32"/>
          <w:szCs w:val="32"/>
          <w:highlight w:val="none"/>
          <w:lang w:val="en-US" w:eastAsia="zh-CN" w:bidi="ar-SA"/>
        </w:rPr>
        <w:t>人。因公出国（境）支出决算比2023年增加/减少0万元，增长/下降0%。</w:t>
      </w:r>
    </w:p>
    <w:p>
      <w:pPr>
        <w:keepNext w:val="0"/>
        <w:keepLines w:val="0"/>
        <w:pageBreakBefore w:val="0"/>
        <w:widowControl w:val="0"/>
        <w:kinsoku/>
        <w:wordWrap/>
        <w:overflowPunct/>
        <w:topLinePunct w:val="0"/>
        <w:autoSpaceDE/>
        <w:autoSpaceDN/>
        <w:bidi w:val="0"/>
        <w:adjustRightInd/>
        <w:snapToGrid/>
        <w:spacing w:line="560" w:lineRule="exact"/>
        <w:ind w:firstLine="642" w:firstLineChars="200"/>
        <w:textAlignment w:val="auto"/>
        <w:rPr>
          <w:rFonts w:hint="default" w:ascii="Times New Roman" w:hAnsi="Times New Roman" w:eastAsia="仿宋_GB2312" w:cs="Times New Roman"/>
          <w:color w:val="auto"/>
          <w:kern w:val="2"/>
          <w:sz w:val="32"/>
          <w:szCs w:val="32"/>
          <w:highlight w:val="none"/>
          <w:lang w:val="en-US" w:eastAsia="zh-CN" w:bidi="ar-SA"/>
        </w:rPr>
      </w:pPr>
      <w:r>
        <w:rPr>
          <w:rFonts w:hint="default" w:ascii="Times New Roman" w:hAnsi="Times New Roman" w:eastAsia="仿宋_GB2312" w:cs="Times New Roman"/>
          <w:b/>
          <w:bCs/>
          <w:color w:val="auto"/>
          <w:kern w:val="2"/>
          <w:sz w:val="32"/>
          <w:szCs w:val="32"/>
          <w:highlight w:val="none"/>
          <w:lang w:val="en-US" w:eastAsia="zh-CN" w:bidi="ar-SA"/>
        </w:rPr>
        <w:t>2.公务用车购置及运行维护费支出2万元，完成预算100%。</w:t>
      </w:r>
      <w:r>
        <w:rPr>
          <w:rFonts w:hint="default" w:ascii="Times New Roman" w:hAnsi="Times New Roman" w:eastAsia="仿宋_GB2312" w:cs="Times New Roman"/>
          <w:color w:val="auto"/>
          <w:kern w:val="2"/>
          <w:sz w:val="32"/>
          <w:szCs w:val="32"/>
          <w:highlight w:val="none"/>
          <w:lang w:val="en-US" w:eastAsia="zh-CN" w:bidi="ar-SA"/>
        </w:rPr>
        <w:t>公务用车购置及运行维护费支出决算比2023年度增加0.35万元，增长21%。主要原因是</w:t>
      </w:r>
      <w:r>
        <w:rPr>
          <w:rFonts w:hint="default" w:ascii="Times New Roman" w:hAnsi="Times New Roman" w:eastAsia="仿宋_GB2312" w:cs="Times New Roman"/>
          <w:color w:val="auto"/>
          <w:sz w:val="32"/>
          <w:szCs w:val="32"/>
          <w:highlight w:val="none"/>
          <w:lang w:val="en-US" w:eastAsia="zh-CN"/>
        </w:rPr>
        <w:t>本年度公务用车运行费较上年有所增加。</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kern w:val="2"/>
          <w:sz w:val="32"/>
          <w:szCs w:val="32"/>
          <w:highlight w:val="none"/>
          <w:lang w:val="en-US" w:eastAsia="zh-CN" w:bidi="ar-SA"/>
        </w:rPr>
      </w:pPr>
      <w:r>
        <w:rPr>
          <w:rFonts w:hint="default" w:ascii="Times New Roman" w:hAnsi="Times New Roman" w:eastAsia="仿宋_GB2312" w:cs="Times New Roman"/>
          <w:color w:val="auto"/>
          <w:kern w:val="2"/>
          <w:sz w:val="32"/>
          <w:szCs w:val="32"/>
          <w:highlight w:val="none"/>
          <w:lang w:val="en-US" w:eastAsia="zh-CN" w:bidi="ar-SA"/>
        </w:rPr>
        <w:t>其中：公务用车购置支出</w:t>
      </w:r>
      <w:r>
        <w:rPr>
          <w:rFonts w:hint="default" w:ascii="Times New Roman" w:hAnsi="Times New Roman" w:eastAsia="仿宋_GB2312" w:cs="Times New Roman"/>
          <w:sz w:val="32"/>
          <w:szCs w:val="32"/>
        </w:rPr>
        <w:t>0</w:t>
      </w:r>
      <w:r>
        <w:rPr>
          <w:rFonts w:hint="default" w:ascii="Times New Roman" w:hAnsi="Times New Roman" w:eastAsia="仿宋_GB2312" w:cs="Times New Roman"/>
          <w:color w:val="auto"/>
          <w:kern w:val="2"/>
          <w:sz w:val="32"/>
          <w:szCs w:val="32"/>
          <w:highlight w:val="none"/>
          <w:lang w:val="en-US" w:eastAsia="zh-CN" w:bidi="ar-SA"/>
        </w:rPr>
        <w:t>万元。全年按规定更新购置公务用车0辆，其中：轿车0辆、金额0万元，越野车0辆、金额0万元，载客汽车0辆、金额0万元。截至2024年12月31日，单位共有公务用车1辆，其中：轿车0辆、</w:t>
      </w:r>
      <w:r>
        <w:rPr>
          <w:rFonts w:hint="default" w:ascii="Times New Roman" w:hAnsi="Times New Roman" w:eastAsia="仿宋_GB2312" w:cs="Times New Roman"/>
          <w:b w:val="0"/>
          <w:bCs/>
          <w:sz w:val="32"/>
          <w:szCs w:val="32"/>
          <w:lang w:val="en-US" w:eastAsia="zh-CN"/>
        </w:rPr>
        <w:t>商务车1辆、</w:t>
      </w:r>
      <w:r>
        <w:rPr>
          <w:rFonts w:hint="default" w:ascii="Times New Roman" w:hAnsi="Times New Roman" w:eastAsia="仿宋_GB2312" w:cs="Times New Roman"/>
          <w:color w:val="auto"/>
          <w:kern w:val="2"/>
          <w:sz w:val="32"/>
          <w:szCs w:val="32"/>
          <w:highlight w:val="none"/>
          <w:lang w:val="en-US" w:eastAsia="zh-CN" w:bidi="ar-SA"/>
        </w:rPr>
        <w:t>越野车0辆、载客汽车0辆。</w:t>
      </w:r>
    </w:p>
    <w:p>
      <w:pPr>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default" w:ascii="Times New Roman" w:hAnsi="Times New Roman" w:eastAsia="仿宋_GB2312" w:cs="Times New Roman"/>
          <w:color w:val="auto"/>
          <w:kern w:val="2"/>
          <w:sz w:val="32"/>
          <w:szCs w:val="32"/>
          <w:highlight w:val="none"/>
          <w:lang w:val="en-US" w:eastAsia="zh-CN" w:bidi="ar-SA"/>
        </w:rPr>
      </w:pPr>
      <w:r>
        <w:rPr>
          <w:rFonts w:hint="default" w:ascii="Times New Roman" w:hAnsi="Times New Roman" w:eastAsia="仿宋_GB2312" w:cs="Times New Roman"/>
          <w:color w:val="auto"/>
          <w:kern w:val="2"/>
          <w:sz w:val="32"/>
          <w:szCs w:val="32"/>
          <w:highlight w:val="none"/>
          <w:lang w:val="en-US" w:eastAsia="zh-CN" w:bidi="ar-SA"/>
        </w:rPr>
        <w:t>公务用车运行维护费支出</w:t>
      </w:r>
      <w:r>
        <w:rPr>
          <w:rFonts w:hint="default" w:ascii="Times New Roman" w:hAnsi="Times New Roman" w:eastAsia="仿宋_GB2312" w:cs="Times New Roman"/>
          <w:sz w:val="32"/>
          <w:szCs w:val="32"/>
        </w:rPr>
        <w:t>2</w:t>
      </w:r>
      <w:r>
        <w:rPr>
          <w:rFonts w:hint="default" w:ascii="Times New Roman" w:hAnsi="Times New Roman" w:eastAsia="仿宋_GB2312" w:cs="Times New Roman"/>
          <w:color w:val="auto"/>
          <w:kern w:val="2"/>
          <w:sz w:val="32"/>
          <w:szCs w:val="32"/>
          <w:highlight w:val="none"/>
          <w:lang w:val="en-US" w:eastAsia="zh-CN" w:bidi="ar-SA"/>
        </w:rPr>
        <w:t>万元。主要用于</w:t>
      </w:r>
      <w:r>
        <w:rPr>
          <w:rFonts w:hint="default" w:ascii="Times New Roman" w:hAnsi="Times New Roman" w:eastAsia="仿宋_GB2312" w:cs="Times New Roman"/>
          <w:b w:val="0"/>
          <w:bCs/>
          <w:color w:val="auto"/>
          <w:sz w:val="32"/>
          <w:szCs w:val="32"/>
          <w:highlight w:val="none"/>
          <w:lang w:val="en-US" w:eastAsia="zh-CN"/>
        </w:rPr>
        <w:t>走访企业、市州调研、考察</w:t>
      </w:r>
      <w:r>
        <w:rPr>
          <w:rFonts w:hint="default" w:ascii="Times New Roman" w:hAnsi="Times New Roman" w:eastAsia="仿宋_GB2312" w:cs="Times New Roman"/>
          <w:b w:val="0"/>
          <w:bCs/>
          <w:sz w:val="32"/>
          <w:szCs w:val="32"/>
        </w:rPr>
        <w:t>（具体工作）等所需的公务用车燃料费、维修费、过路过桥费、保险费等支出。</w:t>
      </w:r>
    </w:p>
    <w:p>
      <w:pPr>
        <w:keepNext w:val="0"/>
        <w:keepLines w:val="0"/>
        <w:pageBreakBefore w:val="0"/>
        <w:widowControl w:val="0"/>
        <w:kinsoku/>
        <w:wordWrap/>
        <w:overflowPunct/>
        <w:topLinePunct w:val="0"/>
        <w:autoSpaceDE/>
        <w:autoSpaceDN/>
        <w:bidi w:val="0"/>
        <w:adjustRightInd/>
        <w:snapToGrid/>
        <w:spacing w:line="560" w:lineRule="exact"/>
        <w:ind w:firstLine="642" w:firstLineChars="200"/>
        <w:textAlignment w:val="auto"/>
        <w:rPr>
          <w:rFonts w:hint="default" w:ascii="Times New Roman" w:hAnsi="Times New Roman" w:eastAsia="仿宋_GB2312" w:cs="Times New Roman"/>
          <w:color w:val="auto"/>
          <w:kern w:val="2"/>
          <w:sz w:val="32"/>
          <w:szCs w:val="32"/>
          <w:highlight w:val="none"/>
          <w:lang w:val="en-US" w:eastAsia="zh-CN" w:bidi="ar-SA"/>
        </w:rPr>
      </w:pPr>
      <w:r>
        <w:rPr>
          <w:rFonts w:hint="default" w:ascii="Times New Roman" w:hAnsi="Times New Roman" w:eastAsia="仿宋_GB2312" w:cs="Times New Roman"/>
          <w:b/>
          <w:bCs/>
          <w:color w:val="auto"/>
          <w:kern w:val="2"/>
          <w:sz w:val="32"/>
          <w:szCs w:val="32"/>
          <w:highlight w:val="none"/>
          <w:lang w:val="en-US" w:eastAsia="zh-CN" w:bidi="ar-SA"/>
        </w:rPr>
        <w:t>3.公务接待费支出0.06万元，完成预算100%。</w:t>
      </w:r>
      <w:r>
        <w:rPr>
          <w:rFonts w:hint="default" w:ascii="Times New Roman" w:hAnsi="Times New Roman" w:eastAsia="仿宋_GB2312" w:cs="Times New Roman"/>
          <w:color w:val="auto"/>
          <w:kern w:val="2"/>
          <w:sz w:val="32"/>
          <w:szCs w:val="32"/>
          <w:highlight w:val="none"/>
          <w:lang w:val="en-US" w:eastAsia="zh-CN" w:bidi="ar-SA"/>
        </w:rPr>
        <w:t>公务接待费支出决算比2023年度减少0.03万元，下降33%。主要原因是严格落实中央八项规定及其实施细则精神，进一步规范公务接待管理，减少非必要接待活动，同时严格执行接待 标准，降低单次接待成本。其中：</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kern w:val="2"/>
          <w:sz w:val="32"/>
          <w:szCs w:val="32"/>
          <w:highlight w:val="none"/>
          <w:lang w:val="en-US" w:eastAsia="zh-CN" w:bidi="ar-SA"/>
        </w:rPr>
      </w:pPr>
      <w:r>
        <w:rPr>
          <w:rFonts w:hint="default" w:ascii="Times New Roman" w:hAnsi="Times New Roman" w:eastAsia="仿宋_GB2312" w:cs="Times New Roman"/>
          <w:color w:val="auto"/>
          <w:kern w:val="2"/>
          <w:sz w:val="32"/>
          <w:szCs w:val="32"/>
          <w:highlight w:val="none"/>
          <w:lang w:val="en-US" w:eastAsia="zh-CN" w:bidi="ar-SA"/>
        </w:rPr>
        <w:t>国内公务接待支出</w:t>
      </w:r>
      <w:r>
        <w:rPr>
          <w:rFonts w:hint="default" w:ascii="Times New Roman" w:hAnsi="Times New Roman" w:eastAsia="仿宋_GB2312" w:cs="Times New Roman"/>
          <w:sz w:val="32"/>
          <w:szCs w:val="32"/>
        </w:rPr>
        <w:t>0.06</w:t>
      </w:r>
      <w:r>
        <w:rPr>
          <w:rFonts w:hint="default" w:ascii="Times New Roman" w:hAnsi="Times New Roman" w:eastAsia="仿宋_GB2312" w:cs="Times New Roman"/>
          <w:color w:val="auto"/>
          <w:kern w:val="2"/>
          <w:sz w:val="32"/>
          <w:szCs w:val="32"/>
          <w:highlight w:val="none"/>
          <w:lang w:val="en-US" w:eastAsia="zh-CN" w:bidi="ar-SA"/>
        </w:rPr>
        <w:t>万元，主要用于</w:t>
      </w:r>
      <w:r>
        <w:rPr>
          <w:rFonts w:hint="default" w:ascii="Times New Roman" w:hAnsi="Times New Roman" w:eastAsia="仿宋_GB2312" w:cs="Times New Roman"/>
          <w:b w:val="0"/>
          <w:bCs/>
          <w:sz w:val="32"/>
          <w:szCs w:val="32"/>
        </w:rPr>
        <w:t>开展业务活动开支的用餐费</w:t>
      </w:r>
      <w:r>
        <w:rPr>
          <w:rFonts w:hint="default" w:ascii="Times New Roman" w:hAnsi="Times New Roman" w:eastAsia="仿宋_GB2312" w:cs="Times New Roman"/>
          <w:color w:val="auto"/>
          <w:kern w:val="2"/>
          <w:sz w:val="32"/>
          <w:szCs w:val="32"/>
          <w:highlight w:val="none"/>
          <w:lang w:val="en-US" w:eastAsia="zh-CN" w:bidi="ar-SA"/>
        </w:rPr>
        <w:t>。国内公务接待</w:t>
      </w:r>
      <w:r>
        <w:rPr>
          <w:rFonts w:hint="default" w:ascii="Times New Roman" w:hAnsi="Times New Roman" w:eastAsia="仿宋_GB2312" w:cs="Times New Roman"/>
          <w:sz w:val="32"/>
          <w:szCs w:val="32"/>
        </w:rPr>
        <w:t>1</w:t>
      </w:r>
      <w:r>
        <w:rPr>
          <w:rFonts w:hint="default" w:ascii="Times New Roman" w:hAnsi="Times New Roman" w:eastAsia="仿宋_GB2312" w:cs="Times New Roman"/>
          <w:color w:val="auto"/>
          <w:kern w:val="2"/>
          <w:sz w:val="32"/>
          <w:szCs w:val="32"/>
          <w:highlight w:val="none"/>
          <w:lang w:val="en-US" w:eastAsia="zh-CN" w:bidi="ar-SA"/>
        </w:rPr>
        <w:t>批次，</w:t>
      </w:r>
      <w:r>
        <w:rPr>
          <w:rFonts w:hint="default" w:ascii="Times New Roman" w:hAnsi="Times New Roman" w:eastAsia="仿宋_GB2312" w:cs="Times New Roman"/>
          <w:sz w:val="32"/>
          <w:szCs w:val="32"/>
          <w:lang w:val="en-US" w:eastAsia="zh-CN"/>
        </w:rPr>
        <w:t>3</w:t>
      </w:r>
      <w:r>
        <w:rPr>
          <w:rFonts w:hint="default" w:ascii="Times New Roman" w:hAnsi="Times New Roman" w:eastAsia="仿宋_GB2312" w:cs="Times New Roman"/>
          <w:color w:val="auto"/>
          <w:kern w:val="2"/>
          <w:sz w:val="32"/>
          <w:szCs w:val="32"/>
          <w:highlight w:val="none"/>
          <w:lang w:val="en-US" w:eastAsia="zh-CN" w:bidi="ar-SA"/>
        </w:rPr>
        <w:t>人次（不包括陪同人员），共计支出0.06万元，具体内容包括：湖北省中小企业服务中心一行到省中心就机构改革工作开展实地调研</w:t>
      </w:r>
      <w:r>
        <w:rPr>
          <w:rFonts w:hint="default" w:ascii="Times New Roman" w:hAnsi="Times New Roman" w:eastAsia="仿宋_GB2312" w:cs="Times New Roman"/>
          <w:b w:val="0"/>
          <w:bCs/>
          <w:sz w:val="32"/>
          <w:szCs w:val="32"/>
          <w:lang w:val="en-US" w:eastAsia="zh-CN"/>
        </w:rPr>
        <w:t>公务接待开支用餐费</w:t>
      </w:r>
      <w:r>
        <w:rPr>
          <w:rFonts w:hint="default" w:ascii="Times New Roman" w:hAnsi="Times New Roman" w:eastAsia="仿宋_GB2312" w:cs="Times New Roman"/>
          <w:color w:val="auto"/>
          <w:kern w:val="2"/>
          <w:sz w:val="32"/>
          <w:szCs w:val="32"/>
          <w:highlight w:val="none"/>
          <w:lang w:val="en-US" w:eastAsia="zh-CN" w:bidi="ar-SA"/>
        </w:rPr>
        <w:t>，共支出0.06万元。</w:t>
      </w:r>
      <w:bookmarkStart w:id="54" w:name="_Toc15377218"/>
      <w:bookmarkStart w:id="55" w:name="_Toc15396610"/>
    </w:p>
    <w:p>
      <w:pPr>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default" w:ascii="Times New Roman" w:hAnsi="Times New Roman" w:cs="Times New Roman"/>
          <w:lang w:val="en-US" w:eastAsia="zh-CN"/>
        </w:rPr>
      </w:pPr>
      <w:r>
        <w:rPr>
          <w:rFonts w:hint="default" w:ascii="Times New Roman" w:hAnsi="Times New Roman" w:eastAsia="仿宋_GB2312" w:cs="Times New Roman"/>
          <w:color w:val="auto"/>
          <w:kern w:val="2"/>
          <w:sz w:val="32"/>
          <w:szCs w:val="32"/>
          <w:highlight w:val="none"/>
          <w:lang w:val="en-US" w:eastAsia="zh-CN" w:bidi="ar-SA"/>
        </w:rPr>
        <w:t>外事接待支出</w:t>
      </w:r>
      <w:r>
        <w:rPr>
          <w:rFonts w:hint="default" w:ascii="Times New Roman" w:hAnsi="Times New Roman" w:eastAsia="仿宋_GB2312" w:cs="Times New Roman"/>
          <w:sz w:val="32"/>
          <w:szCs w:val="32"/>
        </w:rPr>
        <w:t>0</w:t>
      </w:r>
      <w:r>
        <w:rPr>
          <w:rFonts w:hint="default" w:ascii="Times New Roman" w:hAnsi="Times New Roman" w:eastAsia="仿宋_GB2312" w:cs="Times New Roman"/>
          <w:color w:val="auto"/>
          <w:kern w:val="2"/>
          <w:sz w:val="32"/>
          <w:szCs w:val="32"/>
          <w:highlight w:val="none"/>
          <w:lang w:val="en-US" w:eastAsia="zh-CN" w:bidi="ar-SA"/>
        </w:rPr>
        <w:t>万元。外事接待</w:t>
      </w:r>
      <w:r>
        <w:rPr>
          <w:rFonts w:hint="default" w:ascii="Times New Roman" w:hAnsi="Times New Roman" w:eastAsia="仿宋_GB2312" w:cs="Times New Roman"/>
          <w:sz w:val="32"/>
          <w:szCs w:val="32"/>
        </w:rPr>
        <w:t>0</w:t>
      </w:r>
      <w:r>
        <w:rPr>
          <w:rFonts w:hint="default" w:ascii="Times New Roman" w:hAnsi="Times New Roman" w:eastAsia="仿宋_GB2312" w:cs="Times New Roman"/>
          <w:color w:val="auto"/>
          <w:kern w:val="2"/>
          <w:sz w:val="32"/>
          <w:szCs w:val="32"/>
          <w:highlight w:val="none"/>
          <w:lang w:val="en-US" w:eastAsia="zh-CN" w:bidi="ar-SA"/>
        </w:rPr>
        <w:t>批次，</w:t>
      </w:r>
      <w:r>
        <w:rPr>
          <w:rFonts w:hint="default" w:ascii="Times New Roman" w:hAnsi="Times New Roman" w:eastAsia="仿宋_GB2312" w:cs="Times New Roman"/>
          <w:sz w:val="32"/>
          <w:szCs w:val="32"/>
        </w:rPr>
        <w:t>0</w:t>
      </w:r>
      <w:r>
        <w:rPr>
          <w:rFonts w:hint="default" w:ascii="Times New Roman" w:hAnsi="Times New Roman" w:eastAsia="仿宋_GB2312" w:cs="Times New Roman"/>
          <w:color w:val="auto"/>
          <w:kern w:val="2"/>
          <w:sz w:val="32"/>
          <w:szCs w:val="32"/>
          <w:highlight w:val="none"/>
          <w:lang w:val="en-US" w:eastAsia="zh-CN" w:bidi="ar-SA"/>
        </w:rPr>
        <w:t>人次（不包括陪同人员），共计支出0万元。</w:t>
      </w:r>
    </w:p>
    <w:p>
      <w:pPr>
        <w:keepNext w:val="0"/>
        <w:keepLines w:val="0"/>
        <w:pageBreakBefore w:val="0"/>
        <w:kinsoku/>
        <w:wordWrap/>
        <w:overflowPunct/>
        <w:topLinePunct w:val="0"/>
        <w:autoSpaceDE/>
        <w:autoSpaceDN/>
        <w:bidi w:val="0"/>
        <w:spacing w:line="560" w:lineRule="exact"/>
        <w:ind w:firstLine="640" w:firstLineChars="200"/>
        <w:textAlignment w:val="auto"/>
        <w:outlineLvl w:val="1"/>
        <w:rPr>
          <w:rFonts w:hint="default" w:ascii="Times New Roman" w:hAnsi="Times New Roman" w:eastAsia="黑体" w:cs="Times New Roman"/>
          <w:color w:val="auto"/>
          <w:sz w:val="32"/>
          <w:szCs w:val="32"/>
          <w:highlight w:val="none"/>
        </w:rPr>
      </w:pPr>
      <w:bookmarkStart w:id="56" w:name="_Toc18554"/>
    </w:p>
    <w:p>
      <w:pPr>
        <w:keepNext w:val="0"/>
        <w:keepLines w:val="0"/>
        <w:pageBreakBefore w:val="0"/>
        <w:kinsoku/>
        <w:wordWrap/>
        <w:overflowPunct/>
        <w:topLinePunct w:val="0"/>
        <w:autoSpaceDE/>
        <w:autoSpaceDN/>
        <w:bidi w:val="0"/>
        <w:spacing w:line="560" w:lineRule="exact"/>
        <w:ind w:firstLine="640" w:firstLineChars="200"/>
        <w:textAlignment w:val="auto"/>
        <w:outlineLvl w:val="1"/>
        <w:rPr>
          <w:rStyle w:val="31"/>
          <w:rFonts w:hint="default" w:ascii="Times New Roman" w:hAnsi="Times New Roman" w:eastAsia="黑体" w:cs="Times New Roman"/>
          <w:color w:val="auto"/>
          <w:highlight w:val="none"/>
        </w:rPr>
      </w:pPr>
      <w:r>
        <w:rPr>
          <w:rFonts w:hint="default" w:ascii="Times New Roman" w:hAnsi="Times New Roman" w:eastAsia="黑体" w:cs="Times New Roman"/>
          <w:color w:val="auto"/>
          <w:sz w:val="32"/>
          <w:szCs w:val="32"/>
          <w:highlight w:val="none"/>
        </w:rPr>
        <w:t>八、</w:t>
      </w:r>
      <w:r>
        <w:rPr>
          <w:rStyle w:val="31"/>
          <w:rFonts w:hint="default" w:ascii="Times New Roman" w:hAnsi="Times New Roman" w:eastAsia="黑体" w:cs="Times New Roman"/>
          <w:b w:val="0"/>
          <w:color w:val="auto"/>
          <w:highlight w:val="none"/>
        </w:rPr>
        <w:t>政府性基金预算支出决算情况说明</w:t>
      </w:r>
      <w:bookmarkEnd w:id="54"/>
      <w:bookmarkEnd w:id="55"/>
      <w:bookmarkEnd w:id="56"/>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outlineLvl w:val="9"/>
        <w:rPr>
          <w:rFonts w:hint="default" w:ascii="Times New Roman" w:hAnsi="Times New Roman" w:eastAsia="仿宋_GB2312" w:cs="Times New Roman"/>
          <w:color w:val="auto"/>
          <w:kern w:val="2"/>
          <w:sz w:val="32"/>
          <w:szCs w:val="32"/>
          <w:highlight w:val="none"/>
          <w:lang w:val="en-US" w:eastAsia="zh-CN" w:bidi="ar-SA"/>
        </w:rPr>
      </w:pPr>
      <w:r>
        <w:rPr>
          <w:rFonts w:hint="default" w:ascii="Times New Roman" w:hAnsi="Times New Roman" w:eastAsia="仿宋_GB2312" w:cs="Times New Roman"/>
          <w:color w:val="auto"/>
          <w:kern w:val="2"/>
          <w:sz w:val="32"/>
          <w:szCs w:val="32"/>
          <w:highlight w:val="none"/>
          <w:lang w:val="en-US" w:eastAsia="zh-CN" w:bidi="ar-SA"/>
        </w:rPr>
        <w:t>2024年度政府性基金预算财政拨款支出</w:t>
      </w:r>
      <w:r>
        <w:rPr>
          <w:rFonts w:hint="default" w:ascii="Times New Roman" w:hAnsi="Times New Roman" w:eastAsia="仿宋_GB2312" w:cs="Times New Roman"/>
          <w:sz w:val="32"/>
          <w:szCs w:val="32"/>
        </w:rPr>
        <w:t>0</w:t>
      </w:r>
      <w:r>
        <w:rPr>
          <w:rFonts w:hint="default" w:ascii="Times New Roman" w:hAnsi="Times New Roman" w:eastAsia="仿宋_GB2312" w:cs="Times New Roman"/>
          <w:color w:val="auto"/>
          <w:kern w:val="2"/>
          <w:sz w:val="32"/>
          <w:szCs w:val="32"/>
          <w:highlight w:val="none"/>
          <w:lang w:val="en-US" w:eastAsia="zh-CN" w:bidi="ar-SA"/>
        </w:rPr>
        <w:t>万元，占本年支出合计的</w:t>
      </w:r>
      <w:r>
        <w:rPr>
          <w:rFonts w:hint="default" w:ascii="Times New Roman" w:hAnsi="Times New Roman" w:eastAsia="仿宋_GB2312" w:cs="Times New Roman"/>
          <w:sz w:val="32"/>
          <w:szCs w:val="32"/>
        </w:rPr>
        <w:t>0</w:t>
      </w:r>
      <w:r>
        <w:rPr>
          <w:rFonts w:hint="default" w:ascii="Times New Roman" w:hAnsi="Times New Roman" w:eastAsia="仿宋_GB2312" w:cs="Times New Roman"/>
          <w:color w:val="auto"/>
          <w:kern w:val="2"/>
          <w:sz w:val="32"/>
          <w:szCs w:val="32"/>
          <w:highlight w:val="none"/>
          <w:lang w:val="en-US" w:eastAsia="zh-CN" w:bidi="ar-SA"/>
        </w:rPr>
        <w:t>%。</w:t>
      </w:r>
      <w:bookmarkStart w:id="57" w:name="_Toc15377219"/>
      <w:bookmarkStart w:id="58" w:name="_Toc15396611"/>
    </w:p>
    <w:p>
      <w:pPr>
        <w:keepNext w:val="0"/>
        <w:keepLines w:val="0"/>
        <w:pageBreakBefore w:val="0"/>
        <w:numPr>
          <w:ilvl w:val="0"/>
          <w:numId w:val="0"/>
        </w:numPr>
        <w:kinsoku/>
        <w:wordWrap/>
        <w:overflowPunct/>
        <w:topLinePunct w:val="0"/>
        <w:autoSpaceDE/>
        <w:autoSpaceDN/>
        <w:bidi w:val="0"/>
        <w:spacing w:line="560" w:lineRule="exact"/>
        <w:ind w:firstLine="640" w:firstLineChars="200"/>
        <w:textAlignment w:val="auto"/>
        <w:outlineLvl w:val="1"/>
        <w:rPr>
          <w:rStyle w:val="31"/>
          <w:rFonts w:hint="default" w:ascii="Times New Roman" w:hAnsi="Times New Roman" w:eastAsia="黑体" w:cs="Times New Roman"/>
          <w:b w:val="0"/>
          <w:color w:val="auto"/>
          <w:highlight w:val="none"/>
        </w:rPr>
      </w:pPr>
      <w:bookmarkStart w:id="59" w:name="_Toc11967"/>
      <w:r>
        <w:rPr>
          <w:rStyle w:val="31"/>
          <w:rFonts w:hint="default" w:ascii="Times New Roman" w:hAnsi="Times New Roman" w:eastAsia="黑体" w:cs="Times New Roman"/>
          <w:b w:val="0"/>
          <w:color w:val="auto"/>
          <w:highlight w:val="none"/>
          <w:lang w:eastAsia="zh-CN"/>
        </w:rPr>
        <w:t>九、</w:t>
      </w:r>
      <w:r>
        <w:rPr>
          <w:rStyle w:val="31"/>
          <w:rFonts w:hint="default" w:ascii="Times New Roman" w:hAnsi="Times New Roman" w:eastAsia="黑体" w:cs="Times New Roman"/>
          <w:b w:val="0"/>
          <w:color w:val="auto"/>
          <w:highlight w:val="none"/>
        </w:rPr>
        <w:t>国有资本经营预算支出决算情况说明</w:t>
      </w:r>
      <w:bookmarkEnd w:id="57"/>
      <w:bookmarkEnd w:id="58"/>
      <w:bookmarkEnd w:id="59"/>
    </w:p>
    <w:p>
      <w:pPr>
        <w:keepNext w:val="0"/>
        <w:keepLines w:val="0"/>
        <w:pageBreakBefore w:val="0"/>
        <w:kinsoku/>
        <w:wordWrap/>
        <w:overflowPunct/>
        <w:topLinePunct w:val="0"/>
        <w:autoSpaceDE/>
        <w:autoSpaceDN/>
        <w:bidi w:val="0"/>
        <w:spacing w:line="560" w:lineRule="exact"/>
        <w:ind w:firstLine="640" w:firstLineChars="200"/>
        <w:textAlignment w:val="auto"/>
        <w:rPr>
          <w:rFonts w:hint="default" w:ascii="Times New Roman" w:hAnsi="Times New Roman" w:eastAsia="仿宋_GB2312" w:cs="Times New Roman"/>
          <w:color w:val="auto"/>
          <w:kern w:val="2"/>
          <w:sz w:val="32"/>
          <w:szCs w:val="32"/>
          <w:highlight w:val="none"/>
          <w:lang w:val="en-US" w:eastAsia="zh-CN" w:bidi="ar-SA"/>
        </w:rPr>
      </w:pPr>
      <w:r>
        <w:rPr>
          <w:rFonts w:hint="default" w:ascii="Times New Roman" w:hAnsi="Times New Roman" w:eastAsia="仿宋_GB2312" w:cs="Times New Roman"/>
          <w:color w:val="auto"/>
          <w:kern w:val="2"/>
          <w:sz w:val="32"/>
          <w:szCs w:val="32"/>
          <w:highlight w:val="none"/>
          <w:lang w:val="en-US" w:eastAsia="zh-CN" w:bidi="ar-SA"/>
        </w:rPr>
        <w:t>2024年度国有资本经营预算财政拨款支出</w:t>
      </w:r>
      <w:r>
        <w:rPr>
          <w:rFonts w:hint="default" w:ascii="Times New Roman" w:hAnsi="Times New Roman" w:eastAsia="仿宋_GB2312" w:cs="Times New Roman"/>
          <w:sz w:val="32"/>
          <w:szCs w:val="32"/>
        </w:rPr>
        <w:t>0</w:t>
      </w:r>
      <w:r>
        <w:rPr>
          <w:rFonts w:hint="default" w:ascii="Times New Roman" w:hAnsi="Times New Roman" w:eastAsia="仿宋_GB2312" w:cs="Times New Roman"/>
          <w:color w:val="auto"/>
          <w:kern w:val="2"/>
          <w:sz w:val="32"/>
          <w:szCs w:val="32"/>
          <w:highlight w:val="none"/>
          <w:lang w:val="en-US" w:eastAsia="zh-CN" w:bidi="ar-SA"/>
        </w:rPr>
        <w:t>万元，占本年支出合计的</w:t>
      </w:r>
      <w:r>
        <w:rPr>
          <w:rFonts w:hint="default" w:ascii="Times New Roman" w:hAnsi="Times New Roman" w:eastAsia="仿宋_GB2312" w:cs="Times New Roman"/>
          <w:sz w:val="32"/>
          <w:szCs w:val="32"/>
        </w:rPr>
        <w:t>0</w:t>
      </w:r>
      <w:r>
        <w:rPr>
          <w:rFonts w:hint="default" w:ascii="Times New Roman" w:hAnsi="Times New Roman" w:eastAsia="仿宋_GB2312" w:cs="Times New Roman"/>
          <w:color w:val="auto"/>
          <w:kern w:val="2"/>
          <w:sz w:val="32"/>
          <w:szCs w:val="32"/>
          <w:highlight w:val="none"/>
          <w:lang w:val="en-US" w:eastAsia="zh-CN" w:bidi="ar-SA"/>
        </w:rPr>
        <w:t>%。</w:t>
      </w:r>
    </w:p>
    <w:p>
      <w:pPr>
        <w:keepNext w:val="0"/>
        <w:keepLines w:val="0"/>
        <w:pageBreakBefore w:val="0"/>
        <w:numPr>
          <w:ilvl w:val="0"/>
          <w:numId w:val="0"/>
        </w:numPr>
        <w:kinsoku/>
        <w:wordWrap/>
        <w:overflowPunct/>
        <w:topLinePunct w:val="0"/>
        <w:autoSpaceDE/>
        <w:autoSpaceDN/>
        <w:bidi w:val="0"/>
        <w:spacing w:line="560" w:lineRule="exact"/>
        <w:ind w:firstLine="640" w:firstLineChars="200"/>
        <w:textAlignment w:val="auto"/>
        <w:outlineLvl w:val="1"/>
        <w:rPr>
          <w:rStyle w:val="31"/>
          <w:rFonts w:hint="default" w:ascii="Times New Roman" w:hAnsi="Times New Roman" w:eastAsia="黑体" w:cs="Times New Roman"/>
          <w:b w:val="0"/>
          <w:color w:val="auto"/>
          <w:highlight w:val="none"/>
          <w:lang w:eastAsia="zh-CN"/>
        </w:rPr>
      </w:pPr>
      <w:bookmarkStart w:id="60" w:name="_Toc13399"/>
      <w:bookmarkStart w:id="61" w:name="_Toc15396612"/>
      <w:bookmarkStart w:id="62" w:name="_Toc15377221"/>
    </w:p>
    <w:p>
      <w:pPr>
        <w:keepNext w:val="0"/>
        <w:keepLines w:val="0"/>
        <w:pageBreakBefore w:val="0"/>
        <w:numPr>
          <w:ilvl w:val="0"/>
          <w:numId w:val="0"/>
        </w:numPr>
        <w:kinsoku/>
        <w:wordWrap/>
        <w:overflowPunct/>
        <w:topLinePunct w:val="0"/>
        <w:autoSpaceDE/>
        <w:autoSpaceDN/>
        <w:bidi w:val="0"/>
        <w:spacing w:line="560" w:lineRule="exact"/>
        <w:ind w:firstLine="640" w:firstLineChars="200"/>
        <w:textAlignment w:val="auto"/>
        <w:outlineLvl w:val="1"/>
        <w:rPr>
          <w:rStyle w:val="31"/>
          <w:rFonts w:hint="default" w:ascii="Times New Roman" w:hAnsi="Times New Roman" w:eastAsia="黑体" w:cs="Times New Roman"/>
          <w:b w:val="0"/>
          <w:color w:val="auto"/>
          <w:highlight w:val="none"/>
        </w:rPr>
      </w:pPr>
      <w:r>
        <w:rPr>
          <w:rStyle w:val="31"/>
          <w:rFonts w:hint="default" w:ascii="Times New Roman" w:hAnsi="Times New Roman" w:eastAsia="黑体" w:cs="Times New Roman"/>
          <w:b w:val="0"/>
          <w:color w:val="auto"/>
          <w:highlight w:val="none"/>
          <w:lang w:eastAsia="zh-CN"/>
        </w:rPr>
        <w:t>十、</w:t>
      </w:r>
      <w:r>
        <w:rPr>
          <w:rStyle w:val="31"/>
          <w:rFonts w:hint="default" w:ascii="Times New Roman" w:hAnsi="Times New Roman" w:eastAsia="黑体" w:cs="Times New Roman"/>
          <w:b w:val="0"/>
          <w:color w:val="auto"/>
          <w:highlight w:val="none"/>
        </w:rPr>
        <w:t>其他重要事项的情况说明</w:t>
      </w:r>
      <w:bookmarkEnd w:id="60"/>
      <w:bookmarkEnd w:id="61"/>
      <w:bookmarkEnd w:id="62"/>
    </w:p>
    <w:p>
      <w:pPr>
        <w:keepNext w:val="0"/>
        <w:keepLines w:val="0"/>
        <w:pageBreakBefore w:val="0"/>
        <w:kinsoku/>
        <w:wordWrap/>
        <w:overflowPunct/>
        <w:topLinePunct w:val="0"/>
        <w:autoSpaceDE/>
        <w:autoSpaceDN/>
        <w:bidi w:val="0"/>
        <w:spacing w:line="560" w:lineRule="exact"/>
        <w:ind w:firstLine="642" w:firstLineChars="200"/>
        <w:textAlignment w:val="auto"/>
        <w:outlineLvl w:val="9"/>
        <w:rPr>
          <w:rFonts w:hint="default" w:ascii="Times New Roman" w:hAnsi="Times New Roman" w:eastAsia="楷体_GB2312" w:cs="Times New Roman"/>
          <w:b/>
          <w:color w:val="auto"/>
          <w:sz w:val="32"/>
          <w:szCs w:val="32"/>
          <w:highlight w:val="none"/>
        </w:rPr>
      </w:pPr>
      <w:bookmarkStart w:id="63" w:name="_Toc15377222"/>
      <w:r>
        <w:rPr>
          <w:rFonts w:hint="default" w:ascii="Times New Roman" w:hAnsi="Times New Roman" w:eastAsia="楷体_GB2312" w:cs="Times New Roman"/>
          <w:b/>
          <w:color w:val="auto"/>
          <w:sz w:val="32"/>
          <w:szCs w:val="32"/>
          <w:highlight w:val="none"/>
        </w:rPr>
        <w:t>（一）机关运行经费支出情况</w:t>
      </w:r>
      <w:bookmarkEnd w:id="63"/>
    </w:p>
    <w:p>
      <w:pPr>
        <w:spacing w:line="600" w:lineRule="exact"/>
        <w:ind w:firstLine="640"/>
        <w:rPr>
          <w:rFonts w:hint="default" w:ascii="Times New Roman" w:hAnsi="Times New Roman" w:eastAsia="仿宋_GB2312" w:cs="Times New Roman"/>
          <w:color w:val="auto"/>
          <w:kern w:val="2"/>
          <w:sz w:val="32"/>
          <w:szCs w:val="32"/>
          <w:highlight w:val="none"/>
          <w:lang w:val="en-US" w:eastAsia="zh-CN" w:bidi="ar-SA"/>
        </w:rPr>
      </w:pPr>
      <w:r>
        <w:rPr>
          <w:rFonts w:hint="default" w:ascii="Times New Roman" w:hAnsi="Times New Roman" w:eastAsia="仿宋_GB2312" w:cs="Times New Roman"/>
          <w:color w:val="auto"/>
          <w:kern w:val="2"/>
          <w:sz w:val="32"/>
          <w:szCs w:val="32"/>
          <w:highlight w:val="none"/>
          <w:lang w:val="en-US" w:eastAsia="zh-CN" w:bidi="ar-SA"/>
        </w:rPr>
        <w:t>2024年度，</w:t>
      </w:r>
      <w:r>
        <w:rPr>
          <w:rFonts w:hint="default" w:ascii="Times New Roman" w:hAnsi="Times New Roman" w:eastAsia="仿宋_GB2312" w:cs="Times New Roman"/>
          <w:sz w:val="32"/>
          <w:szCs w:val="32"/>
        </w:rPr>
        <w:t>四川省企业发展促进中心</w:t>
      </w:r>
      <w:r>
        <w:rPr>
          <w:rFonts w:hint="default" w:ascii="Times New Roman" w:hAnsi="Times New Roman" w:eastAsia="仿宋_GB2312" w:cs="Times New Roman"/>
          <w:color w:val="auto"/>
          <w:kern w:val="2"/>
          <w:sz w:val="32"/>
          <w:szCs w:val="32"/>
          <w:highlight w:val="none"/>
          <w:lang w:val="en-US" w:eastAsia="zh-CN" w:bidi="ar-SA"/>
        </w:rPr>
        <w:t>机关运行经费支出</w:t>
      </w:r>
      <w:r>
        <w:rPr>
          <w:rFonts w:hint="default" w:ascii="Times New Roman" w:hAnsi="Times New Roman" w:eastAsia="仿宋_GB2312" w:cs="Times New Roman"/>
          <w:sz w:val="32"/>
          <w:szCs w:val="32"/>
        </w:rPr>
        <w:t>0</w:t>
      </w:r>
      <w:r>
        <w:rPr>
          <w:rFonts w:hint="default" w:ascii="Times New Roman" w:hAnsi="Times New Roman" w:eastAsia="仿宋_GB2312" w:cs="Times New Roman"/>
          <w:color w:val="auto"/>
          <w:kern w:val="2"/>
          <w:sz w:val="32"/>
          <w:szCs w:val="32"/>
          <w:highlight w:val="none"/>
          <w:lang w:val="en-US" w:eastAsia="zh-CN" w:bidi="ar-SA"/>
        </w:rPr>
        <w:t>万元，</w:t>
      </w:r>
      <w:r>
        <w:rPr>
          <w:rFonts w:hint="default" w:ascii="Times New Roman" w:hAnsi="Times New Roman" w:eastAsia="仿宋_GB2312" w:cs="Times New Roman"/>
          <w:b w:val="0"/>
          <w:bCs w:val="0"/>
          <w:sz w:val="32"/>
          <w:szCs w:val="32"/>
        </w:rPr>
        <w:t>比202</w:t>
      </w:r>
      <w:r>
        <w:rPr>
          <w:rFonts w:hint="default" w:ascii="Times New Roman" w:hAnsi="Times New Roman" w:eastAsia="仿宋_GB2312" w:cs="Times New Roman"/>
          <w:b w:val="0"/>
          <w:bCs w:val="0"/>
          <w:sz w:val="32"/>
          <w:szCs w:val="32"/>
          <w:lang w:val="en-US" w:eastAsia="zh-CN"/>
        </w:rPr>
        <w:t>3</w:t>
      </w:r>
      <w:r>
        <w:rPr>
          <w:rFonts w:hint="default" w:ascii="Times New Roman" w:hAnsi="Times New Roman" w:eastAsia="仿宋_GB2312" w:cs="Times New Roman"/>
          <w:b w:val="0"/>
          <w:bCs w:val="0"/>
          <w:sz w:val="32"/>
          <w:szCs w:val="32"/>
        </w:rPr>
        <w:t>年增加/减少</w:t>
      </w:r>
      <w:r>
        <w:rPr>
          <w:rFonts w:hint="default" w:ascii="Times New Roman" w:hAnsi="Times New Roman" w:eastAsia="仿宋_GB2312" w:cs="Times New Roman"/>
          <w:b w:val="0"/>
          <w:bCs w:val="0"/>
          <w:sz w:val="32"/>
          <w:szCs w:val="32"/>
          <w:lang w:val="en-US" w:eastAsia="zh-CN"/>
        </w:rPr>
        <w:t>0</w:t>
      </w:r>
      <w:r>
        <w:rPr>
          <w:rFonts w:hint="default" w:ascii="Times New Roman" w:hAnsi="Times New Roman" w:eastAsia="仿宋_GB2312" w:cs="Times New Roman"/>
          <w:b w:val="0"/>
          <w:bCs w:val="0"/>
          <w:sz w:val="32"/>
          <w:szCs w:val="32"/>
        </w:rPr>
        <w:t>万元</w:t>
      </w:r>
      <w:r>
        <w:rPr>
          <w:rFonts w:hint="default" w:ascii="Times New Roman" w:hAnsi="Times New Roman" w:eastAsia="仿宋_GB2312" w:cs="Times New Roman"/>
          <w:sz w:val="32"/>
          <w:szCs w:val="32"/>
        </w:rPr>
        <w:t>，增长/下降</w:t>
      </w:r>
      <w:r>
        <w:rPr>
          <w:rFonts w:hint="default" w:ascii="Times New Roman" w:hAnsi="Times New Roman" w:eastAsia="仿宋_GB2312" w:cs="Times New Roman"/>
          <w:sz w:val="32"/>
          <w:szCs w:val="32"/>
          <w:lang w:val="en-US" w:eastAsia="zh-CN"/>
        </w:rPr>
        <w:t>0</w:t>
      </w:r>
      <w:r>
        <w:rPr>
          <w:rFonts w:hint="default" w:ascii="Times New Roman" w:hAnsi="Times New Roman" w:eastAsia="仿宋_GB2312" w:cs="Times New Roman"/>
          <w:sz w:val="32"/>
          <w:szCs w:val="32"/>
        </w:rPr>
        <w:t>%。</w:t>
      </w:r>
      <w:r>
        <w:rPr>
          <w:rFonts w:hint="default" w:ascii="Times New Roman" w:hAnsi="Times New Roman" w:eastAsia="仿宋_GB2312" w:cs="Times New Roman"/>
          <w:b w:val="0"/>
          <w:bCs/>
          <w:sz w:val="32"/>
          <w:szCs w:val="32"/>
          <w:lang w:val="en-US" w:eastAsia="zh-CN"/>
        </w:rPr>
        <w:t>与2023年持平。</w:t>
      </w:r>
    </w:p>
    <w:p>
      <w:pPr>
        <w:keepNext w:val="0"/>
        <w:keepLines w:val="0"/>
        <w:pageBreakBefore w:val="0"/>
        <w:kinsoku/>
        <w:wordWrap/>
        <w:overflowPunct/>
        <w:topLinePunct w:val="0"/>
        <w:autoSpaceDE/>
        <w:autoSpaceDN/>
        <w:bidi w:val="0"/>
        <w:spacing w:line="560" w:lineRule="exact"/>
        <w:ind w:firstLine="642" w:firstLineChars="200"/>
        <w:textAlignment w:val="auto"/>
        <w:outlineLvl w:val="9"/>
        <w:rPr>
          <w:rFonts w:hint="default" w:ascii="Times New Roman" w:hAnsi="Times New Roman" w:eastAsia="楷体_GB2312" w:cs="Times New Roman"/>
          <w:b/>
          <w:color w:val="auto"/>
          <w:sz w:val="32"/>
          <w:szCs w:val="32"/>
          <w:highlight w:val="none"/>
        </w:rPr>
      </w:pPr>
      <w:bookmarkStart w:id="64" w:name="_Toc15377223"/>
      <w:r>
        <w:rPr>
          <w:rFonts w:hint="default" w:ascii="Times New Roman" w:hAnsi="Times New Roman" w:eastAsia="楷体_GB2312" w:cs="Times New Roman"/>
          <w:b/>
          <w:color w:val="auto"/>
          <w:sz w:val="32"/>
          <w:szCs w:val="32"/>
          <w:highlight w:val="none"/>
        </w:rPr>
        <w:t>（二）政府采购支出情况</w:t>
      </w:r>
      <w:bookmarkEnd w:id="64"/>
    </w:p>
    <w:p>
      <w:pPr>
        <w:keepNext w:val="0"/>
        <w:keepLines w:val="0"/>
        <w:pageBreakBefore w:val="0"/>
        <w:kinsoku/>
        <w:wordWrap/>
        <w:overflowPunct/>
        <w:topLinePunct w:val="0"/>
        <w:autoSpaceDE/>
        <w:autoSpaceDN/>
        <w:bidi w:val="0"/>
        <w:spacing w:line="560" w:lineRule="exact"/>
        <w:ind w:firstLine="640" w:firstLineChars="200"/>
        <w:textAlignment w:val="auto"/>
        <w:rPr>
          <w:rFonts w:hint="default" w:ascii="Times New Roman" w:hAnsi="Times New Roman" w:eastAsia="仿宋_GB2312" w:cs="Times New Roman"/>
          <w:color w:val="auto"/>
          <w:kern w:val="2"/>
          <w:sz w:val="32"/>
          <w:szCs w:val="32"/>
          <w:highlight w:val="none"/>
          <w:lang w:val="en-US" w:eastAsia="zh-CN" w:bidi="ar-SA"/>
        </w:rPr>
      </w:pPr>
      <w:r>
        <w:rPr>
          <w:rFonts w:hint="default" w:ascii="Times New Roman" w:hAnsi="Times New Roman" w:eastAsia="仿宋_GB2312" w:cs="Times New Roman"/>
          <w:color w:val="auto"/>
          <w:kern w:val="2"/>
          <w:sz w:val="32"/>
          <w:szCs w:val="32"/>
          <w:highlight w:val="none"/>
          <w:lang w:val="en-US" w:eastAsia="zh-CN" w:bidi="ar-SA"/>
        </w:rPr>
        <w:t>2024年度，</w:t>
      </w:r>
      <w:r>
        <w:rPr>
          <w:rFonts w:hint="default" w:ascii="Times New Roman" w:hAnsi="Times New Roman" w:eastAsia="仿宋_GB2312" w:cs="Times New Roman"/>
          <w:sz w:val="32"/>
          <w:szCs w:val="32"/>
        </w:rPr>
        <w:t>四川省企业发展促进中心</w:t>
      </w:r>
      <w:r>
        <w:rPr>
          <w:rFonts w:hint="default" w:ascii="Times New Roman" w:hAnsi="Times New Roman" w:eastAsia="仿宋_GB2312" w:cs="Times New Roman"/>
          <w:color w:val="auto"/>
          <w:kern w:val="2"/>
          <w:sz w:val="32"/>
          <w:szCs w:val="32"/>
          <w:highlight w:val="none"/>
          <w:lang w:val="en-US" w:eastAsia="zh-CN" w:bidi="ar-SA"/>
        </w:rPr>
        <w:t>政府采购支出总额</w:t>
      </w:r>
      <w:r>
        <w:rPr>
          <w:rFonts w:hint="default" w:ascii="Times New Roman" w:hAnsi="Times New Roman" w:eastAsia="仿宋_GB2312" w:cs="Times New Roman"/>
          <w:sz w:val="32"/>
          <w:szCs w:val="32"/>
        </w:rPr>
        <w:t>12.24</w:t>
      </w:r>
      <w:r>
        <w:rPr>
          <w:rFonts w:hint="default" w:ascii="Times New Roman" w:hAnsi="Times New Roman" w:eastAsia="仿宋_GB2312" w:cs="Times New Roman"/>
          <w:color w:val="auto"/>
          <w:kern w:val="2"/>
          <w:sz w:val="32"/>
          <w:szCs w:val="32"/>
          <w:highlight w:val="none"/>
          <w:lang w:val="en-US" w:eastAsia="zh-CN" w:bidi="ar-SA"/>
        </w:rPr>
        <w:t>万元，其中：政府采购货物支出</w:t>
      </w:r>
      <w:r>
        <w:rPr>
          <w:rFonts w:hint="default" w:ascii="Times New Roman" w:hAnsi="Times New Roman" w:eastAsia="仿宋_GB2312" w:cs="Times New Roman"/>
          <w:sz w:val="32"/>
          <w:szCs w:val="32"/>
        </w:rPr>
        <w:t>11.81</w:t>
      </w:r>
      <w:r>
        <w:rPr>
          <w:rFonts w:hint="default" w:ascii="Times New Roman" w:hAnsi="Times New Roman" w:eastAsia="仿宋_GB2312" w:cs="Times New Roman"/>
          <w:color w:val="auto"/>
          <w:kern w:val="2"/>
          <w:sz w:val="32"/>
          <w:szCs w:val="32"/>
          <w:highlight w:val="none"/>
          <w:lang w:val="en-US" w:eastAsia="zh-CN" w:bidi="ar-SA"/>
        </w:rPr>
        <w:t>万元、政府采购工程支出</w:t>
      </w:r>
      <w:r>
        <w:rPr>
          <w:rFonts w:hint="default" w:ascii="Times New Roman" w:hAnsi="Times New Roman" w:eastAsia="仿宋_GB2312" w:cs="Times New Roman"/>
          <w:sz w:val="32"/>
          <w:szCs w:val="32"/>
        </w:rPr>
        <w:t>0</w:t>
      </w:r>
      <w:r>
        <w:rPr>
          <w:rFonts w:hint="default" w:ascii="Times New Roman" w:hAnsi="Times New Roman" w:eastAsia="仿宋_GB2312" w:cs="Times New Roman"/>
          <w:color w:val="auto"/>
          <w:kern w:val="2"/>
          <w:sz w:val="32"/>
          <w:szCs w:val="32"/>
          <w:highlight w:val="none"/>
          <w:lang w:val="en-US" w:eastAsia="zh-CN" w:bidi="ar-SA"/>
        </w:rPr>
        <w:t>万元、政府采购服务支出</w:t>
      </w:r>
      <w:r>
        <w:rPr>
          <w:rFonts w:hint="default" w:ascii="Times New Roman" w:hAnsi="Times New Roman" w:eastAsia="仿宋_GB2312" w:cs="Times New Roman"/>
          <w:sz w:val="32"/>
          <w:szCs w:val="32"/>
        </w:rPr>
        <w:t>0.43</w:t>
      </w:r>
      <w:r>
        <w:rPr>
          <w:rFonts w:hint="default" w:ascii="Times New Roman" w:hAnsi="Times New Roman" w:eastAsia="仿宋_GB2312" w:cs="Times New Roman"/>
          <w:color w:val="auto"/>
          <w:kern w:val="2"/>
          <w:sz w:val="32"/>
          <w:szCs w:val="32"/>
          <w:highlight w:val="none"/>
          <w:lang w:val="en-US" w:eastAsia="zh-CN" w:bidi="ar-SA"/>
        </w:rPr>
        <w:t>万元。主要用于</w:t>
      </w:r>
      <w:r>
        <w:rPr>
          <w:rFonts w:hint="default" w:ascii="Times New Roman" w:hAnsi="Times New Roman" w:eastAsia="仿宋_GB2312" w:cs="Times New Roman"/>
          <w:b w:val="0"/>
          <w:bCs w:val="0"/>
          <w:sz w:val="32"/>
          <w:szCs w:val="32"/>
          <w:lang w:val="en-US" w:eastAsia="zh-CN"/>
        </w:rPr>
        <w:t>采购多功能一体机、计算机、液晶显示器、公车保险、公车油费、公车维修保养支出</w:t>
      </w:r>
      <w:r>
        <w:rPr>
          <w:rFonts w:hint="default" w:ascii="Times New Roman" w:hAnsi="Times New Roman" w:eastAsia="仿宋_GB2312" w:cs="Times New Roman"/>
          <w:color w:val="auto"/>
          <w:kern w:val="2"/>
          <w:sz w:val="32"/>
          <w:szCs w:val="32"/>
          <w:highlight w:val="none"/>
          <w:lang w:val="en-US" w:eastAsia="zh-CN" w:bidi="ar-SA"/>
        </w:rPr>
        <w:t>。授予中小企业合同金额</w:t>
      </w:r>
      <w:r>
        <w:rPr>
          <w:rFonts w:hint="default" w:ascii="Times New Roman" w:hAnsi="Times New Roman" w:eastAsia="仿宋_GB2312" w:cs="Times New Roman"/>
          <w:sz w:val="32"/>
          <w:szCs w:val="32"/>
        </w:rPr>
        <w:t>10.64</w:t>
      </w:r>
      <w:r>
        <w:rPr>
          <w:rFonts w:hint="default" w:ascii="Times New Roman" w:hAnsi="Times New Roman" w:eastAsia="仿宋_GB2312" w:cs="Times New Roman"/>
          <w:color w:val="auto"/>
          <w:kern w:val="2"/>
          <w:sz w:val="32"/>
          <w:szCs w:val="32"/>
          <w:highlight w:val="none"/>
          <w:lang w:val="en-US" w:eastAsia="zh-CN" w:bidi="ar-SA"/>
        </w:rPr>
        <w:t>万元，占政府采购支出总额的</w:t>
      </w:r>
      <w:r>
        <w:rPr>
          <w:rFonts w:hint="default" w:ascii="Times New Roman" w:hAnsi="Times New Roman" w:eastAsia="仿宋_GB2312" w:cs="Times New Roman"/>
          <w:sz w:val="32"/>
          <w:szCs w:val="32"/>
        </w:rPr>
        <w:t>86.</w:t>
      </w:r>
      <w:r>
        <w:rPr>
          <w:rFonts w:hint="default" w:ascii="Times New Roman" w:hAnsi="Times New Roman" w:eastAsia="仿宋_GB2312" w:cs="Times New Roman"/>
          <w:sz w:val="32"/>
          <w:szCs w:val="32"/>
          <w:lang w:val="en-US" w:eastAsia="zh-CN"/>
        </w:rPr>
        <w:t>9</w:t>
      </w:r>
      <w:r>
        <w:rPr>
          <w:rFonts w:hint="default" w:ascii="Times New Roman" w:hAnsi="Times New Roman" w:eastAsia="仿宋_GB2312" w:cs="Times New Roman"/>
          <w:color w:val="auto"/>
          <w:kern w:val="2"/>
          <w:sz w:val="32"/>
          <w:szCs w:val="32"/>
          <w:highlight w:val="none"/>
          <w:lang w:val="en-US" w:eastAsia="zh-CN" w:bidi="ar-SA"/>
        </w:rPr>
        <w:t>%，其中：授予小微企业合同金额</w:t>
      </w:r>
      <w:r>
        <w:rPr>
          <w:rFonts w:hint="default" w:ascii="Times New Roman" w:hAnsi="Times New Roman" w:eastAsia="仿宋_GB2312" w:cs="Times New Roman"/>
          <w:sz w:val="32"/>
          <w:szCs w:val="32"/>
        </w:rPr>
        <w:t>0</w:t>
      </w:r>
      <w:r>
        <w:rPr>
          <w:rFonts w:hint="default" w:ascii="Times New Roman" w:hAnsi="Times New Roman" w:eastAsia="仿宋_GB2312" w:cs="Times New Roman"/>
          <w:color w:val="auto"/>
          <w:kern w:val="2"/>
          <w:sz w:val="32"/>
          <w:szCs w:val="32"/>
          <w:highlight w:val="none"/>
          <w:lang w:val="en-US" w:eastAsia="zh-CN" w:bidi="ar-SA"/>
        </w:rPr>
        <w:t>万元，占政府采购支出总额的</w:t>
      </w:r>
      <w:r>
        <w:rPr>
          <w:rFonts w:hint="default" w:ascii="Times New Roman" w:hAnsi="Times New Roman" w:eastAsia="仿宋_GB2312" w:cs="Times New Roman"/>
          <w:sz w:val="32"/>
          <w:szCs w:val="32"/>
        </w:rPr>
        <w:t>0</w:t>
      </w:r>
      <w:r>
        <w:rPr>
          <w:rFonts w:hint="default" w:ascii="Times New Roman" w:hAnsi="Times New Roman" w:eastAsia="仿宋_GB2312" w:cs="Times New Roman"/>
          <w:color w:val="auto"/>
          <w:kern w:val="2"/>
          <w:sz w:val="32"/>
          <w:szCs w:val="32"/>
          <w:highlight w:val="none"/>
          <w:lang w:val="en-US" w:eastAsia="zh-CN" w:bidi="ar-SA"/>
        </w:rPr>
        <w:t>%。</w:t>
      </w:r>
    </w:p>
    <w:p>
      <w:pPr>
        <w:keepNext w:val="0"/>
        <w:keepLines w:val="0"/>
        <w:pageBreakBefore w:val="0"/>
        <w:kinsoku/>
        <w:wordWrap/>
        <w:overflowPunct/>
        <w:topLinePunct w:val="0"/>
        <w:autoSpaceDE/>
        <w:autoSpaceDN/>
        <w:bidi w:val="0"/>
        <w:spacing w:line="560" w:lineRule="exact"/>
        <w:ind w:firstLine="642" w:firstLineChars="200"/>
        <w:textAlignment w:val="auto"/>
        <w:outlineLvl w:val="9"/>
        <w:rPr>
          <w:rFonts w:hint="default" w:ascii="Times New Roman" w:hAnsi="Times New Roman" w:eastAsia="楷体_GB2312" w:cs="Times New Roman"/>
          <w:b/>
          <w:color w:val="auto"/>
          <w:sz w:val="32"/>
          <w:szCs w:val="32"/>
          <w:highlight w:val="none"/>
        </w:rPr>
      </w:pPr>
      <w:bookmarkStart w:id="65" w:name="_Toc15377224"/>
      <w:r>
        <w:rPr>
          <w:rFonts w:hint="default" w:ascii="Times New Roman" w:hAnsi="Times New Roman" w:eastAsia="楷体_GB2312" w:cs="Times New Roman"/>
          <w:b/>
          <w:color w:val="auto"/>
          <w:sz w:val="32"/>
          <w:szCs w:val="32"/>
          <w:highlight w:val="none"/>
        </w:rPr>
        <w:t>（三）国有资产占有使用情况</w:t>
      </w:r>
      <w:bookmarkEnd w:id="65"/>
    </w:p>
    <w:p>
      <w:pPr>
        <w:autoSpaceDE w:val="0"/>
        <w:autoSpaceDN w:val="0"/>
        <w:adjustRightInd w:val="0"/>
        <w:spacing w:line="600" w:lineRule="exact"/>
        <w:ind w:firstLine="640" w:firstLineChars="200"/>
        <w:jc w:val="left"/>
        <w:rPr>
          <w:rFonts w:hint="default" w:ascii="Times New Roman" w:hAnsi="Times New Roman" w:eastAsia="仿宋_GB2312" w:cs="Times New Roman"/>
          <w:color w:val="auto"/>
          <w:kern w:val="2"/>
          <w:sz w:val="32"/>
          <w:szCs w:val="32"/>
          <w:highlight w:val="none"/>
          <w:lang w:val="en-US" w:eastAsia="zh-CN" w:bidi="ar-SA"/>
        </w:rPr>
      </w:pPr>
      <w:r>
        <w:rPr>
          <w:rFonts w:hint="default" w:ascii="Times New Roman" w:hAnsi="Times New Roman" w:eastAsia="仿宋_GB2312" w:cs="Times New Roman"/>
          <w:color w:val="auto"/>
          <w:kern w:val="2"/>
          <w:sz w:val="32"/>
          <w:szCs w:val="32"/>
          <w:highlight w:val="none"/>
          <w:lang w:val="en-US" w:eastAsia="zh-CN" w:bidi="ar-SA"/>
        </w:rPr>
        <w:t>截至2024年12月31日，</w:t>
      </w:r>
      <w:r>
        <w:rPr>
          <w:rFonts w:hint="default" w:ascii="Times New Roman" w:hAnsi="Times New Roman" w:eastAsia="仿宋_GB2312" w:cs="Times New Roman"/>
          <w:sz w:val="32"/>
          <w:szCs w:val="32"/>
        </w:rPr>
        <w:t>四川省企业发展促进中心</w:t>
      </w:r>
      <w:r>
        <w:rPr>
          <w:rFonts w:hint="default" w:ascii="Times New Roman" w:hAnsi="Times New Roman" w:eastAsia="仿宋_GB2312" w:cs="Times New Roman"/>
          <w:color w:val="auto"/>
          <w:kern w:val="2"/>
          <w:sz w:val="32"/>
          <w:szCs w:val="32"/>
          <w:highlight w:val="none"/>
          <w:lang w:val="en-US" w:eastAsia="zh-CN" w:bidi="ar-SA"/>
        </w:rPr>
        <w:t>共有车辆</w:t>
      </w:r>
      <w:r>
        <w:rPr>
          <w:rFonts w:hint="default" w:ascii="Times New Roman" w:hAnsi="Times New Roman" w:eastAsia="仿宋_GB2312" w:cs="Times New Roman"/>
          <w:sz w:val="32"/>
          <w:szCs w:val="32"/>
        </w:rPr>
        <w:t>1</w:t>
      </w:r>
      <w:r>
        <w:rPr>
          <w:rFonts w:hint="default" w:ascii="Times New Roman" w:hAnsi="Times New Roman" w:eastAsia="仿宋_GB2312" w:cs="Times New Roman"/>
          <w:color w:val="auto"/>
          <w:kern w:val="2"/>
          <w:sz w:val="32"/>
          <w:szCs w:val="32"/>
          <w:highlight w:val="none"/>
          <w:lang w:val="en-US" w:eastAsia="zh-CN" w:bidi="ar-SA"/>
        </w:rPr>
        <w:t>辆，其中：主要负责人用车</w:t>
      </w:r>
      <w:r>
        <w:rPr>
          <w:rFonts w:hint="default" w:ascii="Times New Roman" w:hAnsi="Times New Roman" w:eastAsia="仿宋_GB2312" w:cs="Times New Roman"/>
          <w:sz w:val="32"/>
          <w:szCs w:val="32"/>
        </w:rPr>
        <w:t>0</w:t>
      </w:r>
      <w:r>
        <w:rPr>
          <w:rFonts w:hint="default" w:ascii="Times New Roman" w:hAnsi="Times New Roman" w:eastAsia="仿宋_GB2312" w:cs="Times New Roman"/>
          <w:color w:val="auto"/>
          <w:kern w:val="2"/>
          <w:sz w:val="32"/>
          <w:szCs w:val="32"/>
          <w:highlight w:val="none"/>
          <w:lang w:val="en-US" w:eastAsia="zh-CN" w:bidi="ar-SA"/>
        </w:rPr>
        <w:t>辆、机要通信用车</w:t>
      </w:r>
      <w:r>
        <w:rPr>
          <w:rFonts w:hint="default" w:ascii="Times New Roman" w:hAnsi="Times New Roman" w:eastAsia="仿宋_GB2312" w:cs="Times New Roman"/>
          <w:sz w:val="32"/>
          <w:szCs w:val="32"/>
        </w:rPr>
        <w:t>0</w:t>
      </w:r>
      <w:r>
        <w:rPr>
          <w:rFonts w:hint="default" w:ascii="Times New Roman" w:hAnsi="Times New Roman" w:eastAsia="仿宋_GB2312" w:cs="Times New Roman"/>
          <w:color w:val="auto"/>
          <w:kern w:val="2"/>
          <w:sz w:val="32"/>
          <w:szCs w:val="32"/>
          <w:highlight w:val="none"/>
          <w:lang w:val="en-US" w:eastAsia="zh-CN" w:bidi="ar-SA"/>
        </w:rPr>
        <w:t>辆、应急保障用车</w:t>
      </w:r>
      <w:r>
        <w:rPr>
          <w:rFonts w:hint="default" w:ascii="Times New Roman" w:hAnsi="Times New Roman" w:eastAsia="仿宋_GB2312" w:cs="Times New Roman"/>
          <w:sz w:val="32"/>
          <w:szCs w:val="32"/>
        </w:rPr>
        <w:t>0</w:t>
      </w:r>
      <w:r>
        <w:rPr>
          <w:rFonts w:hint="default" w:ascii="Times New Roman" w:hAnsi="Times New Roman" w:eastAsia="仿宋_GB2312" w:cs="Times New Roman"/>
          <w:color w:val="auto"/>
          <w:kern w:val="2"/>
          <w:sz w:val="32"/>
          <w:szCs w:val="32"/>
          <w:highlight w:val="none"/>
          <w:lang w:val="en-US" w:eastAsia="zh-CN" w:bidi="ar-SA"/>
        </w:rPr>
        <w:t>辆、其他用车</w:t>
      </w:r>
      <w:r>
        <w:rPr>
          <w:rFonts w:hint="default" w:ascii="Times New Roman" w:hAnsi="Times New Roman" w:eastAsia="仿宋_GB2312" w:cs="Times New Roman"/>
          <w:sz w:val="32"/>
          <w:szCs w:val="32"/>
        </w:rPr>
        <w:t>1</w:t>
      </w:r>
      <w:r>
        <w:rPr>
          <w:rFonts w:hint="default" w:ascii="Times New Roman" w:hAnsi="Times New Roman" w:eastAsia="仿宋_GB2312" w:cs="Times New Roman"/>
          <w:color w:val="auto"/>
          <w:kern w:val="2"/>
          <w:sz w:val="32"/>
          <w:szCs w:val="32"/>
          <w:highlight w:val="none"/>
          <w:lang w:val="en-US" w:eastAsia="zh-CN" w:bidi="ar-SA"/>
        </w:rPr>
        <w:t>辆，其他用车主要是用于</w:t>
      </w:r>
      <w:bookmarkStart w:id="87" w:name="_GoBack"/>
      <w:bookmarkEnd w:id="87"/>
      <w:r>
        <w:rPr>
          <w:rFonts w:hint="default" w:ascii="Times New Roman" w:hAnsi="Times New Roman" w:eastAsia="仿宋_GB2312" w:cs="Times New Roman"/>
          <w:b w:val="0"/>
          <w:bCs w:val="0"/>
          <w:color w:val="auto"/>
          <w:sz w:val="32"/>
          <w:szCs w:val="32"/>
          <w:highlight w:val="none"/>
          <w:lang w:val="en-US" w:eastAsia="zh-CN"/>
        </w:rPr>
        <w:t>走访企业、市州调研、考察等开展业务工作</w:t>
      </w:r>
      <w:r>
        <w:rPr>
          <w:rFonts w:hint="default" w:ascii="Times New Roman" w:hAnsi="Times New Roman" w:eastAsia="仿宋_GB2312" w:cs="Times New Roman"/>
          <w:b w:val="0"/>
          <w:bCs w:val="0"/>
          <w:sz w:val="32"/>
          <w:szCs w:val="32"/>
        </w:rPr>
        <w:t>。单价100万元</w:t>
      </w:r>
      <w:r>
        <w:rPr>
          <w:rFonts w:hint="eastAsia" w:eastAsia="仿宋_GB2312" w:cs="Times New Roman"/>
          <w:b w:val="0"/>
          <w:bCs w:val="0"/>
          <w:sz w:val="32"/>
          <w:szCs w:val="32"/>
          <w:lang w:eastAsia="zh-CN"/>
        </w:rPr>
        <w:t>（含）</w:t>
      </w:r>
      <w:r>
        <w:rPr>
          <w:rFonts w:hint="default" w:ascii="Times New Roman" w:hAnsi="Times New Roman" w:eastAsia="仿宋_GB2312" w:cs="Times New Roman"/>
          <w:b w:val="0"/>
          <w:bCs w:val="0"/>
          <w:sz w:val="32"/>
          <w:szCs w:val="32"/>
        </w:rPr>
        <w:t>以上设备（不含车辆）0台（套）。</w:t>
      </w:r>
    </w:p>
    <w:p>
      <w:pPr>
        <w:keepNext w:val="0"/>
        <w:keepLines w:val="0"/>
        <w:pageBreakBefore w:val="0"/>
        <w:kinsoku/>
        <w:wordWrap/>
        <w:overflowPunct/>
        <w:topLinePunct w:val="0"/>
        <w:autoSpaceDE/>
        <w:autoSpaceDN/>
        <w:bidi w:val="0"/>
        <w:spacing w:line="560" w:lineRule="exact"/>
        <w:ind w:firstLine="642" w:firstLineChars="200"/>
        <w:textAlignment w:val="auto"/>
        <w:outlineLvl w:val="9"/>
        <w:rPr>
          <w:rFonts w:hint="default" w:ascii="Times New Roman" w:hAnsi="Times New Roman" w:eastAsia="楷体_GB2312" w:cs="Times New Roman"/>
          <w:b/>
          <w:color w:val="auto"/>
          <w:sz w:val="32"/>
          <w:szCs w:val="32"/>
          <w:highlight w:val="none"/>
        </w:rPr>
      </w:pPr>
      <w:r>
        <w:rPr>
          <w:rFonts w:hint="default" w:ascii="Times New Roman" w:hAnsi="Times New Roman" w:eastAsia="楷体_GB2312" w:cs="Times New Roman"/>
          <w:b/>
          <w:color w:val="auto"/>
          <w:sz w:val="32"/>
          <w:szCs w:val="32"/>
          <w:highlight w:val="none"/>
        </w:rPr>
        <w:t>（四）预算绩效管理情况</w:t>
      </w:r>
    </w:p>
    <w:p>
      <w:pPr>
        <w:spacing w:line="600" w:lineRule="exact"/>
        <w:ind w:firstLine="640" w:firstLineChars="200"/>
        <w:rPr>
          <w:rFonts w:hint="eastAsia" w:ascii="Times New Roman" w:hAnsi="Times New Roman" w:eastAsia="仿宋_GB2312" w:cs="Times New Roman"/>
          <w:color w:val="auto"/>
          <w:kern w:val="2"/>
          <w:sz w:val="32"/>
          <w:szCs w:val="32"/>
          <w:highlight w:val="none"/>
          <w:lang w:val="en-US" w:eastAsia="zh-CN" w:bidi="ar-SA"/>
        </w:rPr>
      </w:pPr>
      <w:r>
        <w:rPr>
          <w:rFonts w:hint="default" w:ascii="Times New Roman" w:hAnsi="Times New Roman" w:eastAsia="仿宋_GB2312" w:cs="Times New Roman"/>
          <w:color w:val="auto"/>
          <w:kern w:val="2"/>
          <w:sz w:val="32"/>
          <w:szCs w:val="32"/>
          <w:highlight w:val="none"/>
          <w:lang w:val="en-US" w:eastAsia="zh-CN" w:bidi="ar-SA"/>
        </w:rPr>
        <w:t>根据预算绩效管理要求，本单位在2024年度预算编制阶段，未组织项目预算事前绩效评估，对9个项目编制了绩效目标，预算执行过程中，选取9个项目开展绩效监控。</w:t>
      </w:r>
      <w:r>
        <w:rPr>
          <w:rFonts w:hint="default" w:ascii="Times New Roman" w:hAnsi="Times New Roman" w:eastAsia="仿宋_GB2312" w:cs="Times New Roman"/>
          <w:sz w:val="32"/>
          <w:szCs w:val="32"/>
        </w:rPr>
        <w:t>组织对</w:t>
      </w:r>
      <w:r>
        <w:rPr>
          <w:rFonts w:hint="default" w:ascii="Times New Roman" w:hAnsi="Times New Roman" w:eastAsia="仿宋_GB2312" w:cs="Times New Roman"/>
          <w:sz w:val="32"/>
          <w:szCs w:val="32"/>
          <w:lang w:val="en-US" w:eastAsia="zh-CN"/>
        </w:rPr>
        <w:t>9</w:t>
      </w:r>
      <w:r>
        <w:rPr>
          <w:rFonts w:hint="default" w:ascii="Times New Roman" w:hAnsi="Times New Roman" w:eastAsia="仿宋_GB2312" w:cs="Times New Roman"/>
          <w:sz w:val="32"/>
          <w:szCs w:val="32"/>
        </w:rPr>
        <w:t>个项目开展绩效自评</w:t>
      </w:r>
      <w:r>
        <w:rPr>
          <w:rFonts w:hint="eastAsia" w:eastAsia="仿宋_GB2312" w:cs="Times New Roman"/>
          <w:sz w:val="32"/>
          <w:szCs w:val="32"/>
          <w:lang w:eastAsia="zh-CN"/>
        </w:rPr>
        <w:t>。</w:t>
      </w:r>
    </w:p>
    <w:p>
      <w:pPr>
        <w:pStyle w:val="2"/>
        <w:rPr>
          <w:rFonts w:hint="default" w:ascii="Times New Roman" w:hAnsi="Times New Roman" w:cs="Times New Roman"/>
          <w:lang w:val="en-US" w:eastAsia="zh-CN"/>
        </w:rPr>
      </w:pPr>
    </w:p>
    <w:p>
      <w:pPr>
        <w:rPr>
          <w:rFonts w:hint="default" w:ascii="Times New Roman" w:hAnsi="Times New Roman" w:cs="Times New Roman"/>
          <w:lang w:val="en-US" w:eastAsia="zh-CN"/>
        </w:rPr>
      </w:pPr>
    </w:p>
    <w:p>
      <w:pPr>
        <w:pStyle w:val="2"/>
        <w:rPr>
          <w:rFonts w:hint="default" w:ascii="Times New Roman" w:hAnsi="Times New Roman" w:cs="Times New Roman"/>
          <w:lang w:val="en-US" w:eastAsia="zh-CN"/>
        </w:rPr>
      </w:pPr>
    </w:p>
    <w:p>
      <w:pPr>
        <w:rPr>
          <w:rFonts w:hint="default" w:ascii="Times New Roman" w:hAnsi="Times New Roman" w:cs="Times New Roman"/>
          <w:lang w:val="en-US" w:eastAsia="zh-CN"/>
        </w:rPr>
      </w:pPr>
    </w:p>
    <w:p>
      <w:pPr>
        <w:pStyle w:val="2"/>
        <w:rPr>
          <w:rFonts w:hint="default" w:ascii="Times New Roman" w:hAnsi="Times New Roman" w:cs="Times New Roman"/>
          <w:lang w:val="en-US" w:eastAsia="zh-CN"/>
        </w:rPr>
      </w:pPr>
    </w:p>
    <w:p>
      <w:pPr>
        <w:rPr>
          <w:rFonts w:hint="default" w:ascii="Times New Roman" w:hAnsi="Times New Roman" w:cs="Times New Roman"/>
          <w:lang w:val="en-US" w:eastAsia="zh-CN"/>
        </w:rPr>
      </w:pPr>
    </w:p>
    <w:p>
      <w:pPr>
        <w:pStyle w:val="2"/>
        <w:rPr>
          <w:rFonts w:hint="default" w:ascii="Times New Roman" w:hAnsi="Times New Roman" w:cs="Times New Roman"/>
          <w:lang w:val="en-US" w:eastAsia="zh-CN"/>
        </w:rPr>
      </w:pPr>
    </w:p>
    <w:p>
      <w:pPr>
        <w:rPr>
          <w:rFonts w:hint="default" w:ascii="Times New Roman" w:hAnsi="Times New Roman" w:cs="Times New Roman"/>
          <w:lang w:val="en-US" w:eastAsia="zh-CN"/>
        </w:rPr>
      </w:pPr>
    </w:p>
    <w:p>
      <w:pPr>
        <w:pStyle w:val="2"/>
        <w:rPr>
          <w:rFonts w:hint="default" w:ascii="Times New Roman" w:hAnsi="Times New Roman" w:cs="Times New Roman"/>
          <w:lang w:val="en-US" w:eastAsia="zh-CN"/>
        </w:rPr>
      </w:pPr>
    </w:p>
    <w:p>
      <w:pPr>
        <w:rPr>
          <w:rFonts w:hint="default" w:ascii="Times New Roman" w:hAnsi="Times New Roman" w:cs="Times New Roman"/>
          <w:lang w:val="en-US" w:eastAsia="zh-CN"/>
        </w:rPr>
      </w:pPr>
    </w:p>
    <w:p>
      <w:pPr>
        <w:pStyle w:val="2"/>
        <w:rPr>
          <w:rFonts w:hint="default" w:ascii="Times New Roman" w:hAnsi="Times New Roman" w:cs="Times New Roman"/>
          <w:lang w:val="en-US" w:eastAsia="zh-CN"/>
        </w:rPr>
      </w:pPr>
    </w:p>
    <w:p>
      <w:pPr>
        <w:rPr>
          <w:rFonts w:hint="default" w:ascii="Times New Roman" w:hAnsi="Times New Roman" w:cs="Times New Roman"/>
          <w:lang w:val="en-US" w:eastAsia="zh-CN"/>
        </w:rPr>
      </w:pPr>
    </w:p>
    <w:p>
      <w:pPr>
        <w:pStyle w:val="2"/>
        <w:rPr>
          <w:rFonts w:hint="default" w:ascii="Times New Roman" w:hAnsi="Times New Roman" w:cs="Times New Roman"/>
          <w:lang w:val="en-US" w:eastAsia="zh-CN"/>
        </w:rPr>
      </w:pPr>
    </w:p>
    <w:p>
      <w:pPr>
        <w:rPr>
          <w:rFonts w:hint="default" w:ascii="Times New Roman" w:hAnsi="Times New Roman" w:cs="Times New Roman"/>
          <w:lang w:val="en-US" w:eastAsia="zh-CN"/>
        </w:rPr>
      </w:pPr>
    </w:p>
    <w:p>
      <w:pPr>
        <w:pStyle w:val="2"/>
        <w:rPr>
          <w:rFonts w:hint="default" w:ascii="Times New Roman" w:hAnsi="Times New Roman" w:cs="Times New Roman"/>
          <w:lang w:val="en-US" w:eastAsia="zh-CN"/>
        </w:rPr>
      </w:pPr>
    </w:p>
    <w:p>
      <w:pPr>
        <w:rPr>
          <w:rFonts w:hint="default" w:ascii="Times New Roman" w:hAnsi="Times New Roman" w:cs="Times New Roman"/>
          <w:lang w:val="en-US" w:eastAsia="zh-CN"/>
        </w:rPr>
      </w:pPr>
    </w:p>
    <w:p>
      <w:pPr>
        <w:pStyle w:val="2"/>
        <w:rPr>
          <w:rFonts w:hint="default" w:ascii="Times New Roman" w:hAnsi="Times New Roman" w:cs="Times New Roman"/>
          <w:lang w:val="en-US" w:eastAsia="zh-CN"/>
        </w:rPr>
      </w:pPr>
    </w:p>
    <w:p>
      <w:pPr>
        <w:rPr>
          <w:rFonts w:hint="default" w:ascii="Times New Roman" w:hAnsi="Times New Roman" w:cs="Times New Roman"/>
          <w:lang w:val="en-US" w:eastAsia="zh-CN"/>
        </w:rPr>
      </w:pPr>
    </w:p>
    <w:p>
      <w:pPr>
        <w:pStyle w:val="2"/>
        <w:rPr>
          <w:rFonts w:hint="default" w:ascii="Times New Roman" w:hAnsi="Times New Roman" w:cs="Times New Roman"/>
          <w:lang w:val="en-US" w:eastAsia="zh-CN"/>
        </w:rPr>
      </w:pPr>
    </w:p>
    <w:p>
      <w:pPr>
        <w:rPr>
          <w:rFonts w:hint="default" w:ascii="Times New Roman" w:hAnsi="Times New Roman" w:cs="Times New Roman"/>
          <w:lang w:val="en-US" w:eastAsia="zh-CN"/>
        </w:rPr>
      </w:pPr>
    </w:p>
    <w:p>
      <w:pPr>
        <w:pStyle w:val="2"/>
        <w:rPr>
          <w:rFonts w:hint="default" w:ascii="Times New Roman" w:hAnsi="Times New Roman" w:cs="Times New Roman"/>
          <w:lang w:val="en-US" w:eastAsia="zh-CN"/>
        </w:rPr>
      </w:pPr>
    </w:p>
    <w:p>
      <w:pPr>
        <w:rPr>
          <w:rFonts w:hint="default" w:ascii="Times New Roman" w:hAnsi="Times New Roman" w:cs="Times New Roman"/>
          <w:lang w:val="en-US" w:eastAsia="zh-CN"/>
        </w:rPr>
      </w:pPr>
    </w:p>
    <w:p>
      <w:pPr>
        <w:pStyle w:val="2"/>
        <w:rPr>
          <w:rFonts w:hint="default" w:ascii="Times New Roman" w:hAnsi="Times New Roman" w:cs="Times New Roman"/>
          <w:lang w:val="en-US" w:eastAsia="zh-CN"/>
        </w:rPr>
      </w:pPr>
    </w:p>
    <w:p>
      <w:pPr>
        <w:rPr>
          <w:rFonts w:hint="default" w:ascii="Times New Roman" w:hAnsi="Times New Roman" w:cs="Times New Roman"/>
          <w:lang w:val="en-US" w:eastAsia="zh-CN"/>
        </w:rPr>
      </w:pPr>
    </w:p>
    <w:p>
      <w:pPr>
        <w:pStyle w:val="2"/>
        <w:rPr>
          <w:rFonts w:hint="default" w:ascii="Times New Roman" w:hAnsi="Times New Roman" w:cs="Times New Roman"/>
          <w:lang w:val="en-US" w:eastAsia="zh-CN"/>
        </w:rPr>
      </w:pPr>
    </w:p>
    <w:p>
      <w:pPr>
        <w:rPr>
          <w:rFonts w:hint="default" w:ascii="Times New Roman" w:hAnsi="Times New Roman" w:cs="Times New Roman"/>
          <w:lang w:val="en-US" w:eastAsia="zh-CN"/>
        </w:rPr>
      </w:pPr>
    </w:p>
    <w:p>
      <w:pPr>
        <w:pStyle w:val="2"/>
        <w:rPr>
          <w:rFonts w:hint="default" w:ascii="Times New Roman" w:hAnsi="Times New Roman" w:cs="Times New Roman"/>
          <w:lang w:val="en-US" w:eastAsia="zh-CN"/>
        </w:rPr>
      </w:pPr>
    </w:p>
    <w:p>
      <w:pPr>
        <w:rPr>
          <w:rFonts w:hint="default" w:ascii="Times New Roman" w:hAnsi="Times New Roman" w:cs="Times New Roman"/>
          <w:lang w:val="en-US" w:eastAsia="zh-CN"/>
        </w:rPr>
      </w:pPr>
    </w:p>
    <w:p>
      <w:pPr>
        <w:pStyle w:val="2"/>
        <w:rPr>
          <w:rFonts w:hint="default" w:ascii="Times New Roman" w:hAnsi="Times New Roman" w:cs="Times New Roman"/>
          <w:lang w:val="en-US" w:eastAsia="zh-CN"/>
        </w:rPr>
      </w:pPr>
    </w:p>
    <w:p>
      <w:pPr>
        <w:rPr>
          <w:rFonts w:hint="default" w:ascii="Times New Roman" w:hAnsi="Times New Roman" w:cs="Times New Roman"/>
          <w:lang w:val="en-US" w:eastAsia="zh-CN"/>
        </w:rPr>
      </w:pPr>
    </w:p>
    <w:p>
      <w:pPr>
        <w:pStyle w:val="2"/>
        <w:rPr>
          <w:rFonts w:hint="default" w:ascii="Times New Roman" w:hAnsi="Times New Roman" w:cs="Times New Roman"/>
          <w:lang w:val="en-US" w:eastAsia="zh-CN"/>
        </w:rPr>
      </w:pPr>
    </w:p>
    <w:p>
      <w:pPr>
        <w:rPr>
          <w:rFonts w:hint="default" w:ascii="Times New Roman" w:hAnsi="Times New Roman" w:cs="Times New Roman"/>
          <w:lang w:val="en-US" w:eastAsia="zh-CN"/>
        </w:rPr>
      </w:pPr>
    </w:p>
    <w:p>
      <w:pPr>
        <w:pStyle w:val="2"/>
        <w:rPr>
          <w:rFonts w:hint="default" w:ascii="Times New Roman" w:hAnsi="Times New Roman" w:cs="Times New Roman"/>
          <w:lang w:val="en-US" w:eastAsia="zh-CN"/>
        </w:rPr>
      </w:pPr>
    </w:p>
    <w:p>
      <w:pPr>
        <w:rPr>
          <w:rFonts w:hint="default" w:ascii="Times New Roman" w:hAnsi="Times New Roman" w:cs="Times New Roman"/>
          <w:lang w:val="en-US" w:eastAsia="zh-CN"/>
        </w:rPr>
      </w:pPr>
    </w:p>
    <w:p>
      <w:pPr>
        <w:pStyle w:val="2"/>
        <w:rPr>
          <w:rFonts w:hint="default" w:ascii="Times New Roman" w:hAnsi="Times New Roman" w:cs="Times New Roman"/>
          <w:lang w:val="en-US" w:eastAsia="zh-CN"/>
        </w:rPr>
      </w:pPr>
    </w:p>
    <w:p>
      <w:pPr>
        <w:rPr>
          <w:rFonts w:hint="default"/>
          <w:lang w:val="en-US" w:eastAsia="zh-CN"/>
        </w:rPr>
      </w:pPr>
    </w:p>
    <w:p>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0" w:firstLineChars="0"/>
        <w:jc w:val="center"/>
        <w:textAlignment w:val="auto"/>
        <w:outlineLvl w:val="0"/>
        <w:rPr>
          <w:rFonts w:hint="default" w:ascii="Times New Roman" w:hAnsi="Times New Roman" w:eastAsia="方正小标宋简体" w:cs="Times New Roman"/>
          <w:color w:val="auto"/>
          <w:sz w:val="44"/>
          <w:szCs w:val="44"/>
          <w:highlight w:val="none"/>
        </w:rPr>
      </w:pPr>
      <w:bookmarkStart w:id="66" w:name="_Toc15396613"/>
      <w:bookmarkStart w:id="67" w:name="_Toc15377225"/>
      <w:r>
        <w:rPr>
          <w:rFonts w:hint="default" w:ascii="Times New Roman" w:hAnsi="Times New Roman" w:eastAsia="方正小标宋简体" w:cs="Times New Roman"/>
          <w:color w:val="auto"/>
          <w:sz w:val="44"/>
          <w:szCs w:val="44"/>
          <w:highlight w:val="none"/>
          <w:lang w:val="en-US" w:eastAsia="zh-CN"/>
        </w:rPr>
        <w:t xml:space="preserve"> </w:t>
      </w:r>
      <w:bookmarkStart w:id="68" w:name="_Toc15431"/>
      <w:r>
        <w:rPr>
          <w:rFonts w:hint="default" w:ascii="Times New Roman" w:hAnsi="Times New Roman" w:eastAsia="方正小标宋简体" w:cs="Times New Roman"/>
          <w:color w:val="auto"/>
          <w:sz w:val="44"/>
          <w:szCs w:val="44"/>
          <w:highlight w:val="none"/>
        </w:rPr>
        <w:t>名词解释</w:t>
      </w:r>
      <w:bookmarkEnd w:id="66"/>
      <w:bookmarkEnd w:id="67"/>
      <w:bookmarkEnd w:id="68"/>
    </w:p>
    <w:p>
      <w:pPr>
        <w:pStyle w:val="2"/>
        <w:numPr>
          <w:ilvl w:val="0"/>
          <w:numId w:val="0"/>
        </w:numPr>
        <w:ind w:leftChars="0"/>
        <w:rPr>
          <w:rFonts w:hint="default" w:ascii="Times New Roman" w:hAnsi="Times New Roman" w:cs="Times New Roman"/>
        </w:rPr>
      </w:pPr>
    </w:p>
    <w:p>
      <w:pPr>
        <w:pStyle w:val="28"/>
        <w:spacing w:line="560" w:lineRule="exact"/>
        <w:ind w:firstLine="640" w:firstLineChars="200"/>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lang w:val="en-US" w:eastAsia="zh-CN"/>
        </w:rPr>
        <w:t>1.</w:t>
      </w:r>
      <w:r>
        <w:rPr>
          <w:rFonts w:hint="default" w:ascii="Times New Roman" w:hAnsi="Times New Roman" w:eastAsia="仿宋_GB2312" w:cs="Times New Roman"/>
          <w:color w:val="auto"/>
          <w:sz w:val="32"/>
          <w:szCs w:val="32"/>
        </w:rPr>
        <w:t>财政拨款收入:指单位从同级财政部门取得的财政预算资金。</w:t>
      </w:r>
    </w:p>
    <w:p>
      <w:pPr>
        <w:pStyle w:val="28"/>
        <w:spacing w:line="560" w:lineRule="exact"/>
        <w:ind w:firstLine="640" w:firstLineChars="200"/>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lang w:val="en-US" w:eastAsia="zh-CN"/>
        </w:rPr>
        <w:t>2.</w:t>
      </w:r>
      <w:r>
        <w:rPr>
          <w:rFonts w:hint="default" w:ascii="Times New Roman" w:hAnsi="Times New Roman" w:eastAsia="仿宋_GB2312" w:cs="Times New Roman"/>
          <w:color w:val="auto"/>
          <w:sz w:val="32"/>
          <w:szCs w:val="32"/>
        </w:rPr>
        <w:t>其他收入:指单位取得的除上述收入以外的各项收入。主要是房租收入等。</w:t>
      </w:r>
    </w:p>
    <w:p>
      <w:pPr>
        <w:pStyle w:val="28"/>
        <w:spacing w:line="560" w:lineRule="exact"/>
        <w:ind w:firstLine="640" w:firstLineChars="200"/>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lang w:val="en-US" w:eastAsia="zh-CN"/>
        </w:rPr>
        <w:t>3.</w:t>
      </w:r>
      <w:r>
        <w:rPr>
          <w:rFonts w:hint="default" w:ascii="Times New Roman" w:hAnsi="Times New Roman" w:eastAsia="仿宋_GB2312" w:cs="Times New Roman"/>
          <w:color w:val="auto"/>
          <w:sz w:val="32"/>
          <w:szCs w:val="32"/>
        </w:rPr>
        <w:t>使用非财政拨款结余:指事业单位使用以前年度积累的非财政拨款结余弥补当年收支差额的金额。</w:t>
      </w:r>
    </w:p>
    <w:p>
      <w:pPr>
        <w:pStyle w:val="28"/>
        <w:spacing w:line="560" w:lineRule="exact"/>
        <w:ind w:firstLine="640" w:firstLineChars="200"/>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lang w:val="en-US" w:eastAsia="zh-CN"/>
        </w:rPr>
        <w:t>4.</w:t>
      </w:r>
      <w:r>
        <w:rPr>
          <w:rFonts w:hint="default" w:ascii="Times New Roman" w:hAnsi="Times New Roman" w:eastAsia="仿宋_GB2312" w:cs="Times New Roman"/>
          <w:color w:val="auto"/>
          <w:sz w:val="32"/>
          <w:szCs w:val="32"/>
        </w:rPr>
        <w:t>年初结转和结余:指以前年度尚未完成、结转到本年按有关规定继续使用的资金。</w:t>
      </w:r>
    </w:p>
    <w:p>
      <w:pPr>
        <w:pStyle w:val="28"/>
        <w:spacing w:line="560" w:lineRule="exact"/>
        <w:ind w:firstLine="640" w:firstLineChars="200"/>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lang w:val="en-US" w:eastAsia="zh-CN"/>
        </w:rPr>
        <w:t>5.</w:t>
      </w:r>
      <w:r>
        <w:rPr>
          <w:rFonts w:hint="default" w:ascii="Times New Roman" w:hAnsi="Times New Roman" w:eastAsia="仿宋_GB2312" w:cs="Times New Roman"/>
          <w:color w:val="auto"/>
          <w:sz w:val="32"/>
          <w:szCs w:val="32"/>
        </w:rPr>
        <w:t>结余分配:指事业单位按照会计制度规定缴纳的所得税、提取的专用结余以及转入非财政拨款结余的金额等。</w:t>
      </w:r>
    </w:p>
    <w:p>
      <w:pPr>
        <w:pStyle w:val="28"/>
        <w:spacing w:line="560" w:lineRule="exact"/>
        <w:ind w:firstLine="640" w:firstLineChars="200"/>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lang w:val="en-US" w:eastAsia="zh-CN"/>
        </w:rPr>
        <w:t>6.</w:t>
      </w:r>
      <w:r>
        <w:rPr>
          <w:rFonts w:hint="default" w:ascii="Times New Roman" w:hAnsi="Times New Roman" w:eastAsia="仿宋_GB2312" w:cs="Times New Roman"/>
          <w:color w:val="auto"/>
          <w:sz w:val="32"/>
          <w:szCs w:val="32"/>
        </w:rPr>
        <w:t>年末结转和结余:指单位按有关规定结转到下年或以后年度继续使用的资金。</w:t>
      </w:r>
    </w:p>
    <w:p>
      <w:pPr>
        <w:pStyle w:val="28"/>
        <w:spacing w:line="560" w:lineRule="exact"/>
        <w:ind w:firstLine="640" w:firstLineChars="200"/>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lang w:val="en-US" w:eastAsia="zh-CN"/>
        </w:rPr>
        <w:t>7.</w:t>
      </w:r>
      <w:r>
        <w:rPr>
          <w:rFonts w:hint="default" w:ascii="Times New Roman" w:hAnsi="Times New Roman" w:eastAsia="仿宋_GB2312" w:cs="Times New Roman"/>
          <w:color w:val="auto"/>
          <w:sz w:val="32"/>
          <w:szCs w:val="32"/>
        </w:rPr>
        <w:t>社会保障和就业支出(类)行政事业单位养老支出(款)机关事业单位基本养老保险缴费支出(项):指机关事业单位基本养老保险的缴费支出。</w:t>
      </w:r>
    </w:p>
    <w:p>
      <w:pPr>
        <w:pStyle w:val="28"/>
        <w:spacing w:line="560" w:lineRule="exact"/>
        <w:ind w:firstLine="640" w:firstLineChars="200"/>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lang w:val="en-US" w:eastAsia="zh-CN"/>
        </w:rPr>
        <w:t>8</w:t>
      </w:r>
      <w:r>
        <w:rPr>
          <w:rFonts w:hint="default" w:ascii="Times New Roman" w:hAnsi="Times New Roman" w:eastAsia="仿宋_GB2312" w:cs="Times New Roman"/>
          <w:color w:val="auto"/>
          <w:sz w:val="32"/>
          <w:szCs w:val="32"/>
        </w:rPr>
        <w:t>.社会保障和就业支出(类)行政事业单位养老支出(款)机关事业单位职业年金缴费支出(项):指事业单位所缴职业年金额。</w:t>
      </w:r>
    </w:p>
    <w:p>
      <w:pPr>
        <w:pStyle w:val="28"/>
        <w:spacing w:line="560" w:lineRule="exact"/>
        <w:ind w:firstLine="640" w:firstLineChars="200"/>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lang w:val="en-US" w:eastAsia="zh-CN"/>
        </w:rPr>
        <w:t>9</w:t>
      </w:r>
      <w:r>
        <w:rPr>
          <w:rFonts w:hint="default" w:ascii="Times New Roman" w:hAnsi="Times New Roman" w:eastAsia="仿宋_GB2312" w:cs="Times New Roman"/>
          <w:color w:val="auto"/>
          <w:sz w:val="32"/>
          <w:szCs w:val="32"/>
        </w:rPr>
        <w:t>.卫生健康支出(类)行政事业单位医疗(款)事业单位医疗(项):反映财政部门集中安排的行政单位基本医疗保险经费，未参加医疗保险的行政单位和公费医疗经费，按国家规定享受离休人员、红军老战士待遇人员的医疗经费。</w:t>
      </w:r>
    </w:p>
    <w:p>
      <w:pPr>
        <w:pStyle w:val="28"/>
        <w:spacing w:line="560" w:lineRule="exact"/>
        <w:ind w:firstLine="640" w:firstLineChars="200"/>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1</w:t>
      </w:r>
      <w:r>
        <w:rPr>
          <w:rFonts w:hint="default" w:ascii="Times New Roman" w:hAnsi="Times New Roman" w:eastAsia="仿宋_GB2312" w:cs="Times New Roman"/>
          <w:color w:val="auto"/>
          <w:sz w:val="32"/>
          <w:szCs w:val="32"/>
          <w:lang w:val="en-US" w:eastAsia="zh-CN"/>
        </w:rPr>
        <w:t>0</w:t>
      </w:r>
      <w:r>
        <w:rPr>
          <w:rFonts w:hint="default" w:ascii="Times New Roman" w:hAnsi="Times New Roman" w:eastAsia="仿宋_GB2312" w:cs="Times New Roman"/>
          <w:color w:val="auto"/>
          <w:sz w:val="32"/>
          <w:szCs w:val="32"/>
        </w:rPr>
        <w:t>.资源勘探信息等(类)制造业(款)机关服务(项):指:为行政单位提供后勤服务的各类后勤服务中心、医疗室等附属事业单位的支出。</w:t>
      </w:r>
    </w:p>
    <w:p>
      <w:pPr>
        <w:pStyle w:val="28"/>
        <w:spacing w:line="560" w:lineRule="exact"/>
        <w:ind w:firstLine="640" w:firstLineChars="200"/>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1</w:t>
      </w:r>
      <w:r>
        <w:rPr>
          <w:rFonts w:hint="default" w:ascii="Times New Roman" w:hAnsi="Times New Roman" w:eastAsia="仿宋_GB2312" w:cs="Times New Roman"/>
          <w:color w:val="auto"/>
          <w:sz w:val="32"/>
          <w:szCs w:val="32"/>
          <w:lang w:val="en-US" w:eastAsia="zh-CN"/>
        </w:rPr>
        <w:t>1</w:t>
      </w:r>
      <w:r>
        <w:rPr>
          <w:rFonts w:hint="default" w:ascii="Times New Roman" w:hAnsi="Times New Roman" w:eastAsia="仿宋_GB2312" w:cs="Times New Roman"/>
          <w:color w:val="auto"/>
          <w:sz w:val="32"/>
          <w:szCs w:val="32"/>
        </w:rPr>
        <w:t>.资源勘探信息等(类)制造业(款)其他制造业支出(项):反映上述项目以外其他用于制造业方面的支出。</w:t>
      </w:r>
    </w:p>
    <w:p>
      <w:pPr>
        <w:pStyle w:val="28"/>
        <w:spacing w:line="560" w:lineRule="exact"/>
        <w:ind w:firstLine="640" w:firstLineChars="200"/>
        <w:rPr>
          <w:rFonts w:hint="default" w:ascii="Times New Roman" w:hAnsi="Times New Roman" w:cs="Times New Roman"/>
          <w:b/>
          <w:sz w:val="44"/>
          <w:szCs w:val="44"/>
        </w:rPr>
      </w:pPr>
      <w:r>
        <w:rPr>
          <w:rFonts w:hint="default" w:ascii="Times New Roman" w:hAnsi="Times New Roman" w:eastAsia="仿宋_GB2312" w:cs="Times New Roman"/>
          <w:color w:val="auto"/>
          <w:sz w:val="32"/>
          <w:szCs w:val="32"/>
        </w:rPr>
        <w:t>1</w:t>
      </w:r>
      <w:r>
        <w:rPr>
          <w:rFonts w:hint="default" w:ascii="Times New Roman" w:hAnsi="Times New Roman" w:eastAsia="仿宋_GB2312" w:cs="Times New Roman"/>
          <w:color w:val="auto"/>
          <w:sz w:val="32"/>
          <w:szCs w:val="32"/>
          <w:lang w:val="en-US" w:eastAsia="zh-CN"/>
        </w:rPr>
        <w:t>2</w:t>
      </w:r>
      <w:r>
        <w:rPr>
          <w:rFonts w:hint="default" w:ascii="Times New Roman" w:hAnsi="Times New Roman" w:eastAsia="仿宋_GB2312" w:cs="Times New Roman"/>
          <w:color w:val="auto"/>
          <w:sz w:val="32"/>
          <w:szCs w:val="32"/>
        </w:rPr>
        <w:t>.住房保障支出(类)住房改革支出(款)住房公积金(项):反映行政事业单位按照人力资源和社会保障部、财政部规定的基本工资和津贴补贴以及规定比例为职工缴纳的住房公积金。</w:t>
      </w:r>
    </w:p>
    <w:p>
      <w:pPr>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13</w:t>
      </w:r>
      <w:r>
        <w:rPr>
          <w:rFonts w:hint="default" w:ascii="Times New Roman" w:hAnsi="Times New Roman" w:eastAsia="仿宋_GB2312" w:cs="Times New Roman"/>
          <w:sz w:val="32"/>
          <w:szCs w:val="32"/>
        </w:rPr>
        <w:t>.基本支出：指为保障机构正常运转、完成日常工作任务而发生的人员支出和公用支出。</w:t>
      </w:r>
    </w:p>
    <w:p>
      <w:pPr>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14</w:t>
      </w:r>
      <w:r>
        <w:rPr>
          <w:rFonts w:hint="default" w:ascii="Times New Roman" w:hAnsi="Times New Roman" w:eastAsia="仿宋_GB2312" w:cs="Times New Roman"/>
          <w:sz w:val="32"/>
          <w:szCs w:val="32"/>
        </w:rPr>
        <w:t xml:space="preserve">.项目支出：指在基本支出之外为完成特定行政任务和事业发展目标所发生的支出。 </w:t>
      </w:r>
    </w:p>
    <w:p>
      <w:pPr>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15</w:t>
      </w:r>
      <w:r>
        <w:rPr>
          <w:rFonts w:hint="default" w:ascii="Times New Roman" w:hAnsi="Times New Roman" w:eastAsia="仿宋_GB2312" w:cs="Times New Roman"/>
          <w:sz w:val="32"/>
          <w:szCs w:val="32"/>
        </w:rPr>
        <w:t>.经营支出：指事业单位在专业业务活动及其辅助活动之外开展非独立核算经营活动发生的支出。</w:t>
      </w:r>
    </w:p>
    <w:p>
      <w:pPr>
        <w:pStyle w:val="28"/>
        <w:spacing w:line="560" w:lineRule="exact"/>
        <w:ind w:firstLine="640" w:firstLineChars="200"/>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lang w:val="en-US" w:eastAsia="zh-CN"/>
        </w:rPr>
        <w:t>16</w:t>
      </w:r>
      <w:r>
        <w:rPr>
          <w:rFonts w:hint="default" w:ascii="Times New Roman" w:hAnsi="Times New Roman" w:eastAsia="仿宋_GB2312" w:cs="Times New Roman"/>
          <w:color w:val="auto"/>
          <w:sz w:val="32"/>
          <w:szCs w:val="32"/>
        </w:rPr>
        <w:t>.“三公”经费：指单位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pStyle w:val="28"/>
        <w:spacing w:line="560" w:lineRule="exact"/>
        <w:ind w:firstLine="640" w:firstLineChars="200"/>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lang w:val="en-US" w:eastAsia="zh-CN"/>
        </w:rPr>
        <w:t>17</w:t>
      </w:r>
      <w:r>
        <w:rPr>
          <w:rFonts w:hint="default" w:ascii="Times New Roman" w:hAnsi="Times New Roman" w:eastAsia="仿宋_GB2312" w:cs="Times New Roman"/>
          <w:color w:val="auto"/>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pStyle w:val="28"/>
        <w:spacing w:line="560" w:lineRule="exact"/>
        <w:ind w:firstLine="640" w:firstLineChars="200"/>
        <w:rPr>
          <w:rFonts w:hint="default" w:ascii="Times New Roman" w:hAnsi="Times New Roman" w:eastAsia="仿宋_GB2312" w:cs="Times New Roman"/>
          <w:color w:val="auto"/>
          <w:sz w:val="32"/>
          <w:szCs w:val="32"/>
        </w:rPr>
      </w:pPr>
    </w:p>
    <w:p>
      <w:pPr>
        <w:keepNext w:val="0"/>
        <w:keepLines w:val="0"/>
        <w:pageBreakBefore w:val="0"/>
        <w:kinsoku/>
        <w:wordWrap/>
        <w:overflowPunct/>
        <w:topLinePunct w:val="0"/>
        <w:autoSpaceDE/>
        <w:autoSpaceDN/>
        <w:bidi w:val="0"/>
        <w:spacing w:line="560" w:lineRule="exact"/>
        <w:ind w:firstLine="883" w:firstLineChars="200"/>
        <w:jc w:val="left"/>
        <w:textAlignment w:val="auto"/>
        <w:rPr>
          <w:rFonts w:hint="default" w:ascii="Times New Roman" w:hAnsi="Times New Roman" w:cs="Times New Roman"/>
          <w:b/>
          <w:color w:val="auto"/>
          <w:sz w:val="44"/>
          <w:szCs w:val="44"/>
          <w:highlight w:val="none"/>
        </w:rPr>
      </w:pPr>
    </w:p>
    <w:p>
      <w:pPr>
        <w:keepNext w:val="0"/>
        <w:keepLines w:val="0"/>
        <w:pageBreakBefore w:val="0"/>
        <w:numPr>
          <w:ilvl w:val="0"/>
          <w:numId w:val="3"/>
        </w:numPr>
        <w:kinsoku/>
        <w:wordWrap/>
        <w:overflowPunct/>
        <w:topLinePunct w:val="0"/>
        <w:autoSpaceDE/>
        <w:autoSpaceDN/>
        <w:bidi w:val="0"/>
        <w:spacing w:line="560" w:lineRule="exact"/>
        <w:ind w:firstLine="640" w:firstLineChars="200"/>
        <w:jc w:val="center"/>
        <w:textAlignment w:val="auto"/>
        <w:outlineLvl w:val="0"/>
        <w:rPr>
          <w:rFonts w:hint="default" w:ascii="Times New Roman" w:hAnsi="Times New Roman" w:eastAsia="黑体" w:cs="Times New Roman"/>
          <w:color w:val="auto"/>
          <w:sz w:val="44"/>
          <w:szCs w:val="44"/>
          <w:highlight w:val="none"/>
        </w:rPr>
      </w:pPr>
      <w:bookmarkStart w:id="69" w:name="_Toc15377226"/>
      <w:r>
        <w:rPr>
          <w:rFonts w:hint="default" w:ascii="Times New Roman" w:hAnsi="Times New Roman" w:eastAsia="仿宋_GB2312" w:cs="Times New Roman"/>
          <w:color w:val="auto"/>
          <w:kern w:val="2"/>
          <w:sz w:val="32"/>
          <w:szCs w:val="32"/>
          <w:highlight w:val="none"/>
          <w:lang w:val="en-US" w:eastAsia="zh-CN" w:bidi="ar-SA"/>
        </w:rPr>
        <w:br w:type="page"/>
      </w:r>
      <w:bookmarkStart w:id="70" w:name="_Toc15396614"/>
      <w:r>
        <w:rPr>
          <w:rFonts w:hint="default" w:ascii="Times New Roman" w:hAnsi="Times New Roman" w:eastAsia="黑体" w:cs="Times New Roman"/>
          <w:color w:val="auto"/>
          <w:sz w:val="44"/>
          <w:szCs w:val="44"/>
          <w:highlight w:val="none"/>
        </w:rPr>
        <w:t xml:space="preserve"> </w:t>
      </w:r>
      <w:bookmarkStart w:id="71" w:name="_Toc21629"/>
      <w:r>
        <w:rPr>
          <w:rFonts w:hint="default" w:ascii="Times New Roman" w:hAnsi="Times New Roman" w:eastAsia="黑体" w:cs="Times New Roman"/>
          <w:color w:val="auto"/>
          <w:sz w:val="44"/>
          <w:szCs w:val="44"/>
          <w:highlight w:val="none"/>
        </w:rPr>
        <w:t>附件</w:t>
      </w:r>
      <w:bookmarkEnd w:id="70"/>
      <w:bookmarkEnd w:id="71"/>
    </w:p>
    <w:p>
      <w:pPr>
        <w:keepNext w:val="0"/>
        <w:keepLines w:val="0"/>
        <w:pageBreakBefore w:val="0"/>
        <w:widowControl w:val="0"/>
        <w:numPr>
          <w:ilvl w:val="0"/>
          <w:numId w:val="0"/>
        </w:numPr>
        <w:kinsoku/>
        <w:wordWrap/>
        <w:overflowPunct/>
        <w:topLinePunct w:val="0"/>
        <w:autoSpaceDE/>
        <w:autoSpaceDN/>
        <w:bidi w:val="0"/>
        <w:spacing w:line="560" w:lineRule="exact"/>
        <w:ind w:leftChars="200" w:firstLine="640" w:firstLineChars="200"/>
        <w:jc w:val="both"/>
        <w:textAlignment w:val="auto"/>
        <w:rPr>
          <w:rFonts w:hint="default" w:ascii="Times New Roman" w:hAnsi="Times New Roman" w:eastAsia="仿宋_GB2312" w:cs="Times New Roman"/>
          <w:kern w:val="2"/>
          <w:sz w:val="32"/>
          <w:szCs w:val="32"/>
          <w:u w:val="none"/>
          <w:lang w:val="zh-CN" w:eastAsia="zh-CN" w:bidi="ar"/>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default" w:ascii="Times New Roman" w:hAnsi="Times New Roman" w:eastAsia="黑体" w:cs="Times New Roman"/>
          <w:color w:val="auto"/>
          <w:kern w:val="0"/>
          <w:sz w:val="32"/>
          <w:szCs w:val="32"/>
          <w:highlight w:val="none"/>
          <w:shd w:val="clear" w:color="auto" w:fill="FFFFFF"/>
          <w:lang w:val="zh-CN"/>
        </w:rPr>
        <w:sectPr>
          <w:footerReference r:id="rId6" w:type="first"/>
          <w:footerReference r:id="rId5" w:type="default"/>
          <w:pgSz w:w="11906" w:h="16838"/>
          <w:pgMar w:top="1440" w:right="1800" w:bottom="1440" w:left="1800" w:header="851" w:footer="992" w:gutter="0"/>
          <w:pgNumType w:fmt="numberInDash" w:start="1"/>
          <w:cols w:space="425" w:num="1"/>
          <w:docGrid w:type="lines" w:linePitch="312" w:charSpace="0"/>
        </w:sectPr>
      </w:pPr>
      <w:r>
        <w:rPr>
          <w:rFonts w:hint="eastAsia" w:ascii="仿宋_GB2312" w:hAnsi="仿宋_GB2312" w:eastAsia="仿宋_GB2312" w:cs="仿宋_GB2312"/>
          <w:color w:val="auto"/>
          <w:kern w:val="0"/>
          <w:sz w:val="32"/>
          <w:szCs w:val="32"/>
          <w:highlight w:val="none"/>
          <w:shd w:val="clear" w:color="auto" w:fill="FFFFFF"/>
          <w:lang w:val="zh-CN"/>
        </w:rPr>
        <w:t>本单位2024年度无特定目标类项目支出</w:t>
      </w:r>
      <w:r>
        <w:rPr>
          <w:rFonts w:hint="default" w:ascii="Times New Roman" w:hAnsi="Times New Roman" w:eastAsia="黑体" w:cs="Times New Roman"/>
          <w:color w:val="auto"/>
          <w:kern w:val="0"/>
          <w:sz w:val="32"/>
          <w:szCs w:val="32"/>
          <w:highlight w:val="none"/>
          <w:shd w:val="clear" w:color="auto" w:fill="FFFFFF"/>
          <w:lang w:val="zh-CN"/>
        </w:rPr>
        <w:br w:type="page"/>
      </w:r>
      <w:bookmarkStart w:id="72" w:name="_Toc15396618"/>
    </w:p>
    <w:p>
      <w:pPr>
        <w:pStyle w:val="2"/>
        <w:rPr>
          <w:rFonts w:hint="default" w:ascii="Times New Roman" w:hAnsi="Times New Roman" w:cs="Times New Roman"/>
          <w:lang w:val="en-US" w:eastAsia="zh-CN"/>
        </w:rPr>
      </w:pPr>
    </w:p>
    <w:p>
      <w:pPr>
        <w:widowControl/>
        <w:jc w:val="center"/>
        <w:outlineLvl w:val="0"/>
        <w:rPr>
          <w:rFonts w:hint="default" w:ascii="Times New Roman" w:hAnsi="Times New Roman" w:eastAsia="仿宋" w:cs="Times New Roman"/>
          <w:b w:val="0"/>
          <w:color w:val="auto"/>
          <w:highlight w:val="none"/>
        </w:rPr>
      </w:pPr>
      <w:bookmarkStart w:id="73" w:name="_Toc19769"/>
      <w:r>
        <w:rPr>
          <w:rFonts w:hint="default" w:ascii="Times New Roman" w:hAnsi="Times New Roman" w:eastAsia="黑体" w:cs="Times New Roman"/>
          <w:color w:val="auto"/>
          <w:sz w:val="44"/>
          <w:szCs w:val="44"/>
          <w:highlight w:val="none"/>
        </w:rPr>
        <w:t>第</w:t>
      </w:r>
      <w:r>
        <w:rPr>
          <w:rStyle w:val="30"/>
          <w:rFonts w:hint="default" w:ascii="Times New Roman" w:hAnsi="Times New Roman" w:eastAsia="黑体" w:cs="Times New Roman"/>
          <w:b w:val="0"/>
          <w:color w:val="auto"/>
          <w:highlight w:val="none"/>
        </w:rPr>
        <w:t>五部分 附表</w:t>
      </w:r>
      <w:bookmarkEnd w:id="69"/>
      <w:bookmarkEnd w:id="72"/>
      <w:bookmarkEnd w:id="73"/>
      <w:bookmarkStart w:id="74" w:name="_Toc15396619"/>
    </w:p>
    <w:p>
      <w:pPr>
        <w:pStyle w:val="16"/>
        <w:keepNext w:val="0"/>
        <w:keepLines w:val="0"/>
        <w:pageBreakBefore w:val="0"/>
        <w:kinsoku/>
        <w:wordWrap/>
        <w:overflowPunct/>
        <w:topLinePunct w:val="0"/>
        <w:autoSpaceDE/>
        <w:autoSpaceDN/>
        <w:bidi w:val="0"/>
        <w:adjustRightInd w:val="0"/>
        <w:snapToGrid w:val="0"/>
        <w:spacing w:line="560" w:lineRule="exact"/>
        <w:jc w:val="left"/>
        <w:textAlignment w:val="auto"/>
        <w:rPr>
          <w:rFonts w:hint="default" w:ascii="Times New Roman" w:hAnsi="Times New Roman" w:eastAsia="仿宋_GB2312" w:cs="Times New Roman"/>
          <w:color w:val="auto"/>
          <w:sz w:val="32"/>
          <w:szCs w:val="32"/>
          <w:highlight w:val="none"/>
        </w:rPr>
      </w:pPr>
    </w:p>
    <w:p>
      <w:pPr>
        <w:pStyle w:val="16"/>
        <w:keepNext w:val="0"/>
        <w:keepLines w:val="0"/>
        <w:pageBreakBefore w:val="0"/>
        <w:kinsoku/>
        <w:wordWrap/>
        <w:overflowPunct/>
        <w:topLinePunct w:val="0"/>
        <w:autoSpaceDE/>
        <w:autoSpaceDN/>
        <w:bidi w:val="0"/>
        <w:adjustRightInd w:val="0"/>
        <w:snapToGrid w:val="0"/>
        <w:spacing w:line="560" w:lineRule="exact"/>
        <w:jc w:val="left"/>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一、收入支出决算总表</w:t>
      </w:r>
      <w:bookmarkEnd w:id="74"/>
    </w:p>
    <w:p>
      <w:pPr>
        <w:pStyle w:val="16"/>
        <w:keepNext w:val="0"/>
        <w:keepLines w:val="0"/>
        <w:pageBreakBefore w:val="0"/>
        <w:kinsoku/>
        <w:wordWrap/>
        <w:overflowPunct/>
        <w:topLinePunct w:val="0"/>
        <w:autoSpaceDE/>
        <w:autoSpaceDN/>
        <w:bidi w:val="0"/>
        <w:adjustRightInd w:val="0"/>
        <w:snapToGrid w:val="0"/>
        <w:spacing w:line="560" w:lineRule="exact"/>
        <w:jc w:val="left"/>
        <w:textAlignment w:val="auto"/>
        <w:rPr>
          <w:rFonts w:hint="default" w:ascii="Times New Roman" w:hAnsi="Times New Roman" w:eastAsia="仿宋_GB2312" w:cs="Times New Roman"/>
          <w:color w:val="auto"/>
          <w:sz w:val="32"/>
          <w:szCs w:val="32"/>
          <w:highlight w:val="none"/>
        </w:rPr>
      </w:pPr>
      <w:bookmarkStart w:id="75" w:name="_Toc15396620"/>
      <w:r>
        <w:rPr>
          <w:rFonts w:hint="default" w:ascii="Times New Roman" w:hAnsi="Times New Roman" w:eastAsia="仿宋_GB2312" w:cs="Times New Roman"/>
          <w:color w:val="auto"/>
          <w:sz w:val="32"/>
          <w:szCs w:val="32"/>
          <w:highlight w:val="none"/>
        </w:rPr>
        <w:t>二、收入决算表</w:t>
      </w:r>
      <w:bookmarkEnd w:id="75"/>
    </w:p>
    <w:p>
      <w:pPr>
        <w:pStyle w:val="16"/>
        <w:keepNext w:val="0"/>
        <w:keepLines w:val="0"/>
        <w:pageBreakBefore w:val="0"/>
        <w:kinsoku/>
        <w:wordWrap/>
        <w:overflowPunct/>
        <w:topLinePunct w:val="0"/>
        <w:autoSpaceDE/>
        <w:autoSpaceDN/>
        <w:bidi w:val="0"/>
        <w:adjustRightInd w:val="0"/>
        <w:snapToGrid w:val="0"/>
        <w:spacing w:line="560" w:lineRule="exact"/>
        <w:jc w:val="left"/>
        <w:textAlignment w:val="auto"/>
        <w:rPr>
          <w:rFonts w:hint="default" w:ascii="Times New Roman" w:hAnsi="Times New Roman" w:eastAsia="仿宋_GB2312" w:cs="Times New Roman"/>
          <w:color w:val="auto"/>
          <w:sz w:val="32"/>
          <w:szCs w:val="32"/>
          <w:highlight w:val="none"/>
        </w:rPr>
      </w:pPr>
      <w:bookmarkStart w:id="76" w:name="_Toc15396621"/>
      <w:r>
        <w:rPr>
          <w:rFonts w:hint="default" w:ascii="Times New Roman" w:hAnsi="Times New Roman" w:eastAsia="仿宋_GB2312" w:cs="Times New Roman"/>
          <w:color w:val="auto"/>
          <w:sz w:val="32"/>
          <w:szCs w:val="32"/>
          <w:highlight w:val="none"/>
        </w:rPr>
        <w:t>三、支出决算表</w:t>
      </w:r>
      <w:bookmarkEnd w:id="76"/>
    </w:p>
    <w:p>
      <w:pPr>
        <w:pStyle w:val="16"/>
        <w:keepNext w:val="0"/>
        <w:keepLines w:val="0"/>
        <w:pageBreakBefore w:val="0"/>
        <w:kinsoku/>
        <w:wordWrap/>
        <w:overflowPunct/>
        <w:topLinePunct w:val="0"/>
        <w:autoSpaceDE/>
        <w:autoSpaceDN/>
        <w:bidi w:val="0"/>
        <w:adjustRightInd w:val="0"/>
        <w:snapToGrid w:val="0"/>
        <w:spacing w:line="560" w:lineRule="exact"/>
        <w:jc w:val="left"/>
        <w:textAlignment w:val="auto"/>
        <w:rPr>
          <w:rFonts w:hint="default" w:ascii="Times New Roman" w:hAnsi="Times New Roman" w:eastAsia="仿宋_GB2312" w:cs="Times New Roman"/>
          <w:color w:val="auto"/>
          <w:sz w:val="32"/>
          <w:szCs w:val="32"/>
          <w:highlight w:val="none"/>
        </w:rPr>
      </w:pPr>
      <w:bookmarkStart w:id="77" w:name="_Toc15396622"/>
      <w:r>
        <w:rPr>
          <w:rFonts w:hint="default" w:ascii="Times New Roman" w:hAnsi="Times New Roman" w:eastAsia="仿宋_GB2312" w:cs="Times New Roman"/>
          <w:color w:val="auto"/>
          <w:sz w:val="32"/>
          <w:szCs w:val="32"/>
          <w:highlight w:val="none"/>
        </w:rPr>
        <w:t>四、财政拨款收入支出决算总表</w:t>
      </w:r>
      <w:bookmarkEnd w:id="77"/>
    </w:p>
    <w:p>
      <w:pPr>
        <w:pStyle w:val="16"/>
        <w:keepNext w:val="0"/>
        <w:keepLines w:val="0"/>
        <w:pageBreakBefore w:val="0"/>
        <w:kinsoku/>
        <w:wordWrap/>
        <w:overflowPunct/>
        <w:topLinePunct w:val="0"/>
        <w:autoSpaceDE/>
        <w:autoSpaceDN/>
        <w:bidi w:val="0"/>
        <w:adjustRightInd w:val="0"/>
        <w:snapToGrid w:val="0"/>
        <w:spacing w:line="560" w:lineRule="exact"/>
        <w:jc w:val="left"/>
        <w:textAlignment w:val="auto"/>
        <w:rPr>
          <w:rFonts w:hint="default" w:ascii="Times New Roman" w:hAnsi="Times New Roman" w:eastAsia="仿宋_GB2312" w:cs="Times New Roman"/>
          <w:color w:val="auto"/>
          <w:sz w:val="32"/>
          <w:szCs w:val="32"/>
          <w:highlight w:val="none"/>
        </w:rPr>
      </w:pPr>
      <w:bookmarkStart w:id="78" w:name="_Toc15396623"/>
      <w:r>
        <w:rPr>
          <w:rFonts w:hint="default" w:ascii="Times New Roman" w:hAnsi="Times New Roman" w:eastAsia="仿宋_GB2312" w:cs="Times New Roman"/>
          <w:color w:val="auto"/>
          <w:sz w:val="32"/>
          <w:szCs w:val="32"/>
          <w:highlight w:val="none"/>
        </w:rPr>
        <w:t>五、财政拨款支出决算明细表</w:t>
      </w:r>
      <w:bookmarkEnd w:id="78"/>
      <w:bookmarkStart w:id="79" w:name="_Toc15396624"/>
    </w:p>
    <w:p>
      <w:pPr>
        <w:pStyle w:val="16"/>
        <w:keepNext w:val="0"/>
        <w:keepLines w:val="0"/>
        <w:pageBreakBefore w:val="0"/>
        <w:kinsoku/>
        <w:wordWrap/>
        <w:overflowPunct/>
        <w:topLinePunct w:val="0"/>
        <w:autoSpaceDE/>
        <w:autoSpaceDN/>
        <w:bidi w:val="0"/>
        <w:adjustRightInd w:val="0"/>
        <w:snapToGrid w:val="0"/>
        <w:spacing w:line="560" w:lineRule="exact"/>
        <w:jc w:val="left"/>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六、一般公共预算财政拨款支出决算表</w:t>
      </w:r>
      <w:bookmarkEnd w:id="79"/>
    </w:p>
    <w:p>
      <w:pPr>
        <w:pStyle w:val="16"/>
        <w:keepNext w:val="0"/>
        <w:keepLines w:val="0"/>
        <w:pageBreakBefore w:val="0"/>
        <w:kinsoku/>
        <w:wordWrap/>
        <w:overflowPunct/>
        <w:topLinePunct w:val="0"/>
        <w:autoSpaceDE/>
        <w:autoSpaceDN/>
        <w:bidi w:val="0"/>
        <w:adjustRightInd w:val="0"/>
        <w:snapToGrid w:val="0"/>
        <w:spacing w:line="560" w:lineRule="exact"/>
        <w:jc w:val="left"/>
        <w:textAlignment w:val="auto"/>
        <w:rPr>
          <w:rFonts w:hint="default" w:ascii="Times New Roman" w:hAnsi="Times New Roman" w:eastAsia="仿宋_GB2312" w:cs="Times New Roman"/>
          <w:color w:val="auto"/>
          <w:sz w:val="32"/>
          <w:szCs w:val="32"/>
          <w:highlight w:val="none"/>
        </w:rPr>
      </w:pPr>
      <w:bookmarkStart w:id="80" w:name="_Toc15396625"/>
      <w:r>
        <w:rPr>
          <w:rFonts w:hint="default" w:ascii="Times New Roman" w:hAnsi="Times New Roman" w:eastAsia="仿宋_GB2312" w:cs="Times New Roman"/>
          <w:color w:val="auto"/>
          <w:sz w:val="32"/>
          <w:szCs w:val="32"/>
          <w:highlight w:val="none"/>
        </w:rPr>
        <w:t>七、一般公共预算财政拨款支出决算明细表</w:t>
      </w:r>
      <w:bookmarkEnd w:id="80"/>
    </w:p>
    <w:p>
      <w:pPr>
        <w:pStyle w:val="16"/>
        <w:keepNext w:val="0"/>
        <w:keepLines w:val="0"/>
        <w:pageBreakBefore w:val="0"/>
        <w:kinsoku/>
        <w:wordWrap/>
        <w:overflowPunct/>
        <w:topLinePunct w:val="0"/>
        <w:autoSpaceDE/>
        <w:autoSpaceDN/>
        <w:bidi w:val="0"/>
        <w:adjustRightInd w:val="0"/>
        <w:snapToGrid w:val="0"/>
        <w:spacing w:line="560" w:lineRule="exact"/>
        <w:jc w:val="left"/>
        <w:textAlignment w:val="auto"/>
        <w:rPr>
          <w:rFonts w:hint="default" w:ascii="Times New Roman" w:hAnsi="Times New Roman" w:eastAsia="仿宋_GB2312" w:cs="Times New Roman"/>
          <w:color w:val="auto"/>
          <w:sz w:val="32"/>
          <w:szCs w:val="32"/>
          <w:highlight w:val="none"/>
        </w:rPr>
      </w:pPr>
      <w:bookmarkStart w:id="81" w:name="_Toc15396626"/>
      <w:r>
        <w:rPr>
          <w:rFonts w:hint="default" w:ascii="Times New Roman" w:hAnsi="Times New Roman" w:eastAsia="仿宋_GB2312" w:cs="Times New Roman"/>
          <w:color w:val="auto"/>
          <w:sz w:val="32"/>
          <w:szCs w:val="32"/>
          <w:highlight w:val="none"/>
        </w:rPr>
        <w:t>八、一般公共预算财政拨款基本支出决算表</w:t>
      </w:r>
      <w:bookmarkEnd w:id="81"/>
    </w:p>
    <w:p>
      <w:pPr>
        <w:pStyle w:val="16"/>
        <w:keepNext w:val="0"/>
        <w:keepLines w:val="0"/>
        <w:pageBreakBefore w:val="0"/>
        <w:kinsoku/>
        <w:wordWrap/>
        <w:overflowPunct/>
        <w:topLinePunct w:val="0"/>
        <w:autoSpaceDE/>
        <w:autoSpaceDN/>
        <w:bidi w:val="0"/>
        <w:adjustRightInd w:val="0"/>
        <w:snapToGrid w:val="0"/>
        <w:spacing w:line="560" w:lineRule="exact"/>
        <w:jc w:val="left"/>
        <w:textAlignment w:val="auto"/>
        <w:rPr>
          <w:rFonts w:hint="default" w:ascii="Times New Roman" w:hAnsi="Times New Roman" w:eastAsia="仿宋_GB2312" w:cs="Times New Roman"/>
          <w:color w:val="auto"/>
          <w:sz w:val="32"/>
          <w:szCs w:val="32"/>
          <w:highlight w:val="none"/>
        </w:rPr>
      </w:pPr>
      <w:bookmarkStart w:id="82" w:name="_Toc15396627"/>
      <w:r>
        <w:rPr>
          <w:rFonts w:hint="default" w:ascii="Times New Roman" w:hAnsi="Times New Roman" w:eastAsia="仿宋_GB2312" w:cs="Times New Roman"/>
          <w:color w:val="auto"/>
          <w:sz w:val="32"/>
          <w:szCs w:val="32"/>
          <w:highlight w:val="none"/>
        </w:rPr>
        <w:t>九、一般公共预算财政拨款项目支出决算表</w:t>
      </w:r>
      <w:bookmarkEnd w:id="82"/>
    </w:p>
    <w:p>
      <w:pPr>
        <w:pStyle w:val="16"/>
        <w:keepNext w:val="0"/>
        <w:keepLines w:val="0"/>
        <w:pageBreakBefore w:val="0"/>
        <w:kinsoku/>
        <w:wordWrap/>
        <w:overflowPunct/>
        <w:topLinePunct w:val="0"/>
        <w:autoSpaceDE/>
        <w:autoSpaceDN/>
        <w:bidi w:val="0"/>
        <w:adjustRightInd w:val="0"/>
        <w:snapToGrid w:val="0"/>
        <w:spacing w:line="560" w:lineRule="exact"/>
        <w:jc w:val="left"/>
        <w:textAlignment w:val="auto"/>
        <w:rPr>
          <w:rFonts w:hint="default" w:ascii="Times New Roman" w:hAnsi="Times New Roman" w:eastAsia="仿宋_GB2312" w:cs="Times New Roman"/>
          <w:color w:val="auto"/>
          <w:sz w:val="32"/>
          <w:szCs w:val="32"/>
          <w:highlight w:val="none"/>
        </w:rPr>
      </w:pPr>
      <w:bookmarkStart w:id="83" w:name="_Toc15396628"/>
      <w:r>
        <w:rPr>
          <w:rFonts w:hint="default" w:ascii="Times New Roman" w:hAnsi="Times New Roman" w:eastAsia="仿宋_GB2312" w:cs="Times New Roman"/>
          <w:color w:val="auto"/>
          <w:sz w:val="32"/>
          <w:szCs w:val="32"/>
          <w:highlight w:val="none"/>
        </w:rPr>
        <w:t>十、</w:t>
      </w:r>
      <w:bookmarkEnd w:id="83"/>
      <w:r>
        <w:rPr>
          <w:rFonts w:hint="default" w:ascii="Times New Roman" w:hAnsi="Times New Roman" w:eastAsia="仿宋_GB2312" w:cs="Times New Roman"/>
          <w:color w:val="auto"/>
          <w:sz w:val="32"/>
          <w:szCs w:val="32"/>
          <w:highlight w:val="none"/>
        </w:rPr>
        <w:t>政府性基金预算财政拨款收入支出决算表</w:t>
      </w:r>
    </w:p>
    <w:p>
      <w:pPr>
        <w:pStyle w:val="16"/>
        <w:keepNext w:val="0"/>
        <w:keepLines w:val="0"/>
        <w:pageBreakBefore w:val="0"/>
        <w:kinsoku/>
        <w:wordWrap/>
        <w:overflowPunct/>
        <w:topLinePunct w:val="0"/>
        <w:autoSpaceDE/>
        <w:autoSpaceDN/>
        <w:bidi w:val="0"/>
        <w:adjustRightInd w:val="0"/>
        <w:snapToGrid w:val="0"/>
        <w:spacing w:line="560" w:lineRule="exact"/>
        <w:jc w:val="left"/>
        <w:textAlignment w:val="auto"/>
        <w:rPr>
          <w:rFonts w:hint="default" w:ascii="Times New Roman" w:hAnsi="Times New Roman" w:eastAsia="仿宋_GB2312" w:cs="Times New Roman"/>
          <w:color w:val="auto"/>
          <w:sz w:val="32"/>
          <w:szCs w:val="32"/>
          <w:highlight w:val="none"/>
        </w:rPr>
      </w:pPr>
      <w:bookmarkStart w:id="84" w:name="_Toc15396629"/>
      <w:r>
        <w:rPr>
          <w:rFonts w:hint="default" w:ascii="Times New Roman" w:hAnsi="Times New Roman" w:eastAsia="仿宋_GB2312" w:cs="Times New Roman"/>
          <w:color w:val="auto"/>
          <w:sz w:val="32"/>
          <w:szCs w:val="32"/>
          <w:highlight w:val="none"/>
        </w:rPr>
        <w:t>十一、</w:t>
      </w:r>
      <w:bookmarkEnd w:id="84"/>
      <w:r>
        <w:rPr>
          <w:rFonts w:hint="default" w:ascii="Times New Roman" w:hAnsi="Times New Roman" w:eastAsia="仿宋_GB2312" w:cs="Times New Roman"/>
          <w:color w:val="auto"/>
          <w:sz w:val="32"/>
          <w:szCs w:val="32"/>
          <w:highlight w:val="none"/>
        </w:rPr>
        <w:t>国有资本经营预算</w:t>
      </w:r>
      <w:r>
        <w:rPr>
          <w:rFonts w:hint="default" w:ascii="Times New Roman" w:hAnsi="Times New Roman" w:eastAsia="仿宋_GB2312" w:cs="Times New Roman"/>
          <w:color w:val="auto"/>
          <w:sz w:val="32"/>
          <w:szCs w:val="32"/>
          <w:highlight w:val="none"/>
          <w:lang w:eastAsia="zh-CN"/>
        </w:rPr>
        <w:t>财政拨款收入</w:t>
      </w:r>
      <w:r>
        <w:rPr>
          <w:rFonts w:hint="default" w:ascii="Times New Roman" w:hAnsi="Times New Roman" w:eastAsia="仿宋_GB2312" w:cs="Times New Roman"/>
          <w:color w:val="auto"/>
          <w:sz w:val="32"/>
          <w:szCs w:val="32"/>
          <w:highlight w:val="none"/>
        </w:rPr>
        <w:t>支出决算表</w:t>
      </w:r>
    </w:p>
    <w:p>
      <w:pPr>
        <w:pStyle w:val="16"/>
        <w:keepNext w:val="0"/>
        <w:keepLines w:val="0"/>
        <w:pageBreakBefore w:val="0"/>
        <w:kinsoku/>
        <w:wordWrap/>
        <w:overflowPunct/>
        <w:topLinePunct w:val="0"/>
        <w:autoSpaceDE/>
        <w:autoSpaceDN/>
        <w:bidi w:val="0"/>
        <w:adjustRightInd w:val="0"/>
        <w:snapToGrid w:val="0"/>
        <w:spacing w:line="560" w:lineRule="exact"/>
        <w:jc w:val="left"/>
        <w:textAlignment w:val="auto"/>
        <w:rPr>
          <w:rFonts w:hint="default" w:ascii="Times New Roman" w:hAnsi="Times New Roman" w:eastAsia="仿宋_GB2312" w:cs="Times New Roman"/>
          <w:color w:val="auto"/>
          <w:sz w:val="32"/>
          <w:szCs w:val="32"/>
          <w:highlight w:val="none"/>
        </w:rPr>
      </w:pPr>
      <w:bookmarkStart w:id="85" w:name="_Toc15396630"/>
      <w:r>
        <w:rPr>
          <w:rFonts w:hint="default" w:ascii="Times New Roman" w:hAnsi="Times New Roman" w:eastAsia="仿宋_GB2312" w:cs="Times New Roman"/>
          <w:color w:val="auto"/>
          <w:sz w:val="32"/>
          <w:szCs w:val="32"/>
          <w:highlight w:val="none"/>
        </w:rPr>
        <w:t>十二、</w:t>
      </w:r>
      <w:bookmarkEnd w:id="85"/>
      <w:r>
        <w:rPr>
          <w:rFonts w:hint="default" w:ascii="Times New Roman" w:hAnsi="Times New Roman" w:eastAsia="仿宋_GB2312" w:cs="Times New Roman"/>
          <w:color w:val="auto"/>
          <w:sz w:val="32"/>
          <w:szCs w:val="32"/>
          <w:highlight w:val="none"/>
          <w:lang w:eastAsia="zh-CN"/>
        </w:rPr>
        <w:t>国有资本经营预算财政拨款支出决算表</w:t>
      </w:r>
    </w:p>
    <w:p>
      <w:pPr>
        <w:pStyle w:val="16"/>
        <w:keepNext w:val="0"/>
        <w:keepLines w:val="0"/>
        <w:pageBreakBefore w:val="0"/>
        <w:kinsoku/>
        <w:wordWrap/>
        <w:overflowPunct/>
        <w:topLinePunct w:val="0"/>
        <w:autoSpaceDE/>
        <w:autoSpaceDN/>
        <w:bidi w:val="0"/>
        <w:adjustRightInd w:val="0"/>
        <w:snapToGrid w:val="0"/>
        <w:spacing w:line="560" w:lineRule="exact"/>
        <w:jc w:val="left"/>
        <w:textAlignment w:val="auto"/>
        <w:rPr>
          <w:rFonts w:hint="default" w:ascii="Times New Roman" w:hAnsi="Times New Roman" w:eastAsia="仿宋_GB2312" w:cs="Times New Roman"/>
          <w:color w:val="auto"/>
          <w:sz w:val="32"/>
          <w:szCs w:val="32"/>
          <w:highlight w:val="none"/>
          <w:lang w:eastAsia="zh-CN"/>
        </w:rPr>
      </w:pPr>
      <w:bookmarkStart w:id="86" w:name="_Toc15396631"/>
      <w:r>
        <w:rPr>
          <w:rFonts w:hint="default" w:ascii="Times New Roman" w:hAnsi="Times New Roman" w:eastAsia="仿宋_GB2312" w:cs="Times New Roman"/>
          <w:color w:val="auto"/>
          <w:sz w:val="32"/>
          <w:szCs w:val="32"/>
          <w:highlight w:val="none"/>
        </w:rPr>
        <w:t>十三、</w:t>
      </w:r>
      <w:bookmarkEnd w:id="86"/>
      <w:r>
        <w:rPr>
          <w:rFonts w:hint="default" w:ascii="Times New Roman" w:hAnsi="Times New Roman" w:eastAsia="仿宋_GB2312" w:cs="Times New Roman"/>
          <w:color w:val="auto"/>
          <w:sz w:val="32"/>
          <w:szCs w:val="32"/>
          <w:highlight w:val="none"/>
          <w:lang w:eastAsia="zh-CN"/>
        </w:rPr>
        <w:t>财政拨款“三公”经费支出决算表</w:t>
      </w:r>
    </w:p>
    <w:p>
      <w:pPr>
        <w:rPr>
          <w:rFonts w:hint="default" w:ascii="Times New Roman" w:hAnsi="Times New Roman" w:cs="Times New Roman"/>
          <w:lang w:eastAsia="zh-CN"/>
        </w:rPr>
      </w:pPr>
    </w:p>
    <w:sectPr>
      <w:footerReference r:id="rId7"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00007A87" w:usb1="80000000" w:usb2="00000008"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Cambria">
    <w:altName w:val="Noto Sans Syriac Eastern"/>
    <w:panose1 w:val="02040503050406030204"/>
    <w:charset w:val="00"/>
    <w:family w:val="roman"/>
    <w:pitch w:val="default"/>
    <w:sig w:usb0="00000000" w:usb1="00000000" w:usb2="02000000" w:usb3="00000000" w:csb0="2000019F"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
    <w:altName w:val="仿宋"/>
    <w:panose1 w:val="00000000000000000000"/>
    <w:charset w:val="00"/>
    <w:family w:val="roman"/>
    <w:pitch w:val="default"/>
    <w:sig w:usb0="00000000" w:usb1="00000000" w:usb2="00000000" w:usb3="00000000" w:csb0="00000000" w:csb1="00000000"/>
  </w:font>
  <w:font w:name="方正小标宋简体">
    <w:panose1 w:val="02000000000000000000"/>
    <w:charset w:val="86"/>
    <w:family w:val="script"/>
    <w:pitch w:val="default"/>
    <w:sig w:usb0="A00002BF" w:usb1="184F6CFA" w:usb2="00000012" w:usb3="00000000" w:csb0="00040001" w:csb1="00000000"/>
  </w:font>
  <w:font w:name="楷体_GB2312">
    <w:panose1 w:val="02010609030101010101"/>
    <w:charset w:val="86"/>
    <w:family w:val="auto"/>
    <w:pitch w:val="default"/>
    <w:sig w:usb0="00000001" w:usb1="080E0000" w:usb2="00000000" w:usb3="00000000" w:csb0="00040000" w:csb1="00000000"/>
  </w:font>
  <w:font w:name="方正楷体_GB2312">
    <w:altName w:val="方正楷体_GBK"/>
    <w:panose1 w:val="02000000000000000000"/>
    <w:charset w:val="86"/>
    <w:family w:val="auto"/>
    <w:pitch w:val="default"/>
    <w:sig w:usb0="00000000" w:usb1="00000000" w:usb2="00000012" w:usb3="00000000" w:csb0="00040001" w:csb1="00000000"/>
  </w:font>
  <w:font w:name="DejaVu Sans">
    <w:panose1 w:val="020B0603030804020204"/>
    <w:charset w:val="00"/>
    <w:family w:val="auto"/>
    <w:pitch w:val="default"/>
    <w:sig w:usb0="E7006EFF" w:usb1="D200FDFF" w:usb2="0A246029" w:usb3="0400200C" w:csb0="600001FF" w:csb1="DFFF0000"/>
  </w:font>
  <w:font w:name="方正楷体_GBK">
    <w:panose1 w:val="02000000000000000000"/>
    <w:charset w:val="86"/>
    <w:family w:val="auto"/>
    <w:pitch w:val="default"/>
    <w:sig w:usb0="00000001" w:usb1="08000000" w:usb2="00000000" w:usb3="00000000" w:csb0="00040000" w:csb1="00000000"/>
  </w:font>
  <w:font w:name="Noto Sans Syriac Eastern">
    <w:panose1 w:val="02040503050306020203"/>
    <w:charset w:val="86"/>
    <w:family w:val="auto"/>
    <w:pitch w:val="default"/>
    <w:sig w:usb0="00000000" w:usb1="00000000" w:usb2="00000080" w:usb3="00000000" w:csb0="203E0161" w:csb1="D7FF0000"/>
  </w:font>
  <w:font w:name="方正宋体S-超大字符集">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jc w:val="center"/>
    </w:pPr>
  </w:p>
  <w:p>
    <w:pPr>
      <w:pStyle w:val="1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jc w:val="center"/>
    </w:pPr>
    <w:r>
      <w:rPr>
        <w:sz w:val="1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2"/>
                          </w:pPr>
                          <w:r>
                            <w:rPr>
                              <w:rFonts w:hint="eastAsia" w:asciiTheme="minorEastAsia" w:hAnsiTheme="minorEastAsia" w:eastAsiaTheme="minorEastAsia" w:cstheme="minorEastAsia"/>
                              <w:sz w:val="32"/>
                              <w:szCs w:val="32"/>
                            </w:rPr>
                            <w:fldChar w:fldCharType="begin"/>
                          </w:r>
                          <w:r>
                            <w:rPr>
                              <w:rFonts w:hint="eastAsia" w:asciiTheme="minorEastAsia" w:hAnsiTheme="minorEastAsia" w:eastAsiaTheme="minorEastAsia" w:cstheme="minorEastAsia"/>
                              <w:sz w:val="32"/>
                              <w:szCs w:val="32"/>
                            </w:rPr>
                            <w:instrText xml:space="preserve"> PAGE  \* MERGEFORMAT </w:instrText>
                          </w:r>
                          <w:r>
                            <w:rPr>
                              <w:rFonts w:hint="eastAsia" w:asciiTheme="minorEastAsia" w:hAnsiTheme="minorEastAsia" w:eastAsiaTheme="minorEastAsia" w:cstheme="minorEastAsia"/>
                              <w:sz w:val="32"/>
                              <w:szCs w:val="32"/>
                            </w:rPr>
                            <w:fldChar w:fldCharType="separate"/>
                          </w:r>
                          <w:r>
                            <w:rPr>
                              <w:rFonts w:hint="eastAsia" w:asciiTheme="minorEastAsia" w:hAnsiTheme="minorEastAsia" w:eastAsiaTheme="minorEastAsia" w:cstheme="minorEastAsia"/>
                              <w:sz w:val="32"/>
                              <w:szCs w:val="32"/>
                            </w:rPr>
                            <w:t>- 2 -</w:t>
                          </w:r>
                          <w:r>
                            <w:rPr>
                              <w:rFonts w:hint="eastAsia" w:asciiTheme="minorEastAsia" w:hAnsiTheme="minorEastAsia" w:eastAsiaTheme="minorEastAsia" w:cstheme="minorEastAsia"/>
                              <w:sz w:val="32"/>
                              <w:szCs w:val="32"/>
                            </w:rP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BYAAABkcnMvUEsBAhQAFAAAAAgA&#10;h07iQLNJWO7QAAAABQEAAA8AAAAAAAAAAQAgAAAAOAAAAGRycy9kb3ducmV2LnhtbFBLAQIUABQA&#10;AAAIAIdO4kDiMuAOGwIAACkEAAAOAAAAAAAAAAEAIAAAADUBAABkcnMvZTJvRG9jLnhtbFBLBQYA&#10;AAAABgAGAFkBAADCBQAAAAA=&#10;">
              <v:fill on="f" focussize="0,0"/>
              <v:stroke on="f" weight="0.5pt"/>
              <v:imagedata o:title=""/>
              <o:lock v:ext="edit" aspectratio="f"/>
              <v:textbox inset="0mm,0mm,0mm,0mm" style="mso-fit-shape-to-text:t;">
                <w:txbxContent>
                  <w:p>
                    <w:pPr>
                      <w:pStyle w:val="12"/>
                    </w:pPr>
                    <w:r>
                      <w:rPr>
                        <w:rFonts w:hint="eastAsia" w:asciiTheme="minorEastAsia" w:hAnsiTheme="minorEastAsia" w:eastAsiaTheme="minorEastAsia" w:cstheme="minorEastAsia"/>
                        <w:sz w:val="32"/>
                        <w:szCs w:val="32"/>
                      </w:rPr>
                      <w:fldChar w:fldCharType="begin"/>
                    </w:r>
                    <w:r>
                      <w:rPr>
                        <w:rFonts w:hint="eastAsia" w:asciiTheme="minorEastAsia" w:hAnsiTheme="minorEastAsia" w:eastAsiaTheme="minorEastAsia" w:cstheme="minorEastAsia"/>
                        <w:sz w:val="32"/>
                        <w:szCs w:val="32"/>
                      </w:rPr>
                      <w:instrText xml:space="preserve"> PAGE  \* MERGEFORMAT </w:instrText>
                    </w:r>
                    <w:r>
                      <w:rPr>
                        <w:rFonts w:hint="eastAsia" w:asciiTheme="minorEastAsia" w:hAnsiTheme="minorEastAsia" w:eastAsiaTheme="minorEastAsia" w:cstheme="minorEastAsia"/>
                        <w:sz w:val="32"/>
                        <w:szCs w:val="32"/>
                      </w:rPr>
                      <w:fldChar w:fldCharType="separate"/>
                    </w:r>
                    <w:r>
                      <w:rPr>
                        <w:rFonts w:hint="eastAsia" w:asciiTheme="minorEastAsia" w:hAnsiTheme="minorEastAsia" w:eastAsiaTheme="minorEastAsia" w:cstheme="minorEastAsia"/>
                        <w:sz w:val="32"/>
                        <w:szCs w:val="32"/>
                      </w:rPr>
                      <w:t>- 2 -</w:t>
                    </w:r>
                    <w:r>
                      <w:rPr>
                        <w:rFonts w:hint="eastAsia" w:asciiTheme="minorEastAsia" w:hAnsiTheme="minorEastAsia" w:eastAsiaTheme="minorEastAsia" w:cstheme="minorEastAsia"/>
                        <w:sz w:val="32"/>
                        <w:szCs w:val="32"/>
                      </w:rPr>
                      <w:fldChar w:fldCharType="end"/>
                    </w:r>
                  </w:p>
                </w:txbxContent>
              </v:textbox>
            </v:shape>
          </w:pict>
        </mc:Fallback>
      </mc:AlternateContent>
    </w:r>
  </w:p>
  <w:p>
    <w:pPr>
      <w:pStyle w:val="1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r>
      <w:rPr>
        <w:sz w:val="18"/>
      </w:rPr>
      <mc:AlternateContent>
        <mc:Choice Requires="wps">
          <w:drawing>
            <wp:anchor distT="0" distB="0" distL="114300" distR="114300" simplePos="0" relativeHeight="251661312" behindDoc="0" locked="0" layoutInCell="1" allowOverlap="1">
              <wp:simplePos x="0" y="0"/>
              <wp:positionH relativeFrom="margin">
                <wp:align>outside</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2"/>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1312;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WAAAAZHJzL1BLAQIUABQAAAAI&#10;AIdO4kCzSVju0AAAAAUBAAAPAAAAAAAAAAEAIAAAADgAAABkcnMvZG93bnJldi54bWxQSwECFAAU&#10;AAAACACHTuJAK8tgzBwCAAApBAAADgAAAAAAAAABACAAAAA1AQAAZHJzL2Uyb0RvYy54bWxQSwUG&#10;AAAAAAYABgBZAQAAwwUAAAAA&#10;">
              <v:fill on="f" focussize="0,0"/>
              <v:stroke on="f" weight="0.5pt"/>
              <v:imagedata o:title=""/>
              <o:lock v:ext="edit" aspectratio="f"/>
              <v:textbox inset="0mm,0mm,0mm,0mm" style="mso-fit-shape-to-text:t;">
                <w:txbxContent>
                  <w:p>
                    <w:pPr>
                      <w:pStyle w:val="12"/>
                    </w:pPr>
                    <w:r>
                      <w:fldChar w:fldCharType="begin"/>
                    </w:r>
                    <w:r>
                      <w:instrText xml:space="preserve"> PAGE  \* MERGEFORMAT </w:instrText>
                    </w:r>
                    <w:r>
                      <w:fldChar w:fldCharType="separate"/>
                    </w:r>
                    <w:r>
                      <w:t>- 1 -</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jc w:val="center"/>
    </w:pPr>
    <w:r>
      <w:rPr>
        <w:sz w:val="18"/>
      </w:rPr>
      <mc:AlternateContent>
        <mc:Choice Requires="wps">
          <w:drawing>
            <wp:anchor distT="0" distB="0" distL="114300" distR="114300" simplePos="0" relativeHeight="251662336" behindDoc="0" locked="0" layoutInCell="1" allowOverlap="1">
              <wp:simplePos x="0" y="0"/>
              <wp:positionH relativeFrom="margin">
                <wp:align>outside</wp:align>
              </wp:positionH>
              <wp:positionV relativeFrom="paragraph">
                <wp:posOffset>0</wp:posOffset>
              </wp:positionV>
              <wp:extent cx="1828800" cy="1828800"/>
              <wp:effectExtent l="0" t="0" r="0" b="0"/>
              <wp:wrapNone/>
              <wp:docPr id="38" name="文本框 38"/>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2"/>
                          </w:pPr>
                          <w:r>
                            <w:rPr>
                              <w:rFonts w:hint="eastAsia" w:asciiTheme="minorEastAsia" w:hAnsiTheme="minorEastAsia" w:eastAsiaTheme="minorEastAsia" w:cstheme="minorEastAsia"/>
                              <w:sz w:val="32"/>
                              <w:szCs w:val="32"/>
                            </w:rPr>
                            <w:fldChar w:fldCharType="begin"/>
                          </w:r>
                          <w:r>
                            <w:rPr>
                              <w:rFonts w:hint="eastAsia" w:asciiTheme="minorEastAsia" w:hAnsiTheme="minorEastAsia" w:eastAsiaTheme="minorEastAsia" w:cstheme="minorEastAsia"/>
                              <w:sz w:val="32"/>
                              <w:szCs w:val="32"/>
                            </w:rPr>
                            <w:instrText xml:space="preserve"> PAGE  \* MERGEFORMAT </w:instrText>
                          </w:r>
                          <w:r>
                            <w:rPr>
                              <w:rFonts w:hint="eastAsia" w:asciiTheme="minorEastAsia" w:hAnsiTheme="minorEastAsia" w:eastAsiaTheme="minorEastAsia" w:cstheme="minorEastAsia"/>
                              <w:sz w:val="32"/>
                              <w:szCs w:val="32"/>
                            </w:rPr>
                            <w:fldChar w:fldCharType="separate"/>
                          </w:r>
                          <w:r>
                            <w:rPr>
                              <w:rFonts w:hint="eastAsia" w:asciiTheme="minorEastAsia" w:hAnsiTheme="minorEastAsia" w:eastAsiaTheme="minorEastAsia" w:cstheme="minorEastAsia"/>
                              <w:sz w:val="32"/>
                              <w:szCs w:val="32"/>
                            </w:rPr>
                            <w:t>- 2 -</w:t>
                          </w:r>
                          <w:r>
                            <w:rPr>
                              <w:rFonts w:hint="eastAsia" w:asciiTheme="minorEastAsia" w:hAnsiTheme="minorEastAsia" w:eastAsiaTheme="minorEastAsia" w:cstheme="minorEastAsia"/>
                              <w:sz w:val="32"/>
                              <w:szCs w:val="32"/>
                            </w:rP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2336;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FgAAAGRycy9QSwECFAAUAAAA&#10;CACHTuJAs0lY7tAAAAAFAQAADwAAAAAAAAABACAAAAA4AAAAZHJzL2Rvd25yZXYueG1sUEsBAhQA&#10;FAAAAAgAh07iQKQpYUIdAgAAKwQAAA4AAAAAAAAAAQAgAAAANQEAAGRycy9lMm9Eb2MueG1sUEsF&#10;BgAAAAAGAAYAWQEAAMQFAAAAAA==&#10;">
              <v:fill on="f" focussize="0,0"/>
              <v:stroke on="f" weight="0.5pt"/>
              <v:imagedata o:title=""/>
              <o:lock v:ext="edit" aspectratio="f"/>
              <v:textbox inset="0mm,0mm,0mm,0mm" style="mso-fit-shape-to-text:t;">
                <w:txbxContent>
                  <w:p>
                    <w:pPr>
                      <w:pStyle w:val="12"/>
                    </w:pPr>
                    <w:r>
                      <w:rPr>
                        <w:rFonts w:hint="eastAsia" w:asciiTheme="minorEastAsia" w:hAnsiTheme="minorEastAsia" w:eastAsiaTheme="minorEastAsia" w:cstheme="minorEastAsia"/>
                        <w:sz w:val="32"/>
                        <w:szCs w:val="32"/>
                      </w:rPr>
                      <w:fldChar w:fldCharType="begin"/>
                    </w:r>
                    <w:r>
                      <w:rPr>
                        <w:rFonts w:hint="eastAsia" w:asciiTheme="minorEastAsia" w:hAnsiTheme="minorEastAsia" w:eastAsiaTheme="minorEastAsia" w:cstheme="minorEastAsia"/>
                        <w:sz w:val="32"/>
                        <w:szCs w:val="32"/>
                      </w:rPr>
                      <w:instrText xml:space="preserve"> PAGE  \* MERGEFORMAT </w:instrText>
                    </w:r>
                    <w:r>
                      <w:rPr>
                        <w:rFonts w:hint="eastAsia" w:asciiTheme="minorEastAsia" w:hAnsiTheme="minorEastAsia" w:eastAsiaTheme="minorEastAsia" w:cstheme="minorEastAsia"/>
                        <w:sz w:val="32"/>
                        <w:szCs w:val="32"/>
                      </w:rPr>
                      <w:fldChar w:fldCharType="separate"/>
                    </w:r>
                    <w:r>
                      <w:rPr>
                        <w:rFonts w:hint="eastAsia" w:asciiTheme="minorEastAsia" w:hAnsiTheme="minorEastAsia" w:eastAsiaTheme="minorEastAsia" w:cstheme="minorEastAsia"/>
                        <w:sz w:val="32"/>
                        <w:szCs w:val="32"/>
                      </w:rPr>
                      <w:t>- 2 -</w:t>
                    </w:r>
                    <w:r>
                      <w:rPr>
                        <w:rFonts w:hint="eastAsia" w:asciiTheme="minorEastAsia" w:hAnsiTheme="minorEastAsia" w:eastAsiaTheme="minorEastAsia" w:cstheme="minorEastAsia"/>
                        <w:sz w:val="32"/>
                        <w:szCs w:val="32"/>
                      </w:rPr>
                      <w:fldChar w:fldCharType="end"/>
                    </w:r>
                  </w:p>
                </w:txbxContent>
              </v:textbox>
            </v:shape>
          </w:pict>
        </mc:Fallback>
      </mc:AlternateContent>
    </w:r>
  </w:p>
  <w:p>
    <w:pPr>
      <w:pStyle w:val="1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A5D5207"/>
    <w:multiLevelType w:val="singleLevel"/>
    <w:tmpl w:val="0A5D5207"/>
    <w:lvl w:ilvl="0" w:tentative="0">
      <w:start w:val="1"/>
      <w:numFmt w:val="chineseCounting"/>
      <w:suff w:val="nothing"/>
      <w:lvlText w:val="%1、"/>
      <w:lvlJc w:val="left"/>
      <w:rPr>
        <w:rFonts w:hint="eastAsia"/>
      </w:rPr>
    </w:lvl>
  </w:abstractNum>
  <w:abstractNum w:abstractNumId="1">
    <w:nsid w:val="3E24B200"/>
    <w:multiLevelType w:val="singleLevel"/>
    <w:tmpl w:val="3E24B200"/>
    <w:lvl w:ilvl="0" w:tentative="0">
      <w:start w:val="4"/>
      <w:numFmt w:val="chineseCounting"/>
      <w:suff w:val="space"/>
      <w:lvlText w:val="第%1部分"/>
      <w:lvlJc w:val="left"/>
      <w:rPr>
        <w:rFonts w:hint="eastAsia"/>
      </w:rPr>
    </w:lvl>
  </w:abstractNum>
  <w:abstractNum w:abstractNumId="2">
    <w:nsid w:val="52A7F4DB"/>
    <w:multiLevelType w:val="singleLevel"/>
    <w:tmpl w:val="52A7F4DB"/>
    <w:lvl w:ilvl="0" w:tentative="0">
      <w:start w:val="3"/>
      <w:numFmt w:val="chineseCounting"/>
      <w:suff w:val="space"/>
      <w:lvlText w:val="第%1部分"/>
      <w:lvlJc w:val="left"/>
      <w:rPr>
        <w:rFonts w:hint="eastAsia"/>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false"/>
  <w:bordersDoNotSurroundFooter w:val="false"/>
  <w:documentProtection w:enforcement="0"/>
  <w:defaultTabStop w:val="420"/>
  <w:drawingGridHorizontalSpacing w:val="105"/>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361C"/>
    <w:rsid w:val="000222C6"/>
    <w:rsid w:val="0002549F"/>
    <w:rsid w:val="000468DB"/>
    <w:rsid w:val="0006487A"/>
    <w:rsid w:val="00065F8F"/>
    <w:rsid w:val="00070A43"/>
    <w:rsid w:val="000768F2"/>
    <w:rsid w:val="0009184B"/>
    <w:rsid w:val="00094236"/>
    <w:rsid w:val="0009593C"/>
    <w:rsid w:val="00097322"/>
    <w:rsid w:val="000A6A92"/>
    <w:rsid w:val="000B047F"/>
    <w:rsid w:val="000B5923"/>
    <w:rsid w:val="000B5A48"/>
    <w:rsid w:val="000B6FF3"/>
    <w:rsid w:val="000C3467"/>
    <w:rsid w:val="000C3CA6"/>
    <w:rsid w:val="000D1267"/>
    <w:rsid w:val="000D1D50"/>
    <w:rsid w:val="000D5782"/>
    <w:rsid w:val="000E6613"/>
    <w:rsid w:val="000E7119"/>
    <w:rsid w:val="00114E9B"/>
    <w:rsid w:val="00142216"/>
    <w:rsid w:val="00144D6A"/>
    <w:rsid w:val="0014729F"/>
    <w:rsid w:val="00157BAB"/>
    <w:rsid w:val="001654D1"/>
    <w:rsid w:val="00174518"/>
    <w:rsid w:val="0018106D"/>
    <w:rsid w:val="001877A7"/>
    <w:rsid w:val="00191536"/>
    <w:rsid w:val="00196687"/>
    <w:rsid w:val="001C0962"/>
    <w:rsid w:val="001D7531"/>
    <w:rsid w:val="001E737D"/>
    <w:rsid w:val="001F0592"/>
    <w:rsid w:val="001F7506"/>
    <w:rsid w:val="002006CD"/>
    <w:rsid w:val="00202B36"/>
    <w:rsid w:val="00204B7A"/>
    <w:rsid w:val="00204CDE"/>
    <w:rsid w:val="0021101A"/>
    <w:rsid w:val="00220536"/>
    <w:rsid w:val="00235629"/>
    <w:rsid w:val="00260C38"/>
    <w:rsid w:val="002616C0"/>
    <w:rsid w:val="00265372"/>
    <w:rsid w:val="002662AA"/>
    <w:rsid w:val="00280496"/>
    <w:rsid w:val="00294DC9"/>
    <w:rsid w:val="00295495"/>
    <w:rsid w:val="002A31DE"/>
    <w:rsid w:val="002B2613"/>
    <w:rsid w:val="002D6D05"/>
    <w:rsid w:val="002F1818"/>
    <w:rsid w:val="002F567B"/>
    <w:rsid w:val="003216A9"/>
    <w:rsid w:val="00335A74"/>
    <w:rsid w:val="0036561B"/>
    <w:rsid w:val="0037013F"/>
    <w:rsid w:val="00380C92"/>
    <w:rsid w:val="003A484F"/>
    <w:rsid w:val="003A4883"/>
    <w:rsid w:val="003B0BE0"/>
    <w:rsid w:val="003B0C1B"/>
    <w:rsid w:val="003B688C"/>
    <w:rsid w:val="003C0291"/>
    <w:rsid w:val="003C39AE"/>
    <w:rsid w:val="003C7B60"/>
    <w:rsid w:val="003D0C0F"/>
    <w:rsid w:val="003D1FB2"/>
    <w:rsid w:val="003D66DA"/>
    <w:rsid w:val="003E1310"/>
    <w:rsid w:val="003E6F55"/>
    <w:rsid w:val="00406254"/>
    <w:rsid w:val="004223DE"/>
    <w:rsid w:val="00434489"/>
    <w:rsid w:val="00437085"/>
    <w:rsid w:val="00443880"/>
    <w:rsid w:val="004464F4"/>
    <w:rsid w:val="00471401"/>
    <w:rsid w:val="00473F31"/>
    <w:rsid w:val="0048263A"/>
    <w:rsid w:val="00487E5D"/>
    <w:rsid w:val="004A711F"/>
    <w:rsid w:val="004B199D"/>
    <w:rsid w:val="004B4690"/>
    <w:rsid w:val="004E0A2D"/>
    <w:rsid w:val="004E206B"/>
    <w:rsid w:val="004E6DF7"/>
    <w:rsid w:val="004F0FBD"/>
    <w:rsid w:val="00505A47"/>
    <w:rsid w:val="00512FDA"/>
    <w:rsid w:val="00520DA0"/>
    <w:rsid w:val="005664BB"/>
    <w:rsid w:val="00566FFA"/>
    <w:rsid w:val="0057481D"/>
    <w:rsid w:val="0058486E"/>
    <w:rsid w:val="00585B33"/>
    <w:rsid w:val="0059014D"/>
    <w:rsid w:val="005B5C64"/>
    <w:rsid w:val="005C5337"/>
    <w:rsid w:val="005C6BD0"/>
    <w:rsid w:val="005D1C8B"/>
    <w:rsid w:val="005D468D"/>
    <w:rsid w:val="005D5CED"/>
    <w:rsid w:val="005F1A4C"/>
    <w:rsid w:val="00605688"/>
    <w:rsid w:val="006070AF"/>
    <w:rsid w:val="00607E6C"/>
    <w:rsid w:val="006101B1"/>
    <w:rsid w:val="00614E44"/>
    <w:rsid w:val="0062270A"/>
    <w:rsid w:val="00622830"/>
    <w:rsid w:val="00623DA0"/>
    <w:rsid w:val="00630AEF"/>
    <w:rsid w:val="006325F8"/>
    <w:rsid w:val="00633463"/>
    <w:rsid w:val="00634C9A"/>
    <w:rsid w:val="006440E4"/>
    <w:rsid w:val="0066343B"/>
    <w:rsid w:val="00664777"/>
    <w:rsid w:val="006748A4"/>
    <w:rsid w:val="00681A31"/>
    <w:rsid w:val="00683E73"/>
    <w:rsid w:val="006A3141"/>
    <w:rsid w:val="006A5E34"/>
    <w:rsid w:val="006B2422"/>
    <w:rsid w:val="006B2B9A"/>
    <w:rsid w:val="006C1937"/>
    <w:rsid w:val="006F020C"/>
    <w:rsid w:val="007127B7"/>
    <w:rsid w:val="0071798E"/>
    <w:rsid w:val="007416B6"/>
    <w:rsid w:val="00746F48"/>
    <w:rsid w:val="0075404D"/>
    <w:rsid w:val="0076182A"/>
    <w:rsid w:val="00767B7E"/>
    <w:rsid w:val="007770C3"/>
    <w:rsid w:val="00784D24"/>
    <w:rsid w:val="00785FBA"/>
    <w:rsid w:val="00786E4A"/>
    <w:rsid w:val="007875EB"/>
    <w:rsid w:val="0079426B"/>
    <w:rsid w:val="007D1682"/>
    <w:rsid w:val="007D312A"/>
    <w:rsid w:val="007D3F19"/>
    <w:rsid w:val="007E23B0"/>
    <w:rsid w:val="007E23E5"/>
    <w:rsid w:val="007F1991"/>
    <w:rsid w:val="007F2C2F"/>
    <w:rsid w:val="007F55FC"/>
    <w:rsid w:val="007F5665"/>
    <w:rsid w:val="00800112"/>
    <w:rsid w:val="00813348"/>
    <w:rsid w:val="008253BB"/>
    <w:rsid w:val="0083706E"/>
    <w:rsid w:val="008408F6"/>
    <w:rsid w:val="008423A5"/>
    <w:rsid w:val="00850625"/>
    <w:rsid w:val="00853718"/>
    <w:rsid w:val="00855221"/>
    <w:rsid w:val="00860645"/>
    <w:rsid w:val="00871F71"/>
    <w:rsid w:val="00872FD8"/>
    <w:rsid w:val="00885AF4"/>
    <w:rsid w:val="008939CD"/>
    <w:rsid w:val="008B768C"/>
    <w:rsid w:val="008C4DB1"/>
    <w:rsid w:val="008C4EAF"/>
    <w:rsid w:val="008C5176"/>
    <w:rsid w:val="008C7FD0"/>
    <w:rsid w:val="008E1DE7"/>
    <w:rsid w:val="008E707C"/>
    <w:rsid w:val="00900B08"/>
    <w:rsid w:val="00902155"/>
    <w:rsid w:val="00902FA3"/>
    <w:rsid w:val="00923564"/>
    <w:rsid w:val="0092392E"/>
    <w:rsid w:val="009315B1"/>
    <w:rsid w:val="009315F9"/>
    <w:rsid w:val="00933499"/>
    <w:rsid w:val="00935C98"/>
    <w:rsid w:val="00946945"/>
    <w:rsid w:val="00951248"/>
    <w:rsid w:val="0095152F"/>
    <w:rsid w:val="00954C49"/>
    <w:rsid w:val="00955E37"/>
    <w:rsid w:val="0097099F"/>
    <w:rsid w:val="00971997"/>
    <w:rsid w:val="00971FFC"/>
    <w:rsid w:val="0098660A"/>
    <w:rsid w:val="009931C3"/>
    <w:rsid w:val="009B2C43"/>
    <w:rsid w:val="009B4EAE"/>
    <w:rsid w:val="009B7573"/>
    <w:rsid w:val="009C22F4"/>
    <w:rsid w:val="009C2A4B"/>
    <w:rsid w:val="009C2E98"/>
    <w:rsid w:val="009D3447"/>
    <w:rsid w:val="009D4711"/>
    <w:rsid w:val="009F1185"/>
    <w:rsid w:val="009F18CD"/>
    <w:rsid w:val="009F2A13"/>
    <w:rsid w:val="009F7527"/>
    <w:rsid w:val="00A04EB0"/>
    <w:rsid w:val="00A13CC1"/>
    <w:rsid w:val="00A16847"/>
    <w:rsid w:val="00A237D8"/>
    <w:rsid w:val="00A268C4"/>
    <w:rsid w:val="00A307CD"/>
    <w:rsid w:val="00A331C8"/>
    <w:rsid w:val="00A40A00"/>
    <w:rsid w:val="00A4142F"/>
    <w:rsid w:val="00A422EB"/>
    <w:rsid w:val="00A45BB7"/>
    <w:rsid w:val="00A56DF2"/>
    <w:rsid w:val="00A56E6E"/>
    <w:rsid w:val="00A67AB5"/>
    <w:rsid w:val="00A733B2"/>
    <w:rsid w:val="00A741C2"/>
    <w:rsid w:val="00A91760"/>
    <w:rsid w:val="00A93B00"/>
    <w:rsid w:val="00A93C21"/>
    <w:rsid w:val="00AB64C9"/>
    <w:rsid w:val="00AC3C6A"/>
    <w:rsid w:val="00AD5620"/>
    <w:rsid w:val="00AD656B"/>
    <w:rsid w:val="00AD7C1B"/>
    <w:rsid w:val="00AE16BA"/>
    <w:rsid w:val="00AE1EBE"/>
    <w:rsid w:val="00B03C9D"/>
    <w:rsid w:val="00B060AE"/>
    <w:rsid w:val="00B10517"/>
    <w:rsid w:val="00B14E76"/>
    <w:rsid w:val="00B161B8"/>
    <w:rsid w:val="00B2048C"/>
    <w:rsid w:val="00B310B9"/>
    <w:rsid w:val="00B35F3F"/>
    <w:rsid w:val="00B36CBB"/>
    <w:rsid w:val="00B425E0"/>
    <w:rsid w:val="00B440AA"/>
    <w:rsid w:val="00B44B70"/>
    <w:rsid w:val="00B53C56"/>
    <w:rsid w:val="00B57DAF"/>
    <w:rsid w:val="00B77EA6"/>
    <w:rsid w:val="00B81598"/>
    <w:rsid w:val="00B841F1"/>
    <w:rsid w:val="00B944D6"/>
    <w:rsid w:val="00BB4DF0"/>
    <w:rsid w:val="00BC289F"/>
    <w:rsid w:val="00BC2D50"/>
    <w:rsid w:val="00BC5361"/>
    <w:rsid w:val="00BC5460"/>
    <w:rsid w:val="00BC6B50"/>
    <w:rsid w:val="00BD0E25"/>
    <w:rsid w:val="00BF5BD6"/>
    <w:rsid w:val="00C03E31"/>
    <w:rsid w:val="00C33E72"/>
    <w:rsid w:val="00C354B2"/>
    <w:rsid w:val="00C35554"/>
    <w:rsid w:val="00C42709"/>
    <w:rsid w:val="00C533CC"/>
    <w:rsid w:val="00C5751C"/>
    <w:rsid w:val="00C61BFC"/>
    <w:rsid w:val="00C62B85"/>
    <w:rsid w:val="00C65438"/>
    <w:rsid w:val="00C87FD8"/>
    <w:rsid w:val="00C91381"/>
    <w:rsid w:val="00C91CBB"/>
    <w:rsid w:val="00CB4E70"/>
    <w:rsid w:val="00CC09B6"/>
    <w:rsid w:val="00CC666F"/>
    <w:rsid w:val="00CD1E3F"/>
    <w:rsid w:val="00CE44F6"/>
    <w:rsid w:val="00CE49DA"/>
    <w:rsid w:val="00CE7B61"/>
    <w:rsid w:val="00D00095"/>
    <w:rsid w:val="00D114F0"/>
    <w:rsid w:val="00D20620"/>
    <w:rsid w:val="00D254F7"/>
    <w:rsid w:val="00D26091"/>
    <w:rsid w:val="00D2685C"/>
    <w:rsid w:val="00D34E7C"/>
    <w:rsid w:val="00D35489"/>
    <w:rsid w:val="00D36AFE"/>
    <w:rsid w:val="00D51276"/>
    <w:rsid w:val="00D7035F"/>
    <w:rsid w:val="00DA634F"/>
    <w:rsid w:val="00DA65AC"/>
    <w:rsid w:val="00DB1913"/>
    <w:rsid w:val="00DC410D"/>
    <w:rsid w:val="00DC5A81"/>
    <w:rsid w:val="00DC68CA"/>
    <w:rsid w:val="00DC7CBA"/>
    <w:rsid w:val="00DD73B7"/>
    <w:rsid w:val="00DF28BC"/>
    <w:rsid w:val="00DF34B9"/>
    <w:rsid w:val="00E01053"/>
    <w:rsid w:val="00E07ACF"/>
    <w:rsid w:val="00E331A1"/>
    <w:rsid w:val="00E33202"/>
    <w:rsid w:val="00E336A9"/>
    <w:rsid w:val="00E472B1"/>
    <w:rsid w:val="00E50624"/>
    <w:rsid w:val="00E54633"/>
    <w:rsid w:val="00E568DF"/>
    <w:rsid w:val="00E64269"/>
    <w:rsid w:val="00E82267"/>
    <w:rsid w:val="00E853CE"/>
    <w:rsid w:val="00E867B6"/>
    <w:rsid w:val="00EA010F"/>
    <w:rsid w:val="00ED1B63"/>
    <w:rsid w:val="00ED3C1F"/>
    <w:rsid w:val="00ED4085"/>
    <w:rsid w:val="00ED420E"/>
    <w:rsid w:val="00ED6FBE"/>
    <w:rsid w:val="00EE2F57"/>
    <w:rsid w:val="00EF4C34"/>
    <w:rsid w:val="00EF77C6"/>
    <w:rsid w:val="00F05438"/>
    <w:rsid w:val="00F1361C"/>
    <w:rsid w:val="00F156F0"/>
    <w:rsid w:val="00F160C7"/>
    <w:rsid w:val="00F2408F"/>
    <w:rsid w:val="00F240E9"/>
    <w:rsid w:val="00F36D8F"/>
    <w:rsid w:val="00F417B1"/>
    <w:rsid w:val="00F45853"/>
    <w:rsid w:val="00F602DF"/>
    <w:rsid w:val="00F754A1"/>
    <w:rsid w:val="00F81FD9"/>
    <w:rsid w:val="00F841AA"/>
    <w:rsid w:val="00F84A94"/>
    <w:rsid w:val="00F87E96"/>
    <w:rsid w:val="00FA23E8"/>
    <w:rsid w:val="00FD3CC1"/>
    <w:rsid w:val="00FF1E02"/>
    <w:rsid w:val="00FF30B4"/>
    <w:rsid w:val="012A5EC2"/>
    <w:rsid w:val="015975B8"/>
    <w:rsid w:val="02FEBE30"/>
    <w:rsid w:val="04916F1E"/>
    <w:rsid w:val="0586368E"/>
    <w:rsid w:val="061E35DE"/>
    <w:rsid w:val="066E0107"/>
    <w:rsid w:val="067526A6"/>
    <w:rsid w:val="07996F6E"/>
    <w:rsid w:val="07DFD8BA"/>
    <w:rsid w:val="09867E8F"/>
    <w:rsid w:val="0A2032A3"/>
    <w:rsid w:val="0B924E01"/>
    <w:rsid w:val="0CA8290A"/>
    <w:rsid w:val="0D35B1ED"/>
    <w:rsid w:val="0E254B6B"/>
    <w:rsid w:val="0F98263C"/>
    <w:rsid w:val="101860EC"/>
    <w:rsid w:val="101F47CC"/>
    <w:rsid w:val="10C055FF"/>
    <w:rsid w:val="11694EBD"/>
    <w:rsid w:val="11772AA4"/>
    <w:rsid w:val="118107EC"/>
    <w:rsid w:val="11814E4F"/>
    <w:rsid w:val="1220319B"/>
    <w:rsid w:val="12E24EE2"/>
    <w:rsid w:val="13D50BC4"/>
    <w:rsid w:val="14B17F78"/>
    <w:rsid w:val="165E0673"/>
    <w:rsid w:val="16B831D5"/>
    <w:rsid w:val="16BB723D"/>
    <w:rsid w:val="17707FE9"/>
    <w:rsid w:val="17B172B6"/>
    <w:rsid w:val="17E50567"/>
    <w:rsid w:val="186504BB"/>
    <w:rsid w:val="187603FC"/>
    <w:rsid w:val="18E37D93"/>
    <w:rsid w:val="19A445FC"/>
    <w:rsid w:val="1BE8440E"/>
    <w:rsid w:val="1D155CEE"/>
    <w:rsid w:val="1D1638FE"/>
    <w:rsid w:val="1E312DEB"/>
    <w:rsid w:val="1E4F395F"/>
    <w:rsid w:val="1E740ACF"/>
    <w:rsid w:val="1EDD7FFC"/>
    <w:rsid w:val="1F2318EA"/>
    <w:rsid w:val="1FBE5ACF"/>
    <w:rsid w:val="1FF35744"/>
    <w:rsid w:val="1FF6BC77"/>
    <w:rsid w:val="20106EA8"/>
    <w:rsid w:val="2186353C"/>
    <w:rsid w:val="23860B96"/>
    <w:rsid w:val="240371BF"/>
    <w:rsid w:val="244F3473"/>
    <w:rsid w:val="24C97D99"/>
    <w:rsid w:val="25A718F0"/>
    <w:rsid w:val="25BB59F6"/>
    <w:rsid w:val="260F557C"/>
    <w:rsid w:val="26970054"/>
    <w:rsid w:val="281408E2"/>
    <w:rsid w:val="29FD04D3"/>
    <w:rsid w:val="2BFF7BC6"/>
    <w:rsid w:val="2C8A61B5"/>
    <w:rsid w:val="2DF04E50"/>
    <w:rsid w:val="2E586DFA"/>
    <w:rsid w:val="2F040D46"/>
    <w:rsid w:val="2F6B035B"/>
    <w:rsid w:val="2FAE5751"/>
    <w:rsid w:val="2FB1A395"/>
    <w:rsid w:val="2FD9A7D8"/>
    <w:rsid w:val="2FDBF714"/>
    <w:rsid w:val="30AB6865"/>
    <w:rsid w:val="31915E9F"/>
    <w:rsid w:val="319F7F4E"/>
    <w:rsid w:val="32BD1EF1"/>
    <w:rsid w:val="3304709D"/>
    <w:rsid w:val="33A773CB"/>
    <w:rsid w:val="344D627D"/>
    <w:rsid w:val="349D6851"/>
    <w:rsid w:val="35985934"/>
    <w:rsid w:val="36AA5135"/>
    <w:rsid w:val="36BE0DA7"/>
    <w:rsid w:val="376B6AA6"/>
    <w:rsid w:val="376D39B2"/>
    <w:rsid w:val="37E16F03"/>
    <w:rsid w:val="37F53A3B"/>
    <w:rsid w:val="382A072D"/>
    <w:rsid w:val="38435389"/>
    <w:rsid w:val="389B6C89"/>
    <w:rsid w:val="38D469F0"/>
    <w:rsid w:val="39627CCD"/>
    <w:rsid w:val="397BAF1F"/>
    <w:rsid w:val="39937CAB"/>
    <w:rsid w:val="3AB79AF3"/>
    <w:rsid w:val="3AE834C0"/>
    <w:rsid w:val="3B2026D6"/>
    <w:rsid w:val="3B410DE9"/>
    <w:rsid w:val="3B7EF35A"/>
    <w:rsid w:val="3B9FDB6C"/>
    <w:rsid w:val="3BF5BC2F"/>
    <w:rsid w:val="3CDD779B"/>
    <w:rsid w:val="3CEBA265"/>
    <w:rsid w:val="3D98207C"/>
    <w:rsid w:val="3DEE7CF3"/>
    <w:rsid w:val="3E740A63"/>
    <w:rsid w:val="3E78745D"/>
    <w:rsid w:val="3EE17838"/>
    <w:rsid w:val="3F55381A"/>
    <w:rsid w:val="3F6953CE"/>
    <w:rsid w:val="3F7F7599"/>
    <w:rsid w:val="3FF4CAE0"/>
    <w:rsid w:val="3FF7B227"/>
    <w:rsid w:val="40C337D1"/>
    <w:rsid w:val="42F83237"/>
    <w:rsid w:val="43DC63FB"/>
    <w:rsid w:val="44752A19"/>
    <w:rsid w:val="44E268DA"/>
    <w:rsid w:val="450D13D7"/>
    <w:rsid w:val="45506656"/>
    <w:rsid w:val="486A6C7A"/>
    <w:rsid w:val="495A37A9"/>
    <w:rsid w:val="49AD2AFC"/>
    <w:rsid w:val="4A627F82"/>
    <w:rsid w:val="4B0E749A"/>
    <w:rsid w:val="4B2477C4"/>
    <w:rsid w:val="4B4F25DA"/>
    <w:rsid w:val="4BE068DB"/>
    <w:rsid w:val="4D577224"/>
    <w:rsid w:val="4DBF1CEB"/>
    <w:rsid w:val="4DF0007C"/>
    <w:rsid w:val="4E562CD4"/>
    <w:rsid w:val="4E830CA5"/>
    <w:rsid w:val="4EAB630A"/>
    <w:rsid w:val="4ECE2238"/>
    <w:rsid w:val="4EDB28B7"/>
    <w:rsid w:val="4F2763BC"/>
    <w:rsid w:val="4F833267"/>
    <w:rsid w:val="4FE9BD67"/>
    <w:rsid w:val="4FFB052F"/>
    <w:rsid w:val="50B7379E"/>
    <w:rsid w:val="50C22550"/>
    <w:rsid w:val="52224331"/>
    <w:rsid w:val="534D53DE"/>
    <w:rsid w:val="537E6D0A"/>
    <w:rsid w:val="53F74C96"/>
    <w:rsid w:val="544D1C3C"/>
    <w:rsid w:val="54620A58"/>
    <w:rsid w:val="55170BA8"/>
    <w:rsid w:val="553218C9"/>
    <w:rsid w:val="567E1AA5"/>
    <w:rsid w:val="56E47B74"/>
    <w:rsid w:val="57175D52"/>
    <w:rsid w:val="57BD3DD4"/>
    <w:rsid w:val="5A967C4C"/>
    <w:rsid w:val="5AF92295"/>
    <w:rsid w:val="5B250254"/>
    <w:rsid w:val="5BDD79E6"/>
    <w:rsid w:val="5BF561CA"/>
    <w:rsid w:val="5BFF5DFC"/>
    <w:rsid w:val="5C901E9A"/>
    <w:rsid w:val="5C9E26A8"/>
    <w:rsid w:val="5CD71FC4"/>
    <w:rsid w:val="5D1F11B5"/>
    <w:rsid w:val="5D695134"/>
    <w:rsid w:val="5DAE1B18"/>
    <w:rsid w:val="5DE7D9E5"/>
    <w:rsid w:val="5E2A278E"/>
    <w:rsid w:val="5ECEC941"/>
    <w:rsid w:val="5FBF9FF3"/>
    <w:rsid w:val="5FCD4E2C"/>
    <w:rsid w:val="5FEF394A"/>
    <w:rsid w:val="5FF67715"/>
    <w:rsid w:val="610B7A98"/>
    <w:rsid w:val="61161505"/>
    <w:rsid w:val="62BF3928"/>
    <w:rsid w:val="63B3701E"/>
    <w:rsid w:val="647F5392"/>
    <w:rsid w:val="657231CB"/>
    <w:rsid w:val="65E66580"/>
    <w:rsid w:val="664B1D71"/>
    <w:rsid w:val="664B4E8E"/>
    <w:rsid w:val="67200726"/>
    <w:rsid w:val="67277B67"/>
    <w:rsid w:val="67AA3209"/>
    <w:rsid w:val="698D0931"/>
    <w:rsid w:val="6A7FE5F3"/>
    <w:rsid w:val="6B053271"/>
    <w:rsid w:val="6B1765A5"/>
    <w:rsid w:val="6B4D73C2"/>
    <w:rsid w:val="6B7B4D86"/>
    <w:rsid w:val="6BB25E1A"/>
    <w:rsid w:val="6BDD78B3"/>
    <w:rsid w:val="6C4A05C8"/>
    <w:rsid w:val="6C8742B8"/>
    <w:rsid w:val="6CCA3953"/>
    <w:rsid w:val="6DBF5E93"/>
    <w:rsid w:val="6DFF077E"/>
    <w:rsid w:val="6E714EF0"/>
    <w:rsid w:val="6E7E3605"/>
    <w:rsid w:val="6E7FDCC7"/>
    <w:rsid w:val="6ED6A62E"/>
    <w:rsid w:val="6EE00B15"/>
    <w:rsid w:val="6F6FB3EB"/>
    <w:rsid w:val="6F8731EA"/>
    <w:rsid w:val="6FCE6052"/>
    <w:rsid w:val="6FD57C00"/>
    <w:rsid w:val="6FEFFFD8"/>
    <w:rsid w:val="6FF5CC65"/>
    <w:rsid w:val="6FFB47EC"/>
    <w:rsid w:val="6FFF034A"/>
    <w:rsid w:val="70484440"/>
    <w:rsid w:val="712A28F1"/>
    <w:rsid w:val="715C0E4B"/>
    <w:rsid w:val="71992E7C"/>
    <w:rsid w:val="72233669"/>
    <w:rsid w:val="72734D90"/>
    <w:rsid w:val="73160E6D"/>
    <w:rsid w:val="7332FE48"/>
    <w:rsid w:val="7346211D"/>
    <w:rsid w:val="73AB61DA"/>
    <w:rsid w:val="73AD73D5"/>
    <w:rsid w:val="73B6EB34"/>
    <w:rsid w:val="73FA497D"/>
    <w:rsid w:val="744731E5"/>
    <w:rsid w:val="74BBD01D"/>
    <w:rsid w:val="74ED5379"/>
    <w:rsid w:val="75DEEEC2"/>
    <w:rsid w:val="75E32345"/>
    <w:rsid w:val="768B5B3D"/>
    <w:rsid w:val="76E3355F"/>
    <w:rsid w:val="76FF5125"/>
    <w:rsid w:val="776F6FFA"/>
    <w:rsid w:val="778769C8"/>
    <w:rsid w:val="77A75DCA"/>
    <w:rsid w:val="77DC22F5"/>
    <w:rsid w:val="783E271A"/>
    <w:rsid w:val="78616DE9"/>
    <w:rsid w:val="78E875D7"/>
    <w:rsid w:val="78F742E4"/>
    <w:rsid w:val="79086DAD"/>
    <w:rsid w:val="79D7FD79"/>
    <w:rsid w:val="79EE5BA4"/>
    <w:rsid w:val="7A812F09"/>
    <w:rsid w:val="7A894339"/>
    <w:rsid w:val="7AD284E8"/>
    <w:rsid w:val="7AFF010D"/>
    <w:rsid w:val="7AFF7572"/>
    <w:rsid w:val="7B6C7DFB"/>
    <w:rsid w:val="7BBFBED0"/>
    <w:rsid w:val="7BC3E394"/>
    <w:rsid w:val="7C085BC0"/>
    <w:rsid w:val="7C1F3737"/>
    <w:rsid w:val="7CBFC87B"/>
    <w:rsid w:val="7CFE0F48"/>
    <w:rsid w:val="7D272ABC"/>
    <w:rsid w:val="7D29450F"/>
    <w:rsid w:val="7D7EC23E"/>
    <w:rsid w:val="7E8ADEBF"/>
    <w:rsid w:val="7EC24B74"/>
    <w:rsid w:val="7EEF11D3"/>
    <w:rsid w:val="7EFE0C70"/>
    <w:rsid w:val="7EFE4840"/>
    <w:rsid w:val="7F0971A6"/>
    <w:rsid w:val="7F1D62E7"/>
    <w:rsid w:val="7F3F679B"/>
    <w:rsid w:val="7F4FC4EF"/>
    <w:rsid w:val="7F5E4D54"/>
    <w:rsid w:val="7F6E0135"/>
    <w:rsid w:val="7F79F205"/>
    <w:rsid w:val="7FA30C79"/>
    <w:rsid w:val="7FA79C44"/>
    <w:rsid w:val="7FAF8ABF"/>
    <w:rsid w:val="7FB7269E"/>
    <w:rsid w:val="7FC96657"/>
    <w:rsid w:val="7FDA9588"/>
    <w:rsid w:val="7FDF220F"/>
    <w:rsid w:val="7FEDC5F7"/>
    <w:rsid w:val="7FEDD9DE"/>
    <w:rsid w:val="7FEEBAF3"/>
    <w:rsid w:val="7FF5890D"/>
    <w:rsid w:val="7FF93490"/>
    <w:rsid w:val="99FF2014"/>
    <w:rsid w:val="A6DD0D7F"/>
    <w:rsid w:val="ACFF4FBB"/>
    <w:rsid w:val="ADC6F725"/>
    <w:rsid w:val="B7CF06AB"/>
    <w:rsid w:val="B7CFA926"/>
    <w:rsid w:val="B7F8786B"/>
    <w:rsid w:val="BABB6AA1"/>
    <w:rsid w:val="BB2F4199"/>
    <w:rsid w:val="BCFFB442"/>
    <w:rsid w:val="BD079C78"/>
    <w:rsid w:val="BD733540"/>
    <w:rsid w:val="BF3735D5"/>
    <w:rsid w:val="BF7F09AC"/>
    <w:rsid w:val="BFD475C3"/>
    <w:rsid w:val="BFDE5EA6"/>
    <w:rsid w:val="CF6FC6F3"/>
    <w:rsid w:val="CFD3D3D7"/>
    <w:rsid w:val="CFDF1009"/>
    <w:rsid w:val="D58C5ACA"/>
    <w:rsid w:val="D7D7B16A"/>
    <w:rsid w:val="D8D6DB89"/>
    <w:rsid w:val="DB6F4CAB"/>
    <w:rsid w:val="DB777682"/>
    <w:rsid w:val="DD1FB521"/>
    <w:rsid w:val="DEFBFEAE"/>
    <w:rsid w:val="DF1F3B80"/>
    <w:rsid w:val="DF6F9789"/>
    <w:rsid w:val="DFE9BE81"/>
    <w:rsid w:val="DFFFA9E8"/>
    <w:rsid w:val="E5F4E9DC"/>
    <w:rsid w:val="E70FE695"/>
    <w:rsid w:val="EB2E368B"/>
    <w:rsid w:val="ECFED1BC"/>
    <w:rsid w:val="ED1D69BB"/>
    <w:rsid w:val="ED7FD312"/>
    <w:rsid w:val="EF2E1AC6"/>
    <w:rsid w:val="EF53993F"/>
    <w:rsid w:val="EF6FD633"/>
    <w:rsid w:val="EFBFB2F4"/>
    <w:rsid w:val="EFBFFA21"/>
    <w:rsid w:val="F2BEBCB8"/>
    <w:rsid w:val="F36FB518"/>
    <w:rsid w:val="F3DE1A04"/>
    <w:rsid w:val="F3F722E5"/>
    <w:rsid w:val="F4FBCD07"/>
    <w:rsid w:val="FA5F1E70"/>
    <w:rsid w:val="FA5FDB97"/>
    <w:rsid w:val="FB7F486A"/>
    <w:rsid w:val="FBEFE6D4"/>
    <w:rsid w:val="FBFF5B2E"/>
    <w:rsid w:val="FD7FFE2B"/>
    <w:rsid w:val="FDBFCC91"/>
    <w:rsid w:val="FDEE196B"/>
    <w:rsid w:val="FDFE6575"/>
    <w:rsid w:val="FE9F8004"/>
    <w:rsid w:val="FEDFDDC2"/>
    <w:rsid w:val="FEED32F6"/>
    <w:rsid w:val="FEF781DD"/>
    <w:rsid w:val="FF3F7E3F"/>
    <w:rsid w:val="FFBA12D7"/>
    <w:rsid w:val="FFCBD314"/>
    <w:rsid w:val="FFDFF91C"/>
    <w:rsid w:val="FFDFFAEE"/>
    <w:rsid w:val="FFEF6777"/>
    <w:rsid w:val="FFF9B57B"/>
    <w:rsid w:val="FFFD61D9"/>
    <w:rsid w:val="FFFD8F59"/>
    <w:rsid w:val="FFFF2BB1"/>
    <w:rsid w:val="FFFFB04D"/>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name="footnote text"/>
    <w:lsdException w:uiPriority="99" w:name="annotation text"/>
    <w:lsdException w:qFormat="1" w:unhideWhenUsed="0" w:uiPriority="99"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link w:val="30"/>
    <w:qFormat/>
    <w:uiPriority w:val="9"/>
    <w:pPr>
      <w:keepNext/>
      <w:keepLines/>
      <w:spacing w:before="340" w:after="330" w:line="578" w:lineRule="auto"/>
      <w:outlineLvl w:val="0"/>
    </w:pPr>
    <w:rPr>
      <w:b/>
      <w:bCs/>
      <w:kern w:val="44"/>
      <w:sz w:val="44"/>
      <w:szCs w:val="44"/>
    </w:rPr>
  </w:style>
  <w:style w:type="paragraph" w:styleId="5">
    <w:name w:val="heading 2"/>
    <w:basedOn w:val="1"/>
    <w:next w:val="1"/>
    <w:link w:val="31"/>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6">
    <w:name w:val="heading 3"/>
    <w:basedOn w:val="1"/>
    <w:next w:val="1"/>
    <w:link w:val="34"/>
    <w:unhideWhenUsed/>
    <w:qFormat/>
    <w:uiPriority w:val="9"/>
    <w:pPr>
      <w:keepNext/>
      <w:keepLines/>
      <w:spacing w:before="260" w:after="260" w:line="416" w:lineRule="auto"/>
      <w:outlineLvl w:val="2"/>
    </w:pPr>
    <w:rPr>
      <w:b/>
      <w:bCs/>
      <w:sz w:val="32"/>
      <w:szCs w:val="32"/>
    </w:rPr>
  </w:style>
  <w:style w:type="character" w:default="1" w:styleId="18">
    <w:name w:val="Default Paragraph Font"/>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customStyle="1" w:styleId="2">
    <w:name w:val="图表目录1"/>
    <w:basedOn w:val="3"/>
    <w:next w:val="1"/>
    <w:qFormat/>
    <w:uiPriority w:val="99"/>
    <w:pPr>
      <w:ind w:left="200" w:leftChars="200" w:hanging="200" w:hangingChars="200"/>
    </w:pPr>
    <w:rPr>
      <w:rFonts w:hint="eastAsia"/>
      <w:szCs w:val="24"/>
    </w:rPr>
  </w:style>
  <w:style w:type="paragraph" w:customStyle="1" w:styleId="3">
    <w:name w:val="正文 New New New New New New New New New New New New New New New New New New New New New New New New New New New New New New New New New New New New New New New New New New New New New New New New New New New New New New New New New New New New New New Ne"/>
    <w:next w:val="2"/>
    <w:qFormat/>
    <w:uiPriority w:val="0"/>
    <w:pPr>
      <w:widowControl w:val="0"/>
      <w:jc w:val="both"/>
    </w:pPr>
    <w:rPr>
      <w:rFonts w:ascii="Calibri" w:hAnsi="Calibri" w:eastAsia="宋体" w:cs="Arial"/>
      <w:kern w:val="2"/>
      <w:sz w:val="21"/>
      <w:szCs w:val="22"/>
      <w:lang w:val="en-US" w:eastAsia="zh-CN" w:bidi="ar-SA"/>
    </w:rPr>
  </w:style>
  <w:style w:type="paragraph" w:styleId="7">
    <w:name w:val="Body Text"/>
    <w:basedOn w:val="1"/>
    <w:link w:val="27"/>
    <w:qFormat/>
    <w:uiPriority w:val="99"/>
    <w:pPr>
      <w:spacing w:beforeLines="30"/>
    </w:pPr>
    <w:rPr>
      <w:rFonts w:ascii="仿宋_GB2312" w:eastAsia="仿宋_GB2312"/>
      <w:kern w:val="0"/>
      <w:sz w:val="30"/>
    </w:rPr>
  </w:style>
  <w:style w:type="paragraph" w:styleId="8">
    <w:name w:val="Body Text Indent"/>
    <w:basedOn w:val="1"/>
    <w:next w:val="9"/>
    <w:qFormat/>
    <w:uiPriority w:val="0"/>
    <w:pPr>
      <w:spacing w:after="120"/>
      <w:ind w:leftChars="200"/>
    </w:pPr>
    <w:rPr>
      <w:rFonts w:ascii="仿宋_GB2312"/>
      <w:szCs w:val="32"/>
    </w:rPr>
  </w:style>
  <w:style w:type="paragraph" w:styleId="9">
    <w:name w:val="Body Text First Indent 2"/>
    <w:basedOn w:val="8"/>
    <w:unhideWhenUsed/>
    <w:qFormat/>
    <w:uiPriority w:val="99"/>
    <w:pPr>
      <w:ind w:firstLine="420" w:firstLineChars="200"/>
    </w:pPr>
  </w:style>
  <w:style w:type="paragraph" w:styleId="10">
    <w:name w:val="toc 3"/>
    <w:basedOn w:val="1"/>
    <w:next w:val="1"/>
    <w:unhideWhenUsed/>
    <w:qFormat/>
    <w:uiPriority w:val="39"/>
    <w:pPr>
      <w:tabs>
        <w:tab w:val="right" w:leader="dot" w:pos="8296"/>
      </w:tabs>
      <w:ind w:left="840" w:leftChars="400"/>
    </w:pPr>
  </w:style>
  <w:style w:type="paragraph" w:styleId="11">
    <w:name w:val="Balloon Text"/>
    <w:basedOn w:val="1"/>
    <w:link w:val="33"/>
    <w:semiHidden/>
    <w:unhideWhenUsed/>
    <w:qFormat/>
    <w:uiPriority w:val="99"/>
    <w:rPr>
      <w:sz w:val="18"/>
      <w:szCs w:val="18"/>
    </w:rPr>
  </w:style>
  <w:style w:type="paragraph" w:styleId="12">
    <w:name w:val="footer"/>
    <w:basedOn w:val="1"/>
    <w:link w:val="25"/>
    <w:qFormat/>
    <w:uiPriority w:val="99"/>
    <w:pPr>
      <w:tabs>
        <w:tab w:val="center" w:pos="4153"/>
        <w:tab w:val="right" w:pos="8306"/>
      </w:tabs>
      <w:snapToGrid w:val="0"/>
      <w:jc w:val="left"/>
    </w:pPr>
    <w:rPr>
      <w:rFonts w:ascii="Calibri" w:hAnsi="Calibri"/>
      <w:kern w:val="0"/>
      <w:sz w:val="18"/>
      <w:szCs w:val="18"/>
    </w:rPr>
  </w:style>
  <w:style w:type="paragraph" w:styleId="13">
    <w:name w:val="header"/>
    <w:basedOn w:val="1"/>
    <w:link w:val="23"/>
    <w:semiHidden/>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14">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paragraph" w:styleId="15">
    <w:name w:val="footnote text"/>
    <w:basedOn w:val="1"/>
    <w:next w:val="9"/>
    <w:semiHidden/>
    <w:qFormat/>
    <w:uiPriority w:val="0"/>
    <w:pPr>
      <w:snapToGrid w:val="0"/>
      <w:jc w:val="left"/>
    </w:pPr>
    <w:rPr>
      <w:sz w:val="18"/>
      <w:szCs w:val="18"/>
    </w:rPr>
  </w:style>
  <w:style w:type="paragraph" w:styleId="16">
    <w:name w:val="toc 2"/>
    <w:basedOn w:val="1"/>
    <w:next w:val="1"/>
    <w:unhideWhenUsed/>
    <w:qFormat/>
    <w:uiPriority w:val="39"/>
    <w:pPr>
      <w:tabs>
        <w:tab w:val="right" w:leader="dot" w:pos="8296"/>
      </w:tabs>
      <w:ind w:left="420" w:leftChars="200"/>
    </w:pPr>
  </w:style>
  <w:style w:type="character" w:styleId="19">
    <w:name w:val="Strong"/>
    <w:basedOn w:val="18"/>
    <w:qFormat/>
    <w:uiPriority w:val="99"/>
    <w:rPr>
      <w:b/>
    </w:rPr>
  </w:style>
  <w:style w:type="character" w:styleId="20">
    <w:name w:val="Hyperlink"/>
    <w:basedOn w:val="18"/>
    <w:unhideWhenUsed/>
    <w:qFormat/>
    <w:uiPriority w:val="99"/>
    <w:rPr>
      <w:color w:val="0000FF" w:themeColor="hyperlink"/>
      <w:u w:val="single"/>
      <w14:textFill>
        <w14:solidFill>
          <w14:schemeClr w14:val="hlink"/>
        </w14:solidFill>
      </w14:textFill>
    </w:rPr>
  </w:style>
  <w:style w:type="paragraph" w:customStyle="1" w:styleId="21">
    <w:name w:val="标题 5（有编号）（绿盟科技）"/>
    <w:next w:val="1"/>
    <w:qFormat/>
    <w:uiPriority w:val="99"/>
    <w:pPr>
      <w:keepNext/>
      <w:keepLines/>
      <w:widowControl w:val="0"/>
      <w:spacing w:before="280" w:after="156" w:line="377" w:lineRule="auto"/>
      <w:jc w:val="left"/>
      <w:outlineLvl w:val="4"/>
    </w:pPr>
    <w:rPr>
      <w:rFonts w:ascii="Arial" w:hAnsi="Arial" w:eastAsia="黑体" w:cs="Times New Roman"/>
      <w:b/>
      <w:kern w:val="2"/>
      <w:sz w:val="24"/>
      <w:szCs w:val="28"/>
      <w:lang w:val="en-US" w:eastAsia="zh-CN" w:bidi="ar-SA"/>
    </w:rPr>
  </w:style>
  <w:style w:type="character" w:customStyle="1" w:styleId="22">
    <w:name w:val="Header Char"/>
    <w:basedOn w:val="18"/>
    <w:semiHidden/>
    <w:qFormat/>
    <w:uiPriority w:val="99"/>
    <w:rPr>
      <w:rFonts w:ascii="Times New Roman" w:hAnsi="Times New Roman"/>
      <w:sz w:val="18"/>
      <w:szCs w:val="18"/>
    </w:rPr>
  </w:style>
  <w:style w:type="character" w:customStyle="1" w:styleId="23">
    <w:name w:val="页眉 Char"/>
    <w:link w:val="13"/>
    <w:semiHidden/>
    <w:qFormat/>
    <w:locked/>
    <w:uiPriority w:val="99"/>
    <w:rPr>
      <w:sz w:val="18"/>
    </w:rPr>
  </w:style>
  <w:style w:type="character" w:customStyle="1" w:styleId="24">
    <w:name w:val="Footer Char"/>
    <w:basedOn w:val="18"/>
    <w:semiHidden/>
    <w:qFormat/>
    <w:uiPriority w:val="99"/>
    <w:rPr>
      <w:rFonts w:ascii="Times New Roman" w:hAnsi="Times New Roman"/>
      <w:sz w:val="18"/>
      <w:szCs w:val="18"/>
    </w:rPr>
  </w:style>
  <w:style w:type="character" w:customStyle="1" w:styleId="25">
    <w:name w:val="页脚 Char"/>
    <w:link w:val="12"/>
    <w:qFormat/>
    <w:locked/>
    <w:uiPriority w:val="99"/>
    <w:rPr>
      <w:sz w:val="18"/>
    </w:rPr>
  </w:style>
  <w:style w:type="character" w:customStyle="1" w:styleId="26">
    <w:name w:val="Body Text Char"/>
    <w:basedOn w:val="18"/>
    <w:semiHidden/>
    <w:qFormat/>
    <w:uiPriority w:val="99"/>
    <w:rPr>
      <w:rFonts w:ascii="Times New Roman" w:hAnsi="Times New Roman"/>
      <w:szCs w:val="24"/>
    </w:rPr>
  </w:style>
  <w:style w:type="character" w:customStyle="1" w:styleId="27">
    <w:name w:val="正文文本 Char"/>
    <w:link w:val="7"/>
    <w:qFormat/>
    <w:locked/>
    <w:uiPriority w:val="99"/>
    <w:rPr>
      <w:rFonts w:ascii="仿宋_GB2312" w:hAnsi="Times New Roman" w:eastAsia="仿宋_GB2312"/>
      <w:sz w:val="24"/>
    </w:rPr>
  </w:style>
  <w:style w:type="paragraph" w:customStyle="1" w:styleId="28">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paragraph" w:styleId="29">
    <w:name w:val="List Paragraph"/>
    <w:basedOn w:val="1"/>
    <w:qFormat/>
    <w:uiPriority w:val="34"/>
    <w:pPr>
      <w:ind w:firstLine="420" w:firstLineChars="200"/>
    </w:pPr>
  </w:style>
  <w:style w:type="character" w:customStyle="1" w:styleId="30">
    <w:name w:val="标题 1 Char"/>
    <w:basedOn w:val="18"/>
    <w:link w:val="4"/>
    <w:qFormat/>
    <w:uiPriority w:val="9"/>
    <w:rPr>
      <w:rFonts w:ascii="Times New Roman" w:hAnsi="Times New Roman"/>
      <w:b/>
      <w:bCs/>
      <w:kern w:val="44"/>
      <w:sz w:val="44"/>
      <w:szCs w:val="44"/>
    </w:rPr>
  </w:style>
  <w:style w:type="character" w:customStyle="1" w:styleId="31">
    <w:name w:val="标题 2 Char"/>
    <w:basedOn w:val="18"/>
    <w:link w:val="5"/>
    <w:qFormat/>
    <w:uiPriority w:val="9"/>
    <w:rPr>
      <w:rFonts w:asciiTheme="majorHAnsi" w:hAnsiTheme="majorHAnsi" w:eastAsiaTheme="majorEastAsia" w:cstheme="majorBidi"/>
      <w:b/>
      <w:bCs/>
      <w:kern w:val="2"/>
      <w:sz w:val="32"/>
      <w:szCs w:val="32"/>
    </w:rPr>
  </w:style>
  <w:style w:type="paragraph" w:customStyle="1" w:styleId="32">
    <w:name w:val="TOC 标题1"/>
    <w:basedOn w:val="4"/>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33">
    <w:name w:val="批注框文本 Char"/>
    <w:basedOn w:val="18"/>
    <w:link w:val="11"/>
    <w:semiHidden/>
    <w:qFormat/>
    <w:uiPriority w:val="99"/>
    <w:rPr>
      <w:rFonts w:ascii="Times New Roman" w:hAnsi="Times New Roman"/>
      <w:kern w:val="2"/>
      <w:sz w:val="18"/>
      <w:szCs w:val="18"/>
    </w:rPr>
  </w:style>
  <w:style w:type="character" w:customStyle="1" w:styleId="34">
    <w:name w:val="标题 3 Char"/>
    <w:basedOn w:val="18"/>
    <w:link w:val="6"/>
    <w:qFormat/>
    <w:uiPriority w:val="9"/>
    <w:rPr>
      <w:rFonts w:ascii="Times New Roman" w:hAnsi="Times New Roman"/>
      <w:b/>
      <w:bCs/>
      <w:kern w:val="2"/>
      <w:sz w:val="32"/>
      <w:szCs w:val="32"/>
    </w:rPr>
  </w:style>
  <w:style w:type="paragraph" w:customStyle="1" w:styleId="35">
    <w:name w:val="TOC Heading"/>
    <w:basedOn w:val="4"/>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paragraph" w:customStyle="1" w:styleId="36">
    <w:name w:val="四号正文"/>
    <w:basedOn w:val="1"/>
    <w:qFormat/>
    <w:uiPriority w:val="0"/>
    <w:pPr>
      <w:spacing w:line="360" w:lineRule="auto"/>
    </w:pPr>
    <w:rPr>
      <w:rFonts w:ascii="??" w:hAnsi="??" w:eastAsia="宋体"/>
      <w:color w:val="000000"/>
      <w:kern w:val="0"/>
      <w:sz w:val="28"/>
      <w:szCs w:val="21"/>
      <w:lang w:val="zh-CN" w:eastAsia="zh-CN"/>
    </w:rPr>
  </w:style>
</w:styles>
</file>

<file path=word/_rels/document.xml.rels><?xml version="1.0" encoding="UTF-8" standalone="yes"?>
<Relationships xmlns="http://schemas.openxmlformats.org/package/2006/relationships"><Relationship Id="rId9" Type="http://schemas.openxmlformats.org/officeDocument/2006/relationships/chart" Target="charts/chart1.xml"/><Relationship Id="rId8" Type="http://schemas.openxmlformats.org/officeDocument/2006/relationships/theme" Target="theme/theme1.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chart" Target="charts/chart6.xml"/><Relationship Id="rId15" Type="http://schemas.openxmlformats.org/officeDocument/2006/relationships/chart" Target="charts/chart5.xml"/><Relationship Id="rId14" Type="http://schemas.openxmlformats.org/officeDocument/2006/relationships/chart" Target="charts/chart4.xml"/><Relationship Id="rId13" Type="http://schemas.openxmlformats.org/officeDocument/2006/relationships/chart" Target="charts/chart3.xml"/><Relationship Id="rId12" Type="http://schemas.openxmlformats.org/officeDocument/2006/relationships/chart" Target="charts/chart2.xml"/><Relationship Id="rId11" Type="http://schemas.openxmlformats.org/officeDocument/2006/relationships/image" Target="media/image1.emf"/><Relationship Id="rId10" Type="http://schemas.openxmlformats.org/officeDocument/2006/relationships/oleObject" Target="embeddings/oleObject1.bin"/><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4" Type="http://schemas.microsoft.com/office/2011/relationships/chartColorStyle" Target="colors1.xml"/><Relationship Id="rId3" Type="http://schemas.microsoft.com/office/2011/relationships/chartStyle" Target="style1.xml"/><Relationship Id="rId2" Type="http://schemas.openxmlformats.org/officeDocument/2006/relationships/themeOverride" Target="../theme/themeOverride1.xml"/><Relationship Id="rId1" Type="http://schemas.openxmlformats.org/officeDocument/2006/relationships/package" Target="../embeddings/Workbook1.xlsx"/></Relationships>
</file>

<file path=word/charts/_rels/chart2.xml.rels><?xml version="1.0" encoding="UTF-8" standalone="yes"?>
<Relationships xmlns="http://schemas.openxmlformats.org/package/2006/relationships"><Relationship Id="rId3" Type="http://schemas.microsoft.com/office/2011/relationships/chartColorStyle" Target="colors3.xml"/><Relationship Id="rId2" Type="http://schemas.microsoft.com/office/2011/relationships/chartStyle" Target="style3.xml"/><Relationship Id="rId1" Type="http://schemas.openxmlformats.org/officeDocument/2006/relationships/package" Target="../embeddings/Workbook3.xlsx"/></Relationships>
</file>

<file path=word/charts/_rels/chart3.xml.rels><?xml version="1.0" encoding="UTF-8" standalone="yes"?>
<Relationships xmlns="http://schemas.openxmlformats.org/package/2006/relationships"><Relationship Id="rId4" Type="http://schemas.microsoft.com/office/2011/relationships/chartColorStyle" Target="colors5.xml"/><Relationship Id="rId3" Type="http://schemas.microsoft.com/office/2011/relationships/chartStyle" Target="style5.xml"/><Relationship Id="rId2" Type="http://schemas.openxmlformats.org/officeDocument/2006/relationships/themeOverride" Target="../theme/themeOverride3.xml"/><Relationship Id="rId1" Type="http://schemas.openxmlformats.org/officeDocument/2006/relationships/package" Target="../embeddings/Workbook5.xlsx"/></Relationships>
</file>

<file path=word/charts/_rels/chart4.xml.rels><?xml version="1.0" encoding="UTF-8" standalone="yes"?>
<Relationships xmlns="http://schemas.openxmlformats.org/package/2006/relationships"><Relationship Id="rId4" Type="http://schemas.microsoft.com/office/2011/relationships/chartColorStyle" Target="colors6.xml"/><Relationship Id="rId3" Type="http://schemas.microsoft.com/office/2011/relationships/chartStyle" Target="style6.xml"/><Relationship Id="rId2" Type="http://schemas.openxmlformats.org/officeDocument/2006/relationships/themeOverride" Target="../theme/themeOverride4.xml"/><Relationship Id="rId1" Type="http://schemas.openxmlformats.org/officeDocument/2006/relationships/package" Target="../embeddings/Workbook6.xlsx"/></Relationships>
</file>

<file path=word/charts/_rels/chart5.xml.rels><?xml version="1.0" encoding="UTF-8" standalone="yes"?>
<Relationships xmlns="http://schemas.openxmlformats.org/package/2006/relationships"><Relationship Id="rId3" Type="http://schemas.microsoft.com/office/2011/relationships/chartColorStyle" Target="colors4.xml"/><Relationship Id="rId2" Type="http://schemas.microsoft.com/office/2011/relationships/chartStyle" Target="style4.xml"/><Relationship Id="rId1" Type="http://schemas.openxmlformats.org/officeDocument/2006/relationships/package" Target="../embeddings/Workbook4.xlsx"/></Relationships>
</file>

<file path=word/charts/_rels/chart6.xml.rels><?xml version="1.0" encoding="UTF-8" standalone="yes"?>
<Relationships xmlns="http://schemas.openxmlformats.org/package/2006/relationships"><Relationship Id="rId4" Type="http://schemas.microsoft.com/office/2011/relationships/chartColorStyle" Target="colors2.xml"/><Relationship Id="rId3" Type="http://schemas.microsoft.com/office/2011/relationships/chartStyle" Target="style2.xml"/><Relationship Id="rId2" Type="http://schemas.openxmlformats.org/officeDocument/2006/relationships/themeOverride" Target="../theme/themeOverride2.xml"/><Relationship Id="rId1" Type="http://schemas.openxmlformats.org/officeDocument/2006/relationships/package" Target="../embeddings/Workbook2.xlsx"/></Relationships>
</file>

<file path=word/charts/chart1.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0" vertOverflow="ellipsis" vert="horz" wrap="square" anchor="ctr" anchorCtr="true"/>
          <a:lstStyle/>
          <a:p>
            <a:pPr defTabSz="914400">
              <a:defRPr lang="zh-CN" sz="1800" b="1" i="0" u="none" strike="noStrike" kern="1200" baseline="0">
                <a:solidFill>
                  <a:sysClr val="windowText" lastClr="000000">
                    <a:lumMod val="75000"/>
                    <a:lumOff val="25000"/>
                  </a:sysClr>
                </a:solidFill>
                <a:latin typeface="+mn-lt"/>
                <a:ea typeface="+mn-ea"/>
                <a:cs typeface="+mn-cs"/>
              </a:defRPr>
            </a:pPr>
            <a:r>
              <a:t>202</a:t>
            </a:r>
            <a:r>
              <a:rPr lang="en-US" altLang="zh-CN"/>
              <a:t>3</a:t>
            </a:r>
            <a:r>
              <a:t>年与202</a:t>
            </a:r>
            <a:r>
              <a:rPr lang="en-US" altLang="zh-CN"/>
              <a:t>4</a:t>
            </a:r>
            <a:r>
              <a:t>年收入支出决算数对比图       单位：万元</a:t>
            </a:r>
          </a:p>
        </c:rich>
      </c:tx>
      <c:layout>
        <c:manualLayout>
          <c:xMode val="edge"/>
          <c:yMode val="edge"/>
          <c:x val="0.136338391368475"/>
          <c:y val="0.0093984962406015"/>
        </c:manualLayout>
      </c:layout>
      <c:overlay val="false"/>
      <c:spPr>
        <a:noFill/>
        <a:ln>
          <a:noFill/>
        </a:ln>
        <a:effectLst/>
      </c:spPr>
    </c:title>
    <c:autoTitleDeleted val="false"/>
    <c:plotArea>
      <c:layout>
        <c:manualLayout>
          <c:layoutTarget val="inner"/>
          <c:xMode val="edge"/>
          <c:yMode val="edge"/>
          <c:x val="0.0988406791073491"/>
          <c:y val="0.0093984962406015"/>
          <c:w val="0.86355"/>
          <c:h val="0.7164"/>
        </c:manualLayout>
      </c:layout>
      <c:barChart>
        <c:barDir val="bar"/>
        <c:grouping val="clustered"/>
        <c:varyColors val="false"/>
        <c:ser>
          <c:idx val="0"/>
          <c:order val="0"/>
          <c:tx>
            <c:strRef>
              <c:f>Sheet1!$B$1</c:f>
              <c:strCache>
                <c:ptCount val="1"/>
                <c:pt idx="0">
                  <c:v>收入决算数</c:v>
                </c:pt>
              </c:strCache>
            </c:strRef>
          </c:tx>
          <c:spPr>
            <a:solidFill>
              <a:srgbClr val="4F81BD">
                <a:alpha val="85000"/>
              </a:srgbClr>
            </a:solidFill>
            <a:ln w="9525" cap="flat" cmpd="sng" algn="ctr">
              <a:solidFill>
                <a:sysClr val="window" lastClr="FFFFFF">
                  <a:alpha val="50000"/>
                </a:sysClr>
              </a:solidFill>
              <a:round/>
            </a:ln>
            <a:effectLst/>
          </c:spPr>
          <c:invertIfNegative val="false"/>
          <c:dLbls>
            <c:spPr>
              <a:noFill/>
              <a:ln>
                <a:noFill/>
              </a:ln>
              <a:effectLst/>
            </c:spPr>
            <c:txPr>
              <a:bodyPr rot="0" spcFirstLastPara="0" vertOverflow="ellipsis" vert="horz" wrap="square" lIns="38100" tIns="19050" rIns="38100" bIns="19050" anchor="ctr" anchorCtr="true"/>
              <a:lstStyle/>
              <a:p>
                <a:pPr>
                  <a:defRPr lang="zh-CN" sz="900" b="1" i="0" u="none" strike="noStrike" kern="1200" baseline="0">
                    <a:solidFill>
                      <a:sysClr val="window" lastClr="FFFFFF"/>
                    </a:solidFill>
                    <a:latin typeface="+mn-lt"/>
                    <a:ea typeface="+mn-ea"/>
                    <a:cs typeface="+mn-cs"/>
                  </a:defRPr>
                </a:pPr>
              </a:p>
            </c:txPr>
            <c:dLblPos val="inEnd"/>
            <c:showLegendKey val="false"/>
            <c:showVal val="true"/>
            <c:showCatName val="false"/>
            <c:showSerName val="false"/>
            <c:showPercent val="false"/>
            <c:showBubbleSize val="false"/>
            <c:showLeaderLines val="false"/>
            <c:extLst>
              <c:ext xmlns:c15="http://schemas.microsoft.com/office/drawing/2012/chart" uri="{CE6537A1-D6FC-4f65-9D91-7224C49458BB}">
                <c15:layout/>
                <c15:showLeaderLines val="false"/>
                <c15:leaderLines>
                  <c:spPr>
                    <a:ln w="9525">
                      <a:solidFill>
                        <a:sysClr val="windowText" lastClr="000000">
                          <a:lumMod val="50000"/>
                          <a:lumOff val="50000"/>
                        </a:sysClr>
                      </a:solidFill>
                    </a:ln>
                    <a:effectLst/>
                  </c:spPr>
                </c15:leaderLines>
              </c:ext>
            </c:extLst>
          </c:dLbls>
          <c:cat>
            <c:strRef>
              <c:f>Sheet1!$A$2:$A$3</c:f>
              <c:strCache>
                <c:ptCount val="2"/>
                <c:pt idx="0">
                  <c:v>2024年</c:v>
                </c:pt>
                <c:pt idx="1">
                  <c:v>2023年</c:v>
                </c:pt>
              </c:strCache>
            </c:strRef>
          </c:cat>
          <c:val>
            <c:numRef>
              <c:f>Sheet1!$B$2:$B$3</c:f>
              <c:numCache>
                <c:formatCode>General</c:formatCode>
                <c:ptCount val="2"/>
                <c:pt idx="0">
                  <c:v>730.49</c:v>
                </c:pt>
                <c:pt idx="1">
                  <c:v>910.17</c:v>
                </c:pt>
              </c:numCache>
            </c:numRef>
          </c:val>
        </c:ser>
        <c:ser>
          <c:idx val="1"/>
          <c:order val="1"/>
          <c:tx>
            <c:strRef>
              <c:f>Sheet1!$C$1</c:f>
              <c:strCache>
                <c:ptCount val="1"/>
                <c:pt idx="0">
                  <c:v>支出决算数</c:v>
                </c:pt>
              </c:strCache>
            </c:strRef>
          </c:tx>
          <c:spPr>
            <a:solidFill>
              <a:srgbClr val="C0504D">
                <a:alpha val="85000"/>
              </a:srgbClr>
            </a:solidFill>
            <a:ln w="9525" cap="flat" cmpd="sng" algn="ctr">
              <a:solidFill>
                <a:sysClr val="window" lastClr="FFFFFF">
                  <a:alpha val="50000"/>
                </a:sysClr>
              </a:solidFill>
              <a:round/>
            </a:ln>
            <a:effectLst/>
          </c:spPr>
          <c:invertIfNegative val="false"/>
          <c:dLbls>
            <c:spPr>
              <a:noFill/>
              <a:ln>
                <a:noFill/>
              </a:ln>
              <a:effectLst/>
            </c:spPr>
            <c:txPr>
              <a:bodyPr rot="0" spcFirstLastPara="0" vertOverflow="ellipsis" vert="horz" wrap="square" lIns="38100" tIns="19050" rIns="38100" bIns="19050" anchor="ctr" anchorCtr="true"/>
              <a:lstStyle/>
              <a:p>
                <a:pPr>
                  <a:defRPr lang="zh-CN" sz="900" b="1" i="0" u="none" strike="noStrike" kern="1200" baseline="0">
                    <a:solidFill>
                      <a:sysClr val="window" lastClr="FFFFFF"/>
                    </a:solidFill>
                    <a:latin typeface="+mn-lt"/>
                    <a:ea typeface="+mn-ea"/>
                    <a:cs typeface="+mn-cs"/>
                  </a:defRPr>
                </a:pPr>
              </a:p>
            </c:txPr>
            <c:dLblPos val="inEnd"/>
            <c:showLegendKey val="false"/>
            <c:showVal val="true"/>
            <c:showCatName val="false"/>
            <c:showSerName val="false"/>
            <c:showPercent val="false"/>
            <c:showBubbleSize val="false"/>
            <c:showLeaderLines val="false"/>
            <c:extLst>
              <c:ext xmlns:c15="http://schemas.microsoft.com/office/drawing/2012/chart" uri="{CE6537A1-D6FC-4f65-9D91-7224C49458BB}">
                <c15:layout/>
                <c15:showLeaderLines val="false"/>
                <c15:leaderLines>
                  <c:spPr>
                    <a:ln w="9525">
                      <a:solidFill>
                        <a:sysClr val="windowText" lastClr="000000">
                          <a:lumMod val="50000"/>
                          <a:lumOff val="50000"/>
                        </a:sysClr>
                      </a:solidFill>
                    </a:ln>
                    <a:effectLst/>
                  </c:spPr>
                </c15:leaderLines>
              </c:ext>
            </c:extLst>
          </c:dLbls>
          <c:cat>
            <c:strRef>
              <c:f>Sheet1!$A$2:$A$3</c:f>
              <c:strCache>
                <c:ptCount val="2"/>
                <c:pt idx="0">
                  <c:v>2024年</c:v>
                </c:pt>
                <c:pt idx="1">
                  <c:v>2023年</c:v>
                </c:pt>
              </c:strCache>
            </c:strRef>
          </c:cat>
          <c:val>
            <c:numRef>
              <c:f>Sheet1!$C$2:$C$3</c:f>
              <c:numCache>
                <c:formatCode>General</c:formatCode>
                <c:ptCount val="2"/>
                <c:pt idx="0">
                  <c:v>730.49</c:v>
                </c:pt>
                <c:pt idx="1">
                  <c:v>910.17</c:v>
                </c:pt>
              </c:numCache>
            </c:numRef>
          </c:val>
        </c:ser>
        <c:ser>
          <c:idx val="2"/>
          <c:order val="2"/>
          <c:tx>
            <c:strRef>
              <c:f>Sheet1!$D$1</c:f>
              <c:strCache>
                <c:ptCount val="1"/>
                <c:pt idx="0">
                  <c:v>增减幅度绝对值</c:v>
                </c:pt>
              </c:strCache>
            </c:strRef>
          </c:tx>
          <c:spPr>
            <a:solidFill>
              <a:srgbClr val="9BBB59">
                <a:alpha val="85000"/>
              </a:srgbClr>
            </a:solidFill>
            <a:ln w="9525" cap="flat" cmpd="sng" algn="ctr">
              <a:solidFill>
                <a:sysClr val="window" lastClr="FFFFFF">
                  <a:alpha val="50000"/>
                </a:sysClr>
              </a:solidFill>
              <a:round/>
            </a:ln>
            <a:effectLst/>
          </c:spPr>
          <c:invertIfNegative val="false"/>
          <c:dLbls>
            <c:spPr>
              <a:noFill/>
              <a:ln>
                <a:noFill/>
              </a:ln>
              <a:effectLst/>
            </c:spPr>
            <c:txPr>
              <a:bodyPr rot="0" spcFirstLastPara="0" vertOverflow="ellipsis" vert="horz" wrap="square" lIns="38100" tIns="19050" rIns="38100" bIns="19050" anchor="ctr" anchorCtr="true"/>
              <a:lstStyle/>
              <a:p>
                <a:pPr>
                  <a:defRPr lang="zh-CN" sz="900" b="1" i="0" u="none" strike="noStrike" kern="1200" baseline="0">
                    <a:solidFill>
                      <a:sysClr val="window" lastClr="FFFFFF"/>
                    </a:solidFill>
                    <a:latin typeface="+mn-lt"/>
                    <a:ea typeface="+mn-ea"/>
                    <a:cs typeface="+mn-cs"/>
                  </a:defRPr>
                </a:pPr>
              </a:p>
            </c:txPr>
            <c:dLblPos val="inEnd"/>
            <c:showLegendKey val="false"/>
            <c:showVal val="true"/>
            <c:showCatName val="false"/>
            <c:showSerName val="false"/>
            <c:showPercent val="false"/>
            <c:showBubbleSize val="false"/>
            <c:showLeaderLines val="false"/>
            <c:extLst>
              <c:ext xmlns:c15="http://schemas.microsoft.com/office/drawing/2012/chart" uri="{CE6537A1-D6FC-4f65-9D91-7224C49458BB}">
                <c15:layout/>
                <c15:showLeaderLines val="true"/>
                <c15:leaderLines>
                  <c:spPr>
                    <a:ln w="9525">
                      <a:solidFill>
                        <a:sysClr val="windowText" lastClr="000000">
                          <a:lumMod val="50000"/>
                          <a:lumOff val="50000"/>
                        </a:sysClr>
                      </a:solidFill>
                    </a:ln>
                    <a:effectLst/>
                  </c:spPr>
                </c15:leaderLines>
              </c:ext>
            </c:extLst>
          </c:dLbls>
          <c:cat>
            <c:strRef>
              <c:f>Sheet1!$A$2:$A$3</c:f>
              <c:strCache>
                <c:ptCount val="2"/>
                <c:pt idx="0">
                  <c:v>2024年</c:v>
                </c:pt>
                <c:pt idx="1">
                  <c:v>2023年</c:v>
                </c:pt>
              </c:strCache>
            </c:strRef>
          </c:cat>
          <c:val>
            <c:numRef>
              <c:f>Sheet1!$D$2:$D$3</c:f>
              <c:numCache>
                <c:formatCode>General</c:formatCode>
                <c:ptCount val="2"/>
                <c:pt idx="0">
                  <c:v>0</c:v>
                </c:pt>
                <c:pt idx="1">
                  <c:v>0</c:v>
                </c:pt>
              </c:numCache>
            </c:numRef>
          </c:val>
        </c:ser>
        <c:ser>
          <c:idx val="3"/>
          <c:order val="3"/>
          <c:tx>
            <c:strRef>
              <c:f>Sheet1!$E$1</c:f>
              <c:strCache>
                <c:ptCount val="1"/>
                <c:pt idx="0">
                  <c:v/>
                </c:pt>
              </c:strCache>
            </c:strRef>
          </c:tx>
          <c:spPr>
            <a:solidFill>
              <a:srgbClr val="8064A2">
                <a:alpha val="85000"/>
              </a:srgbClr>
            </a:solidFill>
            <a:ln w="9525" cap="flat" cmpd="sng" algn="ctr">
              <a:solidFill>
                <a:sysClr val="window" lastClr="FFFFFF">
                  <a:alpha val="50000"/>
                </a:sysClr>
              </a:solidFill>
              <a:round/>
            </a:ln>
            <a:effectLst/>
          </c:spPr>
          <c:invertIfNegative val="false"/>
          <c:dLbls>
            <c:numFmt formatCode="General" sourceLinked="true"/>
            <c:spPr>
              <a:noFill/>
              <a:ln>
                <a:noFill/>
              </a:ln>
              <a:effectLst/>
            </c:spPr>
            <c:txPr>
              <a:bodyPr rot="0" spcFirstLastPara="0" vertOverflow="ellipsis" vert="horz" wrap="square" lIns="38100" tIns="19050" rIns="38100" bIns="19050" anchor="ctr" anchorCtr="true"/>
              <a:lstStyle/>
              <a:p>
                <a:pPr>
                  <a:defRPr lang="zh-CN" sz="900" b="1" i="0" u="none" strike="noStrike" kern="1200" baseline="0">
                    <a:solidFill>
                      <a:sysClr val="window" lastClr="FFFFFF"/>
                    </a:solidFill>
                    <a:latin typeface="+mn-lt"/>
                    <a:ea typeface="+mn-ea"/>
                    <a:cs typeface="+mn-cs"/>
                  </a:defRPr>
                </a:pPr>
              </a:p>
            </c:txPr>
            <c:dLblPos val="inEnd"/>
            <c:showLegendKey val="false"/>
            <c:showVal val="true"/>
            <c:showCatName val="false"/>
            <c:showSerName val="false"/>
            <c:showPercent val="false"/>
            <c:showBubbleSize val="false"/>
            <c:showLeaderLines val="false"/>
            <c:extLst>
              <c:ext xmlns:c15="http://schemas.microsoft.com/office/drawing/2012/chart" uri="{CE6537A1-D6FC-4f65-9D91-7224C49458BB}">
                <c15:layout/>
                <c15:showLeaderLines val="false"/>
                <c15:leaderLines>
                  <c:spPr>
                    <a:ln w="9525">
                      <a:solidFill>
                        <a:sysClr val="windowText" lastClr="000000">
                          <a:lumMod val="50000"/>
                          <a:lumOff val="50000"/>
                        </a:sysClr>
                      </a:solidFill>
                    </a:ln>
                    <a:effectLst/>
                  </c:spPr>
                </c15:leaderLines>
              </c:ext>
            </c:extLst>
          </c:dLbls>
          <c:cat>
            <c:strRef>
              <c:f>Sheet1!$A$2:$A$3</c:f>
              <c:strCache>
                <c:ptCount val="2"/>
                <c:pt idx="0">
                  <c:v>2024年</c:v>
                </c:pt>
                <c:pt idx="1">
                  <c:v>2023年</c:v>
                </c:pt>
              </c:strCache>
            </c:strRef>
          </c:cat>
          <c:val>
            <c:numRef>
              <c:f>Sheet1!$E$2:$E$3</c:f>
              <c:numCache>
                <c:formatCode>General</c:formatCode>
                <c:ptCount val="2"/>
              </c:numCache>
            </c:numRef>
          </c:val>
        </c:ser>
        <c:dLbls>
          <c:showLegendKey val="false"/>
          <c:showVal val="true"/>
          <c:showCatName val="false"/>
          <c:showSerName val="false"/>
          <c:showPercent val="false"/>
          <c:showBubbleSize val="false"/>
        </c:dLbls>
        <c:gapWidth val="65"/>
        <c:overlap val="0"/>
        <c:axId val="58915072"/>
        <c:axId val="59715584"/>
      </c:barChart>
      <c:catAx>
        <c:axId val="58915072"/>
        <c:scaling>
          <c:orientation val="minMax"/>
        </c:scaling>
        <c:delete val="false"/>
        <c:axPos val="l"/>
        <c:majorTickMark val="none"/>
        <c:minorTickMark val="none"/>
        <c:tickLblPos val="nextTo"/>
        <c:spPr>
          <a:noFill/>
          <a:ln w="19050" cap="flat" cmpd="sng" algn="ctr">
            <a:solidFill>
              <a:sysClr val="windowText" lastClr="000000">
                <a:lumMod val="75000"/>
                <a:lumOff val="25000"/>
              </a:sysClr>
            </a:solidFill>
            <a:round/>
          </a:ln>
          <a:effectLst/>
        </c:spPr>
        <c:txPr>
          <a:bodyPr rot="-60000000" spcFirstLastPara="0" vertOverflow="ellipsis" vert="horz" wrap="square" anchor="ctr" anchorCtr="true"/>
          <a:lstStyle/>
          <a:p>
            <a:pPr>
              <a:defRPr lang="zh-CN" sz="900" b="0" i="0" u="none" strike="noStrike" kern="1200" cap="all" baseline="0">
                <a:solidFill>
                  <a:sysClr val="windowText" lastClr="000000">
                    <a:lumMod val="75000"/>
                    <a:lumOff val="25000"/>
                  </a:sysClr>
                </a:solidFill>
                <a:latin typeface="+mn-lt"/>
                <a:ea typeface="+mn-ea"/>
                <a:cs typeface="+mn-cs"/>
              </a:defRPr>
            </a:pPr>
          </a:p>
        </c:txPr>
        <c:crossAx val="59715584"/>
        <c:crosses val="autoZero"/>
        <c:auto val="true"/>
        <c:lblAlgn val="ctr"/>
        <c:lblOffset val="100"/>
        <c:noMultiLvlLbl val="false"/>
      </c:catAx>
      <c:valAx>
        <c:axId val="59715584"/>
        <c:scaling>
          <c:orientation val="minMax"/>
        </c:scaling>
        <c:delete val="false"/>
        <c:axPos val="b"/>
        <c:majorGridlines>
          <c:spPr>
            <a:ln w="9525" cap="flat" cmpd="sng" algn="ctr">
              <a:gradFill>
                <a:gsLst>
                  <a:gs pos="100000">
                    <a:sysClr val="windowText" lastClr="000000">
                      <a:lumMod val="95000"/>
                      <a:lumOff val="5000"/>
                      <a:alpha val="42000"/>
                    </a:sysClr>
                  </a:gs>
                  <a:gs pos="0">
                    <a:sysClr val="window" lastClr="FFFFFF">
                      <a:lumMod val="75000"/>
                      <a:alpha val="36000"/>
                    </a:sysClr>
                  </a:gs>
                </a:gsLst>
                <a:lin ang="5400000" scaled="false"/>
              </a:gradFill>
              <a:round/>
            </a:ln>
            <a:effectLst/>
          </c:spPr>
        </c:majorGridlines>
        <c:numFmt formatCode="General" sourceLinked="true"/>
        <c:majorTickMark val="none"/>
        <c:minorTickMark val="none"/>
        <c:tickLblPos val="nextTo"/>
        <c:spPr>
          <a:noFill/>
          <a:ln>
            <a:noFill/>
          </a:ln>
          <a:effectLst/>
        </c:spPr>
        <c:txPr>
          <a:bodyPr rot="-60000000" spcFirstLastPara="0" vertOverflow="ellipsis" vert="horz" wrap="square" anchor="ctr" anchorCtr="true"/>
          <a:lstStyle/>
          <a:p>
            <a:pPr>
              <a:defRPr lang="zh-CN" sz="900" b="0" i="0" u="none" strike="noStrike" kern="1200" baseline="0">
                <a:solidFill>
                  <a:sysClr val="windowText" lastClr="000000">
                    <a:lumMod val="75000"/>
                    <a:lumOff val="25000"/>
                  </a:sysClr>
                </a:solidFill>
                <a:latin typeface="+mn-lt"/>
                <a:ea typeface="+mn-ea"/>
                <a:cs typeface="+mn-cs"/>
              </a:defRPr>
            </a:pPr>
          </a:p>
        </c:txPr>
        <c:crossAx val="58915072"/>
        <c:crosses val="autoZero"/>
        <c:crossBetween val="between"/>
      </c:valAx>
      <c:spPr>
        <a:noFill/>
        <a:ln>
          <a:noFill/>
        </a:ln>
        <a:effectLst/>
      </c:spPr>
    </c:plotArea>
    <c:legend>
      <c:legendPos val="b"/>
      <c:layout/>
      <c:overlay val="false"/>
      <c:spPr>
        <a:solidFill>
          <a:sysClr val="window" lastClr="FFFFFF">
            <a:lumMod val="95000"/>
            <a:alpha val="39000"/>
          </a:sysClr>
        </a:solidFill>
        <a:ln>
          <a:noFill/>
        </a:ln>
        <a:effectLst/>
      </c:spPr>
      <c:txPr>
        <a:bodyPr rot="0" spcFirstLastPara="0" vertOverflow="ellipsis" vert="horz" wrap="square" anchor="ctr" anchorCtr="true"/>
        <a:lstStyle/>
        <a:p>
          <a:pPr>
            <a:defRPr lang="zh-CN" sz="900" b="0" i="0" u="none" strike="noStrike" kern="1200" baseline="0">
              <a:solidFill>
                <a:sysClr val="windowText" lastClr="000000">
                  <a:lumMod val="75000"/>
                  <a:lumOff val="25000"/>
                </a:sysClr>
              </a:solidFill>
              <a:latin typeface="+mn-lt"/>
              <a:ea typeface="+mn-ea"/>
              <a:cs typeface="+mn-cs"/>
            </a:defRPr>
          </a:pPr>
        </a:p>
      </c:txPr>
    </c:legend>
    <c:plotVisOnly val="true"/>
    <c:dispBlanksAs val="gap"/>
    <c:showDLblsOverMax val="false"/>
  </c:chart>
  <c:spPr>
    <a:gradFill flip="none" rotWithShape="true">
      <a:gsLst>
        <a:gs pos="0">
          <a:sysClr val="window" lastClr="FFFFFF"/>
        </a:gs>
        <a:gs pos="39000">
          <a:sysClr val="window" lastClr="FFFFFF"/>
        </a:gs>
        <a:gs pos="100000">
          <a:sysClr val="window" lastClr="FFFFFF">
            <a:lumMod val="75000"/>
          </a:sysClr>
        </a:gs>
      </a:gsLst>
      <a:path path="circle">
        <a:fillToRect l="50000" t="-80000" r="50000" b="180000"/>
      </a:path>
    </a:gradFill>
    <a:ln w="9525" cap="flat" cmpd="sng" algn="ctr">
      <a:solidFill>
        <a:sysClr val="windowText" lastClr="000000">
          <a:lumMod val="25000"/>
          <a:lumOff val="75000"/>
        </a:sysClr>
      </a:solidFill>
      <a:round/>
    </a:ln>
    <a:effectLst/>
  </c:spPr>
  <c:txPr>
    <a:bodyPr/>
    <a:lstStyle/>
    <a:p>
      <a:pPr>
        <a:defRPr lang="zh-CN"/>
      </a:pPr>
    </a:p>
  </c:txPr>
  <c:externalData r:id="rId1">
    <c:autoUpdate val="false"/>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layout/>
      <c:overlay val="false"/>
      <c:spPr>
        <a:noFill/>
        <a:ln>
          <a:noFill/>
        </a:ln>
        <a:effectLst/>
      </c:spPr>
      <c:txPr>
        <a:bodyPr rot="0" spcFirstLastPara="0" vertOverflow="ellipsis" vert="horz" wrap="square" anchor="ctr" anchorCtr="true"/>
        <a:lstStyle/>
        <a:p>
          <a:pPr>
            <a:defRPr lang="zh-CN" sz="1400" b="1" i="0" u="none" strike="noStrike" kern="1200" baseline="0">
              <a:solidFill>
                <a:schemeClr val="tx1">
                  <a:lumMod val="75000"/>
                  <a:lumOff val="25000"/>
                </a:schemeClr>
              </a:solidFill>
              <a:latin typeface="+mn-lt"/>
              <a:ea typeface="+mn-ea"/>
              <a:cs typeface="+mn-cs"/>
            </a:defRPr>
          </a:pPr>
        </a:p>
      </c:txPr>
    </c:title>
    <c:autoTitleDeleted val="false"/>
    <c:plotArea>
      <c:layout/>
      <c:pieChart>
        <c:varyColors val="true"/>
        <c:ser>
          <c:idx val="0"/>
          <c:order val="0"/>
          <c:tx>
            <c:strRef>
              <c:f>Sheet1!$B$1</c:f>
              <c:strCache>
                <c:ptCount val="1"/>
                <c:pt idx="0">
                  <c:v>2024年度支出决算结构图</c:v>
                </c:pt>
              </c:strCache>
            </c:strRef>
          </c:tx>
          <c:spPr/>
          <c:explosion val="0"/>
          <c:dPt>
            <c:idx val="0"/>
            <c:bubble3D val="false"/>
            <c:spPr>
              <a:solidFill>
                <a:schemeClr val="accent1"/>
              </a:solidFill>
              <a:ln>
                <a:solidFill>
                  <a:schemeClr val="bg1"/>
                </a:solidFill>
              </a:ln>
              <a:effectLst/>
            </c:spPr>
          </c:dPt>
          <c:dPt>
            <c:idx val="1"/>
            <c:bubble3D val="false"/>
            <c:spPr>
              <a:solidFill>
                <a:schemeClr val="accent2"/>
              </a:solidFill>
              <a:ln>
                <a:solidFill>
                  <a:schemeClr val="bg1"/>
                </a:solidFill>
              </a:ln>
              <a:effectLst/>
            </c:spPr>
          </c:dPt>
          <c:dLbls>
            <c:dLbl>
              <c:idx val="0"/>
              <c:layout/>
              <c:numFmt formatCode="0.00%" sourceLinked="false"/>
              <c:spPr>
                <a:noFill/>
                <a:ln>
                  <a:noFill/>
                </a:ln>
                <a:effectLst/>
              </c:spPr>
              <c:txPr>
                <a:bodyPr rot="0" spcFirstLastPara="0" vertOverflow="ellipsis" vert="horz" wrap="square" lIns="38100" tIns="19050" rIns="38100" bIns="19050" anchor="ctr" anchorCtr="true"/>
                <a:lstStyle/>
                <a:p>
                  <a:pPr>
                    <a:defRPr lang="zh-CN" sz="1000" b="1" i="0" u="none" strike="noStrike" kern="1200" spc="0" baseline="0">
                      <a:solidFill>
                        <a:schemeClr val="accent1"/>
                      </a:solidFill>
                      <a:latin typeface="+mn-lt"/>
                      <a:ea typeface="+mn-ea"/>
                      <a:cs typeface="+mn-cs"/>
                    </a:defRPr>
                  </a:pPr>
                </a:p>
              </c:txPr>
              <c:dLblPos val="outEnd"/>
              <c:showLegendKey val="false"/>
              <c:showVal val="false"/>
              <c:showCatName val="true"/>
              <c:showSerName val="false"/>
              <c:showPercent val="true"/>
              <c:showBubbleSize val="false"/>
              <c:separator>
</c:separator>
              <c:extLst>
                <c:ext xmlns:c15="http://schemas.microsoft.com/office/drawing/2012/chart" uri="{CE6537A1-D6FC-4f65-9D91-7224C49458BB}"/>
              </c:extLst>
            </c:dLbl>
            <c:dLbl>
              <c:idx val="1"/>
              <c:layout/>
              <c:numFmt formatCode="0.00%" sourceLinked="false"/>
              <c:spPr>
                <a:noFill/>
                <a:ln>
                  <a:noFill/>
                </a:ln>
                <a:effectLst/>
              </c:spPr>
              <c:txPr>
                <a:bodyPr rot="0" spcFirstLastPara="0" vertOverflow="ellipsis" vert="horz" wrap="square" lIns="38100" tIns="19050" rIns="38100" bIns="19050" anchor="ctr" anchorCtr="true"/>
                <a:lstStyle/>
                <a:p>
                  <a:pPr>
                    <a:defRPr lang="zh-CN" sz="1000" b="1" i="0" u="none" strike="noStrike" kern="1200" spc="0" baseline="0">
                      <a:solidFill>
                        <a:schemeClr val="accent2"/>
                      </a:solidFill>
                      <a:latin typeface="+mn-lt"/>
                      <a:ea typeface="+mn-ea"/>
                      <a:cs typeface="+mn-cs"/>
                    </a:defRPr>
                  </a:pPr>
                </a:p>
              </c:txPr>
              <c:dLblPos val="outEnd"/>
              <c:showLegendKey val="false"/>
              <c:showVal val="false"/>
              <c:showCatName val="true"/>
              <c:showSerName val="false"/>
              <c:showPercent val="true"/>
              <c:showBubbleSize val="false"/>
              <c:separator>
</c:separator>
              <c:extLst>
                <c:ext xmlns:c15="http://schemas.microsoft.com/office/drawing/2012/chart" uri="{CE6537A1-D6FC-4f65-9D91-7224C49458BB}"/>
              </c:extLst>
            </c:dLbl>
            <c:spPr>
              <a:noFill/>
              <a:ln>
                <a:noFill/>
              </a:ln>
              <a:effectLst/>
            </c:spPr>
            <c:txPr>
              <a:bodyPr rot="0" spcFirstLastPara="0" vertOverflow="ellipsis" vert="horz" wrap="square" lIns="38100" tIns="19050" rIns="38100" bIns="19050" anchor="ctr" anchorCtr="true"/>
              <a:lstStyle/>
              <a:p>
                <a:pPr>
                  <a:defRPr lang="zh-CN" sz="1000" b="1" i="0" u="none" strike="noStrike" kern="1200" spc="0" baseline="0">
                    <a:solidFill>
                      <a:schemeClr val="accent1"/>
                    </a:solidFill>
                    <a:latin typeface="+mn-lt"/>
                    <a:ea typeface="+mn-ea"/>
                    <a:cs typeface="+mn-cs"/>
                  </a:defRPr>
                </a:pPr>
              </a:p>
            </c:txPr>
            <c:dLblPos val="outEnd"/>
            <c:showLegendKey val="false"/>
            <c:showVal val="false"/>
            <c:showCatName val="true"/>
            <c:showSerName val="false"/>
            <c:showPercent val="true"/>
            <c:showBubbleSize val="false"/>
            <c:showLeaderLines val="tru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cat>
            <c:strRef>
              <c:f>Sheet1!$A$2:$A$3</c:f>
              <c:strCache>
                <c:ptCount val="2"/>
                <c:pt idx="0">
                  <c:v>基本支出</c:v>
                </c:pt>
                <c:pt idx="1">
                  <c:v>项目支出</c:v>
                </c:pt>
              </c:strCache>
            </c:strRef>
          </c:cat>
          <c:val>
            <c:numRef>
              <c:f>Sheet1!$B$2:$B$3</c:f>
              <c:numCache>
                <c:formatCode>General</c:formatCode>
                <c:ptCount val="2"/>
                <c:pt idx="0">
                  <c:v>610.48</c:v>
                </c:pt>
                <c:pt idx="1">
                  <c:v>120.01</c:v>
                </c:pt>
              </c:numCache>
            </c:numRef>
          </c:val>
        </c:ser>
        <c:dLbls>
          <c:showLegendKey val="false"/>
          <c:showVal val="false"/>
          <c:showCatName val="false"/>
          <c:showSerName val="false"/>
          <c:showPercent val="true"/>
          <c:showBubbleSize val="false"/>
          <c:showLeaderLines val="true"/>
        </c:dLbls>
        <c:firstSliceAng val="0"/>
      </c:pieChart>
      <c:spPr>
        <a:noFill/>
        <a:ln>
          <a:noFill/>
        </a:ln>
        <a:effectLst/>
      </c:spPr>
    </c:plotArea>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0" vertOverflow="ellipsis" vert="horz" wrap="square" anchor="ctr" anchorCtr="true"/>
          <a:lstStyle/>
          <a:p>
            <a:pPr defTabSz="914400">
              <a:defRPr lang="zh-CN" sz="1800" b="1" i="0" u="none" strike="noStrike" kern="1200" baseline="0">
                <a:solidFill>
                  <a:sysClr val="windowText" lastClr="000000">
                    <a:lumMod val="75000"/>
                    <a:lumOff val="25000"/>
                  </a:sysClr>
                </a:solidFill>
                <a:latin typeface="+mn-lt"/>
                <a:ea typeface="+mn-ea"/>
                <a:cs typeface="+mn-cs"/>
              </a:defRPr>
            </a:pPr>
            <a:r>
              <a:rPr sz="1600"/>
              <a:t>财政拨款收、支决算数对比图     单位：万元</a:t>
            </a:r>
            <a:endParaRPr sz="1600"/>
          </a:p>
        </c:rich>
      </c:tx>
      <c:layout>
        <c:manualLayout>
          <c:xMode val="edge"/>
          <c:yMode val="edge"/>
          <c:x val="0.136338391368475"/>
          <c:y val="0.0093984962406015"/>
        </c:manualLayout>
      </c:layout>
      <c:overlay val="false"/>
      <c:spPr>
        <a:noFill/>
        <a:ln>
          <a:noFill/>
        </a:ln>
        <a:effectLst/>
      </c:spPr>
    </c:title>
    <c:autoTitleDeleted val="false"/>
    <c:plotArea>
      <c:layout>
        <c:manualLayout>
          <c:layoutTarget val="inner"/>
          <c:xMode val="edge"/>
          <c:yMode val="edge"/>
          <c:x val="0.0934546373515289"/>
          <c:y val="0.0467288129826829"/>
          <c:w val="0.86355"/>
          <c:h val="0.7164"/>
        </c:manualLayout>
      </c:layout>
      <c:barChart>
        <c:barDir val="bar"/>
        <c:grouping val="clustered"/>
        <c:varyColors val="false"/>
        <c:ser>
          <c:idx val="0"/>
          <c:order val="0"/>
          <c:tx>
            <c:strRef>
              <c:f>Sheet1!$B$1</c:f>
              <c:strCache>
                <c:ptCount val="1"/>
                <c:pt idx="0">
                  <c:v>财政拨款收入决算数</c:v>
                </c:pt>
              </c:strCache>
            </c:strRef>
          </c:tx>
          <c:spPr>
            <a:solidFill>
              <a:srgbClr val="4F81BD">
                <a:alpha val="85000"/>
              </a:srgbClr>
            </a:solidFill>
            <a:ln w="9525" cap="flat" cmpd="sng" algn="ctr">
              <a:solidFill>
                <a:sysClr val="window" lastClr="FFFFFF">
                  <a:alpha val="50000"/>
                </a:sysClr>
              </a:solidFill>
              <a:round/>
            </a:ln>
            <a:effectLst/>
          </c:spPr>
          <c:invertIfNegative val="false"/>
          <c:dLbls>
            <c:spPr>
              <a:noFill/>
              <a:ln>
                <a:noFill/>
              </a:ln>
              <a:effectLst/>
            </c:spPr>
            <c:txPr>
              <a:bodyPr rot="0" spcFirstLastPara="0" vertOverflow="ellipsis" vert="horz" wrap="square" lIns="38100" tIns="19050" rIns="38100" bIns="19050" anchor="ctr" anchorCtr="true"/>
              <a:lstStyle/>
              <a:p>
                <a:pPr>
                  <a:defRPr lang="zh-CN" sz="900" b="1" i="0" u="none" strike="noStrike" kern="1200" baseline="0">
                    <a:solidFill>
                      <a:sysClr val="window" lastClr="FFFFFF"/>
                    </a:solidFill>
                    <a:latin typeface="+mn-lt"/>
                    <a:ea typeface="+mn-ea"/>
                    <a:cs typeface="+mn-cs"/>
                  </a:defRPr>
                </a:pPr>
              </a:p>
            </c:txPr>
            <c:dLblPos val="inEnd"/>
            <c:showLegendKey val="false"/>
            <c:showVal val="true"/>
            <c:showCatName val="false"/>
            <c:showSerName val="false"/>
            <c:showPercent val="false"/>
            <c:showBubbleSize val="false"/>
            <c:showLeaderLines val="false"/>
            <c:extLst>
              <c:ext xmlns:c15="http://schemas.microsoft.com/office/drawing/2012/chart" uri="{CE6537A1-D6FC-4f65-9D91-7224C49458BB}">
                <c15:layout/>
                <c15:showLeaderLines val="false"/>
                <c15:leaderLines>
                  <c:spPr>
                    <a:ln w="9525">
                      <a:solidFill>
                        <a:sysClr val="windowText" lastClr="000000">
                          <a:lumMod val="50000"/>
                          <a:lumOff val="50000"/>
                        </a:sysClr>
                      </a:solidFill>
                    </a:ln>
                    <a:effectLst/>
                  </c:spPr>
                </c15:leaderLines>
              </c:ext>
            </c:extLst>
          </c:dLbls>
          <c:cat>
            <c:strRef>
              <c:f>Sheet1!$A$2:$A$3</c:f>
              <c:strCache>
                <c:ptCount val="2"/>
                <c:pt idx="0">
                  <c:v>2024年</c:v>
                </c:pt>
                <c:pt idx="1">
                  <c:v>2023年</c:v>
                </c:pt>
              </c:strCache>
            </c:strRef>
          </c:cat>
          <c:val>
            <c:numRef>
              <c:f>Sheet1!$B$2:$B$3</c:f>
              <c:numCache>
                <c:formatCode>General</c:formatCode>
                <c:ptCount val="2"/>
                <c:pt idx="0">
                  <c:v>730.49</c:v>
                </c:pt>
                <c:pt idx="1">
                  <c:v>910.17</c:v>
                </c:pt>
              </c:numCache>
            </c:numRef>
          </c:val>
        </c:ser>
        <c:ser>
          <c:idx val="1"/>
          <c:order val="1"/>
          <c:tx>
            <c:strRef>
              <c:f>Sheet1!$C$1</c:f>
              <c:strCache>
                <c:ptCount val="1"/>
                <c:pt idx="0">
                  <c:v>财政拨款支出决算数</c:v>
                </c:pt>
              </c:strCache>
            </c:strRef>
          </c:tx>
          <c:spPr>
            <a:solidFill>
              <a:srgbClr val="C0504D">
                <a:alpha val="85000"/>
              </a:srgbClr>
            </a:solidFill>
            <a:ln w="9525" cap="flat" cmpd="sng" algn="ctr">
              <a:solidFill>
                <a:sysClr val="window" lastClr="FFFFFF">
                  <a:alpha val="50000"/>
                </a:sysClr>
              </a:solidFill>
              <a:round/>
            </a:ln>
            <a:effectLst/>
          </c:spPr>
          <c:invertIfNegative val="false"/>
          <c:dLbls>
            <c:spPr>
              <a:noFill/>
              <a:ln>
                <a:noFill/>
              </a:ln>
              <a:effectLst/>
            </c:spPr>
            <c:txPr>
              <a:bodyPr rot="0" spcFirstLastPara="0" vertOverflow="ellipsis" vert="horz" wrap="square" lIns="38100" tIns="19050" rIns="38100" bIns="19050" anchor="ctr" anchorCtr="true"/>
              <a:lstStyle/>
              <a:p>
                <a:pPr>
                  <a:defRPr lang="zh-CN" sz="900" b="1" i="0" u="none" strike="noStrike" kern="1200" baseline="0">
                    <a:solidFill>
                      <a:sysClr val="window" lastClr="FFFFFF"/>
                    </a:solidFill>
                    <a:latin typeface="+mn-lt"/>
                    <a:ea typeface="+mn-ea"/>
                    <a:cs typeface="+mn-cs"/>
                  </a:defRPr>
                </a:pPr>
              </a:p>
            </c:txPr>
            <c:dLblPos val="inEnd"/>
            <c:showLegendKey val="false"/>
            <c:showVal val="true"/>
            <c:showCatName val="false"/>
            <c:showSerName val="false"/>
            <c:showPercent val="false"/>
            <c:showBubbleSize val="false"/>
            <c:showLeaderLines val="false"/>
            <c:extLst>
              <c:ext xmlns:c15="http://schemas.microsoft.com/office/drawing/2012/chart" uri="{CE6537A1-D6FC-4f65-9D91-7224C49458BB}">
                <c15:layout/>
                <c15:showLeaderLines val="false"/>
                <c15:leaderLines>
                  <c:spPr>
                    <a:ln w="9525">
                      <a:solidFill>
                        <a:sysClr val="windowText" lastClr="000000">
                          <a:lumMod val="50000"/>
                          <a:lumOff val="50000"/>
                        </a:sysClr>
                      </a:solidFill>
                    </a:ln>
                    <a:effectLst/>
                  </c:spPr>
                </c15:leaderLines>
              </c:ext>
            </c:extLst>
          </c:dLbls>
          <c:cat>
            <c:strRef>
              <c:f>Sheet1!$A$2:$A$3</c:f>
              <c:strCache>
                <c:ptCount val="2"/>
                <c:pt idx="0">
                  <c:v>2024年</c:v>
                </c:pt>
                <c:pt idx="1">
                  <c:v>2023年</c:v>
                </c:pt>
              </c:strCache>
            </c:strRef>
          </c:cat>
          <c:val>
            <c:numRef>
              <c:f>Sheet1!$C$2:$C$3</c:f>
              <c:numCache>
                <c:formatCode>General</c:formatCode>
                <c:ptCount val="2"/>
                <c:pt idx="0">
                  <c:v>730.49</c:v>
                </c:pt>
                <c:pt idx="1">
                  <c:v>910.17</c:v>
                </c:pt>
              </c:numCache>
            </c:numRef>
          </c:val>
        </c:ser>
        <c:ser>
          <c:idx val="2"/>
          <c:order val="2"/>
          <c:tx>
            <c:strRef>
              <c:f>Sheet1!$D$1</c:f>
              <c:strCache>
                <c:ptCount val="1"/>
                <c:pt idx="0">
                  <c:v>增减幅度绝对值</c:v>
                </c:pt>
              </c:strCache>
            </c:strRef>
          </c:tx>
          <c:spPr>
            <a:solidFill>
              <a:srgbClr val="9BBB59">
                <a:alpha val="85000"/>
              </a:srgbClr>
            </a:solidFill>
            <a:ln w="9525" cap="flat" cmpd="sng" algn="ctr">
              <a:solidFill>
                <a:sysClr val="window" lastClr="FFFFFF">
                  <a:alpha val="50000"/>
                </a:sysClr>
              </a:solidFill>
              <a:round/>
            </a:ln>
            <a:effectLst/>
          </c:spPr>
          <c:invertIfNegative val="false"/>
          <c:dLbls>
            <c:spPr>
              <a:noFill/>
              <a:ln>
                <a:noFill/>
              </a:ln>
              <a:effectLst/>
            </c:spPr>
            <c:txPr>
              <a:bodyPr rot="0" spcFirstLastPara="0" vertOverflow="ellipsis" vert="horz" wrap="square" lIns="38100" tIns="19050" rIns="38100" bIns="19050" anchor="ctr" anchorCtr="true"/>
              <a:lstStyle/>
              <a:p>
                <a:pPr>
                  <a:defRPr lang="zh-CN" sz="900" b="1" i="0" u="none" strike="noStrike" kern="1200" baseline="0">
                    <a:solidFill>
                      <a:sysClr val="window" lastClr="FFFFFF"/>
                    </a:solidFill>
                    <a:latin typeface="+mn-lt"/>
                    <a:ea typeface="+mn-ea"/>
                    <a:cs typeface="+mn-cs"/>
                  </a:defRPr>
                </a:pPr>
              </a:p>
            </c:txPr>
            <c:dLblPos val="inEnd"/>
            <c:showLegendKey val="false"/>
            <c:showVal val="true"/>
            <c:showCatName val="false"/>
            <c:showSerName val="false"/>
            <c:showPercent val="false"/>
            <c:showBubbleSize val="false"/>
            <c:showLeaderLines val="false"/>
            <c:extLst>
              <c:ext xmlns:c15="http://schemas.microsoft.com/office/drawing/2012/chart" uri="{CE6537A1-D6FC-4f65-9D91-7224C49458BB}">
                <c15:layout/>
                <c15:showLeaderLines val="true"/>
                <c15:leaderLines>
                  <c:spPr>
                    <a:ln w="9525">
                      <a:solidFill>
                        <a:sysClr val="windowText" lastClr="000000">
                          <a:lumMod val="50000"/>
                          <a:lumOff val="50000"/>
                        </a:sysClr>
                      </a:solidFill>
                    </a:ln>
                    <a:effectLst/>
                  </c:spPr>
                </c15:leaderLines>
              </c:ext>
            </c:extLst>
          </c:dLbls>
          <c:cat>
            <c:strRef>
              <c:f>Sheet1!$A$2:$A$3</c:f>
              <c:strCache>
                <c:ptCount val="2"/>
                <c:pt idx="0">
                  <c:v>2024年</c:v>
                </c:pt>
                <c:pt idx="1">
                  <c:v>2023年</c:v>
                </c:pt>
              </c:strCache>
            </c:strRef>
          </c:cat>
          <c:val>
            <c:numRef>
              <c:f>Sheet1!$D$2:$D$3</c:f>
              <c:numCache>
                <c:formatCode>General</c:formatCode>
                <c:ptCount val="2"/>
                <c:pt idx="0">
                  <c:v>0</c:v>
                </c:pt>
                <c:pt idx="1">
                  <c:v>0</c:v>
                </c:pt>
              </c:numCache>
            </c:numRef>
          </c:val>
        </c:ser>
        <c:ser>
          <c:idx val="3"/>
          <c:order val="3"/>
          <c:tx>
            <c:strRef>
              <c:f>Sheet1!$E$1</c:f>
              <c:strCache>
                <c:ptCount val="1"/>
                <c:pt idx="0">
                  <c:v/>
                </c:pt>
              </c:strCache>
            </c:strRef>
          </c:tx>
          <c:spPr>
            <a:solidFill>
              <a:srgbClr val="8064A2">
                <a:alpha val="85000"/>
              </a:srgbClr>
            </a:solidFill>
            <a:ln w="9525" cap="flat" cmpd="sng" algn="ctr">
              <a:solidFill>
                <a:sysClr val="window" lastClr="FFFFFF">
                  <a:alpha val="50000"/>
                </a:sysClr>
              </a:solidFill>
              <a:round/>
            </a:ln>
            <a:effectLst/>
          </c:spPr>
          <c:invertIfNegative val="false"/>
          <c:dLbls>
            <c:numFmt formatCode="General" sourceLinked="true"/>
            <c:spPr>
              <a:noFill/>
              <a:ln>
                <a:noFill/>
              </a:ln>
              <a:effectLst/>
            </c:spPr>
            <c:txPr>
              <a:bodyPr rot="0" spcFirstLastPara="0" vertOverflow="ellipsis" vert="horz" wrap="square" lIns="38100" tIns="19050" rIns="38100" bIns="19050" anchor="ctr" anchorCtr="true"/>
              <a:lstStyle/>
              <a:p>
                <a:pPr>
                  <a:defRPr lang="zh-CN" sz="900" b="1" i="0" u="none" strike="noStrike" kern="1200" baseline="0">
                    <a:solidFill>
                      <a:sysClr val="window" lastClr="FFFFFF"/>
                    </a:solidFill>
                    <a:latin typeface="+mn-lt"/>
                    <a:ea typeface="+mn-ea"/>
                    <a:cs typeface="+mn-cs"/>
                  </a:defRPr>
                </a:pPr>
              </a:p>
            </c:txPr>
            <c:dLblPos val="inEnd"/>
            <c:showLegendKey val="false"/>
            <c:showVal val="true"/>
            <c:showCatName val="false"/>
            <c:showSerName val="false"/>
            <c:showPercent val="false"/>
            <c:showBubbleSize val="false"/>
            <c:showLeaderLines val="false"/>
            <c:extLst>
              <c:ext xmlns:c15="http://schemas.microsoft.com/office/drawing/2012/chart" uri="{CE6537A1-D6FC-4f65-9D91-7224C49458BB}">
                <c15:layout/>
                <c15:showLeaderLines val="false"/>
                <c15:leaderLines>
                  <c:spPr>
                    <a:ln w="9525">
                      <a:solidFill>
                        <a:sysClr val="windowText" lastClr="000000">
                          <a:lumMod val="50000"/>
                          <a:lumOff val="50000"/>
                        </a:sysClr>
                      </a:solidFill>
                    </a:ln>
                    <a:effectLst/>
                  </c:spPr>
                </c15:leaderLines>
              </c:ext>
            </c:extLst>
          </c:dLbls>
          <c:cat>
            <c:strRef>
              <c:f>Sheet1!$A$2:$A$3</c:f>
              <c:strCache>
                <c:ptCount val="2"/>
                <c:pt idx="0">
                  <c:v>2024年</c:v>
                </c:pt>
                <c:pt idx="1">
                  <c:v>2023年</c:v>
                </c:pt>
              </c:strCache>
            </c:strRef>
          </c:cat>
          <c:val>
            <c:numRef>
              <c:f>Sheet1!$E$2:$E$3</c:f>
              <c:numCache>
                <c:formatCode>General</c:formatCode>
                <c:ptCount val="2"/>
              </c:numCache>
            </c:numRef>
          </c:val>
        </c:ser>
        <c:dLbls>
          <c:showLegendKey val="false"/>
          <c:showVal val="true"/>
          <c:showCatName val="false"/>
          <c:showSerName val="false"/>
          <c:showPercent val="false"/>
          <c:showBubbleSize val="false"/>
        </c:dLbls>
        <c:gapWidth val="65"/>
        <c:overlap val="0"/>
        <c:axId val="58915072"/>
        <c:axId val="59715584"/>
      </c:barChart>
      <c:catAx>
        <c:axId val="58915072"/>
        <c:scaling>
          <c:orientation val="minMax"/>
        </c:scaling>
        <c:delete val="false"/>
        <c:axPos val="l"/>
        <c:majorTickMark val="none"/>
        <c:minorTickMark val="none"/>
        <c:tickLblPos val="nextTo"/>
        <c:spPr>
          <a:noFill/>
          <a:ln w="19050" cap="flat" cmpd="sng" algn="ctr">
            <a:solidFill>
              <a:sysClr val="windowText" lastClr="000000">
                <a:lumMod val="75000"/>
                <a:lumOff val="25000"/>
              </a:sysClr>
            </a:solidFill>
            <a:round/>
          </a:ln>
          <a:effectLst/>
        </c:spPr>
        <c:txPr>
          <a:bodyPr rot="-60000000" spcFirstLastPara="0" vertOverflow="ellipsis" vert="horz" wrap="square" anchor="ctr" anchorCtr="true"/>
          <a:lstStyle/>
          <a:p>
            <a:pPr>
              <a:defRPr lang="zh-CN" sz="900" b="0" i="0" u="none" strike="noStrike" kern="1200" cap="all" baseline="0">
                <a:solidFill>
                  <a:sysClr val="windowText" lastClr="000000">
                    <a:lumMod val="75000"/>
                    <a:lumOff val="25000"/>
                  </a:sysClr>
                </a:solidFill>
                <a:latin typeface="+mn-lt"/>
                <a:ea typeface="+mn-ea"/>
                <a:cs typeface="+mn-cs"/>
              </a:defRPr>
            </a:pPr>
          </a:p>
        </c:txPr>
        <c:crossAx val="59715584"/>
        <c:crosses val="autoZero"/>
        <c:auto val="true"/>
        <c:lblAlgn val="ctr"/>
        <c:lblOffset val="100"/>
        <c:noMultiLvlLbl val="false"/>
      </c:catAx>
      <c:valAx>
        <c:axId val="59715584"/>
        <c:scaling>
          <c:orientation val="minMax"/>
        </c:scaling>
        <c:delete val="false"/>
        <c:axPos val="b"/>
        <c:majorGridlines>
          <c:spPr>
            <a:ln w="9525" cap="flat" cmpd="sng" algn="ctr">
              <a:gradFill>
                <a:gsLst>
                  <a:gs pos="100000">
                    <a:sysClr val="windowText" lastClr="000000">
                      <a:lumMod val="95000"/>
                      <a:lumOff val="5000"/>
                      <a:alpha val="42000"/>
                    </a:sysClr>
                  </a:gs>
                  <a:gs pos="0">
                    <a:sysClr val="window" lastClr="FFFFFF">
                      <a:lumMod val="75000"/>
                      <a:alpha val="36000"/>
                    </a:sysClr>
                  </a:gs>
                </a:gsLst>
                <a:lin ang="5400000" scaled="false"/>
              </a:gradFill>
              <a:round/>
            </a:ln>
            <a:effectLst/>
          </c:spPr>
        </c:majorGridlines>
        <c:numFmt formatCode="General" sourceLinked="true"/>
        <c:majorTickMark val="none"/>
        <c:minorTickMark val="none"/>
        <c:tickLblPos val="nextTo"/>
        <c:spPr>
          <a:noFill/>
          <a:ln>
            <a:noFill/>
          </a:ln>
          <a:effectLst/>
        </c:spPr>
        <c:txPr>
          <a:bodyPr rot="-60000000" spcFirstLastPara="0" vertOverflow="ellipsis" vert="horz" wrap="square" anchor="ctr" anchorCtr="true"/>
          <a:lstStyle/>
          <a:p>
            <a:pPr>
              <a:defRPr lang="zh-CN" sz="900" b="0" i="0" u="none" strike="noStrike" kern="1200" baseline="0">
                <a:solidFill>
                  <a:sysClr val="windowText" lastClr="000000">
                    <a:lumMod val="75000"/>
                    <a:lumOff val="25000"/>
                  </a:sysClr>
                </a:solidFill>
                <a:latin typeface="+mn-lt"/>
                <a:ea typeface="+mn-ea"/>
                <a:cs typeface="+mn-cs"/>
              </a:defRPr>
            </a:pPr>
          </a:p>
        </c:txPr>
        <c:crossAx val="58915072"/>
        <c:crosses val="autoZero"/>
        <c:crossBetween val="between"/>
      </c:valAx>
      <c:spPr>
        <a:noFill/>
        <a:ln>
          <a:noFill/>
        </a:ln>
        <a:effectLst/>
      </c:spPr>
    </c:plotArea>
    <c:legend>
      <c:legendPos val="b"/>
      <c:layout>
        <c:manualLayout>
          <c:xMode val="edge"/>
          <c:yMode val="edge"/>
          <c:x val="0.13732887291753"/>
          <c:y val="0.860170788963359"/>
        </c:manualLayout>
      </c:layout>
      <c:overlay val="false"/>
      <c:spPr>
        <a:solidFill>
          <a:sysClr val="window" lastClr="FFFFFF">
            <a:lumMod val="95000"/>
            <a:alpha val="39000"/>
          </a:sysClr>
        </a:solidFill>
        <a:ln>
          <a:noFill/>
        </a:ln>
        <a:effectLst/>
      </c:spPr>
      <c:txPr>
        <a:bodyPr rot="0" spcFirstLastPara="0" vertOverflow="ellipsis" vert="horz" wrap="square" anchor="ctr" anchorCtr="true"/>
        <a:lstStyle/>
        <a:p>
          <a:pPr>
            <a:defRPr lang="zh-CN" sz="900" b="0" i="0" u="none" strike="noStrike" kern="1200" baseline="0">
              <a:solidFill>
                <a:sysClr val="windowText" lastClr="000000">
                  <a:lumMod val="75000"/>
                  <a:lumOff val="25000"/>
                </a:sysClr>
              </a:solidFill>
              <a:latin typeface="+mn-lt"/>
              <a:ea typeface="+mn-ea"/>
              <a:cs typeface="+mn-cs"/>
            </a:defRPr>
          </a:pPr>
        </a:p>
      </c:txPr>
    </c:legend>
    <c:plotVisOnly val="true"/>
    <c:dispBlanksAs val="gap"/>
    <c:showDLblsOverMax val="false"/>
  </c:chart>
  <c:spPr>
    <a:gradFill flip="none" rotWithShape="true">
      <a:gsLst>
        <a:gs pos="0">
          <a:sysClr val="window" lastClr="FFFFFF"/>
        </a:gs>
        <a:gs pos="39000">
          <a:sysClr val="window" lastClr="FFFFFF"/>
        </a:gs>
        <a:gs pos="100000">
          <a:sysClr val="window" lastClr="FFFFFF">
            <a:lumMod val="75000"/>
          </a:sysClr>
        </a:gs>
      </a:gsLst>
      <a:path path="circle">
        <a:fillToRect l="50000" t="-80000" r="50000" b="180000"/>
      </a:path>
    </a:gradFill>
    <a:ln w="9525" cap="flat" cmpd="sng" algn="ctr">
      <a:solidFill>
        <a:sysClr val="windowText" lastClr="000000">
          <a:lumMod val="25000"/>
          <a:lumOff val="75000"/>
        </a:sysClr>
      </a:solidFill>
      <a:round/>
    </a:ln>
    <a:effectLst/>
  </c:spPr>
  <c:txPr>
    <a:bodyPr/>
    <a:lstStyle/>
    <a:p>
      <a:pPr>
        <a:defRPr lang="zh-CN"/>
      </a:pPr>
    </a:p>
  </c:txPr>
  <c:externalData r:id="rId1">
    <c:autoUpdate val="false"/>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0" vertOverflow="ellipsis" vert="horz" wrap="square" anchor="ctr" anchorCtr="true"/>
          <a:lstStyle/>
          <a:p>
            <a:pPr defTabSz="914400">
              <a:defRPr lang="zh-CN" sz="1800" b="1" i="0" u="none" strike="noStrike" kern="1200" baseline="0">
                <a:solidFill>
                  <a:sysClr val="windowText" lastClr="000000">
                    <a:lumMod val="75000"/>
                    <a:lumOff val="25000"/>
                  </a:sysClr>
                </a:solidFill>
                <a:latin typeface="+mn-lt"/>
                <a:ea typeface="+mn-ea"/>
                <a:cs typeface="+mn-cs"/>
              </a:defRPr>
            </a:pPr>
            <a:r>
              <a:rPr sz="1600"/>
              <a:t>一般公共预算财政拨款支出决算数对比图     单位：万元</a:t>
            </a:r>
            <a:endParaRPr sz="1600"/>
          </a:p>
        </c:rich>
      </c:tx>
      <c:layout>
        <c:manualLayout>
          <c:xMode val="edge"/>
          <c:yMode val="edge"/>
          <c:x val="0.136338391368475"/>
          <c:y val="0.0093984962406015"/>
        </c:manualLayout>
      </c:layout>
      <c:overlay val="false"/>
      <c:spPr>
        <a:noFill/>
        <a:ln>
          <a:noFill/>
        </a:ln>
        <a:effectLst/>
      </c:spPr>
    </c:title>
    <c:autoTitleDeleted val="false"/>
    <c:plotArea>
      <c:layout>
        <c:manualLayout>
          <c:layoutTarget val="inner"/>
          <c:xMode val="edge"/>
          <c:yMode val="edge"/>
          <c:x val="0.0934546373515289"/>
          <c:y val="0.0467288129826829"/>
          <c:w val="0.86355"/>
          <c:h val="0.7164"/>
        </c:manualLayout>
      </c:layout>
      <c:barChart>
        <c:barDir val="bar"/>
        <c:grouping val="clustered"/>
        <c:varyColors val="false"/>
        <c:ser>
          <c:idx val="0"/>
          <c:order val="0"/>
          <c:tx>
            <c:strRef>
              <c:f>Sheet1!#REF!</c:f>
              <c:strCache>
                <c:ptCount val="1"/>
                <c:pt idx="0">
                  <c:v/>
                </c:pt>
              </c:strCache>
            </c:strRef>
          </c:tx>
          <c:spPr>
            <a:solidFill>
              <a:srgbClr val="4F81BD">
                <a:alpha val="85000"/>
              </a:srgbClr>
            </a:solidFill>
            <a:ln w="9525" cap="flat" cmpd="sng" algn="ctr">
              <a:solidFill>
                <a:sysClr val="window" lastClr="FFFFFF">
                  <a:alpha val="50000"/>
                </a:sysClr>
              </a:solidFill>
              <a:round/>
            </a:ln>
            <a:effectLst/>
          </c:spPr>
          <c:invertIfNegative val="false"/>
          <c:dLbls>
            <c:spPr>
              <a:noFill/>
              <a:ln>
                <a:noFill/>
              </a:ln>
              <a:effectLst/>
            </c:spPr>
            <c:txPr>
              <a:bodyPr rot="0" spcFirstLastPara="0" vertOverflow="ellipsis" vert="horz" wrap="square" lIns="38100" tIns="19050" rIns="38100" bIns="19050" anchor="ctr" anchorCtr="true"/>
              <a:lstStyle/>
              <a:p>
                <a:pPr>
                  <a:defRPr lang="zh-CN" sz="900" b="1" i="0" u="none" strike="noStrike" kern="1200" baseline="0">
                    <a:solidFill>
                      <a:sysClr val="window" lastClr="FFFFFF"/>
                    </a:solidFill>
                    <a:latin typeface="+mn-lt"/>
                    <a:ea typeface="+mn-ea"/>
                    <a:cs typeface="+mn-cs"/>
                  </a:defRPr>
                </a:pPr>
              </a:p>
            </c:txPr>
            <c:dLblPos val="inEnd"/>
            <c:showLegendKey val="false"/>
            <c:showVal val="true"/>
            <c:showCatName val="false"/>
            <c:showSerName val="false"/>
            <c:showPercent val="false"/>
            <c:showBubbleSize val="false"/>
            <c:showLeaderLines val="false"/>
            <c:extLst>
              <c:ext xmlns:c15="http://schemas.microsoft.com/office/drawing/2012/chart" uri="{CE6537A1-D6FC-4f65-9D91-7224C49458BB}">
                <c15:layout/>
                <c15:showLeaderLines val="false"/>
                <c15:leaderLines>
                  <c:spPr>
                    <a:ln w="9525">
                      <a:solidFill>
                        <a:sysClr val="windowText" lastClr="000000">
                          <a:lumMod val="50000"/>
                          <a:lumOff val="50000"/>
                        </a:sysClr>
                      </a:solidFill>
                    </a:ln>
                    <a:effectLst/>
                  </c:spPr>
                </c15:leaderLines>
              </c:ext>
            </c:extLst>
          </c:dLbls>
          <c:cat>
            <c:strRef>
              <c:f>Sheet1!$A$2:$A$3</c:f>
              <c:strCache>
                <c:ptCount val="2"/>
                <c:pt idx="0">
                  <c:v>2024年</c:v>
                </c:pt>
                <c:pt idx="1">
                  <c:v>2023年</c:v>
                </c:pt>
              </c:strCache>
            </c:strRef>
          </c:cat>
          <c:val>
            <c:numRef>
              <c:f>Sheet1!#REF!</c:f>
              <c:numCache>
                <c:formatCode>General</c:formatCode>
                <c:ptCount val="1"/>
                <c:pt idx="0">
                  <c:v>1</c:v>
                </c:pt>
              </c:numCache>
            </c:numRef>
          </c:val>
        </c:ser>
        <c:ser>
          <c:idx val="1"/>
          <c:order val="1"/>
          <c:tx>
            <c:strRef>
              <c:f>Sheet1!$B$1</c:f>
              <c:strCache>
                <c:ptCount val="1"/>
                <c:pt idx="0">
                  <c:v>一般公共预算财政拨款支出决算数</c:v>
                </c:pt>
              </c:strCache>
            </c:strRef>
          </c:tx>
          <c:spPr>
            <a:solidFill>
              <a:srgbClr val="C0504D">
                <a:alpha val="85000"/>
              </a:srgbClr>
            </a:solidFill>
            <a:ln w="9525" cap="flat" cmpd="sng" algn="ctr">
              <a:solidFill>
                <a:sysClr val="window" lastClr="FFFFFF">
                  <a:alpha val="50000"/>
                </a:sysClr>
              </a:solidFill>
              <a:round/>
            </a:ln>
            <a:effectLst/>
          </c:spPr>
          <c:invertIfNegative val="false"/>
          <c:dLbls>
            <c:spPr>
              <a:noFill/>
              <a:ln>
                <a:noFill/>
              </a:ln>
              <a:effectLst/>
            </c:spPr>
            <c:txPr>
              <a:bodyPr rot="0" spcFirstLastPara="0" vertOverflow="ellipsis" vert="horz" wrap="square" lIns="38100" tIns="19050" rIns="38100" bIns="19050" anchor="ctr" anchorCtr="true"/>
              <a:lstStyle/>
              <a:p>
                <a:pPr>
                  <a:defRPr lang="zh-CN" sz="900" b="1" i="0" u="none" strike="noStrike" kern="1200" baseline="0">
                    <a:solidFill>
                      <a:sysClr val="window" lastClr="FFFFFF"/>
                    </a:solidFill>
                    <a:latin typeface="+mn-lt"/>
                    <a:ea typeface="+mn-ea"/>
                    <a:cs typeface="+mn-cs"/>
                  </a:defRPr>
                </a:pPr>
              </a:p>
            </c:txPr>
            <c:dLblPos val="inEnd"/>
            <c:showLegendKey val="false"/>
            <c:showVal val="true"/>
            <c:showCatName val="false"/>
            <c:showSerName val="false"/>
            <c:showPercent val="false"/>
            <c:showBubbleSize val="false"/>
            <c:showLeaderLines val="false"/>
            <c:extLst>
              <c:ext xmlns:c15="http://schemas.microsoft.com/office/drawing/2012/chart" uri="{CE6537A1-D6FC-4f65-9D91-7224C49458BB}">
                <c15:layout/>
                <c15:showLeaderLines val="false"/>
                <c15:leaderLines>
                  <c:spPr>
                    <a:ln w="9525">
                      <a:solidFill>
                        <a:sysClr val="windowText" lastClr="000000">
                          <a:lumMod val="50000"/>
                          <a:lumOff val="50000"/>
                        </a:sysClr>
                      </a:solidFill>
                    </a:ln>
                    <a:effectLst/>
                  </c:spPr>
                </c15:leaderLines>
              </c:ext>
            </c:extLst>
          </c:dLbls>
          <c:cat>
            <c:strRef>
              <c:f>Sheet1!$A$2:$A$3</c:f>
              <c:strCache>
                <c:ptCount val="2"/>
                <c:pt idx="0">
                  <c:v>2024年</c:v>
                </c:pt>
                <c:pt idx="1">
                  <c:v>2023年</c:v>
                </c:pt>
              </c:strCache>
            </c:strRef>
          </c:cat>
          <c:val>
            <c:numRef>
              <c:f>Sheet1!$B$2:$B$3</c:f>
              <c:numCache>
                <c:formatCode>General</c:formatCode>
                <c:ptCount val="2"/>
                <c:pt idx="0">
                  <c:v>730.49</c:v>
                </c:pt>
                <c:pt idx="1">
                  <c:v>910.17</c:v>
                </c:pt>
              </c:numCache>
            </c:numRef>
          </c:val>
        </c:ser>
        <c:ser>
          <c:idx val="2"/>
          <c:order val="2"/>
          <c:tx>
            <c:strRef>
              <c:f>Sheet1!#REF!</c:f>
              <c:strCache>
                <c:ptCount val="1"/>
                <c:pt idx="0">
                  <c:v/>
                </c:pt>
              </c:strCache>
            </c:strRef>
          </c:tx>
          <c:spPr>
            <a:solidFill>
              <a:srgbClr val="9BBB59">
                <a:alpha val="85000"/>
              </a:srgbClr>
            </a:solidFill>
            <a:ln w="9525" cap="flat" cmpd="sng" algn="ctr">
              <a:solidFill>
                <a:sysClr val="window" lastClr="FFFFFF">
                  <a:alpha val="50000"/>
                </a:sysClr>
              </a:solidFill>
              <a:round/>
            </a:ln>
            <a:effectLst/>
          </c:spPr>
          <c:invertIfNegative val="false"/>
          <c:dLbls>
            <c:spPr>
              <a:noFill/>
              <a:ln>
                <a:noFill/>
              </a:ln>
              <a:effectLst/>
            </c:spPr>
            <c:txPr>
              <a:bodyPr rot="0" spcFirstLastPara="0" vertOverflow="ellipsis" vert="horz" wrap="square" lIns="38100" tIns="19050" rIns="38100" bIns="19050" anchor="ctr" anchorCtr="true"/>
              <a:lstStyle/>
              <a:p>
                <a:pPr>
                  <a:defRPr lang="zh-CN" sz="900" b="1" i="0" u="none" strike="noStrike" kern="1200" baseline="0">
                    <a:solidFill>
                      <a:sysClr val="window" lastClr="FFFFFF"/>
                    </a:solidFill>
                    <a:latin typeface="+mn-lt"/>
                    <a:ea typeface="+mn-ea"/>
                    <a:cs typeface="+mn-cs"/>
                  </a:defRPr>
                </a:pPr>
              </a:p>
            </c:txPr>
            <c:dLblPos val="inEnd"/>
            <c:showLegendKey val="false"/>
            <c:showVal val="true"/>
            <c:showCatName val="false"/>
            <c:showSerName val="false"/>
            <c:showPercent val="false"/>
            <c:showBubbleSize val="false"/>
            <c:showLeaderLines val="false"/>
            <c:extLst>
              <c:ext xmlns:c15="http://schemas.microsoft.com/office/drawing/2012/chart" uri="{CE6537A1-D6FC-4f65-9D91-7224C49458BB}">
                <c15:layout/>
                <c15:showLeaderLines val="true"/>
                <c15:leaderLines>
                  <c:spPr>
                    <a:ln w="9525">
                      <a:solidFill>
                        <a:sysClr val="windowText" lastClr="000000">
                          <a:lumMod val="50000"/>
                          <a:lumOff val="50000"/>
                        </a:sysClr>
                      </a:solidFill>
                    </a:ln>
                    <a:effectLst/>
                  </c:spPr>
                </c15:leaderLines>
              </c:ext>
            </c:extLst>
          </c:dLbls>
          <c:cat>
            <c:strRef>
              <c:f>Sheet1!$A$2:$A$3</c:f>
              <c:strCache>
                <c:ptCount val="2"/>
                <c:pt idx="0">
                  <c:v>2024年</c:v>
                </c:pt>
                <c:pt idx="1">
                  <c:v>2023年</c:v>
                </c:pt>
              </c:strCache>
            </c:strRef>
          </c:cat>
          <c:val>
            <c:numRef>
              <c:f>Sheet1!#REF!</c:f>
              <c:numCache>
                <c:formatCode>General</c:formatCode>
                <c:ptCount val="1"/>
                <c:pt idx="0">
                  <c:v>1</c:v>
                </c:pt>
              </c:numCache>
            </c:numRef>
          </c:val>
        </c:ser>
        <c:ser>
          <c:idx val="3"/>
          <c:order val="3"/>
          <c:tx>
            <c:strRef>
              <c:f>Sheet1!$C$1</c:f>
              <c:strCache>
                <c:ptCount val="1"/>
                <c:pt idx="0">
                  <c:v/>
                </c:pt>
              </c:strCache>
            </c:strRef>
          </c:tx>
          <c:spPr>
            <a:solidFill>
              <a:srgbClr val="8064A2">
                <a:alpha val="85000"/>
              </a:srgbClr>
            </a:solidFill>
            <a:ln w="9525" cap="flat" cmpd="sng" algn="ctr">
              <a:solidFill>
                <a:sysClr val="window" lastClr="FFFFFF">
                  <a:alpha val="50000"/>
                </a:sysClr>
              </a:solidFill>
              <a:round/>
            </a:ln>
            <a:effectLst/>
          </c:spPr>
          <c:invertIfNegative val="false"/>
          <c:dLbls>
            <c:numFmt formatCode="General" sourceLinked="true"/>
            <c:spPr>
              <a:noFill/>
              <a:ln>
                <a:noFill/>
              </a:ln>
              <a:effectLst/>
            </c:spPr>
            <c:txPr>
              <a:bodyPr rot="0" spcFirstLastPara="0" vertOverflow="ellipsis" vert="horz" wrap="square" lIns="38100" tIns="19050" rIns="38100" bIns="19050" anchor="ctr" anchorCtr="true"/>
              <a:lstStyle/>
              <a:p>
                <a:pPr>
                  <a:defRPr lang="zh-CN" sz="900" b="1" i="0" u="none" strike="noStrike" kern="1200" baseline="0">
                    <a:solidFill>
                      <a:sysClr val="window" lastClr="FFFFFF"/>
                    </a:solidFill>
                    <a:latin typeface="+mn-lt"/>
                    <a:ea typeface="+mn-ea"/>
                    <a:cs typeface="+mn-cs"/>
                  </a:defRPr>
                </a:pPr>
              </a:p>
            </c:txPr>
            <c:dLblPos val="inEnd"/>
            <c:showLegendKey val="false"/>
            <c:showVal val="true"/>
            <c:showCatName val="false"/>
            <c:showSerName val="false"/>
            <c:showPercent val="false"/>
            <c:showBubbleSize val="false"/>
            <c:showLeaderLines val="false"/>
            <c:extLst>
              <c:ext xmlns:c15="http://schemas.microsoft.com/office/drawing/2012/chart" uri="{CE6537A1-D6FC-4f65-9D91-7224C49458BB}">
                <c15:layout/>
                <c15:showLeaderLines val="false"/>
                <c15:leaderLines>
                  <c:spPr>
                    <a:ln w="9525">
                      <a:solidFill>
                        <a:sysClr val="windowText" lastClr="000000">
                          <a:lumMod val="50000"/>
                          <a:lumOff val="50000"/>
                        </a:sysClr>
                      </a:solidFill>
                    </a:ln>
                    <a:effectLst/>
                  </c:spPr>
                </c15:leaderLines>
              </c:ext>
            </c:extLst>
          </c:dLbls>
          <c:cat>
            <c:strRef>
              <c:f>Sheet1!$A$2:$A$3</c:f>
              <c:strCache>
                <c:ptCount val="2"/>
                <c:pt idx="0">
                  <c:v>2024年</c:v>
                </c:pt>
                <c:pt idx="1">
                  <c:v>2023年</c:v>
                </c:pt>
              </c:strCache>
            </c:strRef>
          </c:cat>
          <c:val>
            <c:numRef>
              <c:f>Sheet1!$C$2:$C$3</c:f>
              <c:numCache>
                <c:formatCode>General</c:formatCode>
                <c:ptCount val="2"/>
              </c:numCache>
            </c:numRef>
          </c:val>
        </c:ser>
        <c:dLbls>
          <c:showLegendKey val="false"/>
          <c:showVal val="true"/>
          <c:showCatName val="false"/>
          <c:showSerName val="false"/>
          <c:showPercent val="false"/>
          <c:showBubbleSize val="false"/>
        </c:dLbls>
        <c:gapWidth val="65"/>
        <c:overlap val="0"/>
        <c:axId val="58915072"/>
        <c:axId val="59715584"/>
      </c:barChart>
      <c:catAx>
        <c:axId val="58915072"/>
        <c:scaling>
          <c:orientation val="minMax"/>
        </c:scaling>
        <c:delete val="false"/>
        <c:axPos val="l"/>
        <c:majorTickMark val="none"/>
        <c:minorTickMark val="none"/>
        <c:tickLblPos val="nextTo"/>
        <c:spPr>
          <a:noFill/>
          <a:ln w="19050" cap="flat" cmpd="sng" algn="ctr">
            <a:solidFill>
              <a:sysClr val="windowText" lastClr="000000">
                <a:lumMod val="75000"/>
                <a:lumOff val="25000"/>
              </a:sysClr>
            </a:solidFill>
            <a:round/>
          </a:ln>
          <a:effectLst/>
        </c:spPr>
        <c:txPr>
          <a:bodyPr rot="-60000000" spcFirstLastPara="0" vertOverflow="ellipsis" vert="horz" wrap="square" anchor="ctr" anchorCtr="true"/>
          <a:lstStyle/>
          <a:p>
            <a:pPr>
              <a:defRPr lang="zh-CN" sz="900" b="0" i="0" u="none" strike="noStrike" kern="1200" cap="all" baseline="0">
                <a:solidFill>
                  <a:sysClr val="windowText" lastClr="000000">
                    <a:lumMod val="75000"/>
                    <a:lumOff val="25000"/>
                  </a:sysClr>
                </a:solidFill>
                <a:latin typeface="+mn-lt"/>
                <a:ea typeface="+mn-ea"/>
                <a:cs typeface="+mn-cs"/>
              </a:defRPr>
            </a:pPr>
          </a:p>
        </c:txPr>
        <c:crossAx val="59715584"/>
        <c:crosses val="autoZero"/>
        <c:auto val="true"/>
        <c:lblAlgn val="ctr"/>
        <c:lblOffset val="100"/>
        <c:noMultiLvlLbl val="false"/>
      </c:catAx>
      <c:valAx>
        <c:axId val="59715584"/>
        <c:scaling>
          <c:orientation val="minMax"/>
        </c:scaling>
        <c:delete val="false"/>
        <c:axPos val="b"/>
        <c:majorGridlines>
          <c:spPr>
            <a:ln w="9525" cap="flat" cmpd="sng" algn="ctr">
              <a:gradFill>
                <a:gsLst>
                  <a:gs pos="100000">
                    <a:sysClr val="windowText" lastClr="000000">
                      <a:lumMod val="95000"/>
                      <a:lumOff val="5000"/>
                      <a:alpha val="42000"/>
                    </a:sysClr>
                  </a:gs>
                  <a:gs pos="0">
                    <a:sysClr val="window" lastClr="FFFFFF">
                      <a:lumMod val="75000"/>
                      <a:alpha val="36000"/>
                    </a:sysClr>
                  </a:gs>
                </a:gsLst>
                <a:lin ang="5400000" scaled="false"/>
              </a:gradFill>
              <a:round/>
            </a:ln>
            <a:effectLst/>
          </c:spPr>
        </c:majorGridlines>
        <c:numFmt formatCode="General" sourceLinked="true"/>
        <c:majorTickMark val="none"/>
        <c:minorTickMark val="none"/>
        <c:tickLblPos val="nextTo"/>
        <c:spPr>
          <a:noFill/>
          <a:ln>
            <a:noFill/>
          </a:ln>
          <a:effectLst/>
        </c:spPr>
        <c:txPr>
          <a:bodyPr rot="-60000000" spcFirstLastPara="0" vertOverflow="ellipsis" vert="horz" wrap="square" anchor="ctr" anchorCtr="true"/>
          <a:lstStyle/>
          <a:p>
            <a:pPr>
              <a:defRPr lang="zh-CN" sz="900" b="0" i="0" u="none" strike="noStrike" kern="1200" baseline="0">
                <a:solidFill>
                  <a:sysClr val="windowText" lastClr="000000">
                    <a:lumMod val="75000"/>
                    <a:lumOff val="25000"/>
                  </a:sysClr>
                </a:solidFill>
                <a:latin typeface="+mn-lt"/>
                <a:ea typeface="+mn-ea"/>
                <a:cs typeface="+mn-cs"/>
              </a:defRPr>
            </a:pPr>
          </a:p>
        </c:txPr>
        <c:crossAx val="58915072"/>
        <c:crosses val="autoZero"/>
        <c:crossBetween val="between"/>
      </c:valAx>
      <c:spPr>
        <a:noFill/>
        <a:ln>
          <a:noFill/>
        </a:ln>
        <a:effectLst/>
      </c:spPr>
    </c:plotArea>
    <c:legend>
      <c:legendPos val="b"/>
      <c:legendEntry>
        <c:idx val="0"/>
        <c:delete val="true"/>
      </c:legendEntry>
      <c:legendEntry>
        <c:idx val="1"/>
        <c:delete val="true"/>
      </c:legendEntry>
      <c:legendEntry>
        <c:idx val="3"/>
        <c:delete val="true"/>
      </c:legendEntry>
      <c:layout>
        <c:manualLayout>
          <c:xMode val="edge"/>
          <c:yMode val="edge"/>
          <c:x val="0.13732887291753"/>
          <c:y val="0.860170788963359"/>
        </c:manualLayout>
      </c:layout>
      <c:overlay val="false"/>
      <c:spPr>
        <a:solidFill>
          <a:sysClr val="window" lastClr="FFFFFF">
            <a:lumMod val="95000"/>
            <a:alpha val="39000"/>
          </a:sysClr>
        </a:solidFill>
        <a:ln>
          <a:noFill/>
        </a:ln>
        <a:effectLst/>
      </c:spPr>
      <c:txPr>
        <a:bodyPr rot="0" spcFirstLastPara="0" vertOverflow="ellipsis" vert="horz" wrap="square" anchor="ctr" anchorCtr="true"/>
        <a:lstStyle/>
        <a:p>
          <a:pPr>
            <a:defRPr lang="zh-CN" sz="900" b="0" i="0" u="none" strike="noStrike" kern="1200" baseline="0">
              <a:solidFill>
                <a:sysClr val="windowText" lastClr="000000">
                  <a:lumMod val="75000"/>
                  <a:lumOff val="25000"/>
                </a:sysClr>
              </a:solidFill>
              <a:latin typeface="+mn-lt"/>
              <a:ea typeface="+mn-ea"/>
              <a:cs typeface="+mn-cs"/>
            </a:defRPr>
          </a:pPr>
        </a:p>
      </c:txPr>
    </c:legend>
    <c:plotVisOnly val="true"/>
    <c:dispBlanksAs val="gap"/>
    <c:showDLblsOverMax val="false"/>
  </c:chart>
  <c:spPr>
    <a:gradFill flip="none" rotWithShape="true">
      <a:gsLst>
        <a:gs pos="0">
          <a:sysClr val="window" lastClr="FFFFFF"/>
        </a:gs>
        <a:gs pos="39000">
          <a:sysClr val="window" lastClr="FFFFFF"/>
        </a:gs>
        <a:gs pos="100000">
          <a:sysClr val="window" lastClr="FFFFFF">
            <a:lumMod val="75000"/>
          </a:sysClr>
        </a:gs>
      </a:gsLst>
      <a:path path="circle">
        <a:fillToRect l="50000" t="-80000" r="50000" b="180000"/>
      </a:path>
    </a:gradFill>
    <a:ln w="9525" cap="flat" cmpd="sng" algn="ctr">
      <a:solidFill>
        <a:sysClr val="windowText" lastClr="000000">
          <a:lumMod val="25000"/>
          <a:lumOff val="75000"/>
        </a:sysClr>
      </a:solidFill>
      <a:round/>
    </a:ln>
    <a:effectLst/>
  </c:spPr>
  <c:txPr>
    <a:bodyPr/>
    <a:lstStyle/>
    <a:p>
      <a:pPr>
        <a:defRPr lang="zh-CN"/>
      </a:pPr>
    </a:p>
  </c:txPr>
  <c:externalData r:id="rId1">
    <c:autoUpdate val="false"/>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layout>
        <c:manualLayout>
          <c:xMode val="edge"/>
          <c:yMode val="edge"/>
          <c:x val="0.00729250820020493"/>
          <c:y val="0.0314650731980147"/>
        </c:manualLayout>
      </c:layout>
      <c:overlay val="false"/>
      <c:spPr>
        <a:noFill/>
        <a:ln>
          <a:noFill/>
        </a:ln>
        <a:effectLst/>
      </c:spPr>
      <c:txPr>
        <a:bodyPr rot="0" spcFirstLastPara="0" vertOverflow="ellipsis" vert="horz" wrap="square" anchor="ctr" anchorCtr="true"/>
        <a:lstStyle/>
        <a:p>
          <a:pPr>
            <a:defRPr lang="zh-CN" sz="1400" b="1" i="0" u="none" strike="noStrike" kern="1200" baseline="0">
              <a:solidFill>
                <a:schemeClr val="dk1">
                  <a:lumMod val="75000"/>
                  <a:lumOff val="25000"/>
                </a:schemeClr>
              </a:solidFill>
              <a:latin typeface="+mn-lt"/>
              <a:ea typeface="+mn-ea"/>
              <a:cs typeface="+mn-cs"/>
            </a:defRPr>
          </a:pPr>
        </a:p>
      </c:txPr>
    </c:title>
    <c:autoTitleDeleted val="false"/>
    <c:plotArea>
      <c:layout/>
      <c:pieChart>
        <c:varyColors val="true"/>
        <c:ser>
          <c:idx val="0"/>
          <c:order val="0"/>
          <c:tx>
            <c:strRef>
              <c:f>Sheet1!$B$1</c:f>
              <c:strCache>
                <c:ptCount val="1"/>
                <c:pt idx="0">
                  <c:v>一般公共预算财政拨款支出决算结构</c:v>
                </c:pt>
              </c:strCache>
            </c:strRef>
          </c:tx>
          <c:spPr/>
          <c:explosion val="0"/>
          <c:dPt>
            <c:idx val="0"/>
            <c:bubble3D val="false"/>
            <c:spPr>
              <a:gradFill>
                <a:gsLst>
                  <a:gs pos="100000">
                    <a:schemeClr val="accent1"/>
                  </a:gs>
                  <a:gs pos="0">
                    <a:schemeClr val="accent1">
                      <a:hueOff val="-1670000"/>
                    </a:schemeClr>
                  </a:gs>
                </a:gsLst>
                <a:lin ang="5400000" scaled="false"/>
              </a:gradFill>
              <a:ln>
                <a:gradFill>
                  <a:gsLst>
                    <a:gs pos="100000">
                      <a:schemeClr val="accent1">
                        <a:lumMod val="75000"/>
                      </a:schemeClr>
                    </a:gs>
                    <a:gs pos="0">
                      <a:schemeClr val="accent1">
                        <a:lumMod val="75000"/>
                        <a:hueOff val="-1670000"/>
                      </a:schemeClr>
                    </a:gs>
                  </a:gsLst>
                  <a:lin ang="4620000" scaled="false"/>
                </a:gradFill>
              </a:ln>
              <a:effectLst/>
            </c:spPr>
          </c:dPt>
          <c:dPt>
            <c:idx val="1"/>
            <c:bubble3D val="false"/>
            <c:spPr>
              <a:gradFill>
                <a:gsLst>
                  <a:gs pos="100000">
                    <a:schemeClr val="accent2"/>
                  </a:gs>
                  <a:gs pos="0">
                    <a:schemeClr val="accent2">
                      <a:hueOff val="-1670000"/>
                    </a:schemeClr>
                  </a:gs>
                </a:gsLst>
                <a:lin ang="5400000" scaled="false"/>
              </a:gradFill>
              <a:ln>
                <a:gradFill>
                  <a:gsLst>
                    <a:gs pos="100000">
                      <a:schemeClr val="accent2">
                        <a:lumMod val="75000"/>
                      </a:schemeClr>
                    </a:gs>
                    <a:gs pos="0">
                      <a:schemeClr val="accent2">
                        <a:lumMod val="75000"/>
                        <a:hueOff val="-1670000"/>
                      </a:schemeClr>
                    </a:gs>
                  </a:gsLst>
                  <a:lin ang="4620000" scaled="false"/>
                </a:gradFill>
              </a:ln>
              <a:effectLst/>
            </c:spPr>
          </c:dPt>
          <c:dPt>
            <c:idx val="2"/>
            <c:bubble3D val="false"/>
            <c:spPr>
              <a:gradFill>
                <a:gsLst>
                  <a:gs pos="100000">
                    <a:schemeClr val="accent3"/>
                  </a:gs>
                  <a:gs pos="0">
                    <a:schemeClr val="accent3">
                      <a:hueOff val="-1670000"/>
                    </a:schemeClr>
                  </a:gs>
                </a:gsLst>
                <a:lin ang="5400000" scaled="false"/>
              </a:gradFill>
              <a:ln>
                <a:gradFill>
                  <a:gsLst>
                    <a:gs pos="100000">
                      <a:schemeClr val="accent3">
                        <a:lumMod val="75000"/>
                      </a:schemeClr>
                    </a:gs>
                    <a:gs pos="0">
                      <a:schemeClr val="accent3">
                        <a:lumMod val="75000"/>
                        <a:hueOff val="-1670000"/>
                      </a:schemeClr>
                    </a:gs>
                  </a:gsLst>
                  <a:lin ang="4620000" scaled="false"/>
                </a:gradFill>
              </a:ln>
              <a:effectLst/>
            </c:spPr>
          </c:dPt>
          <c:dPt>
            <c:idx val="3"/>
            <c:bubble3D val="false"/>
            <c:spPr>
              <a:gradFill>
                <a:gsLst>
                  <a:gs pos="100000">
                    <a:schemeClr val="accent4"/>
                  </a:gs>
                  <a:gs pos="0">
                    <a:schemeClr val="accent4">
                      <a:hueOff val="-1670000"/>
                    </a:schemeClr>
                  </a:gs>
                </a:gsLst>
                <a:lin ang="5400000" scaled="false"/>
              </a:gradFill>
              <a:ln>
                <a:gradFill>
                  <a:gsLst>
                    <a:gs pos="100000">
                      <a:schemeClr val="accent4">
                        <a:lumMod val="75000"/>
                      </a:schemeClr>
                    </a:gs>
                    <a:gs pos="0">
                      <a:schemeClr val="accent4">
                        <a:lumMod val="75000"/>
                        <a:hueOff val="-1670000"/>
                      </a:schemeClr>
                    </a:gs>
                  </a:gsLst>
                  <a:lin ang="4620000" scaled="false"/>
                </a:gradFill>
              </a:ln>
              <a:effectLst/>
            </c:spPr>
          </c:dPt>
          <c:dPt>
            <c:idx val="4"/>
            <c:bubble3D val="false"/>
            <c:spPr>
              <a:gradFill>
                <a:gsLst>
                  <a:gs pos="100000">
                    <a:schemeClr val="accent5"/>
                  </a:gs>
                  <a:gs pos="0">
                    <a:schemeClr val="accent5">
                      <a:hueOff val="-1670000"/>
                    </a:schemeClr>
                  </a:gs>
                </a:gsLst>
                <a:lin ang="5400000" scaled="false"/>
              </a:gradFill>
              <a:ln>
                <a:gradFill>
                  <a:gsLst>
                    <a:gs pos="100000">
                      <a:schemeClr val="accent5">
                        <a:lumMod val="75000"/>
                      </a:schemeClr>
                    </a:gs>
                    <a:gs pos="0">
                      <a:schemeClr val="accent5">
                        <a:lumMod val="75000"/>
                        <a:hueOff val="-1670000"/>
                      </a:schemeClr>
                    </a:gs>
                  </a:gsLst>
                  <a:lin ang="4620000" scaled="false"/>
                </a:gradFill>
              </a:ln>
              <a:effectLst/>
            </c:spPr>
          </c:dPt>
          <c:dLbls>
            <c:dLbl>
              <c:idx val="1"/>
              <c:layout>
                <c:manualLayout>
                  <c:x val="-0.0418555067718617"/>
                  <c:y val="0.0425980960030526"/>
                </c:manualLayout>
              </c:layout>
              <c:dLblPos val="bestFit"/>
              <c:showLegendKey val="false"/>
              <c:showVal val="false"/>
              <c:showCatName val="true"/>
              <c:showSerName val="false"/>
              <c:showPercent val="true"/>
              <c:showBubbleSize val="false"/>
              <c:separator>
</c:separator>
              <c:extLst>
                <c:ext xmlns:c15="http://schemas.microsoft.com/office/drawing/2012/chart" uri="{CE6537A1-D6FC-4f65-9D91-7224C49458BB}">
                  <c15:layout/>
                </c:ext>
              </c:extLst>
            </c:dLbl>
            <c:dLbl>
              <c:idx val="2"/>
              <c:layout>
                <c:manualLayout>
                  <c:x val="0.0125718390804598"/>
                  <c:y val="0.0786131828260431"/>
                </c:manualLayout>
              </c:layout>
              <c:dLblPos val="bestFit"/>
              <c:showLegendKey val="false"/>
              <c:showVal val="false"/>
              <c:showCatName val="true"/>
              <c:showSerName val="false"/>
              <c:showPercent val="true"/>
              <c:showBubbleSize val="false"/>
              <c:separator>
</c:separator>
              <c:extLst>
                <c:ext xmlns:c15="http://schemas.microsoft.com/office/drawing/2012/chart" uri="{CE6537A1-D6FC-4f65-9D91-7224C49458BB}">
                  <c15:layout/>
                </c:ext>
              </c:extLst>
            </c:dLbl>
            <c:dLbl>
              <c:idx val="4"/>
              <c:layout>
                <c:manualLayout>
                  <c:x val="-0.102370689655172"/>
                  <c:y val="0.126990526103608"/>
                </c:manualLayout>
              </c:layout>
              <c:tx>
                <c:rich>
                  <a:bodyPr rot="0" spcFirstLastPara="0" vertOverflow="ellipsis" vert="horz" wrap="square" lIns="38100" tIns="19050" rIns="38100" bIns="19050" anchor="ctr" anchorCtr="true"/>
                  <a:lstStyle/>
                  <a:p>
                    <a:pPr defTabSz="914400">
                      <a:defRPr lang="zh-CN" sz="1000" b="0" i="0" u="none" strike="noStrike" kern="1200" baseline="0">
                        <a:solidFill>
                          <a:schemeClr val="dk1">
                            <a:lumMod val="75000"/>
                            <a:lumOff val="25000"/>
                          </a:schemeClr>
                        </a:solidFill>
                        <a:latin typeface="+mn-lt"/>
                        <a:ea typeface="+mn-ea"/>
                        <a:cs typeface="+mn-cs"/>
                      </a:defRPr>
                    </a:pPr>
                    <a:r>
                      <a:t>资源勘探工业信息等支出</a:t>
                    </a:r>
                  </a:p>
                  <a:p>
                    <a:pPr defTabSz="914400">
                      <a:defRPr lang="zh-CN" sz="1000" b="0" i="0" u="none" strike="noStrike" kern="1200" baseline="0">
                        <a:solidFill>
                          <a:schemeClr val="dk1">
                            <a:lumMod val="75000"/>
                            <a:lumOff val="25000"/>
                          </a:schemeClr>
                        </a:solidFill>
                        <a:latin typeface="+mn-lt"/>
                        <a:ea typeface="+mn-ea"/>
                        <a:cs typeface="+mn-cs"/>
                      </a:defRPr>
                    </a:pPr>
                    <a:r>
                      <a:rPr lang="en-US" altLang="zh-CN"/>
                      <a:t>1</a:t>
                    </a:r>
                    <a:r>
                      <a:t>%</a:t>
                    </a:r>
                  </a:p>
                </c:rich>
              </c:tx>
              <c:dLblPos val="bestFit"/>
              <c:showLegendKey val="false"/>
              <c:showVal val="false"/>
              <c:showCatName val="true"/>
              <c:showSerName val="false"/>
              <c:showPercent val="true"/>
              <c:showBubbleSize val="false"/>
              <c:separator>
</c:separator>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true"/>
              <a:lstStyle/>
              <a:p>
                <a:pPr>
                  <a:defRPr lang="zh-CN" sz="1000" b="0" i="0" u="none" strike="noStrike" kern="1200" baseline="0">
                    <a:solidFill>
                      <a:schemeClr val="dk1">
                        <a:lumMod val="75000"/>
                        <a:lumOff val="25000"/>
                      </a:schemeClr>
                    </a:solidFill>
                    <a:latin typeface="+mn-lt"/>
                    <a:ea typeface="+mn-ea"/>
                    <a:cs typeface="+mn-cs"/>
                  </a:defRPr>
                </a:pPr>
              </a:p>
            </c:txPr>
            <c:dLblPos val="outEnd"/>
            <c:showLegendKey val="false"/>
            <c:showVal val="false"/>
            <c:showCatName val="true"/>
            <c:showSerName val="false"/>
            <c:showPercent val="true"/>
            <c:showBubbleSize val="false"/>
            <c:showLeaderLines val="true"/>
            <c:extLst>
              <c:ext xmlns:c15="http://schemas.microsoft.com/office/drawing/2012/chart" uri="{CE6537A1-D6FC-4f65-9D91-7224C49458BB}">
                <c15:layout/>
                <c15:showLeaderLines val="true"/>
                <c15:leaderLines>
                  <c:spPr>
                    <a:ln w="9525">
                      <a:solidFill>
                        <a:schemeClr val="dk1">
                          <a:lumMod val="35000"/>
                          <a:lumOff val="65000"/>
                        </a:schemeClr>
                      </a:solidFill>
                    </a:ln>
                    <a:effectLst/>
                  </c:spPr>
                </c15:leaderLines>
              </c:ext>
            </c:extLst>
          </c:dLbls>
          <c:cat>
            <c:strRef>
              <c:f>Sheet1!$A$2:$A$6</c:f>
              <c:strCache>
                <c:ptCount val="5"/>
                <c:pt idx="0">
                  <c:v>社会保障和就业支出</c:v>
                </c:pt>
                <c:pt idx="1">
                  <c:v>卫生健康支出</c:v>
                </c:pt>
                <c:pt idx="2">
                  <c:v>住房保障支出</c:v>
                </c:pt>
                <c:pt idx="3">
                  <c:v>一般公共服务支出</c:v>
                </c:pt>
                <c:pt idx="4">
                  <c:v>资源勘探工业信息等支出</c:v>
                </c:pt>
              </c:strCache>
            </c:strRef>
          </c:cat>
          <c:val>
            <c:numRef>
              <c:f>Sheet1!$B$2:$B$6</c:f>
              <c:numCache>
                <c:formatCode>General</c:formatCode>
                <c:ptCount val="5"/>
                <c:pt idx="0">
                  <c:v>90.49</c:v>
                </c:pt>
                <c:pt idx="1">
                  <c:v>31.49</c:v>
                </c:pt>
                <c:pt idx="2">
                  <c:v>28.13</c:v>
                </c:pt>
                <c:pt idx="3">
                  <c:v>577.72</c:v>
                </c:pt>
                <c:pt idx="4">
                  <c:v>2.66</c:v>
                </c:pt>
              </c:numCache>
            </c:numRef>
          </c:val>
        </c:ser>
        <c:dLbls>
          <c:showLegendKey val="false"/>
          <c:showVal val="false"/>
          <c:showCatName val="false"/>
          <c:showSerName val="false"/>
          <c:showPercent val="true"/>
          <c:showBubbleSize val="false"/>
          <c:showLeaderLines val="true"/>
        </c:dLbls>
        <c:firstSliceAng val="0"/>
      </c:pieChart>
      <c:spPr>
        <a:noFill/>
        <a:ln>
          <a:noFill/>
        </a:ln>
        <a:effectLst/>
      </c:spPr>
    </c:plotArea>
    <c:plotVisOnly val="true"/>
    <c:dispBlanksAs val="gap"/>
    <c:showDLblsOverMax val="false"/>
  </c:chart>
  <c:spPr>
    <a:solidFill>
      <a:schemeClr val="lt1">
        <a:lumMod val="96000"/>
      </a:schemeClr>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0" vertOverflow="ellipsis" vert="horz" wrap="square" anchor="ctr" anchorCtr="true"/>
          <a:lstStyle/>
          <a:p>
            <a:pPr defTabSz="914400">
              <a:defRPr lang="zh-CN" sz="1400" b="0" i="0" u="none" strike="noStrike" kern="1200" spc="0" baseline="0">
                <a:solidFill>
                  <a:sysClr val="windowText" lastClr="000000">
                    <a:lumMod val="65000"/>
                    <a:lumOff val="35000"/>
                  </a:sysClr>
                </a:solidFill>
                <a:latin typeface="+mn-lt"/>
                <a:ea typeface="+mn-ea"/>
                <a:cs typeface="+mn-cs"/>
              </a:defRPr>
            </a:pPr>
            <a:r>
              <a:t>202</a:t>
            </a:r>
            <a:r>
              <a:rPr lang="en-US" altLang="zh-CN"/>
              <a:t>4</a:t>
            </a:r>
            <a:r>
              <a:t>年度“三公”经费财政拨款支出结构                         单位：万元</a:t>
            </a:r>
          </a:p>
        </c:rich>
      </c:tx>
      <c:layout>
        <c:manualLayout>
          <c:xMode val="edge"/>
          <c:yMode val="edge"/>
          <c:x val="0.108984752926439"/>
          <c:y val="0.0571273122959739"/>
        </c:manualLayout>
      </c:layout>
      <c:overlay val="false"/>
      <c:spPr>
        <a:noFill/>
        <a:ln>
          <a:noFill/>
        </a:ln>
        <a:effectLst/>
      </c:spPr>
    </c:title>
    <c:autoTitleDeleted val="false"/>
    <c:plotArea>
      <c:layout/>
      <c:pieChart>
        <c:varyColors val="true"/>
        <c:ser>
          <c:idx val="0"/>
          <c:order val="0"/>
          <c:tx>
            <c:strRef>
              <c:f>Sheet1!$B$1</c:f>
              <c:strCache>
                <c:ptCount val="1"/>
                <c:pt idx="0">
                  <c:v>支出</c:v>
                </c:pt>
              </c:strCache>
            </c:strRef>
          </c:tx>
          <c:spPr/>
          <c:explosion val="0"/>
          <c:dPt>
            <c:idx val="0"/>
            <c:bubble3D val="false"/>
            <c:spPr>
              <a:solidFill>
                <a:srgbClr val="4F81BD"/>
              </a:solidFill>
              <a:ln w="19050">
                <a:solidFill>
                  <a:sysClr val="window" lastClr="FFFFFF"/>
                </a:solidFill>
              </a:ln>
              <a:effectLst/>
            </c:spPr>
          </c:dPt>
          <c:dPt>
            <c:idx val="1"/>
            <c:bubble3D val="false"/>
            <c:spPr>
              <a:solidFill>
                <a:srgbClr val="C0504D"/>
              </a:solidFill>
              <a:ln w="19050">
                <a:solidFill>
                  <a:sysClr val="window" lastClr="FFFFFF"/>
                </a:solidFill>
              </a:ln>
              <a:effectLst/>
            </c:spPr>
          </c:dPt>
          <c:dPt>
            <c:idx val="2"/>
            <c:bubble3D val="false"/>
            <c:spPr>
              <a:solidFill>
                <a:srgbClr val="9BBB59"/>
              </a:solidFill>
              <a:ln w="19050">
                <a:solidFill>
                  <a:sysClr val="window" lastClr="FFFFFF"/>
                </a:solidFill>
              </a:ln>
              <a:effectLst/>
            </c:spPr>
          </c:dPt>
          <c:dLbls>
            <c:dLbl>
              <c:idx val="0"/>
              <c:layout>
                <c:manualLayout>
                  <c:x val="0.0188996220075598"/>
                  <c:y val="-0.00652173913043478"/>
                </c:manualLayout>
              </c:layout>
              <c:dLblPos val="bestFit"/>
              <c:showLegendKey val="false"/>
              <c:showVal val="true"/>
              <c:showCatName val="false"/>
              <c:showSerName val="false"/>
              <c:showPercent val="false"/>
              <c:showBubbleSize val="false"/>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true"/>
              <a:lstStyle/>
              <a:p>
                <a:pPr>
                  <a:defRPr lang="zh-CN" sz="900" b="0" i="0" u="none" strike="noStrike" kern="1200" baseline="0">
                    <a:solidFill>
                      <a:sysClr val="windowText" lastClr="000000">
                        <a:lumMod val="75000"/>
                        <a:lumOff val="25000"/>
                      </a:sysClr>
                    </a:solidFill>
                    <a:latin typeface="+mn-lt"/>
                    <a:ea typeface="+mn-ea"/>
                    <a:cs typeface="+mn-cs"/>
                  </a:defRPr>
                </a:pPr>
              </a:p>
            </c:txPr>
            <c:dLblPos val="outEnd"/>
            <c:showLegendKey val="false"/>
            <c:showVal val="true"/>
            <c:showCatName val="false"/>
            <c:showSerName val="false"/>
            <c:showPercent val="false"/>
            <c:showBubbleSize val="false"/>
            <c:showLeaderLines val="true"/>
            <c:extLst>
              <c:ext xmlns:c15="http://schemas.microsoft.com/office/drawing/2012/chart" uri="{CE6537A1-D6FC-4f65-9D91-7224C49458BB}">
                <c15:layout/>
                <c15:showLeaderLines val="true"/>
                <c15:leaderLines>
                  <c:spPr>
                    <a:ln w="9525" cap="flat" cmpd="sng" algn="ctr">
                      <a:solidFill>
                        <a:sysClr val="windowText" lastClr="000000">
                          <a:lumMod val="35000"/>
                          <a:lumOff val="65000"/>
                        </a:sysClr>
                      </a:solidFill>
                      <a:round/>
                    </a:ln>
                    <a:effectLst/>
                  </c:spPr>
                </c15:leaderLines>
              </c:ext>
            </c:extLst>
          </c:dLbls>
          <c:cat>
            <c:strRef>
              <c:f>Sheet1!$A$2:$A$4</c:f>
              <c:strCache>
                <c:ptCount val="3"/>
                <c:pt idx="0">
                  <c:v>因公出国（境）费支出</c:v>
                </c:pt>
                <c:pt idx="1">
                  <c:v>公务用车购置及运行维护费支出</c:v>
                </c:pt>
                <c:pt idx="2">
                  <c:v>公务接待费支出</c:v>
                </c:pt>
              </c:strCache>
            </c:strRef>
          </c:cat>
          <c:val>
            <c:numRef>
              <c:f>Sheet1!$B$2:$B$4</c:f>
              <c:numCache>
                <c:formatCode>General</c:formatCode>
                <c:ptCount val="3"/>
                <c:pt idx="0">
                  <c:v>0</c:v>
                </c:pt>
                <c:pt idx="1">
                  <c:v>2</c:v>
                </c:pt>
                <c:pt idx="2">
                  <c:v>0.06</c:v>
                </c:pt>
              </c:numCache>
            </c:numRef>
          </c:val>
        </c:ser>
        <c:dLbls>
          <c:showLegendKey val="false"/>
          <c:showVal val="true"/>
          <c:showCatName val="false"/>
          <c:showSerName val="false"/>
          <c:showPercent val="false"/>
          <c:showBubbleSize val="false"/>
          <c:showLeaderLines val="true"/>
        </c:dLbls>
        <c:firstSliceAng val="0"/>
      </c:pieChart>
      <c:spPr>
        <a:noFill/>
        <a:ln>
          <a:noFill/>
        </a:ln>
        <a:effectLst/>
      </c:spPr>
    </c:plotArea>
    <c:legend>
      <c:legendPos val="b"/>
      <c:layout/>
      <c:overlay val="false"/>
      <c:spPr>
        <a:noFill/>
        <a:ln>
          <a:noFill/>
        </a:ln>
        <a:effectLst/>
      </c:spPr>
      <c:txPr>
        <a:bodyPr rot="0" spcFirstLastPara="0" vertOverflow="ellipsis" vert="horz" wrap="square" anchor="ctr" anchorCtr="true"/>
        <a:lstStyle/>
        <a:p>
          <a:pPr>
            <a:defRPr lang="zh-CN" sz="900" b="0" i="0" u="none" strike="noStrike" kern="1200" baseline="0">
              <a:solidFill>
                <a:sysClr val="windowText" lastClr="000000">
                  <a:lumMod val="65000"/>
                  <a:lumOff val="35000"/>
                </a:sysClr>
              </a:solidFill>
              <a:latin typeface="+mn-lt"/>
              <a:ea typeface="+mn-ea"/>
              <a:cs typeface="+mn-cs"/>
            </a:defRPr>
          </a:pPr>
        </a:p>
      </c:txPr>
    </c:legend>
    <c:plotVisOnly val="true"/>
    <c:dispBlanksAs val="gap"/>
    <c:showDLblsOverMax val="false"/>
  </c:chart>
  <c:spPr>
    <a:solidFill>
      <a:sysClr val="window" lastClr="FFFFFF"/>
    </a:solidFill>
    <a:ln w="9525" cap="flat" cmpd="sng" algn="ctr">
      <a:solidFill>
        <a:sysClr val="windowText" lastClr="000000">
          <a:lumMod val="15000"/>
          <a:lumOff val="85000"/>
        </a:sysClr>
      </a:solidFill>
      <a:round/>
    </a:ln>
    <a:effectLst/>
  </c:spPr>
  <c:txPr>
    <a:bodyPr/>
    <a:lstStyle/>
    <a:p>
      <a:pPr>
        <a:defRPr lang="zh-CN"/>
      </a:pPr>
    </a:p>
  </c:txPr>
  <c:externalData r:id="rId1">
    <c:autoUpdate val="false"/>
  </c:externalData>
</c:chartSpace>
</file>

<file path=word/charts/colors1.xml><?xml version="1.0" encoding="utf-8"?>
<cs:colorStyle xmlns:cs="http://schemas.microsoft.com/office/drawing/2012/chartStyle" xmlns:a="http://schemas.openxmlformats.org/drawingml/2006/main" meth="acrossLinear" id="2">
  <a:schemeClr val="accent1"/>
  <a:schemeClr val="accent2"/>
  <a:schemeClr val="accent3"/>
  <a:schemeClr val="accent4"/>
  <a:schemeClr val="accent5"/>
  <a:schemeClr val="accent6"/>
</cs:colorStyle>
</file>

<file path=word/charts/colors2.xml><?xml version="1.0" encoding="utf-8"?>
<cs:colorStyle xmlns:cs="http://schemas.microsoft.com/office/drawing/2012/chartStyle" xmlns:a="http://schemas.openxmlformats.org/drawingml/2006/main" meth="acrossLinear" id="2">
  <a:schemeClr val="accent1"/>
  <a:schemeClr val="accent2"/>
  <a:schemeClr val="accent3"/>
  <a:schemeClr val="accent4"/>
  <a:schemeClr val="accent5"/>
  <a:schemeClr val="accent6"/>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acrossLinear" id="2">
  <a:schemeClr val="accent1"/>
  <a:schemeClr val="accent2"/>
  <a:schemeClr val="accent3"/>
  <a:schemeClr val="accent4"/>
  <a:schemeClr val="accent5"/>
  <a:schemeClr val="accent6"/>
</cs:colorStyle>
</file>

<file path=word/charts/colors6.xml><?xml version="1.0" encoding="utf-8"?>
<cs:colorStyle xmlns:cs="http://schemas.microsoft.com/office/drawing/2012/chartStyle" xmlns:a="http://schemas.openxmlformats.org/drawingml/2006/main" meth="acrossLinear" id="2">
  <a:schemeClr val="accent1"/>
  <a:schemeClr val="accent2"/>
  <a:schemeClr val="accent3"/>
  <a:schemeClr val="accent4"/>
  <a:schemeClr val="accent5"/>
  <a:schemeClr val="accent6"/>
</cs:colorStyle>
</file>

<file path=word/charts/style1.xml><?xml version="1.0" encoding="utf-8"?>
<cs:chartStyle xmlns:cs="http://schemas.microsoft.com/office/drawing/2012/chartStyle" xmlns:a="http://schemas.openxmlformats.org/drawingml/2006/main" id="218">
  <cs:axisTitle>
    <cs:lnRef idx="0"/>
    <cs:fillRef idx="0"/>
    <cs:effectRef idx="0"/>
    <cs:fontRef idx="minor">
      <a:sysClr val="windowText" lastClr="000000">
        <a:lumMod val="75000"/>
        <a:lumOff val="25000"/>
      </a:sysClr>
    </cs:fontRef>
    <cs:defRPr sz="900" b="1" kern="1200"/>
  </cs:axisTitle>
  <cs:categoryAxis>
    <cs:lnRef idx="0"/>
    <cs:fillRef idx="0"/>
    <cs:effectRef idx="0"/>
    <cs:fontRef idx="minor">
      <a:sysClr val="windowText" lastClr="000000">
        <a:lumMod val="75000"/>
        <a:lumOff val="25000"/>
      </a:sysClr>
    </cs:fontRef>
    <cs:spPr>
      <a:ln w="19050" cap="flat" cmpd="sng" algn="ctr">
        <a:solidFill>
          <a:sysClr val="windowText" lastClr="000000">
            <a:lumMod val="75000"/>
            <a:lumOff val="25000"/>
          </a:sysClr>
        </a:solidFill>
        <a:round/>
      </a:ln>
    </cs:spPr>
    <cs:defRPr sz="900" kern="1200" cap="all" baseline="0"/>
  </cs:categoryAxis>
  <cs:chartArea>
    <cs:lnRef idx="0"/>
    <cs:fillRef idx="0"/>
    <cs:effectRef idx="0"/>
    <cs:fontRef idx="minor">
      <a:sysClr val="windowText" lastClr="000000"/>
    </cs:fontRef>
    <cs:spPr>
      <a:gradFill flip="none" rotWithShape="true">
        <a:gsLst>
          <a:gs pos="0">
            <a:sysClr val="window" lastClr="FFFFFF"/>
          </a:gs>
          <a:gs pos="39000">
            <a:sysClr val="window" lastClr="FFFFFF"/>
          </a:gs>
          <a:gs pos="100000">
            <a:sysClr val="window" lastClr="FFFFFF">
              <a:lumMod val="75000"/>
            </a:sysClr>
          </a:gs>
        </a:gsLst>
        <a:path path="circle">
          <a:fillToRect l="50000" t="-80000" r="50000" b="180000"/>
        </a:path>
      </a:gradFill>
      <a:ln w="9525" cap="flat" cmpd="sng" algn="ctr">
        <a:solidFill>
          <a:sysClr val="windowText" lastClr="000000">
            <a:lumMod val="25000"/>
            <a:lumOff val="75000"/>
          </a:sysClr>
        </a:solidFill>
        <a:round/>
      </a:ln>
    </cs:spPr>
    <cs:defRPr sz="900" kern="1200"/>
  </cs:chartArea>
  <cs:dataLabel>
    <cs:lnRef idx="0"/>
    <cs:fillRef idx="0"/>
    <cs:effectRef idx="0"/>
    <cs:fontRef idx="minor">
      <a:sysClr val="window" lastClr="FFFFFF"/>
    </cs:fontRef>
    <cs:defRPr sz="900" b="1" i="0" u="none" strike="noStrike" kern="1200" baseline="0"/>
  </cs:dataLabel>
  <cs:dataLabelCallout>
    <cs:lnRef idx="0"/>
    <cs:fillRef idx="0"/>
    <cs:effectRef idx="0"/>
    <cs:fontRef idx="minor">
      <a:sysClr val="window" lastClr="FFFFFF"/>
    </cs:fontRef>
    <cs:spPr>
      <a:solidFill>
        <a:sysClr val="windowText" lastClr="000000">
          <a:lumMod val="65000"/>
          <a:lumOff val="35000"/>
          <a:alpha val="75000"/>
        </a:sysClr>
      </a:solidFill>
    </cs:spPr>
    <cs:defRPr sz="900" b="1" kern="1200"/>
    <cs:bodyPr rot="0" spcFirstLastPara="1" vertOverflow="clip" horzOverflow="clip" vert="horz" wrap="square" lIns="36576" tIns="18288" rIns="36576" bIns="18288" anchor="ctr" anchorCtr="true">
      <a:spAutoFit/>
    </cs:bodyPr>
  </cs:dataLabelCallout>
  <cs:dataPoint>
    <cs:lnRef idx="0"/>
    <cs:fillRef idx="0">
      <cs:styleClr val="auto"/>
    </cs:fillRef>
    <cs:effectRef idx="0"/>
    <cs:fontRef idx="minor">
      <a:sysClr val="windowText" lastClr="000000"/>
    </cs:fontRef>
    <cs:spPr>
      <a:solidFill>
        <a:schemeClr val="phClr">
          <a:alpha val="85000"/>
        </a:schemeClr>
      </a:solidFill>
      <a:ln w="9525" cap="flat" cmpd="sng" algn="ctr">
        <a:solidFill>
          <a:sysClr val="window" lastClr="FFFFFF">
            <a:alpha val="50000"/>
          </a:sysClr>
        </a:solidFill>
        <a:round/>
      </a:ln>
    </cs:spPr>
  </cs:dataPoint>
  <cs:dataPoint3D>
    <cs:lnRef idx="0"/>
    <cs:fillRef idx="0">
      <cs:styleClr val="auto"/>
    </cs:fillRef>
    <cs:effectRef idx="0"/>
    <cs:fontRef idx="minor">
      <a:sysClr val="windowText" lastClr="000000"/>
    </cs:fontRef>
    <cs:spPr>
      <a:solidFill>
        <a:schemeClr val="phClr">
          <a:alpha val="85000"/>
        </a:schemeClr>
      </a:solidFill>
      <a:ln w="9525" cap="flat" cmpd="sng" algn="ctr">
        <a:solidFill>
          <a:sysClr val="window" lastClr="FFFFFF">
            <a:alpha val="50000"/>
          </a:sysClr>
        </a:solidFill>
        <a:round/>
      </a:ln>
    </cs:spPr>
  </cs:dataPoint3D>
  <cs:dataPointLine>
    <cs:lnRef idx="0">
      <cs:styleClr val="auto"/>
    </cs:lnRef>
    <cs:fillRef idx="0"/>
    <cs:effectRef idx="0"/>
    <cs:fontRef idx="minor">
      <a:sysClr val="windowText" lastClr="000000"/>
    </cs:fontRef>
    <cs:spPr>
      <a:ln w="31750" cap="rnd">
        <a:solidFill>
          <a:schemeClr val="phClr">
            <a:alpha val="85000"/>
          </a:schemeClr>
        </a:solidFill>
        <a:round/>
      </a:ln>
    </cs:spPr>
  </cs:dataPointLine>
  <cs:dataPointMarker>
    <cs:lnRef idx="0"/>
    <cs:fillRef idx="0">
      <cs:styleClr val="auto"/>
    </cs:fillRef>
    <cs:effectRef idx="0"/>
    <cs:fontRef idx="minor">
      <a:sysClr val="windowText" lastClr="000000"/>
    </cs:fontRef>
    <cs:spPr>
      <a:solidFill>
        <a:schemeClr val="phClr">
          <a:alpha val="85000"/>
        </a:schemeClr>
      </a:solidFill>
    </cs:spPr>
  </cs:dataPointMarker>
  <cs:dataPointMarkerLayout symbol="circle" size="6"/>
  <cs:dataPointWireframe>
    <cs:lnRef idx="0">
      <cs:styleClr val="auto"/>
    </cs:lnRef>
    <cs:fillRef idx="0"/>
    <cs:effectRef idx="0"/>
    <cs:fontRef idx="minor">
      <a:sysClr val="windowText" lastClr="000000"/>
    </cs:fontRef>
    <cs:spPr>
      <a:ln w="9525" cap="rnd">
        <a:solidFill>
          <a:schemeClr val="phClr"/>
        </a:solidFill>
        <a:round/>
      </a:ln>
    </cs:spPr>
  </cs:dataPointWireframe>
  <cs:dataTable>
    <cs:lnRef idx="0"/>
    <cs:fillRef idx="0"/>
    <cs:effectRef idx="0"/>
    <cs:fontRef idx="minor">
      <a:sysClr val="windowText" lastClr="000000">
        <a:lumMod val="75000"/>
        <a:lumOff val="25000"/>
      </a:sysClr>
    </cs:fontRef>
    <cs:spPr>
      <a:ln w="9525">
        <a:solidFill>
          <a:sysClr val="windowText" lastClr="000000">
            <a:lumMod val="35000"/>
            <a:lumOff val="65000"/>
          </a:sysClr>
        </a:solidFill>
      </a:ln>
    </cs:spPr>
    <cs:defRPr sz="900" kern="1200"/>
  </cs:dataTable>
  <cs:downBar>
    <cs:lnRef idx="0"/>
    <cs:fillRef idx="0"/>
    <cs:effectRef idx="0"/>
    <cs:fontRef idx="minor">
      <a:sysClr val="windowText" lastClr="000000"/>
    </cs:fontRef>
    <cs:spPr>
      <a:solidFill>
        <a:sysClr val="windowText" lastClr="000000">
          <a:lumMod val="50000"/>
          <a:lumOff val="50000"/>
        </a:sysClr>
      </a:solidFill>
      <a:ln w="9525">
        <a:solidFill>
          <a:sysClr val="windowText" lastClr="000000">
            <a:lumMod val="65000"/>
            <a:lumOff val="35000"/>
          </a:sysClr>
        </a:solidFill>
      </a:ln>
    </cs:spPr>
  </cs:downBar>
  <cs:dropLine>
    <cs:lnRef idx="0"/>
    <cs:fillRef idx="0"/>
    <cs:effectRef idx="0"/>
    <cs:fontRef idx="minor">
      <a:sysClr val="windowText" lastClr="000000"/>
    </cs:fontRef>
    <cs:spPr>
      <a:ln w="9525">
        <a:solidFill>
          <a:sysClr val="windowText" lastClr="000000">
            <a:lumMod val="35000"/>
            <a:lumOff val="65000"/>
          </a:sysClr>
        </a:solidFill>
        <a:prstDash val="dash"/>
      </a:ln>
    </cs:spPr>
  </cs:dropLine>
  <cs:errorBar>
    <cs:lnRef idx="0"/>
    <cs:fillRef idx="0"/>
    <cs:effectRef idx="0"/>
    <cs:fontRef idx="minor">
      <a:sysClr val="windowText" lastClr="000000"/>
    </cs:fontRef>
    <cs:spPr>
      <a:ln w="9525">
        <a:solidFill>
          <a:sysClr val="windowText" lastClr="000000">
            <a:lumMod val="65000"/>
            <a:lumOff val="35000"/>
          </a:sysClr>
        </a:solidFill>
        <a:round/>
      </a:ln>
    </cs:spPr>
  </cs:errorBar>
  <cs:floor>
    <cs:lnRef idx="0"/>
    <cs:fillRef idx="0"/>
    <cs:effectRef idx="0"/>
    <cs:fontRef idx="minor">
      <a:sysClr val="windowText" lastClr="000000"/>
    </cs:fontRef>
  </cs:floor>
  <cs:gridlineMajor>
    <cs:lnRef idx="0"/>
    <cs:fillRef idx="0"/>
    <cs:effectRef idx="0"/>
    <cs:fontRef idx="minor">
      <a:sysClr val="windowText" lastClr="000000"/>
    </cs:fontRef>
    <cs:spPr>
      <a:ln w="9525" cap="flat" cmpd="sng" algn="ctr">
        <a:gradFill>
          <a:gsLst>
            <a:gs pos="100000">
              <a:sysClr val="windowText" lastClr="000000">
                <a:lumMod val="95000"/>
                <a:lumOff val="5000"/>
                <a:alpha val="42000"/>
              </a:sysClr>
            </a:gs>
            <a:gs pos="0">
              <a:sysClr val="window" lastClr="FFFFFF">
                <a:lumMod val="75000"/>
                <a:alpha val="36000"/>
              </a:sysClr>
            </a:gs>
          </a:gsLst>
          <a:lin ang="5400000" scaled="false"/>
        </a:gradFill>
        <a:round/>
      </a:ln>
    </cs:spPr>
  </cs:gridlineMajor>
  <cs:gridlineMinor>
    <cs:lnRef idx="0"/>
    <cs:fillRef idx="0"/>
    <cs:effectRef idx="0"/>
    <cs:fontRef idx="minor">
      <a:sysClr val="windowText" lastClr="000000"/>
    </cs:fontRef>
    <cs:spPr>
      <a:ln>
        <a:gradFill>
          <a:gsLst>
            <a:gs pos="100000">
              <a:sysClr val="windowText" lastClr="000000">
                <a:lumMod val="95000"/>
                <a:lumOff val="5000"/>
                <a:alpha val="42000"/>
              </a:sysClr>
            </a:gs>
            <a:gs pos="0">
              <a:sysClr val="window" lastClr="FFFFFF">
                <a:lumMod val="75000"/>
                <a:alpha val="36000"/>
              </a:sysClr>
            </a:gs>
          </a:gsLst>
          <a:lin ang="5400000" scaled="false"/>
        </a:gradFill>
      </a:ln>
    </cs:spPr>
  </cs:gridlineMinor>
  <cs:hiLoLine>
    <cs:lnRef idx="0"/>
    <cs:fillRef idx="0"/>
    <cs:effectRef idx="0"/>
    <cs:fontRef idx="minor">
      <a:sysClr val="windowText" lastClr="000000"/>
    </cs:fontRef>
    <cs:spPr>
      <a:ln w="9525">
        <a:solidFill>
          <a:sysClr val="windowText" lastClr="000000">
            <a:lumMod val="35000"/>
            <a:lumOff val="65000"/>
          </a:sysClr>
        </a:solidFill>
        <a:prstDash val="dash"/>
      </a:ln>
    </cs:spPr>
  </cs:hiLoLine>
  <cs:leaderLine>
    <cs:lnRef idx="0"/>
    <cs:fillRef idx="0"/>
    <cs:effectRef idx="0"/>
    <cs:fontRef idx="minor">
      <a:sysClr val="windowText" lastClr="000000"/>
    </cs:fontRef>
    <cs:spPr>
      <a:ln w="9525">
        <a:solidFill>
          <a:sysClr val="windowText" lastClr="000000">
            <a:lumMod val="50000"/>
            <a:lumOff val="50000"/>
          </a:sysClr>
        </a:solidFill>
      </a:ln>
    </cs:spPr>
  </cs:leaderLine>
  <cs:legend>
    <cs:lnRef idx="0"/>
    <cs:fillRef idx="0"/>
    <cs:effectRef idx="0"/>
    <cs:fontRef idx="minor">
      <a:sysClr val="windowText" lastClr="000000">
        <a:lumMod val="75000"/>
        <a:lumOff val="25000"/>
      </a:sysClr>
    </cs:fontRef>
    <cs:spPr>
      <a:solidFill>
        <a:sysClr val="window" lastClr="FFFFFF">
          <a:lumMod val="95000"/>
          <a:alpha val="39000"/>
        </a:sysClr>
      </a:solidFill>
    </cs:spPr>
    <cs:defRPr sz="900" kern="1200"/>
  </cs:legend>
  <cs:plotArea>
    <cs:lnRef idx="0"/>
    <cs:fillRef idx="0"/>
    <cs:effectRef idx="0"/>
    <cs:fontRef idx="minor">
      <a:sysClr val="windowText" lastClr="000000"/>
    </cs:fontRef>
  </cs:plotArea>
  <cs:plotArea3D>
    <cs:lnRef idx="0"/>
    <cs:fillRef idx="0"/>
    <cs:effectRef idx="0"/>
    <cs:fontRef idx="minor">
      <a:sysClr val="windowText" lastClr="000000"/>
    </cs:fontRef>
  </cs:plotArea3D>
  <cs:seriesAxis>
    <cs:lnRef idx="0"/>
    <cs:fillRef idx="0"/>
    <cs:effectRef idx="0"/>
    <cs:fontRef idx="minor">
      <a:sysClr val="windowText" lastClr="000000">
        <a:lumMod val="75000"/>
        <a:lumOff val="25000"/>
      </a:sysClr>
    </cs:fontRef>
    <cs:spPr>
      <a:ln w="31750" cap="flat" cmpd="sng" algn="ctr">
        <a:solidFill>
          <a:sysClr val="windowText" lastClr="000000">
            <a:lumMod val="75000"/>
            <a:lumOff val="25000"/>
          </a:sysClr>
        </a:solidFill>
        <a:round/>
      </a:ln>
    </cs:spPr>
    <cs:defRPr sz="900" kern="1200"/>
  </cs:seriesAxis>
  <cs:seriesLine>
    <cs:lnRef idx="0"/>
    <cs:fillRef idx="0"/>
    <cs:effectRef idx="0"/>
    <cs:fontRef idx="minor">
      <a:sysClr val="windowText" lastClr="000000"/>
    </cs:fontRef>
    <cs:spPr>
      <a:ln w="9525">
        <a:solidFill>
          <a:sysClr val="windowText" lastClr="000000">
            <a:lumMod val="50000"/>
            <a:lumOff val="50000"/>
          </a:sysClr>
        </a:solidFill>
        <a:round/>
      </a:ln>
    </cs:spPr>
  </cs:seriesLine>
  <cs:title>
    <cs:lnRef idx="0"/>
    <cs:fillRef idx="0"/>
    <cs:effectRef idx="0"/>
    <cs:fontRef idx="minor">
      <a:sysClr val="windowText" lastClr="000000">
        <a:lumMod val="75000"/>
        <a:lumOff val="25000"/>
      </a:sysClr>
    </cs:fontRef>
    <cs:defRPr sz="1800" b="1" kern="1200" baseline="0"/>
  </cs:title>
  <cs:trendline>
    <cs:lnRef idx="0">
      <cs:styleClr val="auto"/>
    </cs:lnRef>
    <cs:fillRef idx="0"/>
    <cs:effectRef idx="0"/>
    <cs:fontRef idx="minor">
      <a:sysClr val="windowText" lastClr="000000"/>
    </cs:fontRef>
    <cs:spPr>
      <a:ln w="19050" cap="rnd">
        <a:solidFill>
          <a:schemeClr val="phClr"/>
        </a:solidFill>
      </a:ln>
    </cs:spPr>
  </cs:trendline>
  <cs:trendlineLabel>
    <cs:lnRef idx="0"/>
    <cs:fillRef idx="0"/>
    <cs:effectRef idx="0"/>
    <cs:fontRef idx="minor">
      <a:sysClr val="windowText" lastClr="000000">
        <a:lumMod val="75000"/>
        <a:lumOff val="25000"/>
      </a:sysClr>
    </cs:fontRef>
    <cs:defRPr sz="900" kern="1200"/>
  </cs:trendlineLabel>
  <cs:upBar>
    <cs:lnRef idx="0"/>
    <cs:fillRef idx="0"/>
    <cs:effectRef idx="0"/>
    <cs:fontRef idx="minor">
      <a:sysClr val="windowText" lastClr="000000"/>
    </cs:fontRef>
    <cs:spPr>
      <a:solidFill>
        <a:sysClr val="window" lastClr="FFFFFF"/>
      </a:solidFill>
      <a:ln w="9525">
        <a:solidFill>
          <a:sysClr val="windowText" lastClr="000000">
            <a:lumMod val="65000"/>
            <a:lumOff val="35000"/>
          </a:sysClr>
        </a:solidFill>
      </a:ln>
    </cs:spPr>
  </cs:upBar>
  <cs:valueAxis>
    <cs:lnRef idx="0"/>
    <cs:fillRef idx="0"/>
    <cs:effectRef idx="0"/>
    <cs:fontRef idx="minor">
      <a:sysClr val="windowText" lastClr="000000">
        <a:lumMod val="75000"/>
        <a:lumOff val="25000"/>
      </a:sysClr>
    </cs:fontRef>
    <cs:spPr>
      <a:ln>
        <a:noFill/>
      </a:ln>
    </cs:spPr>
    <cs:defRPr sz="900" kern="1200"/>
  </cs:valueAxis>
  <cs:wall>
    <cs:lnRef idx="0"/>
    <cs:fillRef idx="0"/>
    <cs:effectRef idx="0"/>
    <cs:fontRef idx="minor">
      <a:sysClr val="windowText" lastClr="000000"/>
    </cs:fontRef>
  </cs:wall>
</cs:chartStyle>
</file>

<file path=word/charts/style2.xml><?xml version="1.0" encoding="utf-8"?>
<cs:chartStyle xmlns:cs="http://schemas.microsoft.com/office/drawing/2012/chartStyle" xmlns:a="http://schemas.openxmlformats.org/drawingml/2006/main" id="251">
  <cs:axisTitle>
    <cs:lnRef idx="0"/>
    <cs:fillRef idx="0"/>
    <cs:effectRef idx="0"/>
    <cs:fontRef idx="minor">
      <a:sysClr val="windowText" lastClr="000000">
        <a:lumMod val="65000"/>
        <a:lumOff val="35000"/>
      </a:sysClr>
    </cs:fontRef>
    <cs:defRPr sz="1000" kern="1200"/>
  </cs:axisTitle>
  <cs:categoryAxis>
    <cs:lnRef idx="0"/>
    <cs:fillRef idx="0"/>
    <cs:effectRef idx="0"/>
    <cs:fontRef idx="minor">
      <a:sysClr val="windowText" lastClr="000000">
        <a:lumMod val="65000"/>
        <a:lumOff val="35000"/>
      </a:sysClr>
    </cs:fontRef>
    <cs:spPr>
      <a:ln w="9525" cap="flat" cmpd="sng" algn="ctr">
        <a:solidFill>
          <a:sysClr val="windowText" lastClr="000000">
            <a:lumMod val="15000"/>
            <a:lumOff val="85000"/>
          </a:sysClr>
        </a:solidFill>
        <a:round/>
      </a:ln>
    </cs:spPr>
    <cs:defRPr sz="900" kern="1200"/>
  </cs:categoryAxis>
  <cs:chartArea mods="allowNoFillOverride allowNoLineOverride">
    <cs:lnRef idx="0"/>
    <cs:fillRef idx="0"/>
    <cs:effectRef idx="0"/>
    <cs:fontRef idx="minor">
      <a:sysClr val="windowText" lastClr="000000"/>
    </cs:fontRef>
    <cs:spPr>
      <a:solidFill>
        <a:sysClr val="window" lastClr="FFFFFF"/>
      </a:solidFill>
      <a:ln w="9525" cap="flat" cmpd="sng" algn="ctr">
        <a:solidFill>
          <a:sysClr val="windowText" lastClr="000000">
            <a:lumMod val="15000"/>
            <a:lumOff val="85000"/>
          </a:sysClr>
        </a:solidFill>
        <a:round/>
      </a:ln>
    </cs:spPr>
    <cs:defRPr sz="900" kern="1200"/>
  </cs:chartArea>
  <cs:dataLabel>
    <cs:lnRef idx="0"/>
    <cs:fillRef idx="0"/>
    <cs:effectRef idx="0"/>
    <cs:fontRef idx="minor">
      <a:sysClr val="windowText" lastClr="000000">
        <a:lumMod val="75000"/>
        <a:lumOff val="25000"/>
      </a:sysClr>
    </cs:fontRef>
    <cs:defRPr sz="900" kern="1200"/>
  </cs:dataLabel>
  <cs:dataLabelCallout>
    <cs:lnRef idx="0"/>
    <cs:fillRef idx="0"/>
    <cs:effectRef idx="0"/>
    <cs:fontRef idx="minor">
      <a:sysClr val="windowText" lastClr="000000">
        <a:lumMod val="65000"/>
        <a:lumOff val="35000"/>
      </a:sysClr>
    </cs:fontRef>
    <cs:spPr>
      <a:solidFill>
        <a:sysClr val="window" lastClr="FFFFFF"/>
      </a:solidFill>
      <a:ln>
        <a:solidFill>
          <a:sysClr val="windowText" lastClr="000000">
            <a:lumMod val="25000"/>
            <a:lumOff val="75000"/>
          </a:sysClr>
        </a:solidFill>
      </a:ln>
    </cs:spPr>
    <cs:defRPr sz="900" kern="1200"/>
    <cs:bodyPr rot="0" spcFirstLastPara="1" vertOverflow="clip" horzOverflow="clip" vert="horz" wrap="square" lIns="36576" tIns="18288" rIns="36576" bIns="18288" anchor="ctr" anchorCtr="true">
      <a:spAutoFit/>
    </cs:bodyPr>
  </cs:dataLabelCallout>
  <cs:dataPoint>
    <cs:lnRef idx="0"/>
    <cs:fillRef idx="1">
      <cs:styleClr val="auto"/>
    </cs:fillRef>
    <cs:effectRef idx="0"/>
    <cs:fontRef idx="minor">
      <a:sysClr val="windowText" lastClr="000000"/>
    </cs:fontRef>
    <cs:spPr>
      <a:ln w="19050">
        <a:solidFill>
          <a:sysClr val="window" lastClr="FFFFFF"/>
        </a:solidFill>
      </a:ln>
    </cs:spPr>
  </cs:dataPoint>
  <cs:dataPoint3D>
    <cs:lnRef idx="0"/>
    <cs:fillRef idx="1">
      <cs:styleClr val="auto"/>
    </cs:fillRef>
    <cs:effectRef idx="0"/>
    <cs:fontRef idx="minor">
      <a:sysClr val="windowText" lastClr="000000"/>
    </cs:fontRef>
    <cs:spPr>
      <a:ln w="25400">
        <a:solidFill>
          <a:sysClr val="window" lastClr="FFFFFF"/>
        </a:solidFill>
      </a:ln>
    </cs:spPr>
  </cs:dataPoint3D>
  <cs:dataPointLine>
    <cs:lnRef idx="0">
      <cs:styleClr val="auto"/>
    </cs:lnRef>
    <cs:fillRef idx="0"/>
    <cs:effectRef idx="0"/>
    <cs:fontRef idx="minor">
      <a:sysClr val="windowText" lastClr="000000"/>
    </cs:fontRef>
    <cs:spPr>
      <a:ln w="28575" cap="rnd">
        <a:solidFill>
          <a:schemeClr val="phClr"/>
        </a:solidFill>
        <a:round/>
      </a:ln>
    </cs:spPr>
  </cs:dataPointLine>
  <cs:dataPointMarker>
    <cs:lnRef idx="0">
      <cs:styleClr val="auto"/>
    </cs:lnRef>
    <cs:fillRef idx="1">
      <cs:styleClr val="auto"/>
    </cs:fillRef>
    <cs:effectRef idx="0"/>
    <cs:fontRef idx="minor">
      <a:sysClr val="windowText" lastClr="000000"/>
    </cs:fontRef>
    <cs:spPr>
      <a:ln w="9525">
        <a:solidFill>
          <a:schemeClr val="phClr"/>
        </a:solidFill>
      </a:ln>
    </cs:spPr>
  </cs:dataPointMarker>
  <cs:dataPointMarkerLayout symbol="circle" size="5"/>
  <cs:dataPointWireframe>
    <cs:lnRef idx="0">
      <cs:styleClr val="auto"/>
    </cs:lnRef>
    <cs:fillRef idx="0"/>
    <cs:effectRef idx="0"/>
    <cs:fontRef idx="minor">
      <a:sysClr val="windowText" lastClr="000000"/>
    </cs:fontRef>
    <cs:spPr>
      <a:ln w="9525" cap="rnd">
        <a:solidFill>
          <a:schemeClr val="phClr"/>
        </a:solidFill>
        <a:round/>
      </a:ln>
    </cs:spPr>
  </cs:dataPointWireframe>
  <cs:dataTable>
    <cs:lnRef idx="0"/>
    <cs:fillRef idx="0"/>
    <cs:effectRef idx="0"/>
    <cs:fontRef idx="minor">
      <a:sysClr val="windowText" lastClr="000000">
        <a:lumMod val="65000"/>
        <a:lumOff val="35000"/>
      </a:sysClr>
    </cs:fontRef>
    <cs:spPr>
      <a:noFill/>
      <a:ln w="9525" cap="flat" cmpd="sng" algn="ctr">
        <a:solidFill>
          <a:sysClr val="windowText" lastClr="000000">
            <a:lumMod val="15000"/>
            <a:lumOff val="85000"/>
          </a:sysClr>
        </a:solidFill>
        <a:round/>
      </a:ln>
    </cs:spPr>
    <cs:defRPr sz="900" kern="1200"/>
  </cs:dataTable>
  <cs:downBar>
    <cs:lnRef idx="0"/>
    <cs:fillRef idx="0"/>
    <cs:effectRef idx="0"/>
    <cs:fontRef idx="minor">
      <a:sysClr val="windowText" lastClr="000000"/>
    </cs:fontRef>
    <cs:spPr>
      <a:solidFill>
        <a:sysClr val="windowText" lastClr="000000">
          <a:lumMod val="75000"/>
          <a:lumOff val="25000"/>
        </a:sysClr>
      </a:solidFill>
      <a:ln w="9525" cap="flat" cmpd="sng" algn="ctr">
        <a:solidFill>
          <a:sysClr val="windowText" lastClr="000000">
            <a:lumMod val="65000"/>
            <a:lumOff val="35000"/>
          </a:sysClr>
        </a:solidFill>
        <a:round/>
      </a:ln>
    </cs:spPr>
  </cs:downBar>
  <cs:dropLine>
    <cs:lnRef idx="0"/>
    <cs:fillRef idx="0"/>
    <cs:effectRef idx="0"/>
    <cs:fontRef idx="minor">
      <a:sysClr val="windowText" lastClr="000000"/>
    </cs:fontRef>
    <cs:spPr>
      <a:ln w="9525" cap="flat" cmpd="sng" algn="ctr">
        <a:solidFill>
          <a:sysClr val="windowText" lastClr="000000">
            <a:lumMod val="35000"/>
            <a:lumOff val="65000"/>
          </a:sysClr>
        </a:solidFill>
        <a:round/>
      </a:ln>
    </cs:spPr>
  </cs:dropLine>
  <cs:errorBar>
    <cs:lnRef idx="0"/>
    <cs:fillRef idx="0"/>
    <cs:effectRef idx="0"/>
    <cs:fontRef idx="minor">
      <a:sysClr val="windowText" lastClr="000000"/>
    </cs:fontRef>
    <cs:spPr>
      <a:ln w="9525" cap="flat" cmpd="sng" algn="ctr">
        <a:solidFill>
          <a:sysClr val="windowText" lastClr="000000">
            <a:lumMod val="65000"/>
            <a:lumOff val="35000"/>
          </a:sysClr>
        </a:solidFill>
        <a:round/>
      </a:ln>
    </cs:spPr>
  </cs:errorBar>
  <cs:floor>
    <cs:lnRef idx="0"/>
    <cs:fillRef idx="0"/>
    <cs:effectRef idx="0"/>
    <cs:fontRef idx="minor">
      <a:sysClr val="windowText" lastClr="000000"/>
    </cs:fontRef>
    <cs:spPr>
      <a:noFill/>
      <a:ln>
        <a:noFill/>
      </a:ln>
    </cs:spPr>
  </cs:floor>
  <cs:gridlineMajor>
    <cs:lnRef idx="0"/>
    <cs:fillRef idx="0"/>
    <cs:effectRef idx="0"/>
    <cs:fontRef idx="minor">
      <a:sysClr val="windowText" lastClr="000000"/>
    </cs:fontRef>
    <cs:spPr>
      <a:ln w="9525" cap="flat" cmpd="sng" algn="ctr">
        <a:solidFill>
          <a:sysClr val="windowText" lastClr="000000">
            <a:lumMod val="15000"/>
            <a:lumOff val="85000"/>
          </a:sysClr>
        </a:solidFill>
        <a:round/>
      </a:ln>
    </cs:spPr>
  </cs:gridlineMajor>
  <cs:gridlineMinor>
    <cs:lnRef idx="0"/>
    <cs:fillRef idx="0"/>
    <cs:effectRef idx="0"/>
    <cs:fontRef idx="minor">
      <a:sysClr val="windowText" lastClr="000000"/>
    </cs:fontRef>
    <cs:spPr>
      <a:ln w="9525" cap="flat" cmpd="sng" algn="ctr">
        <a:solidFill>
          <a:sysClr val="windowText" lastClr="000000">
            <a:lumMod val="5000"/>
            <a:lumOff val="95000"/>
          </a:sysClr>
        </a:solidFill>
        <a:round/>
      </a:ln>
    </cs:spPr>
  </cs:gridlineMinor>
  <cs:hiLoLine>
    <cs:lnRef idx="0"/>
    <cs:fillRef idx="0"/>
    <cs:effectRef idx="0"/>
    <cs:fontRef idx="minor">
      <a:sysClr val="windowText" lastClr="000000"/>
    </cs:fontRef>
    <cs:spPr>
      <a:ln w="9525" cap="flat" cmpd="sng" algn="ctr">
        <a:solidFill>
          <a:sysClr val="windowText" lastClr="000000">
            <a:lumMod val="50000"/>
            <a:lumOff val="50000"/>
          </a:sysClr>
        </a:solidFill>
        <a:round/>
      </a:ln>
    </cs:spPr>
  </cs:hiLoLine>
  <cs:leaderLine>
    <cs:lnRef idx="0"/>
    <cs:fillRef idx="0"/>
    <cs:effectRef idx="0"/>
    <cs:fontRef idx="minor">
      <a:sysClr val="windowText" lastClr="000000"/>
    </cs:fontRef>
    <cs:spPr>
      <a:ln w="9525" cap="flat" cmpd="sng" algn="ctr">
        <a:solidFill>
          <a:sysClr val="windowText" lastClr="000000">
            <a:lumMod val="35000"/>
            <a:lumOff val="65000"/>
          </a:sysClr>
        </a:solidFill>
        <a:round/>
      </a:ln>
    </cs:spPr>
  </cs:leaderLine>
  <cs:legend>
    <cs:lnRef idx="0"/>
    <cs:fillRef idx="0"/>
    <cs:effectRef idx="0"/>
    <cs:fontRef idx="minor">
      <a:sysClr val="windowText" lastClr="000000">
        <a:lumMod val="65000"/>
        <a:lumOff val="35000"/>
      </a:sysClr>
    </cs:fontRef>
    <cs:defRPr sz="900" kern="1200"/>
  </cs:legend>
  <cs:plotArea mods="allowNoFillOverride allowNoLineOverride">
    <cs:lnRef idx="0"/>
    <cs:fillRef idx="0"/>
    <cs:effectRef idx="0"/>
    <cs:fontRef idx="minor">
      <a:sysClr val="windowText" lastClr="000000"/>
    </cs:fontRef>
  </cs:plotArea>
  <cs:plotArea3D mods="allowNoFillOverride allowNoLineOverride">
    <cs:lnRef idx="0"/>
    <cs:fillRef idx="0"/>
    <cs:effectRef idx="0"/>
    <cs:fontRef idx="minor">
      <a:sysClr val="windowText" lastClr="000000"/>
    </cs:fontRef>
  </cs:plotArea3D>
  <cs:seriesAxis>
    <cs:lnRef idx="0"/>
    <cs:fillRef idx="0"/>
    <cs:effectRef idx="0"/>
    <cs:fontRef idx="minor">
      <a:sysClr val="windowText" lastClr="000000">
        <a:lumMod val="65000"/>
        <a:lumOff val="35000"/>
      </a:sysClr>
    </cs:fontRef>
    <cs:defRPr sz="900" kern="1200"/>
  </cs:seriesAxis>
  <cs:seriesLine>
    <cs:lnRef idx="0"/>
    <cs:fillRef idx="0"/>
    <cs:effectRef idx="0"/>
    <cs:fontRef idx="minor">
      <a:sysClr val="windowText" lastClr="000000"/>
    </cs:fontRef>
    <cs:spPr>
      <a:ln w="9525" cap="flat" cmpd="sng" algn="ctr">
        <a:solidFill>
          <a:sysClr val="windowText" lastClr="000000">
            <a:lumMod val="35000"/>
            <a:lumOff val="65000"/>
          </a:sysClr>
        </a:solidFill>
        <a:round/>
      </a:ln>
    </cs:spPr>
  </cs:seriesLine>
  <cs:title>
    <cs:lnRef idx="0"/>
    <cs:fillRef idx="0"/>
    <cs:effectRef idx="0"/>
    <cs:fontRef idx="minor">
      <a:sysClr val="windowText" lastClr="000000">
        <a:lumMod val="65000"/>
        <a:lumOff val="35000"/>
      </a:sysClr>
    </cs:fontRef>
    <cs:defRPr sz="1400" b="0" kern="1200" spc="0" baseline="0"/>
  </cs:title>
  <cs:trendline>
    <cs:lnRef idx="0">
      <cs:styleClr val="auto"/>
    </cs:lnRef>
    <cs:fillRef idx="0"/>
    <cs:effectRef idx="0"/>
    <cs:fontRef idx="minor">
      <a:sysClr val="windowText" lastClr="000000"/>
    </cs:fontRef>
    <cs:spPr>
      <a:ln w="19050" cap="rnd">
        <a:solidFill>
          <a:schemeClr val="phClr"/>
        </a:solidFill>
        <a:prstDash val="sysDot"/>
      </a:ln>
    </cs:spPr>
  </cs:trendline>
  <cs:trendlineLabel>
    <cs:lnRef idx="0"/>
    <cs:fillRef idx="0"/>
    <cs:effectRef idx="0"/>
    <cs:fontRef idx="minor">
      <a:sysClr val="windowText" lastClr="000000">
        <a:lumMod val="65000"/>
        <a:lumOff val="35000"/>
      </a:sysClr>
    </cs:fontRef>
    <cs:defRPr sz="900" kern="1200"/>
  </cs:trendlineLabel>
  <cs:upBar>
    <cs:lnRef idx="0"/>
    <cs:fillRef idx="0"/>
    <cs:effectRef idx="0"/>
    <cs:fontRef idx="minor">
      <a:sysClr val="windowText" lastClr="000000"/>
    </cs:fontRef>
    <cs:spPr>
      <a:solidFill>
        <a:sysClr val="window" lastClr="FFFFFF"/>
      </a:solidFill>
      <a:ln w="9525" cap="flat" cmpd="sng" algn="ctr">
        <a:solidFill>
          <a:sysClr val="windowText" lastClr="000000">
            <a:lumMod val="65000"/>
            <a:lumOff val="35000"/>
          </a:sysClr>
        </a:solidFill>
        <a:round/>
      </a:ln>
    </cs:spPr>
  </cs:upBar>
  <cs:valueAxis>
    <cs:lnRef idx="0"/>
    <cs:fillRef idx="0"/>
    <cs:effectRef idx="0"/>
    <cs:fontRef idx="minor">
      <a:sysClr val="windowText" lastClr="000000">
        <a:lumMod val="65000"/>
        <a:lumOff val="35000"/>
      </a:sysClr>
    </cs:fontRef>
    <cs:defRPr sz="900" kern="1200"/>
  </cs:valueAxis>
  <cs:wall>
    <cs:lnRef idx="0"/>
    <cs:fillRef idx="0"/>
    <cs:effectRef idx="0"/>
    <cs:fontRef idx="minor">
      <a:sysClr val="windowText" lastClr="000000"/>
    </cs:fontRef>
    <cs:spPr>
      <a:noFill/>
      <a:ln>
        <a:noFill/>
      </a:ln>
    </cs:spPr>
  </cs:wall>
</cs:chartStyle>
</file>

<file path=word/charts/style3.xml><?xml version="1.0" encoding="utf-8"?>
<cs:chartStyle xmlns:cs="http://schemas.microsoft.com/office/drawing/2012/chartStyle" xmlns:a="http://schemas.openxmlformats.org/drawingml/2006/main" id="10084">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cs:styleClr val="auto"/>
    </cs:fontRef>
    <cs:defRPr sz="1000" b="1" i="0" u="none" strike="noStrike" kern="1200" spc="0" baseline="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true">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10088">
  <cs:axisTitle>
    <cs:lnRef idx="0"/>
    <cs:fillRef idx="0"/>
    <cs:effectRef idx="0"/>
    <cs:fontRef idx="minor">
      <a:schemeClr val="dk1">
        <a:lumMod val="65000"/>
        <a:lumOff val="35000"/>
      </a:schemeClr>
    </cs:fontRef>
    <cs:defRPr sz="1000" kern="1200"/>
  </cs:axisTitle>
  <cs:categoryAxis>
    <cs:lnRef idx="0"/>
    <cs:fillRef idx="0"/>
    <cs:effectRef idx="0"/>
    <cs:fontRef idx="minor">
      <a:schemeClr val="dk1">
        <a:lumMod val="65000"/>
        <a:lumOff val="35000"/>
      </a:schemeClr>
    </cs:fontRef>
    <cs:spPr>
      <a:ln w="9525" cap="flat" cmpd="sng" algn="ctr">
        <a:solidFill>
          <a:schemeClr val="dk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lt1">
          <a:lumMod val="96000"/>
        </a:schemeClr>
      </a:solidFill>
      <a:ln w="9525" cap="flat" cmpd="sng" algn="ctr">
        <a:solidFill>
          <a:schemeClr val="tx1">
            <a:lumMod val="15000"/>
            <a:lumOff val="85000"/>
          </a:schemeClr>
        </a:solidFill>
        <a:round/>
      </a:ln>
    </cs:spPr>
    <cs:defRPr sz="1000" kern="1200"/>
  </cs:chartArea>
  <cs:dataLabel>
    <cs:lnRef idx="0"/>
    <cs:fillRef idx="0"/>
    <cs:effectRef idx="0"/>
    <cs:fontRef idx="minor">
      <a:schemeClr val="dk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true">
      <a:spAutoFit/>
    </cs:bodyPr>
  </cs:dataLabelCallout>
  <cs:dataPoint>
    <cs:lnRef idx="0">
      <cs:styleClr val="auto"/>
    </cs:lnRef>
    <cs:fillRef idx="0">
      <cs:styleClr val="auto"/>
    </cs:fillRef>
    <cs:effectRef idx="0"/>
    <cs:fontRef idx="minor">
      <a:schemeClr val="dk1"/>
    </cs:fontRef>
    <cs:spPr>
      <a:gradFill>
        <a:gsLst>
          <a:gs pos="100000">
            <a:schemeClr val="phClr"/>
          </a:gs>
          <a:gs pos="0">
            <a:schemeClr val="phClr">
              <a:hueOff val="-1670000"/>
            </a:schemeClr>
          </a:gs>
        </a:gsLst>
        <a:lin ang="5400000" scaled="false"/>
      </a:gradFill>
      <a:ln>
        <a:gradFill>
          <a:gsLst>
            <a:gs pos="100000">
              <a:schemeClr val="phClr">
                <a:lumMod val="75000"/>
              </a:schemeClr>
            </a:gs>
            <a:gs pos="0">
              <a:schemeClr val="phClr">
                <a:lumMod val="75000"/>
                <a:hueOff val="-1670000"/>
              </a:schemeClr>
            </a:gs>
          </a:gsLst>
          <a:lin ang="4620000" scaled="false"/>
        </a:gra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dk1">
        <a:lumMod val="65000"/>
        <a:lumOff val="35000"/>
      </a:schemeClr>
    </cs:fontRef>
    <cs:spPr>
      <a:noFill/>
      <a:ln w="9525" cap="flat" cmpd="sng" algn="ctr">
        <a:solidFill>
          <a:schemeClr val="dk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a:solidFill>
          <a:schemeClr val="dk1">
            <a:lumMod val="35000"/>
            <a:lumOff val="65000"/>
          </a:schemeClr>
        </a:solidFill>
      </a:ln>
    </cs:spPr>
  </cs:dropLine>
  <cs:errorBar>
    <cs:lnRef idx="0"/>
    <cs:fillRef idx="0"/>
    <cs:effectRef idx="0"/>
    <cs:fontRef idx="minor">
      <a:schemeClr val="tx1"/>
    </cs:fontRef>
    <cs:spPr>
      <a:ln w="9525" cap="flat" cmpd="sng" algn="ctr">
        <a:solidFill>
          <a:schemeClr val="dk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a:solidFill>
          <a:schemeClr val="dk1">
            <a:lumMod val="75000"/>
            <a:lumOff val="25000"/>
          </a:schemeClr>
        </a:solidFill>
      </a:ln>
    </cs:spPr>
  </cs:hiLoLine>
  <cs:leaderLine>
    <cs:lnRef idx="0"/>
    <cs:fillRef idx="0"/>
    <cs:effectRef idx="0"/>
    <cs:fontRef idx="minor">
      <a:schemeClr val="tx1"/>
    </cs:fontRef>
    <cs:spPr>
      <a:ln w="9525">
        <a:solidFill>
          <a:schemeClr val="dk1">
            <a:lumMod val="35000"/>
            <a:lumOff val="65000"/>
          </a:schemeClr>
        </a:solidFill>
      </a:ln>
    </cs:spPr>
  </cs:leaderLine>
  <cs:legend>
    <cs:lnRef idx="0"/>
    <cs:fillRef idx="0"/>
    <cs:effectRef idx="0"/>
    <cs:fontRef idx="minor">
      <a:schemeClr val="dk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dk1">
        <a:lumMod val="65000"/>
        <a:lumOff val="35000"/>
      </a:schemeClr>
    </cs:fontRef>
    <cs:defRPr sz="900" kern="1200"/>
  </cs:seriesAxis>
  <cs:seriesLine>
    <cs:lnRef idx="0"/>
    <cs:fillRef idx="0"/>
    <cs:effectRef idx="0"/>
    <cs:fontRef idx="minor">
      <a:schemeClr val="tx1"/>
    </cs:fontRef>
    <cs:spPr>
      <a:ln w="9525">
        <a:solidFill>
          <a:schemeClr val="dk1">
            <a:lumMod val="35000"/>
            <a:lumOff val="65000"/>
          </a:schemeClr>
        </a:solidFill>
      </a:ln>
    </cs:spPr>
  </cs:seriesLine>
  <cs:title>
    <cs:lnRef idx="0"/>
    <cs:fillRef idx="0"/>
    <cs:effectRef idx="0"/>
    <cs:fontRef idx="minor">
      <a:schemeClr val="dk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dk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dk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18">
  <cs:axisTitle>
    <cs:lnRef idx="0"/>
    <cs:fillRef idx="0"/>
    <cs:effectRef idx="0"/>
    <cs:fontRef idx="minor">
      <a:sysClr val="windowText" lastClr="000000">
        <a:lumMod val="75000"/>
        <a:lumOff val="25000"/>
      </a:sysClr>
    </cs:fontRef>
    <cs:defRPr sz="900" b="1" kern="1200"/>
  </cs:axisTitle>
  <cs:categoryAxis>
    <cs:lnRef idx="0"/>
    <cs:fillRef idx="0"/>
    <cs:effectRef idx="0"/>
    <cs:fontRef idx="minor">
      <a:sysClr val="windowText" lastClr="000000">
        <a:lumMod val="75000"/>
        <a:lumOff val="25000"/>
      </a:sysClr>
    </cs:fontRef>
    <cs:spPr>
      <a:ln w="19050" cap="flat" cmpd="sng" algn="ctr">
        <a:solidFill>
          <a:sysClr val="windowText" lastClr="000000">
            <a:lumMod val="75000"/>
            <a:lumOff val="25000"/>
          </a:sysClr>
        </a:solidFill>
        <a:round/>
      </a:ln>
    </cs:spPr>
    <cs:defRPr sz="900" kern="1200" cap="all" baseline="0"/>
  </cs:categoryAxis>
  <cs:chartArea>
    <cs:lnRef idx="0"/>
    <cs:fillRef idx="0"/>
    <cs:effectRef idx="0"/>
    <cs:fontRef idx="minor">
      <a:sysClr val="windowText" lastClr="000000"/>
    </cs:fontRef>
    <cs:spPr>
      <a:gradFill flip="none" rotWithShape="true">
        <a:gsLst>
          <a:gs pos="0">
            <a:sysClr val="window" lastClr="FFFFFF"/>
          </a:gs>
          <a:gs pos="39000">
            <a:sysClr val="window" lastClr="FFFFFF"/>
          </a:gs>
          <a:gs pos="100000">
            <a:sysClr val="window" lastClr="FFFFFF">
              <a:lumMod val="75000"/>
            </a:sysClr>
          </a:gs>
        </a:gsLst>
        <a:path path="circle">
          <a:fillToRect l="50000" t="-80000" r="50000" b="180000"/>
        </a:path>
      </a:gradFill>
      <a:ln w="9525" cap="flat" cmpd="sng" algn="ctr">
        <a:solidFill>
          <a:sysClr val="windowText" lastClr="000000">
            <a:lumMod val="25000"/>
            <a:lumOff val="75000"/>
          </a:sysClr>
        </a:solidFill>
        <a:round/>
      </a:ln>
    </cs:spPr>
    <cs:defRPr sz="900" kern="1200"/>
  </cs:chartArea>
  <cs:dataLabel>
    <cs:lnRef idx="0"/>
    <cs:fillRef idx="0"/>
    <cs:effectRef idx="0"/>
    <cs:fontRef idx="minor">
      <a:sysClr val="window" lastClr="FFFFFF"/>
    </cs:fontRef>
    <cs:defRPr sz="900" b="1" i="0" u="none" strike="noStrike" kern="1200" baseline="0"/>
  </cs:dataLabel>
  <cs:dataLabelCallout>
    <cs:lnRef idx="0"/>
    <cs:fillRef idx="0"/>
    <cs:effectRef idx="0"/>
    <cs:fontRef idx="minor">
      <a:sysClr val="window" lastClr="FFFFFF"/>
    </cs:fontRef>
    <cs:spPr>
      <a:solidFill>
        <a:sysClr val="windowText" lastClr="000000">
          <a:lumMod val="65000"/>
          <a:lumOff val="35000"/>
          <a:alpha val="75000"/>
        </a:sysClr>
      </a:solidFill>
    </cs:spPr>
    <cs:defRPr sz="900" b="1" kern="1200"/>
    <cs:bodyPr rot="0" spcFirstLastPara="1" vertOverflow="clip" horzOverflow="clip" vert="horz" wrap="square" lIns="36576" tIns="18288" rIns="36576" bIns="18288" anchor="ctr" anchorCtr="true">
      <a:spAutoFit/>
    </cs:bodyPr>
  </cs:dataLabelCallout>
  <cs:dataPoint>
    <cs:lnRef idx="0"/>
    <cs:fillRef idx="0">
      <cs:styleClr val="auto"/>
    </cs:fillRef>
    <cs:effectRef idx="0"/>
    <cs:fontRef idx="minor">
      <a:sysClr val="windowText" lastClr="000000"/>
    </cs:fontRef>
    <cs:spPr>
      <a:solidFill>
        <a:schemeClr val="phClr">
          <a:alpha val="85000"/>
        </a:schemeClr>
      </a:solidFill>
      <a:ln w="9525" cap="flat" cmpd="sng" algn="ctr">
        <a:solidFill>
          <a:sysClr val="window" lastClr="FFFFFF">
            <a:alpha val="50000"/>
          </a:sysClr>
        </a:solidFill>
        <a:round/>
      </a:ln>
    </cs:spPr>
  </cs:dataPoint>
  <cs:dataPoint3D>
    <cs:lnRef idx="0"/>
    <cs:fillRef idx="0">
      <cs:styleClr val="auto"/>
    </cs:fillRef>
    <cs:effectRef idx="0"/>
    <cs:fontRef idx="minor">
      <a:sysClr val="windowText" lastClr="000000"/>
    </cs:fontRef>
    <cs:spPr>
      <a:solidFill>
        <a:schemeClr val="phClr">
          <a:alpha val="85000"/>
        </a:schemeClr>
      </a:solidFill>
      <a:ln w="9525" cap="flat" cmpd="sng" algn="ctr">
        <a:solidFill>
          <a:sysClr val="window" lastClr="FFFFFF">
            <a:alpha val="50000"/>
          </a:sysClr>
        </a:solidFill>
        <a:round/>
      </a:ln>
    </cs:spPr>
  </cs:dataPoint3D>
  <cs:dataPointLine>
    <cs:lnRef idx="0">
      <cs:styleClr val="auto"/>
    </cs:lnRef>
    <cs:fillRef idx="0"/>
    <cs:effectRef idx="0"/>
    <cs:fontRef idx="minor">
      <a:sysClr val="windowText" lastClr="000000"/>
    </cs:fontRef>
    <cs:spPr>
      <a:ln w="31750" cap="rnd">
        <a:solidFill>
          <a:schemeClr val="phClr">
            <a:alpha val="85000"/>
          </a:schemeClr>
        </a:solidFill>
        <a:round/>
      </a:ln>
    </cs:spPr>
  </cs:dataPointLine>
  <cs:dataPointMarker>
    <cs:lnRef idx="0"/>
    <cs:fillRef idx="0">
      <cs:styleClr val="auto"/>
    </cs:fillRef>
    <cs:effectRef idx="0"/>
    <cs:fontRef idx="minor">
      <a:sysClr val="windowText" lastClr="000000"/>
    </cs:fontRef>
    <cs:spPr>
      <a:solidFill>
        <a:schemeClr val="phClr">
          <a:alpha val="85000"/>
        </a:schemeClr>
      </a:solidFill>
    </cs:spPr>
  </cs:dataPointMarker>
  <cs:dataPointMarkerLayout symbol="circle" size="6"/>
  <cs:dataPointWireframe>
    <cs:lnRef idx="0">
      <cs:styleClr val="auto"/>
    </cs:lnRef>
    <cs:fillRef idx="0"/>
    <cs:effectRef idx="0"/>
    <cs:fontRef idx="minor">
      <a:sysClr val="windowText" lastClr="000000"/>
    </cs:fontRef>
    <cs:spPr>
      <a:ln w="9525" cap="rnd">
        <a:solidFill>
          <a:schemeClr val="phClr"/>
        </a:solidFill>
        <a:round/>
      </a:ln>
    </cs:spPr>
  </cs:dataPointWireframe>
  <cs:dataTable>
    <cs:lnRef idx="0"/>
    <cs:fillRef idx="0"/>
    <cs:effectRef idx="0"/>
    <cs:fontRef idx="minor">
      <a:sysClr val="windowText" lastClr="000000">
        <a:lumMod val="75000"/>
        <a:lumOff val="25000"/>
      </a:sysClr>
    </cs:fontRef>
    <cs:spPr>
      <a:ln w="9525">
        <a:solidFill>
          <a:sysClr val="windowText" lastClr="000000">
            <a:lumMod val="35000"/>
            <a:lumOff val="65000"/>
          </a:sysClr>
        </a:solidFill>
      </a:ln>
    </cs:spPr>
    <cs:defRPr sz="900" kern="1200"/>
  </cs:dataTable>
  <cs:downBar>
    <cs:lnRef idx="0"/>
    <cs:fillRef idx="0"/>
    <cs:effectRef idx="0"/>
    <cs:fontRef idx="minor">
      <a:sysClr val="windowText" lastClr="000000"/>
    </cs:fontRef>
    <cs:spPr>
      <a:solidFill>
        <a:sysClr val="windowText" lastClr="000000">
          <a:lumMod val="50000"/>
          <a:lumOff val="50000"/>
        </a:sysClr>
      </a:solidFill>
      <a:ln w="9525">
        <a:solidFill>
          <a:sysClr val="windowText" lastClr="000000">
            <a:lumMod val="65000"/>
            <a:lumOff val="35000"/>
          </a:sysClr>
        </a:solidFill>
      </a:ln>
    </cs:spPr>
  </cs:downBar>
  <cs:dropLine>
    <cs:lnRef idx="0"/>
    <cs:fillRef idx="0"/>
    <cs:effectRef idx="0"/>
    <cs:fontRef idx="minor">
      <a:sysClr val="windowText" lastClr="000000"/>
    </cs:fontRef>
    <cs:spPr>
      <a:ln w="9525">
        <a:solidFill>
          <a:sysClr val="windowText" lastClr="000000">
            <a:lumMod val="35000"/>
            <a:lumOff val="65000"/>
          </a:sysClr>
        </a:solidFill>
        <a:prstDash val="dash"/>
      </a:ln>
    </cs:spPr>
  </cs:dropLine>
  <cs:errorBar>
    <cs:lnRef idx="0"/>
    <cs:fillRef idx="0"/>
    <cs:effectRef idx="0"/>
    <cs:fontRef idx="minor">
      <a:sysClr val="windowText" lastClr="000000"/>
    </cs:fontRef>
    <cs:spPr>
      <a:ln w="9525">
        <a:solidFill>
          <a:sysClr val="windowText" lastClr="000000">
            <a:lumMod val="65000"/>
            <a:lumOff val="35000"/>
          </a:sysClr>
        </a:solidFill>
        <a:round/>
      </a:ln>
    </cs:spPr>
  </cs:errorBar>
  <cs:floor>
    <cs:lnRef idx="0"/>
    <cs:fillRef idx="0"/>
    <cs:effectRef idx="0"/>
    <cs:fontRef idx="minor">
      <a:sysClr val="windowText" lastClr="000000"/>
    </cs:fontRef>
  </cs:floor>
  <cs:gridlineMajor>
    <cs:lnRef idx="0"/>
    <cs:fillRef idx="0"/>
    <cs:effectRef idx="0"/>
    <cs:fontRef idx="minor">
      <a:sysClr val="windowText" lastClr="000000"/>
    </cs:fontRef>
    <cs:spPr>
      <a:ln w="9525" cap="flat" cmpd="sng" algn="ctr">
        <a:gradFill>
          <a:gsLst>
            <a:gs pos="100000">
              <a:sysClr val="windowText" lastClr="000000">
                <a:lumMod val="95000"/>
                <a:lumOff val="5000"/>
                <a:alpha val="42000"/>
              </a:sysClr>
            </a:gs>
            <a:gs pos="0">
              <a:sysClr val="window" lastClr="FFFFFF">
                <a:lumMod val="75000"/>
                <a:alpha val="36000"/>
              </a:sysClr>
            </a:gs>
          </a:gsLst>
          <a:lin ang="5400000" scaled="false"/>
        </a:gradFill>
        <a:round/>
      </a:ln>
    </cs:spPr>
  </cs:gridlineMajor>
  <cs:gridlineMinor>
    <cs:lnRef idx="0"/>
    <cs:fillRef idx="0"/>
    <cs:effectRef idx="0"/>
    <cs:fontRef idx="minor">
      <a:sysClr val="windowText" lastClr="000000"/>
    </cs:fontRef>
    <cs:spPr>
      <a:ln>
        <a:gradFill>
          <a:gsLst>
            <a:gs pos="100000">
              <a:sysClr val="windowText" lastClr="000000">
                <a:lumMod val="95000"/>
                <a:lumOff val="5000"/>
                <a:alpha val="42000"/>
              </a:sysClr>
            </a:gs>
            <a:gs pos="0">
              <a:sysClr val="window" lastClr="FFFFFF">
                <a:lumMod val="75000"/>
                <a:alpha val="36000"/>
              </a:sysClr>
            </a:gs>
          </a:gsLst>
          <a:lin ang="5400000" scaled="false"/>
        </a:gradFill>
      </a:ln>
    </cs:spPr>
  </cs:gridlineMinor>
  <cs:hiLoLine>
    <cs:lnRef idx="0"/>
    <cs:fillRef idx="0"/>
    <cs:effectRef idx="0"/>
    <cs:fontRef idx="minor">
      <a:sysClr val="windowText" lastClr="000000"/>
    </cs:fontRef>
    <cs:spPr>
      <a:ln w="9525">
        <a:solidFill>
          <a:sysClr val="windowText" lastClr="000000">
            <a:lumMod val="35000"/>
            <a:lumOff val="65000"/>
          </a:sysClr>
        </a:solidFill>
        <a:prstDash val="dash"/>
      </a:ln>
    </cs:spPr>
  </cs:hiLoLine>
  <cs:leaderLine>
    <cs:lnRef idx="0"/>
    <cs:fillRef idx="0"/>
    <cs:effectRef idx="0"/>
    <cs:fontRef idx="minor">
      <a:sysClr val="windowText" lastClr="000000"/>
    </cs:fontRef>
    <cs:spPr>
      <a:ln w="9525">
        <a:solidFill>
          <a:sysClr val="windowText" lastClr="000000">
            <a:lumMod val="50000"/>
            <a:lumOff val="50000"/>
          </a:sysClr>
        </a:solidFill>
      </a:ln>
    </cs:spPr>
  </cs:leaderLine>
  <cs:legend>
    <cs:lnRef idx="0"/>
    <cs:fillRef idx="0"/>
    <cs:effectRef idx="0"/>
    <cs:fontRef idx="minor">
      <a:sysClr val="windowText" lastClr="000000">
        <a:lumMod val="75000"/>
        <a:lumOff val="25000"/>
      </a:sysClr>
    </cs:fontRef>
    <cs:spPr>
      <a:solidFill>
        <a:sysClr val="window" lastClr="FFFFFF">
          <a:lumMod val="95000"/>
          <a:alpha val="39000"/>
        </a:sysClr>
      </a:solidFill>
    </cs:spPr>
    <cs:defRPr sz="900" kern="1200"/>
  </cs:legend>
  <cs:plotArea>
    <cs:lnRef idx="0"/>
    <cs:fillRef idx="0"/>
    <cs:effectRef idx="0"/>
    <cs:fontRef idx="minor">
      <a:sysClr val="windowText" lastClr="000000"/>
    </cs:fontRef>
  </cs:plotArea>
  <cs:plotArea3D>
    <cs:lnRef idx="0"/>
    <cs:fillRef idx="0"/>
    <cs:effectRef idx="0"/>
    <cs:fontRef idx="minor">
      <a:sysClr val="windowText" lastClr="000000"/>
    </cs:fontRef>
  </cs:plotArea3D>
  <cs:seriesAxis>
    <cs:lnRef idx="0"/>
    <cs:fillRef idx="0"/>
    <cs:effectRef idx="0"/>
    <cs:fontRef idx="minor">
      <a:sysClr val="windowText" lastClr="000000">
        <a:lumMod val="75000"/>
        <a:lumOff val="25000"/>
      </a:sysClr>
    </cs:fontRef>
    <cs:spPr>
      <a:ln w="31750" cap="flat" cmpd="sng" algn="ctr">
        <a:solidFill>
          <a:sysClr val="windowText" lastClr="000000">
            <a:lumMod val="75000"/>
            <a:lumOff val="25000"/>
          </a:sysClr>
        </a:solidFill>
        <a:round/>
      </a:ln>
    </cs:spPr>
    <cs:defRPr sz="900" kern="1200"/>
  </cs:seriesAxis>
  <cs:seriesLine>
    <cs:lnRef idx="0"/>
    <cs:fillRef idx="0"/>
    <cs:effectRef idx="0"/>
    <cs:fontRef idx="minor">
      <a:sysClr val="windowText" lastClr="000000"/>
    </cs:fontRef>
    <cs:spPr>
      <a:ln w="9525">
        <a:solidFill>
          <a:sysClr val="windowText" lastClr="000000">
            <a:lumMod val="50000"/>
            <a:lumOff val="50000"/>
          </a:sysClr>
        </a:solidFill>
        <a:round/>
      </a:ln>
    </cs:spPr>
  </cs:seriesLine>
  <cs:title>
    <cs:lnRef idx="0"/>
    <cs:fillRef idx="0"/>
    <cs:effectRef idx="0"/>
    <cs:fontRef idx="minor">
      <a:sysClr val="windowText" lastClr="000000">
        <a:lumMod val="75000"/>
        <a:lumOff val="25000"/>
      </a:sysClr>
    </cs:fontRef>
    <cs:defRPr sz="1800" b="1" kern="1200" baseline="0"/>
  </cs:title>
  <cs:trendline>
    <cs:lnRef idx="0">
      <cs:styleClr val="auto"/>
    </cs:lnRef>
    <cs:fillRef idx="0"/>
    <cs:effectRef idx="0"/>
    <cs:fontRef idx="minor">
      <a:sysClr val="windowText" lastClr="000000"/>
    </cs:fontRef>
    <cs:spPr>
      <a:ln w="19050" cap="rnd">
        <a:solidFill>
          <a:schemeClr val="phClr"/>
        </a:solidFill>
      </a:ln>
    </cs:spPr>
  </cs:trendline>
  <cs:trendlineLabel>
    <cs:lnRef idx="0"/>
    <cs:fillRef idx="0"/>
    <cs:effectRef idx="0"/>
    <cs:fontRef idx="minor">
      <a:sysClr val="windowText" lastClr="000000">
        <a:lumMod val="75000"/>
        <a:lumOff val="25000"/>
      </a:sysClr>
    </cs:fontRef>
    <cs:defRPr sz="900" kern="1200"/>
  </cs:trendlineLabel>
  <cs:upBar>
    <cs:lnRef idx="0"/>
    <cs:fillRef idx="0"/>
    <cs:effectRef idx="0"/>
    <cs:fontRef idx="minor">
      <a:sysClr val="windowText" lastClr="000000"/>
    </cs:fontRef>
    <cs:spPr>
      <a:solidFill>
        <a:sysClr val="window" lastClr="FFFFFF"/>
      </a:solidFill>
      <a:ln w="9525">
        <a:solidFill>
          <a:sysClr val="windowText" lastClr="000000">
            <a:lumMod val="65000"/>
            <a:lumOff val="35000"/>
          </a:sysClr>
        </a:solidFill>
      </a:ln>
    </cs:spPr>
  </cs:upBar>
  <cs:valueAxis>
    <cs:lnRef idx="0"/>
    <cs:fillRef idx="0"/>
    <cs:effectRef idx="0"/>
    <cs:fontRef idx="minor">
      <a:sysClr val="windowText" lastClr="000000">
        <a:lumMod val="75000"/>
        <a:lumOff val="25000"/>
      </a:sysClr>
    </cs:fontRef>
    <cs:spPr>
      <a:ln>
        <a:noFill/>
      </a:ln>
    </cs:spPr>
    <cs:defRPr sz="900" kern="1200"/>
  </cs:valueAxis>
  <cs:wall>
    <cs:lnRef idx="0"/>
    <cs:fillRef idx="0"/>
    <cs:effectRef idx="0"/>
    <cs:fontRef idx="minor">
      <a:sysClr val="windowText" lastClr="000000"/>
    </cs:fontRef>
  </cs:wall>
</cs:chartStyle>
</file>

<file path=word/charts/style6.xml><?xml version="1.0" encoding="utf-8"?>
<cs:chartStyle xmlns:cs="http://schemas.microsoft.com/office/drawing/2012/chartStyle" xmlns:a="http://schemas.openxmlformats.org/drawingml/2006/main" id="218">
  <cs:axisTitle>
    <cs:lnRef idx="0"/>
    <cs:fillRef idx="0"/>
    <cs:effectRef idx="0"/>
    <cs:fontRef idx="minor">
      <a:sysClr val="windowText" lastClr="000000">
        <a:lumMod val="75000"/>
        <a:lumOff val="25000"/>
      </a:sysClr>
    </cs:fontRef>
    <cs:defRPr sz="900" b="1" kern="1200"/>
  </cs:axisTitle>
  <cs:categoryAxis>
    <cs:lnRef idx="0"/>
    <cs:fillRef idx="0"/>
    <cs:effectRef idx="0"/>
    <cs:fontRef idx="minor">
      <a:sysClr val="windowText" lastClr="000000">
        <a:lumMod val="75000"/>
        <a:lumOff val="25000"/>
      </a:sysClr>
    </cs:fontRef>
    <cs:spPr>
      <a:ln w="19050" cap="flat" cmpd="sng" algn="ctr">
        <a:solidFill>
          <a:sysClr val="windowText" lastClr="000000">
            <a:lumMod val="75000"/>
            <a:lumOff val="25000"/>
          </a:sysClr>
        </a:solidFill>
        <a:round/>
      </a:ln>
    </cs:spPr>
    <cs:defRPr sz="900" kern="1200" cap="all" baseline="0"/>
  </cs:categoryAxis>
  <cs:chartArea>
    <cs:lnRef idx="0"/>
    <cs:fillRef idx="0"/>
    <cs:effectRef idx="0"/>
    <cs:fontRef idx="minor">
      <a:sysClr val="windowText" lastClr="000000"/>
    </cs:fontRef>
    <cs:spPr>
      <a:gradFill flip="none" rotWithShape="true">
        <a:gsLst>
          <a:gs pos="0">
            <a:sysClr val="window" lastClr="FFFFFF"/>
          </a:gs>
          <a:gs pos="39000">
            <a:sysClr val="window" lastClr="FFFFFF"/>
          </a:gs>
          <a:gs pos="100000">
            <a:sysClr val="window" lastClr="FFFFFF">
              <a:lumMod val="75000"/>
            </a:sysClr>
          </a:gs>
        </a:gsLst>
        <a:path path="circle">
          <a:fillToRect l="50000" t="-80000" r="50000" b="180000"/>
        </a:path>
      </a:gradFill>
      <a:ln w="9525" cap="flat" cmpd="sng" algn="ctr">
        <a:solidFill>
          <a:sysClr val="windowText" lastClr="000000">
            <a:lumMod val="25000"/>
            <a:lumOff val="75000"/>
          </a:sysClr>
        </a:solidFill>
        <a:round/>
      </a:ln>
    </cs:spPr>
    <cs:defRPr sz="900" kern="1200"/>
  </cs:chartArea>
  <cs:dataLabel>
    <cs:lnRef idx="0"/>
    <cs:fillRef idx="0"/>
    <cs:effectRef idx="0"/>
    <cs:fontRef idx="minor">
      <a:sysClr val="window" lastClr="FFFFFF"/>
    </cs:fontRef>
    <cs:defRPr sz="900" b="1" i="0" u="none" strike="noStrike" kern="1200" baseline="0"/>
  </cs:dataLabel>
  <cs:dataLabelCallout>
    <cs:lnRef idx="0"/>
    <cs:fillRef idx="0"/>
    <cs:effectRef idx="0"/>
    <cs:fontRef idx="minor">
      <a:sysClr val="window" lastClr="FFFFFF"/>
    </cs:fontRef>
    <cs:spPr>
      <a:solidFill>
        <a:sysClr val="windowText" lastClr="000000">
          <a:lumMod val="65000"/>
          <a:lumOff val="35000"/>
          <a:alpha val="75000"/>
        </a:sysClr>
      </a:solidFill>
    </cs:spPr>
    <cs:defRPr sz="900" b="1" kern="1200"/>
    <cs:bodyPr rot="0" spcFirstLastPara="1" vertOverflow="clip" horzOverflow="clip" vert="horz" wrap="square" lIns="36576" tIns="18288" rIns="36576" bIns="18288" anchor="ctr" anchorCtr="true">
      <a:spAutoFit/>
    </cs:bodyPr>
  </cs:dataLabelCallout>
  <cs:dataPoint>
    <cs:lnRef idx="0"/>
    <cs:fillRef idx="0">
      <cs:styleClr val="auto"/>
    </cs:fillRef>
    <cs:effectRef idx="0"/>
    <cs:fontRef idx="minor">
      <a:sysClr val="windowText" lastClr="000000"/>
    </cs:fontRef>
    <cs:spPr>
      <a:solidFill>
        <a:schemeClr val="phClr">
          <a:alpha val="85000"/>
        </a:schemeClr>
      </a:solidFill>
      <a:ln w="9525" cap="flat" cmpd="sng" algn="ctr">
        <a:solidFill>
          <a:sysClr val="window" lastClr="FFFFFF">
            <a:alpha val="50000"/>
          </a:sysClr>
        </a:solidFill>
        <a:round/>
      </a:ln>
    </cs:spPr>
  </cs:dataPoint>
  <cs:dataPoint3D>
    <cs:lnRef idx="0"/>
    <cs:fillRef idx="0">
      <cs:styleClr val="auto"/>
    </cs:fillRef>
    <cs:effectRef idx="0"/>
    <cs:fontRef idx="minor">
      <a:sysClr val="windowText" lastClr="000000"/>
    </cs:fontRef>
    <cs:spPr>
      <a:solidFill>
        <a:schemeClr val="phClr">
          <a:alpha val="85000"/>
        </a:schemeClr>
      </a:solidFill>
      <a:ln w="9525" cap="flat" cmpd="sng" algn="ctr">
        <a:solidFill>
          <a:sysClr val="window" lastClr="FFFFFF">
            <a:alpha val="50000"/>
          </a:sysClr>
        </a:solidFill>
        <a:round/>
      </a:ln>
    </cs:spPr>
  </cs:dataPoint3D>
  <cs:dataPointLine>
    <cs:lnRef idx="0">
      <cs:styleClr val="auto"/>
    </cs:lnRef>
    <cs:fillRef idx="0"/>
    <cs:effectRef idx="0"/>
    <cs:fontRef idx="minor">
      <a:sysClr val="windowText" lastClr="000000"/>
    </cs:fontRef>
    <cs:spPr>
      <a:ln w="31750" cap="rnd">
        <a:solidFill>
          <a:schemeClr val="phClr">
            <a:alpha val="85000"/>
          </a:schemeClr>
        </a:solidFill>
        <a:round/>
      </a:ln>
    </cs:spPr>
  </cs:dataPointLine>
  <cs:dataPointMarker>
    <cs:lnRef idx="0"/>
    <cs:fillRef idx="0">
      <cs:styleClr val="auto"/>
    </cs:fillRef>
    <cs:effectRef idx="0"/>
    <cs:fontRef idx="minor">
      <a:sysClr val="windowText" lastClr="000000"/>
    </cs:fontRef>
    <cs:spPr>
      <a:solidFill>
        <a:schemeClr val="phClr">
          <a:alpha val="85000"/>
        </a:schemeClr>
      </a:solidFill>
    </cs:spPr>
  </cs:dataPointMarker>
  <cs:dataPointMarkerLayout symbol="circle" size="6"/>
  <cs:dataPointWireframe>
    <cs:lnRef idx="0">
      <cs:styleClr val="auto"/>
    </cs:lnRef>
    <cs:fillRef idx="0"/>
    <cs:effectRef idx="0"/>
    <cs:fontRef idx="minor">
      <a:sysClr val="windowText" lastClr="000000"/>
    </cs:fontRef>
    <cs:spPr>
      <a:ln w="9525" cap="rnd">
        <a:solidFill>
          <a:schemeClr val="phClr"/>
        </a:solidFill>
        <a:round/>
      </a:ln>
    </cs:spPr>
  </cs:dataPointWireframe>
  <cs:dataTable>
    <cs:lnRef idx="0"/>
    <cs:fillRef idx="0"/>
    <cs:effectRef idx="0"/>
    <cs:fontRef idx="minor">
      <a:sysClr val="windowText" lastClr="000000">
        <a:lumMod val="75000"/>
        <a:lumOff val="25000"/>
      </a:sysClr>
    </cs:fontRef>
    <cs:spPr>
      <a:ln w="9525">
        <a:solidFill>
          <a:sysClr val="windowText" lastClr="000000">
            <a:lumMod val="35000"/>
            <a:lumOff val="65000"/>
          </a:sysClr>
        </a:solidFill>
      </a:ln>
    </cs:spPr>
    <cs:defRPr sz="900" kern="1200"/>
  </cs:dataTable>
  <cs:downBar>
    <cs:lnRef idx="0"/>
    <cs:fillRef idx="0"/>
    <cs:effectRef idx="0"/>
    <cs:fontRef idx="minor">
      <a:sysClr val="windowText" lastClr="000000"/>
    </cs:fontRef>
    <cs:spPr>
      <a:solidFill>
        <a:sysClr val="windowText" lastClr="000000">
          <a:lumMod val="50000"/>
          <a:lumOff val="50000"/>
        </a:sysClr>
      </a:solidFill>
      <a:ln w="9525">
        <a:solidFill>
          <a:sysClr val="windowText" lastClr="000000">
            <a:lumMod val="65000"/>
            <a:lumOff val="35000"/>
          </a:sysClr>
        </a:solidFill>
      </a:ln>
    </cs:spPr>
  </cs:downBar>
  <cs:dropLine>
    <cs:lnRef idx="0"/>
    <cs:fillRef idx="0"/>
    <cs:effectRef idx="0"/>
    <cs:fontRef idx="minor">
      <a:sysClr val="windowText" lastClr="000000"/>
    </cs:fontRef>
    <cs:spPr>
      <a:ln w="9525">
        <a:solidFill>
          <a:sysClr val="windowText" lastClr="000000">
            <a:lumMod val="35000"/>
            <a:lumOff val="65000"/>
          </a:sysClr>
        </a:solidFill>
        <a:prstDash val="dash"/>
      </a:ln>
    </cs:spPr>
  </cs:dropLine>
  <cs:errorBar>
    <cs:lnRef idx="0"/>
    <cs:fillRef idx="0"/>
    <cs:effectRef idx="0"/>
    <cs:fontRef idx="minor">
      <a:sysClr val="windowText" lastClr="000000"/>
    </cs:fontRef>
    <cs:spPr>
      <a:ln w="9525">
        <a:solidFill>
          <a:sysClr val="windowText" lastClr="000000">
            <a:lumMod val="65000"/>
            <a:lumOff val="35000"/>
          </a:sysClr>
        </a:solidFill>
        <a:round/>
      </a:ln>
    </cs:spPr>
  </cs:errorBar>
  <cs:floor>
    <cs:lnRef idx="0"/>
    <cs:fillRef idx="0"/>
    <cs:effectRef idx="0"/>
    <cs:fontRef idx="minor">
      <a:sysClr val="windowText" lastClr="000000"/>
    </cs:fontRef>
  </cs:floor>
  <cs:gridlineMajor>
    <cs:lnRef idx="0"/>
    <cs:fillRef idx="0"/>
    <cs:effectRef idx="0"/>
    <cs:fontRef idx="minor">
      <a:sysClr val="windowText" lastClr="000000"/>
    </cs:fontRef>
    <cs:spPr>
      <a:ln w="9525" cap="flat" cmpd="sng" algn="ctr">
        <a:gradFill>
          <a:gsLst>
            <a:gs pos="100000">
              <a:sysClr val="windowText" lastClr="000000">
                <a:lumMod val="95000"/>
                <a:lumOff val="5000"/>
                <a:alpha val="42000"/>
              </a:sysClr>
            </a:gs>
            <a:gs pos="0">
              <a:sysClr val="window" lastClr="FFFFFF">
                <a:lumMod val="75000"/>
                <a:alpha val="36000"/>
              </a:sysClr>
            </a:gs>
          </a:gsLst>
          <a:lin ang="5400000" scaled="false"/>
        </a:gradFill>
        <a:round/>
      </a:ln>
    </cs:spPr>
  </cs:gridlineMajor>
  <cs:gridlineMinor>
    <cs:lnRef idx="0"/>
    <cs:fillRef idx="0"/>
    <cs:effectRef idx="0"/>
    <cs:fontRef idx="minor">
      <a:sysClr val="windowText" lastClr="000000"/>
    </cs:fontRef>
    <cs:spPr>
      <a:ln>
        <a:gradFill>
          <a:gsLst>
            <a:gs pos="100000">
              <a:sysClr val="windowText" lastClr="000000">
                <a:lumMod val="95000"/>
                <a:lumOff val="5000"/>
                <a:alpha val="42000"/>
              </a:sysClr>
            </a:gs>
            <a:gs pos="0">
              <a:sysClr val="window" lastClr="FFFFFF">
                <a:lumMod val="75000"/>
                <a:alpha val="36000"/>
              </a:sysClr>
            </a:gs>
          </a:gsLst>
          <a:lin ang="5400000" scaled="false"/>
        </a:gradFill>
      </a:ln>
    </cs:spPr>
  </cs:gridlineMinor>
  <cs:hiLoLine>
    <cs:lnRef idx="0"/>
    <cs:fillRef idx="0"/>
    <cs:effectRef idx="0"/>
    <cs:fontRef idx="minor">
      <a:sysClr val="windowText" lastClr="000000"/>
    </cs:fontRef>
    <cs:spPr>
      <a:ln w="9525">
        <a:solidFill>
          <a:sysClr val="windowText" lastClr="000000">
            <a:lumMod val="35000"/>
            <a:lumOff val="65000"/>
          </a:sysClr>
        </a:solidFill>
        <a:prstDash val="dash"/>
      </a:ln>
    </cs:spPr>
  </cs:hiLoLine>
  <cs:leaderLine>
    <cs:lnRef idx="0"/>
    <cs:fillRef idx="0"/>
    <cs:effectRef idx="0"/>
    <cs:fontRef idx="minor">
      <a:sysClr val="windowText" lastClr="000000"/>
    </cs:fontRef>
    <cs:spPr>
      <a:ln w="9525">
        <a:solidFill>
          <a:sysClr val="windowText" lastClr="000000">
            <a:lumMod val="50000"/>
            <a:lumOff val="50000"/>
          </a:sysClr>
        </a:solidFill>
      </a:ln>
    </cs:spPr>
  </cs:leaderLine>
  <cs:legend>
    <cs:lnRef idx="0"/>
    <cs:fillRef idx="0"/>
    <cs:effectRef idx="0"/>
    <cs:fontRef idx="minor">
      <a:sysClr val="windowText" lastClr="000000">
        <a:lumMod val="75000"/>
        <a:lumOff val="25000"/>
      </a:sysClr>
    </cs:fontRef>
    <cs:spPr>
      <a:solidFill>
        <a:sysClr val="window" lastClr="FFFFFF">
          <a:lumMod val="95000"/>
          <a:alpha val="39000"/>
        </a:sysClr>
      </a:solidFill>
    </cs:spPr>
    <cs:defRPr sz="900" kern="1200"/>
  </cs:legend>
  <cs:plotArea>
    <cs:lnRef idx="0"/>
    <cs:fillRef idx="0"/>
    <cs:effectRef idx="0"/>
    <cs:fontRef idx="minor">
      <a:sysClr val="windowText" lastClr="000000"/>
    </cs:fontRef>
  </cs:plotArea>
  <cs:plotArea3D>
    <cs:lnRef idx="0"/>
    <cs:fillRef idx="0"/>
    <cs:effectRef idx="0"/>
    <cs:fontRef idx="minor">
      <a:sysClr val="windowText" lastClr="000000"/>
    </cs:fontRef>
  </cs:plotArea3D>
  <cs:seriesAxis>
    <cs:lnRef idx="0"/>
    <cs:fillRef idx="0"/>
    <cs:effectRef idx="0"/>
    <cs:fontRef idx="minor">
      <a:sysClr val="windowText" lastClr="000000">
        <a:lumMod val="75000"/>
        <a:lumOff val="25000"/>
      </a:sysClr>
    </cs:fontRef>
    <cs:spPr>
      <a:ln w="31750" cap="flat" cmpd="sng" algn="ctr">
        <a:solidFill>
          <a:sysClr val="windowText" lastClr="000000">
            <a:lumMod val="75000"/>
            <a:lumOff val="25000"/>
          </a:sysClr>
        </a:solidFill>
        <a:round/>
      </a:ln>
    </cs:spPr>
    <cs:defRPr sz="900" kern="1200"/>
  </cs:seriesAxis>
  <cs:seriesLine>
    <cs:lnRef idx="0"/>
    <cs:fillRef idx="0"/>
    <cs:effectRef idx="0"/>
    <cs:fontRef idx="minor">
      <a:sysClr val="windowText" lastClr="000000"/>
    </cs:fontRef>
    <cs:spPr>
      <a:ln w="9525">
        <a:solidFill>
          <a:sysClr val="windowText" lastClr="000000">
            <a:lumMod val="50000"/>
            <a:lumOff val="50000"/>
          </a:sysClr>
        </a:solidFill>
        <a:round/>
      </a:ln>
    </cs:spPr>
  </cs:seriesLine>
  <cs:title>
    <cs:lnRef idx="0"/>
    <cs:fillRef idx="0"/>
    <cs:effectRef idx="0"/>
    <cs:fontRef idx="minor">
      <a:sysClr val="windowText" lastClr="000000">
        <a:lumMod val="75000"/>
        <a:lumOff val="25000"/>
      </a:sysClr>
    </cs:fontRef>
    <cs:defRPr sz="1800" b="1" kern="1200" baseline="0"/>
  </cs:title>
  <cs:trendline>
    <cs:lnRef idx="0">
      <cs:styleClr val="auto"/>
    </cs:lnRef>
    <cs:fillRef idx="0"/>
    <cs:effectRef idx="0"/>
    <cs:fontRef idx="minor">
      <a:sysClr val="windowText" lastClr="000000"/>
    </cs:fontRef>
    <cs:spPr>
      <a:ln w="19050" cap="rnd">
        <a:solidFill>
          <a:schemeClr val="phClr"/>
        </a:solidFill>
      </a:ln>
    </cs:spPr>
  </cs:trendline>
  <cs:trendlineLabel>
    <cs:lnRef idx="0"/>
    <cs:fillRef idx="0"/>
    <cs:effectRef idx="0"/>
    <cs:fontRef idx="minor">
      <a:sysClr val="windowText" lastClr="000000">
        <a:lumMod val="75000"/>
        <a:lumOff val="25000"/>
      </a:sysClr>
    </cs:fontRef>
    <cs:defRPr sz="900" kern="1200"/>
  </cs:trendlineLabel>
  <cs:upBar>
    <cs:lnRef idx="0"/>
    <cs:fillRef idx="0"/>
    <cs:effectRef idx="0"/>
    <cs:fontRef idx="minor">
      <a:sysClr val="windowText" lastClr="000000"/>
    </cs:fontRef>
    <cs:spPr>
      <a:solidFill>
        <a:sysClr val="window" lastClr="FFFFFF"/>
      </a:solidFill>
      <a:ln w="9525">
        <a:solidFill>
          <a:sysClr val="windowText" lastClr="000000">
            <a:lumMod val="65000"/>
            <a:lumOff val="35000"/>
          </a:sysClr>
        </a:solidFill>
      </a:ln>
    </cs:spPr>
  </cs:upBar>
  <cs:valueAxis>
    <cs:lnRef idx="0"/>
    <cs:fillRef idx="0"/>
    <cs:effectRef idx="0"/>
    <cs:fontRef idx="minor">
      <a:sysClr val="windowText" lastClr="000000">
        <a:lumMod val="75000"/>
        <a:lumOff val="25000"/>
      </a:sysClr>
    </cs:fontRef>
    <cs:spPr>
      <a:ln>
        <a:noFill/>
      </a:ln>
    </cs:spPr>
    <cs:defRPr sz="900" kern="1200"/>
  </cs:valueAxis>
  <cs:wall>
    <cs:lnRef idx="0"/>
    <cs:fillRef idx="0"/>
    <cs:effectRef idx="0"/>
    <cs:fontRef idx="minor">
      <a:sysClr val="windowText" lastClr="000000"/>
    </cs:fontRef>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4.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四川省财政厅</Company>
  <Pages>19</Pages>
  <Words>4986</Words>
  <Characters>5417</Characters>
  <Lines>61</Lines>
  <Paragraphs>17</Paragraphs>
  <TotalTime>10</TotalTime>
  <ScaleCrop>false</ScaleCrop>
  <LinksUpToDate>false</LinksUpToDate>
  <CharactersWithSpaces>5531</CharactersWithSpaces>
  <Application>WPS Office_11.8.2.10125_F1E327BC-269C-435d-A152-05C5408002CA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2020-08-10T09:49:00Z</dcterms:created>
  <dc:creator>曹颖</dc:creator>
  <cp:lastModifiedBy>user</cp:lastModifiedBy>
  <cp:lastPrinted>2025-09-03T06:24:00Z</cp:lastPrinted>
  <dcterms:modified xsi:type="dcterms:W3CDTF">2025-09-12T10:51:13Z</dcterms:modified>
  <dc:title>四川省***</dc:title>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y fmtid="{D5CDD505-2E9C-101B-9397-08002B2CF9AE}" pid="3" name="ICV">
    <vt:lpwstr>0FAEB6F4578C4F1E8FC298D14E12ADBE_13</vt:lpwstr>
  </property>
  <property fmtid="{D5CDD505-2E9C-101B-9397-08002B2CF9AE}" pid="4" name="KSOTemplateDocerSaveRecord">
    <vt:lpwstr>eyJoZGlkIjoiODIwNWMzYjk4Y2I5NGY2NDM5ZWY3ZGViNWJlYzkyOTYiLCJ1c2VySWQiOiIxMTQ4NTA1NDYxIn0=</vt:lpwstr>
  </property>
</Properties>
</file>