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beforeLines="30" w:after="0" w:line="240" w:lineRule="auto"/>
        <w:jc w:val="center"/>
        <w:rPr>
          <w:rFonts w:ascii="Times New Roman" w:hAnsi="Times New Roman" w:eastAsia="方正小标宋简体" w:cs="Times New Roman"/>
          <w:sz w:val="44"/>
          <w:szCs w:val="44"/>
          <w14:ligatures w14:val="none"/>
        </w:rPr>
      </w:pPr>
      <w:bookmarkStart w:id="0" w:name="_Toc15396476"/>
      <w:bookmarkStart w:id="1" w:name="_Toc15377426"/>
      <w:bookmarkStart w:id="2" w:name="_Toc15377194"/>
      <w:bookmarkStart w:id="3" w:name="_Toc15396598"/>
      <w:bookmarkStart w:id="4" w:name="_Toc15378442"/>
    </w:p>
    <w:p>
      <w:pPr>
        <w:spacing w:before="93" w:beforeLines="30" w:after="0" w:line="240" w:lineRule="auto"/>
        <w:jc w:val="center"/>
        <w:rPr>
          <w:rFonts w:ascii="Times New Roman" w:hAnsi="Times New Roman" w:eastAsia="方正小标宋简体" w:cs="Times New Roman"/>
          <w:sz w:val="44"/>
          <w:szCs w:val="44"/>
          <w14:ligatures w14:val="none"/>
        </w:rPr>
      </w:pPr>
    </w:p>
    <w:p>
      <w:pPr>
        <w:spacing w:before="93" w:beforeLines="30" w:after="0" w:line="240" w:lineRule="auto"/>
        <w:jc w:val="center"/>
        <w:rPr>
          <w:rFonts w:ascii="Times New Roman" w:hAnsi="Times New Roman" w:eastAsia="方正小标宋简体" w:cs="Times New Roman"/>
          <w:sz w:val="44"/>
          <w:szCs w:val="44"/>
          <w14:ligatures w14:val="none"/>
        </w:rPr>
      </w:pPr>
    </w:p>
    <w:p>
      <w:pPr>
        <w:spacing w:before="93" w:beforeLines="30" w:after="0" w:line="240" w:lineRule="auto"/>
        <w:jc w:val="center"/>
        <w:rPr>
          <w:rFonts w:ascii="Times New Roman" w:hAnsi="Times New Roman" w:eastAsia="方正小标宋简体" w:cs="Times New Roman"/>
          <w:sz w:val="44"/>
          <w:szCs w:val="44"/>
          <w14:ligatures w14:val="none"/>
        </w:rPr>
      </w:pPr>
    </w:p>
    <w:p>
      <w:pPr>
        <w:spacing w:before="93" w:beforeLines="30" w:after="0" w:line="240" w:lineRule="auto"/>
        <w:jc w:val="center"/>
        <w:rPr>
          <w:rFonts w:ascii="Times New Roman" w:hAnsi="Times New Roman" w:eastAsia="方正小标宋简体" w:cs="Times New Roman"/>
          <w:sz w:val="44"/>
          <w:szCs w:val="44"/>
          <w14:ligatures w14:val="none"/>
        </w:rPr>
      </w:pPr>
    </w:p>
    <w:p>
      <w:pPr>
        <w:spacing w:before="93" w:beforeLines="30" w:after="0" w:line="240" w:lineRule="auto"/>
        <w:jc w:val="center"/>
        <w:rPr>
          <w:rFonts w:ascii="Times New Roman" w:hAnsi="Times New Roman" w:eastAsia="方正小标宋简体" w:cs="Times New Roman"/>
          <w:sz w:val="44"/>
          <w:szCs w:val="44"/>
          <w14:ligatures w14:val="none"/>
        </w:rPr>
      </w:pPr>
      <w:r>
        <w:rPr>
          <w:rFonts w:hint="eastAsia" w:ascii="Times New Roman" w:hAnsi="Times New Roman" w:eastAsia="方正小标宋简体" w:cs="Times New Roman"/>
          <w:sz w:val="44"/>
          <w:szCs w:val="44"/>
          <w14:ligatures w14:val="none"/>
        </w:rPr>
        <w:t>2024年度</w:t>
      </w:r>
    </w:p>
    <w:p>
      <w:pPr>
        <w:spacing w:before="93" w:beforeLines="30" w:after="0" w:line="240" w:lineRule="auto"/>
        <w:jc w:val="center"/>
        <w:rPr>
          <w:rFonts w:ascii="Times New Roman" w:hAnsi="Times New Roman" w:eastAsia="方正小标宋简体" w:cs="Times New Roman"/>
          <w:sz w:val="44"/>
          <w:szCs w:val="44"/>
          <w14:ligatures w14:val="none"/>
        </w:rPr>
      </w:pPr>
      <w:r>
        <w:rPr>
          <w:rFonts w:hint="eastAsia" w:ascii="Times New Roman" w:hAnsi="Times New Roman" w:eastAsia="方正小标宋简体" w:cs="Times New Roman"/>
          <w:sz w:val="44"/>
          <w:szCs w:val="44"/>
          <w14:ligatures w14:val="none"/>
        </w:rPr>
        <w:t>四川省</w:t>
      </w:r>
      <w:bookmarkStart w:id="5" w:name="_Toc15306268"/>
      <w:r>
        <w:rPr>
          <w:rFonts w:hint="eastAsia" w:ascii="Times New Roman" w:hAnsi="Times New Roman" w:eastAsia="方正小标宋简体" w:cs="Times New Roman"/>
          <w:sz w:val="44"/>
          <w:szCs w:val="44"/>
          <w14:ligatures w14:val="none"/>
        </w:rPr>
        <w:t>化工建设工程质量</w:t>
      </w:r>
    </w:p>
    <w:p>
      <w:pPr>
        <w:spacing w:before="93" w:beforeLines="30" w:after="0" w:line="240" w:lineRule="auto"/>
        <w:jc w:val="center"/>
        <w:rPr>
          <w:rFonts w:ascii="Times New Roman" w:hAnsi="Times New Roman" w:eastAsia="方正小标宋简体" w:cs="Times New Roman"/>
          <w:sz w:val="44"/>
          <w:szCs w:val="44"/>
          <w14:ligatures w14:val="none"/>
        </w:rPr>
      </w:pPr>
      <w:r>
        <w:rPr>
          <w:rFonts w:hint="eastAsia" w:ascii="Times New Roman" w:hAnsi="Times New Roman" w:eastAsia="方正小标宋简体" w:cs="Times New Roman"/>
          <w:sz w:val="44"/>
          <w:szCs w:val="44"/>
          <w14:ligatures w14:val="none"/>
        </w:rPr>
        <w:t>安全监督站单位决算</w:t>
      </w:r>
      <w:bookmarkEnd w:id="0"/>
      <w:bookmarkEnd w:id="1"/>
      <w:bookmarkEnd w:id="2"/>
      <w:bookmarkEnd w:id="3"/>
      <w:bookmarkEnd w:id="4"/>
      <w:bookmarkEnd w:id="5"/>
    </w:p>
    <w:p>
      <w:pPr>
        <w:widowControl/>
        <w:rPr>
          <w:rFonts w:ascii="Times New Roman" w:hAnsi="Times New Roman" w:eastAsia="方正小标宋简体" w:cs="Times New Roman"/>
          <w:sz w:val="44"/>
          <w:szCs w:val="44"/>
          <w14:ligatures w14:val="none"/>
        </w:rPr>
      </w:pPr>
      <w:r>
        <w:rPr>
          <w:rFonts w:ascii="Times New Roman" w:hAnsi="Times New Roman" w:eastAsia="方正小标宋简体" w:cs="Times New Roman"/>
          <w:sz w:val="44"/>
          <w:szCs w:val="44"/>
          <w14:ligatures w14:val="none"/>
        </w:rPr>
        <w:br w:type="page"/>
      </w:r>
    </w:p>
    <w:p>
      <w:pPr>
        <w:widowControl/>
        <w:spacing w:after="0" w:line="240" w:lineRule="auto"/>
        <w:jc w:val="center"/>
        <w:rPr>
          <w:rFonts w:ascii="Times New Roman" w:hAnsi="Times New Roman" w:eastAsia="黑体" w:cs="Times New Roman"/>
          <w:sz w:val="48"/>
          <w:szCs w:val="48"/>
          <w14:ligatures w14:val="none"/>
        </w:rPr>
      </w:pPr>
      <w:r>
        <w:rPr>
          <w:rFonts w:hint="eastAsia" w:ascii="Times New Roman" w:hAnsi="Times New Roman" w:eastAsia="黑体" w:cs="Times New Roman"/>
          <w:sz w:val="48"/>
          <w:szCs w:val="48"/>
          <w14:ligatures w14:val="none"/>
        </w:rPr>
        <w:t>目录</w:t>
      </w:r>
    </w:p>
    <w:p>
      <w:pPr>
        <w:widowControl/>
        <w:spacing w:after="0" w:line="240" w:lineRule="auto"/>
        <w:jc w:val="center"/>
        <w:rPr>
          <w:rFonts w:ascii="Times New Roman" w:hAnsi="Times New Roman" w:eastAsia="黑体" w:cs="Times New Roman"/>
          <w:sz w:val="28"/>
          <w:szCs w:val="28"/>
          <w14:ligatures w14:val="none"/>
        </w:rPr>
      </w:pPr>
    </w:p>
    <w:p>
      <w:pPr>
        <w:tabs>
          <w:tab w:val="right" w:leader="dot" w:pos="8296"/>
        </w:tabs>
        <w:spacing w:before="93" w:after="0" w:line="240" w:lineRule="auto"/>
        <w:jc w:val="center"/>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公开时间：2025年 9 月 12 日</w:t>
      </w:r>
    </w:p>
    <w:p>
      <w:pPr>
        <w:spacing w:after="0" w:line="240" w:lineRule="auto"/>
        <w:jc w:val="both"/>
        <w:rPr>
          <w:rFonts w:ascii="Times New Roman" w:hAnsi="Times New Roman" w:eastAsia="宋体" w:cs="Times New Roman"/>
          <w:sz w:val="21"/>
          <w14:ligatures w14:val="none"/>
        </w:rPr>
      </w:pPr>
    </w:p>
    <w:p>
      <w:pPr>
        <w:tabs>
          <w:tab w:val="right" w:leader="dot" w:pos="8296"/>
        </w:tabs>
        <w:adjustRightInd w:val="0"/>
        <w:snapToGrid w:val="0"/>
        <w:spacing w:after="0" w:line="560" w:lineRule="exact"/>
        <w:rPr>
          <w:rFonts w:ascii="Times New Roman" w:hAnsi="Times New Roman" w:eastAsia="黑体" w:cs="黑体"/>
          <w:sz w:val="32"/>
          <w:szCs w:val="32"/>
          <w14:ligatures w14:val="none"/>
        </w:rPr>
      </w:pPr>
      <w:r>
        <w:rPr>
          <w:rFonts w:hint="eastAsia" w:ascii="Times New Roman" w:hAnsi="Times New Roman" w:eastAsia="黑体" w:cs="黑体"/>
          <w:sz w:val="32"/>
          <w:szCs w:val="32"/>
          <w14:ligatures w14:val="none"/>
        </w:rPr>
        <w:t>第一部分 单位概况</w:t>
      </w:r>
      <w:r>
        <w:rPr>
          <w:rFonts w:ascii="Times New Roman" w:hAnsi="Times New Roman" w:eastAsia="黑体" w:cs="黑体"/>
          <w:sz w:val="32"/>
          <w:szCs w:val="32"/>
          <w14:ligatures w14:val="none"/>
        </w:rPr>
        <w:t>…………………………………………</w:t>
      </w:r>
      <w:r>
        <w:rPr>
          <w:rFonts w:hint="eastAsia" w:ascii="Times New Roman" w:hAnsi="Times New Roman" w:eastAsia="黑体" w:cs="黑体"/>
          <w:sz w:val="32"/>
          <w:szCs w:val="32"/>
          <w14:ligatures w14:val="none"/>
        </w:rPr>
        <w:t>..1</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一、单位职责</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1</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二、机构设置</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1</w:t>
      </w:r>
    </w:p>
    <w:p>
      <w:pPr>
        <w:tabs>
          <w:tab w:val="right" w:leader="dot" w:pos="8296"/>
        </w:tabs>
        <w:adjustRightInd w:val="0"/>
        <w:snapToGrid w:val="0"/>
        <w:spacing w:after="0" w:line="560" w:lineRule="exact"/>
        <w:rPr>
          <w:rFonts w:ascii="Times New Roman" w:hAnsi="Times New Roman" w:eastAsia="黑体" w:cs="黑体"/>
          <w:sz w:val="32"/>
          <w:szCs w:val="32"/>
          <w14:ligatures w14:val="none"/>
        </w:rPr>
      </w:pPr>
      <w:r>
        <w:rPr>
          <w:rFonts w:hint="eastAsia" w:ascii="Times New Roman" w:hAnsi="Times New Roman" w:eastAsia="黑体" w:cs="黑体"/>
          <w:sz w:val="32"/>
          <w:szCs w:val="32"/>
          <w14:ligatures w14:val="none"/>
        </w:rPr>
        <w:t>第二部分 2024年度单位决算情况说明</w:t>
      </w:r>
      <w:r>
        <w:rPr>
          <w:rFonts w:ascii="Times New Roman" w:hAnsi="Times New Roman" w:eastAsia="黑体" w:cs="黑体"/>
          <w:sz w:val="32"/>
          <w:szCs w:val="32"/>
          <w14:ligatures w14:val="none"/>
        </w:rPr>
        <w:t>……………………</w:t>
      </w:r>
      <w:r>
        <w:rPr>
          <w:rFonts w:hint="eastAsia" w:ascii="Times New Roman" w:hAnsi="Times New Roman" w:eastAsia="黑体" w:cs="黑体"/>
          <w:sz w:val="32"/>
          <w:szCs w:val="32"/>
          <w14:ligatures w14:val="none"/>
        </w:rPr>
        <w:t>.2</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一、收入支出决算总体情况说明</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2</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二、收入决算情况说明</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3</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三、支出决算情况说明</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3</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四、财政拨款收入支出决算总体情况说明</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4</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五、一般公共预算财政拨款支出决算情况说明</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4</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六、一般公共预算财政拨款基本支出决算情况说明....8</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七、财政拨款“三公”经费支出决算情况说明</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....8</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八、政府性基金预算支出决算情况说明</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...10</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九、国有资本经营预算支出决算情况说明</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...10</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十、其他重要事项的情况说明</w:t>
      </w:r>
      <w:r>
        <w:rPr>
          <w:rFonts w:ascii="Times New Roman" w:hAnsi="Times New Roman" w:eastAsia="仿宋_GB2312" w:cs="仿宋_GB2312"/>
          <w:sz w:val="32"/>
          <w:szCs w:val="32"/>
          <w14:ligatures w14:val="none"/>
        </w:rPr>
        <w:t>………………………</w:t>
      </w:r>
      <w:r>
        <w:rPr>
          <w:rFonts w:hint="eastAsia" w:ascii="Times New Roman" w:hAnsi="Times New Roman" w:eastAsia="仿宋_GB2312" w:cs="仿宋_GB2312"/>
          <w:sz w:val="32"/>
          <w:szCs w:val="32"/>
          <w14:ligatures w14:val="none"/>
        </w:rPr>
        <w:t xml:space="preserve"> ..10</w:t>
      </w:r>
    </w:p>
    <w:p>
      <w:pPr>
        <w:tabs>
          <w:tab w:val="right" w:leader="dot" w:pos="8296"/>
        </w:tabs>
        <w:adjustRightInd w:val="0"/>
        <w:snapToGrid w:val="0"/>
        <w:spacing w:after="0" w:line="560" w:lineRule="exact"/>
        <w:rPr>
          <w:rFonts w:ascii="Times New Roman" w:hAnsi="Times New Roman" w:eastAsia="黑体" w:cs="黑体"/>
          <w:sz w:val="32"/>
          <w:szCs w:val="32"/>
          <w14:ligatures w14:val="none"/>
        </w:rPr>
      </w:pPr>
      <w:r>
        <w:rPr>
          <w:rFonts w:hint="eastAsia" w:ascii="Times New Roman" w:hAnsi="Times New Roman" w:eastAsia="黑体" w:cs="黑体"/>
          <w:sz w:val="32"/>
          <w:szCs w:val="32"/>
          <w14:ligatures w14:val="none"/>
        </w:rPr>
        <w:t xml:space="preserve">第三部分 名词解释 </w:t>
      </w:r>
      <w:r>
        <w:rPr>
          <w:rFonts w:ascii="Times New Roman" w:hAnsi="Times New Roman" w:eastAsia="黑体" w:cs="黑体"/>
          <w:sz w:val="32"/>
          <w:szCs w:val="32"/>
          <w14:ligatures w14:val="none"/>
        </w:rPr>
        <w:t>………………………………………</w:t>
      </w:r>
      <w:r>
        <w:rPr>
          <w:rFonts w:hint="eastAsia" w:ascii="Times New Roman" w:hAnsi="Times New Roman" w:eastAsia="黑体" w:cs="黑体"/>
          <w:sz w:val="32"/>
          <w:szCs w:val="32"/>
          <w14:ligatures w14:val="none"/>
        </w:rPr>
        <w:t>...12</w:t>
      </w:r>
    </w:p>
    <w:p>
      <w:pPr>
        <w:tabs>
          <w:tab w:val="right" w:leader="dot" w:pos="8296"/>
        </w:tabs>
        <w:adjustRightInd w:val="0"/>
        <w:snapToGrid w:val="0"/>
        <w:spacing w:after="0" w:line="560" w:lineRule="exact"/>
        <w:rPr>
          <w:rFonts w:ascii="Times New Roman" w:hAnsi="Times New Roman" w:eastAsia="黑体" w:cs="黑体"/>
          <w:sz w:val="32"/>
          <w:szCs w:val="32"/>
          <w14:ligatures w14:val="none"/>
        </w:rPr>
      </w:pPr>
      <w:r>
        <w:rPr>
          <w:rFonts w:hint="eastAsia" w:ascii="Times New Roman" w:hAnsi="Times New Roman" w:eastAsia="黑体" w:cs="黑体"/>
          <w:sz w:val="32"/>
          <w:szCs w:val="32"/>
          <w14:ligatures w14:val="none"/>
        </w:rPr>
        <w:t>第四部分 附件</w:t>
      </w:r>
      <w:r>
        <w:rPr>
          <w:rFonts w:ascii="Times New Roman" w:hAnsi="Times New Roman" w:eastAsia="黑体" w:cs="黑体"/>
          <w:sz w:val="32"/>
          <w:szCs w:val="32"/>
          <w14:ligatures w14:val="none"/>
        </w:rPr>
        <w:t>………………………………………………</w:t>
      </w:r>
      <w:r>
        <w:rPr>
          <w:rFonts w:hint="eastAsia" w:ascii="Times New Roman" w:hAnsi="Times New Roman" w:eastAsia="黑体" w:cs="黑体"/>
          <w:sz w:val="32"/>
          <w:szCs w:val="32"/>
          <w14:ligatures w14:val="none"/>
        </w:rPr>
        <w:t>.14</w:t>
      </w:r>
    </w:p>
    <w:p>
      <w:pPr>
        <w:tabs>
          <w:tab w:val="right" w:leader="dot" w:pos="8296"/>
        </w:tabs>
        <w:adjustRightInd w:val="0"/>
        <w:snapToGrid w:val="0"/>
        <w:spacing w:after="0" w:line="560" w:lineRule="exact"/>
        <w:rPr>
          <w:rFonts w:hint="eastAsia" w:ascii="Times New Roman" w:hAnsi="Times New Roman" w:eastAsia="黑体" w:cs="黑体"/>
          <w:sz w:val="32"/>
          <w:szCs w:val="32"/>
          <w:lang w:val="en-US" w:eastAsia="zh-CN"/>
          <w14:ligatures w14:val="none"/>
        </w:rPr>
      </w:pPr>
      <w:r>
        <w:rPr>
          <w:rFonts w:hint="eastAsia" w:ascii="Times New Roman" w:hAnsi="Times New Roman" w:eastAsia="黑体" w:cs="黑体"/>
          <w:sz w:val="32"/>
          <w:szCs w:val="32"/>
          <w14:ligatures w14:val="none"/>
        </w:rPr>
        <w:t>第五部分 附表</w:t>
      </w:r>
      <w:r>
        <w:rPr>
          <w:rFonts w:ascii="Times New Roman" w:hAnsi="Times New Roman" w:eastAsia="黑体" w:cs="黑体"/>
          <w:sz w:val="32"/>
          <w:szCs w:val="32"/>
          <w14:ligatures w14:val="none"/>
        </w:rPr>
        <w:t>………………………………………………</w:t>
      </w:r>
      <w:r>
        <w:rPr>
          <w:rFonts w:hint="eastAsia" w:ascii="Times New Roman" w:hAnsi="Times New Roman" w:eastAsia="黑体" w:cs="黑体"/>
          <w:sz w:val="32"/>
          <w:szCs w:val="32"/>
          <w14:ligatures w14:val="none"/>
        </w:rPr>
        <w:t>.1</w:t>
      </w:r>
      <w:r>
        <w:rPr>
          <w:rFonts w:hint="eastAsia" w:ascii="Times New Roman" w:hAnsi="Times New Roman" w:eastAsia="黑体" w:cs="黑体"/>
          <w:sz w:val="32"/>
          <w:szCs w:val="32"/>
          <w:lang w:val="en-US" w:eastAsia="zh-CN"/>
          <w14:ligatures w14:val="none"/>
        </w:rPr>
        <w:t>5</w:t>
      </w:r>
      <w:bookmarkStart w:id="58" w:name="_GoBack"/>
      <w:bookmarkEnd w:id="58"/>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一、收入支出决算总表</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二、收入决算表</w:t>
      </w:r>
    </w:p>
    <w:p>
      <w:pPr>
        <w:tabs>
          <w:tab w:val="right" w:leader="dot" w:pos="8296"/>
        </w:tabs>
        <w:adjustRightInd w:val="0"/>
        <w:snapToGrid w:val="0"/>
        <w:spacing w:after="0" w:line="560" w:lineRule="exact"/>
        <w:ind w:firstLine="640" w:firstLine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三、支出决算表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四、财政拨款收入支出决算总表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五、财政拨款支出决算明细表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六、一般公共预算财政拨款支出决算表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七、一般公共预算财政拨款支出决算明细表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八、一般公共预算财政拨款基本支出决算明细表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九、一般公共预算财政拨款项目支出决算表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十、政府性基金预算财政拨款收入支出决算表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十一、国有资本经营预算财政拨款收入支出决算表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十二、国有资本经营预算财政拨款支出决算表</w:t>
      </w:r>
    </w:p>
    <w:p>
      <w:pPr>
        <w:pStyle w:val="14"/>
        <w:adjustRightInd w:val="0"/>
        <w:snapToGrid w:val="0"/>
        <w:spacing w:line="560" w:lineRule="exact"/>
        <w:ind w:left="0" w:leftChars="0" w:firstLine="640" w:firstLineChars="200"/>
        <w:jc w:val="left"/>
        <w:rPr>
          <w:rFonts w:eastAsia="仿宋_GB2312" w:cs="仿宋_GB2312"/>
          <w:sz w:val="32"/>
          <w:szCs w:val="32"/>
        </w:rPr>
      </w:pPr>
      <w:r>
        <w:rPr>
          <w:rFonts w:hint="eastAsia" w:eastAsia="仿宋_GB2312" w:cs="仿宋_GB2312"/>
          <w:sz w:val="32"/>
          <w:szCs w:val="32"/>
        </w:rPr>
        <w:t>十三、财政拨款“三公”经费支出决算表</w:t>
      </w:r>
    </w:p>
    <w:p>
      <w:pPr>
        <w:spacing w:before="93" w:beforeLines="30" w:after="0" w:line="240" w:lineRule="auto"/>
        <w:jc w:val="center"/>
        <w:rPr>
          <w:rFonts w:ascii="Times New Roman" w:hAnsi="Times New Roman" w:eastAsia="方正小标宋简体" w:cs="Times New Roman"/>
          <w:sz w:val="44"/>
          <w:szCs w:val="44"/>
          <w14:ligatures w14:val="none"/>
        </w:rPr>
      </w:pPr>
    </w:p>
    <w:p>
      <w:pPr>
        <w:widowControl/>
        <w:rPr>
          <w:rFonts w:ascii="Times New Roman" w:hAnsi="Times New Roman" w:eastAsia="方正小标宋简体" w:cs="方正小标宋简体"/>
          <w:bCs/>
          <w:kern w:val="44"/>
          <w:sz w:val="44"/>
          <w:szCs w:val="44"/>
          <w14:ligatures w14: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eastAsia="方正小标宋简体" w:cs="Times New Roman"/>
          <w:sz w:val="44"/>
          <w:szCs w:val="44"/>
          <w14:ligatures w14:val="none"/>
        </w:rPr>
        <w:br w:type="page"/>
      </w:r>
    </w:p>
    <w:p>
      <w:pPr>
        <w:keepNext/>
        <w:keepLines/>
        <w:spacing w:before="340" w:after="330" w:line="578" w:lineRule="auto"/>
        <w:jc w:val="center"/>
        <w:outlineLvl w:val="0"/>
        <w:rPr>
          <w:rFonts w:ascii="Times New Roman" w:hAnsi="Times New Roman" w:eastAsia="方正小标宋简体" w:cs="方正小标宋简体"/>
          <w:b/>
          <w:kern w:val="44"/>
          <w:sz w:val="44"/>
          <w:szCs w:val="44"/>
          <w14:ligatures w14:val="none"/>
        </w:rPr>
      </w:pPr>
      <w:r>
        <w:rPr>
          <w:rFonts w:hint="eastAsia" w:ascii="Times New Roman" w:hAnsi="Times New Roman" w:eastAsia="方正小标宋简体" w:cs="方正小标宋简体"/>
          <w:bCs/>
          <w:kern w:val="44"/>
          <w:sz w:val="44"/>
          <w:szCs w:val="44"/>
          <w14:ligatures w14:val="none"/>
        </w:rPr>
        <w:t xml:space="preserve">第一部分  </w:t>
      </w:r>
      <w:r>
        <w:rPr>
          <w:rFonts w:hint="eastAsia" w:ascii="Times New Roman" w:hAnsi="Times New Roman" w:eastAsia="方正小标宋简体" w:cs="方正小标宋简体"/>
          <w:kern w:val="44"/>
          <w:sz w:val="44"/>
          <w:szCs w:val="44"/>
          <w14:ligatures w14:val="none"/>
        </w:rPr>
        <w:t>单位概况</w:t>
      </w:r>
    </w:p>
    <w:p>
      <w:pPr>
        <w:widowControl/>
        <w:spacing w:after="0" w:line="240" w:lineRule="auto"/>
        <w:rPr>
          <w:rFonts w:ascii="Times New Roman" w:hAnsi="Times New Roman" w:eastAsia="黑体" w:cs="Times New Roman"/>
          <w:sz w:val="32"/>
          <w:szCs w:val="32"/>
          <w14:ligatures w14:val="none"/>
        </w:rPr>
      </w:pPr>
    </w:p>
    <w:p>
      <w:pPr>
        <w:keepNext/>
        <w:keepLines/>
        <w:numPr>
          <w:ilvl w:val="0"/>
          <w:numId w:val="1"/>
        </w:numPr>
        <w:spacing w:before="260" w:after="260" w:line="416" w:lineRule="auto"/>
        <w:jc w:val="both"/>
        <w:outlineLvl w:val="1"/>
        <w:rPr>
          <w:rFonts w:ascii="Times New Roman" w:hAnsi="Times New Roman" w:eastAsia="黑体" w:cs="Times New Roman"/>
          <w:bCs/>
          <w:sz w:val="32"/>
          <w:szCs w:val="32"/>
          <w14:ligatures w14:val="none"/>
        </w:rPr>
      </w:pPr>
      <w:r>
        <w:rPr>
          <w:rFonts w:hint="eastAsia" w:ascii="Times New Roman" w:hAnsi="Times New Roman" w:eastAsia="黑体" w:cs="Times New Roman"/>
          <w:bCs/>
          <w:sz w:val="32"/>
          <w:szCs w:val="32"/>
          <w14:ligatures w14:val="none"/>
        </w:rPr>
        <w:t>单位职责</w:t>
      </w:r>
    </w:p>
    <w:p>
      <w:pPr>
        <w:snapToGrid w:val="0"/>
        <w:spacing w:after="0" w:line="520" w:lineRule="exact"/>
        <w:ind w:firstLine="420" w:firstLineChars="200"/>
        <w:jc w:val="both"/>
        <w:rPr>
          <w:rFonts w:hint="eastAsia" w:ascii="仿宋_GB2312" w:hAnsi="仿宋" w:eastAsia="仿宋_GB2312" w:cs="Times New Roman"/>
          <w:sz w:val="32"/>
          <w:szCs w:val="32"/>
          <w14:ligatures w14:val="none"/>
        </w:rPr>
      </w:pPr>
      <w:r>
        <w:rPr>
          <w:rFonts w:hint="eastAsia" w:ascii="Times New Roman" w:hAnsi="Times New Roman" w:eastAsia="宋体" w:cs="Times New Roman"/>
          <w:sz w:val="21"/>
          <w14:ligatures w14:val="none"/>
        </w:rPr>
        <w:t xml:space="preserve">  </w:t>
      </w:r>
      <w:r>
        <w:rPr>
          <w:rFonts w:hint="eastAsia" w:ascii="仿宋_GB2312" w:hAnsi="仿宋" w:eastAsia="仿宋_GB2312" w:cs="Times New Roman"/>
          <w:sz w:val="32"/>
          <w:szCs w:val="32"/>
          <w14:ligatures w14:val="none"/>
        </w:rPr>
        <w:t>依法对全省新建、改建、扩建化工建设工程质量安全进行监督管理。</w:t>
      </w:r>
    </w:p>
    <w:p>
      <w:pPr>
        <w:spacing w:after="0" w:line="240" w:lineRule="auto"/>
        <w:jc w:val="both"/>
        <w:rPr>
          <w:rFonts w:ascii="Times New Roman" w:hAnsi="Times New Roman" w:eastAsia="宋体" w:cs="Times New Roman"/>
          <w:sz w:val="21"/>
          <w14:ligatures w14:val="none"/>
        </w:rPr>
      </w:pPr>
    </w:p>
    <w:p>
      <w:pPr>
        <w:keepNext/>
        <w:keepLines/>
        <w:spacing w:before="260" w:after="260" w:line="416" w:lineRule="auto"/>
        <w:jc w:val="both"/>
        <w:outlineLvl w:val="1"/>
        <w:rPr>
          <w:rFonts w:ascii="Times New Roman" w:hAnsi="Times New Roman" w:eastAsia="宋体" w:cs="Times New Roman"/>
          <w:sz w:val="32"/>
          <w:szCs w:val="32"/>
          <w14:ligatures w14:val="none"/>
        </w:rPr>
      </w:pPr>
      <w:bookmarkStart w:id="6" w:name="_Toc15396601"/>
      <w:bookmarkStart w:id="7" w:name="_Toc15377200"/>
      <w:r>
        <w:rPr>
          <w:rFonts w:hint="eastAsia" w:ascii="Times New Roman" w:hAnsi="Times New Roman" w:eastAsia="黑体" w:cs="Times New Roman"/>
          <w:bCs/>
          <w:sz w:val="32"/>
          <w:szCs w:val="32"/>
          <w14:ligatures w14:val="none"/>
        </w:rPr>
        <w:t>二、机</w:t>
      </w:r>
      <w:r>
        <w:rPr>
          <w:rFonts w:hint="eastAsia" w:ascii="Times New Roman" w:hAnsi="Times New Roman" w:eastAsia="黑体" w:cs="Times New Roman"/>
          <w:sz w:val="32"/>
          <w:szCs w:val="32"/>
          <w14:ligatures w14:val="none"/>
        </w:rPr>
        <w:t>构设置</w:t>
      </w:r>
      <w:bookmarkEnd w:id="6"/>
      <w:bookmarkEnd w:id="7"/>
    </w:p>
    <w:p>
      <w:pPr>
        <w:widowControl/>
        <w:spacing w:after="0" w:line="240" w:lineRule="auto"/>
        <w:ind w:firstLine="640" w:firstLineChars="200"/>
        <w:rPr>
          <w:rFonts w:hint="eastAsia" w:ascii="仿宋_GB2312" w:hAnsi="仿宋_GB2312" w:eastAsia="仿宋_GB2312" w:cs="仿宋_GB2312"/>
          <w:sz w:val="32"/>
          <w:szCs w:val="32"/>
          <w14:ligatures w14:val="none"/>
        </w:rPr>
      </w:pPr>
      <w:r>
        <w:rPr>
          <w:rFonts w:hint="eastAsia" w:ascii="仿宋_GB2312" w:hAnsi="仿宋_GB2312" w:eastAsia="仿宋_GB2312" w:cs="仿宋_GB2312"/>
          <w:sz w:val="32"/>
          <w:szCs w:val="32"/>
          <w14:ligatures w14:val="none"/>
        </w:rPr>
        <w:t>四川省化工建设工程质量安全监督站由3个内设科室组成，分别是：综合科、监督科及检验科。</w:t>
      </w:r>
    </w:p>
    <w:p>
      <w:pPr>
        <w:spacing w:before="93" w:beforeLines="30" w:after="0" w:line="240" w:lineRule="auto"/>
        <w:jc w:val="center"/>
        <w:rPr>
          <w:rFonts w:ascii="Times New Roman" w:hAnsi="Times New Roman" w:eastAsia="方正小标宋简体" w:cs="Times New Roman"/>
          <w:sz w:val="44"/>
          <w:szCs w:val="44"/>
          <w14:ligatures w14:val="none"/>
        </w:rPr>
      </w:pPr>
    </w:p>
    <w:p>
      <w:pPr>
        <w:widowControl/>
        <w:rPr>
          <w:rFonts w:ascii="Times New Roman" w:hAnsi="Times New Roman" w:eastAsia="方正小标宋简体" w:cs="Times New Roman"/>
          <w:sz w:val="44"/>
          <w:szCs w:val="44"/>
          <w14:ligatures w14:val="none"/>
        </w:rPr>
      </w:pPr>
      <w:r>
        <w:rPr>
          <w:rFonts w:ascii="Times New Roman" w:hAnsi="Times New Roman" w:eastAsia="方正小标宋简体" w:cs="Times New Roman"/>
          <w:sz w:val="44"/>
          <w:szCs w:val="44"/>
          <w14:ligatures w14:val="none"/>
        </w:rPr>
        <w:br w:type="page"/>
      </w:r>
    </w:p>
    <w:p>
      <w:pPr>
        <w:keepNext/>
        <w:keepLines/>
        <w:spacing w:before="340" w:after="330" w:line="578" w:lineRule="auto"/>
        <w:jc w:val="center"/>
        <w:outlineLvl w:val="0"/>
        <w:rPr>
          <w:rFonts w:ascii="Times New Roman" w:hAnsi="Times New Roman" w:eastAsia="方正小标宋简体" w:cs="方正小标宋简体"/>
          <w:bCs/>
          <w:kern w:val="44"/>
          <w:sz w:val="44"/>
          <w:szCs w:val="44"/>
          <w14:ligatures w14:val="none"/>
        </w:rPr>
      </w:pPr>
      <w:bookmarkStart w:id="8" w:name="_Toc15396602"/>
      <w:bookmarkStart w:id="9" w:name="_Toc15377204"/>
      <w:r>
        <w:rPr>
          <w:rFonts w:hint="eastAsia" w:ascii="Times New Roman" w:hAnsi="Times New Roman" w:eastAsia="方正小标宋简体" w:cs="方正小标宋简体"/>
          <w:bCs/>
          <w:kern w:val="44"/>
          <w:sz w:val="44"/>
          <w:szCs w:val="44"/>
          <w14:ligatures w14:val="none"/>
        </w:rPr>
        <w:t>第二部分  2024年度单位决算情况说明</w:t>
      </w:r>
      <w:bookmarkEnd w:id="8"/>
      <w:bookmarkEnd w:id="9"/>
    </w:p>
    <w:p>
      <w:pPr>
        <w:spacing w:after="0" w:line="240" w:lineRule="auto"/>
        <w:jc w:val="both"/>
        <w:rPr>
          <w:rFonts w:ascii="Times New Roman" w:hAnsi="Times New Roman" w:eastAsia="宋体" w:cs="Times New Roman"/>
          <w:sz w:val="21"/>
          <w14:ligatures w14:val="none"/>
        </w:rPr>
      </w:pPr>
    </w:p>
    <w:p>
      <w:pPr>
        <w:spacing w:after="0" w:line="600" w:lineRule="exact"/>
        <w:ind w:firstLine="640" w:firstLineChars="200"/>
        <w:jc w:val="both"/>
        <w:outlineLvl w:val="1"/>
        <w:rPr>
          <w:rFonts w:ascii="Times New Roman" w:hAnsi="Times New Roman" w:eastAsia="黑体" w:cs="Times New Roman"/>
          <w:bCs/>
          <w:sz w:val="32"/>
          <w:szCs w:val="32"/>
          <w14:ligatures w14:val="none"/>
        </w:rPr>
      </w:pPr>
      <w:bookmarkStart w:id="10" w:name="_Toc15396603"/>
      <w:bookmarkStart w:id="11" w:name="_Toc15377205"/>
      <w:r>
        <w:rPr>
          <w:rFonts w:hint="eastAsia" w:ascii="Times New Roman" w:hAnsi="Times New Roman" w:eastAsia="黑体" w:cs="Times New Roman"/>
          <w:sz w:val="32"/>
          <w:szCs w:val="32"/>
          <w14:ligatures w14:val="none"/>
        </w:rPr>
        <w:t>一、收</w:t>
      </w:r>
      <w:r>
        <w:rPr>
          <w:rFonts w:hint="eastAsia" w:ascii="Times New Roman" w:hAnsi="Times New Roman" w:eastAsia="黑体" w:cs="Times New Roman"/>
          <w:bCs/>
          <w:sz w:val="32"/>
          <w:szCs w:val="32"/>
          <w14:ligatures w14:val="none"/>
        </w:rPr>
        <w:t>入支出决算总体情况说明</w:t>
      </w:r>
      <w:bookmarkEnd w:id="10"/>
      <w:bookmarkEnd w:id="11"/>
    </w:p>
    <w:p>
      <w:pPr>
        <w:spacing w:after="0" w:line="600" w:lineRule="exact"/>
        <w:ind w:firstLine="640" w:firstLineChars="200"/>
        <w:jc w:val="both"/>
        <w:outlineLvl w:val="1"/>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drawing>
          <wp:anchor distT="0" distB="0" distL="114300" distR="114300" simplePos="0" relativeHeight="251659264" behindDoc="1" locked="0" layoutInCell="1" allowOverlap="1">
            <wp:simplePos x="0" y="0"/>
            <wp:positionH relativeFrom="column">
              <wp:posOffset>4445</wp:posOffset>
            </wp:positionH>
            <wp:positionV relativeFrom="paragraph">
              <wp:posOffset>1509395</wp:posOffset>
            </wp:positionV>
            <wp:extent cx="5274310" cy="3076575"/>
            <wp:effectExtent l="0" t="0" r="2540" b="9525"/>
            <wp:wrapTight wrapText="bothSides">
              <wp:wrapPolygon>
                <wp:start x="0" y="0"/>
                <wp:lineTo x="0" y="21533"/>
                <wp:lineTo x="21532" y="21533"/>
                <wp:lineTo x="21532" y="0"/>
                <wp:lineTo x="0" y="0"/>
              </wp:wrapPolygon>
            </wp:wrapTight>
            <wp:docPr id="26742166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Times New Roman" w:hAnsi="Times New Roman" w:eastAsia="仿宋_GB2312" w:cs="仿宋_GB2312"/>
          <w:sz w:val="32"/>
          <w:szCs w:val="32"/>
          <w14:ligatures w14:val="none"/>
        </w:rPr>
        <w:t>2024年度收入、支出总计均为</w:t>
      </w:r>
      <w:r>
        <w:rPr>
          <w:rFonts w:ascii="Times New Roman" w:hAnsi="Times New Roman" w:eastAsia="仿宋_GB2312" w:cs="Times New Roman"/>
          <w:sz w:val="32"/>
          <w:szCs w:val="32"/>
          <w14:ligatures w14:val="none"/>
        </w:rPr>
        <w:t>355</w:t>
      </w:r>
      <w:r>
        <w:rPr>
          <w:rFonts w:hint="eastAsia" w:ascii="Times New Roman" w:hAnsi="Times New Roman" w:eastAsia="仿宋_GB2312" w:cs="仿宋_GB2312"/>
          <w:sz w:val="32"/>
          <w:szCs w:val="32"/>
          <w14:ligatures w14:val="none"/>
        </w:rPr>
        <w:t>万元。与2023年度相比，收入、支出总计各增加3.21万元，增长0.9%。主要变动原因是</w:t>
      </w:r>
      <w:bookmarkStart w:id="12" w:name="OLE_LINK1"/>
      <w:r>
        <w:rPr>
          <w:rFonts w:hint="eastAsia" w:ascii="Times New Roman" w:hAnsi="Times New Roman" w:eastAsia="仿宋_GB2312" w:cs="仿宋_GB2312"/>
          <w:sz w:val="32"/>
          <w:szCs w:val="32"/>
          <w14:ligatures w14:val="none"/>
        </w:rPr>
        <w:t>单位职工社会保险费用增加</w:t>
      </w:r>
      <w:bookmarkEnd w:id="12"/>
      <w:r>
        <w:rPr>
          <w:rFonts w:hint="eastAsia" w:ascii="Times New Roman" w:hAnsi="Times New Roman" w:eastAsia="仿宋_GB2312" w:cs="仿宋_GB2312"/>
          <w:sz w:val="32"/>
          <w:szCs w:val="32"/>
          <w14:ligatures w14:val="none"/>
        </w:rPr>
        <w:t>形成。</w:t>
      </w:r>
    </w:p>
    <w:p>
      <w:pPr>
        <w:spacing w:after="0" w:line="240" w:lineRule="auto"/>
        <w:ind w:firstLine="640" w:firstLineChars="200"/>
        <w:jc w:val="center"/>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图1：收入、支出决算总计变动情况图</w:t>
      </w:r>
    </w:p>
    <w:p>
      <w:pPr>
        <w:spacing w:before="93" w:beforeLines="30" w:after="0" w:line="240" w:lineRule="auto"/>
        <w:jc w:val="center"/>
        <w:rPr>
          <w:rFonts w:ascii="Times New Roman" w:hAnsi="Times New Roman" w:eastAsia="方正小标宋简体" w:cs="Times New Roman"/>
          <w:sz w:val="44"/>
          <w:szCs w:val="44"/>
          <w14:ligatures w14:val="none"/>
        </w:rPr>
      </w:pPr>
    </w:p>
    <w:p>
      <w:pPr>
        <w:widowControl/>
        <w:rPr>
          <w:rFonts w:ascii="Times New Roman" w:hAnsi="Times New Roman" w:eastAsia="方正小标宋简体" w:cs="Times New Roman"/>
          <w:sz w:val="44"/>
          <w:szCs w:val="44"/>
          <w14:ligatures w14:val="none"/>
        </w:rPr>
      </w:pPr>
      <w:r>
        <w:rPr>
          <w:rFonts w:ascii="Times New Roman" w:hAnsi="Times New Roman" w:eastAsia="方正小标宋简体" w:cs="Times New Roman"/>
          <w:sz w:val="44"/>
          <w:szCs w:val="44"/>
          <w14:ligatures w14:val="none"/>
        </w:rPr>
        <w:br w:type="page"/>
      </w:r>
    </w:p>
    <w:p>
      <w:pPr>
        <w:spacing w:after="0" w:line="600" w:lineRule="exact"/>
        <w:ind w:firstLine="640" w:firstLineChars="200"/>
        <w:jc w:val="both"/>
        <w:outlineLvl w:val="1"/>
        <w:rPr>
          <w:rFonts w:ascii="Times New Roman" w:hAnsi="Times New Roman" w:eastAsia="黑体" w:cs="Times New Roman"/>
          <w:sz w:val="32"/>
          <w:szCs w:val="32"/>
          <w14:ligatures w14:val="none"/>
        </w:rPr>
      </w:pPr>
      <w:bookmarkStart w:id="13" w:name="_Toc15377206"/>
      <w:bookmarkStart w:id="14" w:name="_Toc15396604"/>
      <w:r>
        <w:rPr>
          <w:rFonts w:hint="eastAsia" w:ascii="Times New Roman" w:hAnsi="Times New Roman" w:eastAsia="黑体" w:cs="Times New Roman"/>
          <w:sz w:val="32"/>
          <w:szCs w:val="32"/>
          <w14:ligatures w14:val="none"/>
        </w:rPr>
        <w:t>二、收入决算情况说明</w:t>
      </w:r>
      <w:bookmarkEnd w:id="13"/>
      <w:bookmarkEnd w:id="14"/>
    </w:p>
    <w:p>
      <w:pPr>
        <w:spacing w:after="0" w:line="600" w:lineRule="exact"/>
        <w:ind w:firstLine="642" w:firstLineChars="200"/>
        <w:outlineLvl w:val="1"/>
        <w:rPr>
          <w:rFonts w:ascii="Times New Roman" w:hAnsi="Times New Roman" w:eastAsia="仿宋_GB2312" w:cs="Times New Roman"/>
          <w:b/>
          <w:bCs/>
          <w:sz w:val="32"/>
          <w:szCs w:val="32"/>
          <w14:ligatures w14:val="none"/>
        </w:rPr>
      </w:pPr>
      <w:r>
        <w:rPr>
          <w:rFonts w:ascii="Times New Roman" w:hAnsi="Times New Roman" w:eastAsia="仿宋_GB2312" w:cs="Times New Roman"/>
          <w:b/>
          <w:bCs/>
          <w:sz w:val="32"/>
          <w:szCs w:val="32"/>
          <w14:ligatures w14:val="none"/>
        </w:rPr>
        <w:drawing>
          <wp:anchor distT="0" distB="0" distL="114300" distR="114300" simplePos="0" relativeHeight="251661312" behindDoc="1" locked="0" layoutInCell="1" allowOverlap="1">
            <wp:simplePos x="0" y="0"/>
            <wp:positionH relativeFrom="column">
              <wp:posOffset>-5715</wp:posOffset>
            </wp:positionH>
            <wp:positionV relativeFrom="paragraph">
              <wp:posOffset>883920</wp:posOffset>
            </wp:positionV>
            <wp:extent cx="5262245" cy="2477135"/>
            <wp:effectExtent l="0" t="0" r="14605" b="18415"/>
            <wp:wrapTight wrapText="bothSides">
              <wp:wrapPolygon>
                <wp:start x="0" y="0"/>
                <wp:lineTo x="0" y="21594"/>
                <wp:lineTo x="21582" y="21594"/>
                <wp:lineTo x="21582" y="0"/>
                <wp:lineTo x="0" y="0"/>
              </wp:wrapPolygon>
            </wp:wrapTight>
            <wp:docPr id="40220775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ascii="Times New Roman" w:hAnsi="Times New Roman" w:eastAsia="仿宋_GB2312" w:cs="Times New Roman"/>
          <w:sz w:val="32"/>
          <w:szCs w:val="32"/>
          <w14:ligatures w14:val="none"/>
        </w:rPr>
        <w:t>2024年度本年收入合计355万元，其中：一般公共预算财政拨款收入355万元，占100%。</w:t>
      </w:r>
    </w:p>
    <w:p>
      <w:pPr>
        <w:spacing w:after="0" w:line="240" w:lineRule="auto"/>
        <w:ind w:firstLine="800" w:firstLineChars="250"/>
        <w:jc w:val="center"/>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图2：收入决算结构图</w:t>
      </w:r>
    </w:p>
    <w:p>
      <w:pPr>
        <w:spacing w:after="0" w:line="240" w:lineRule="auto"/>
        <w:ind w:firstLine="800" w:firstLineChars="250"/>
        <w:jc w:val="both"/>
        <w:rPr>
          <w:rFonts w:ascii="Times New Roman" w:hAnsi="Times New Roman" w:eastAsia="仿宋_GB2312" w:cs="仿宋_GB2312"/>
          <w:sz w:val="32"/>
          <w:szCs w:val="32"/>
          <w14:ligatures w14:val="none"/>
        </w:rPr>
      </w:pPr>
    </w:p>
    <w:p>
      <w:pPr>
        <w:spacing w:after="0" w:line="600" w:lineRule="exact"/>
        <w:ind w:firstLine="640" w:firstLineChars="200"/>
        <w:jc w:val="both"/>
        <w:outlineLvl w:val="1"/>
        <w:rPr>
          <w:rFonts w:ascii="Times New Roman" w:hAnsi="Times New Roman" w:eastAsia="黑体" w:cs="Times New Roman"/>
          <w:bCs/>
          <w:sz w:val="32"/>
          <w:szCs w:val="32"/>
          <w14:ligatures w14:val="none"/>
        </w:rPr>
      </w:pPr>
      <w:bookmarkStart w:id="15" w:name="_Toc15377207"/>
      <w:bookmarkStart w:id="16" w:name="_Toc15396605"/>
      <w:r>
        <w:rPr>
          <w:rFonts w:hint="eastAsia" w:ascii="Times New Roman" w:hAnsi="Times New Roman" w:eastAsia="黑体" w:cs="Times New Roman"/>
          <w:sz w:val="32"/>
          <w:szCs w:val="32"/>
          <w14:ligatures w14:val="none"/>
        </w:rPr>
        <w:t>三、支</w:t>
      </w:r>
      <w:r>
        <w:rPr>
          <w:rFonts w:hint="eastAsia" w:ascii="Times New Roman" w:hAnsi="Times New Roman" w:eastAsia="黑体" w:cs="Times New Roman"/>
          <w:bCs/>
          <w:sz w:val="32"/>
          <w:szCs w:val="32"/>
          <w14:ligatures w14:val="none"/>
        </w:rPr>
        <w:t>出决算情况说明</w:t>
      </w:r>
      <w:bookmarkEnd w:id="15"/>
      <w:bookmarkEnd w:id="16"/>
    </w:p>
    <w:p>
      <w:pPr>
        <w:spacing w:after="0" w:line="600" w:lineRule="exact"/>
        <w:ind w:firstLine="640" w:firstLineChars="200"/>
        <w:outlineLvl w:val="1"/>
        <w:rPr>
          <w:rFonts w:hint="eastAsia" w:ascii="仿宋_GB2312" w:hAnsi="仿宋_GB2312" w:eastAsia="仿宋_GB2312" w:cs="仿宋_GB2312"/>
          <w:sz w:val="32"/>
          <w:szCs w:val="32"/>
          <w14:ligatures w14:val="none"/>
        </w:rPr>
      </w:pPr>
      <w:r>
        <w:rPr>
          <w:rFonts w:ascii="Times New Roman" w:hAnsi="Times New Roman" w:eastAsia="仿宋_GB2312" w:cs="Times New Roman"/>
          <w:sz w:val="32"/>
          <w:szCs w:val="32"/>
          <w14:ligatures w14:val="none"/>
        </w:rPr>
        <w:drawing>
          <wp:anchor distT="0" distB="0" distL="114300" distR="114300" simplePos="0" relativeHeight="251662336" behindDoc="1" locked="0" layoutInCell="1" allowOverlap="1">
            <wp:simplePos x="0" y="0"/>
            <wp:positionH relativeFrom="column">
              <wp:posOffset>-5715</wp:posOffset>
            </wp:positionH>
            <wp:positionV relativeFrom="paragraph">
              <wp:posOffset>924560</wp:posOffset>
            </wp:positionV>
            <wp:extent cx="5262245" cy="2455545"/>
            <wp:effectExtent l="0" t="0" r="14605" b="1905"/>
            <wp:wrapTight wrapText="bothSides">
              <wp:wrapPolygon>
                <wp:start x="0" y="0"/>
                <wp:lineTo x="0" y="21449"/>
                <wp:lineTo x="21582" y="21449"/>
                <wp:lineTo x="21582" y="0"/>
                <wp:lineTo x="0" y="0"/>
              </wp:wrapPolygon>
            </wp:wrapTight>
            <wp:docPr id="78353023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ascii="Times New Roman" w:hAnsi="Times New Roman" w:eastAsia="仿宋_GB2312" w:cs="Times New Roman"/>
          <w:sz w:val="32"/>
          <w:szCs w:val="32"/>
          <w14:ligatures w14:val="none"/>
        </w:rPr>
        <w:t>2024年度本年支出合计355万元，其中：基本支出355万元，占100%。</w:t>
      </w:r>
    </w:p>
    <w:p>
      <w:pPr>
        <w:spacing w:after="0" w:line="600" w:lineRule="exact"/>
        <w:ind w:firstLine="640" w:firstLineChars="200"/>
        <w:jc w:val="center"/>
        <w:outlineLvl w:val="1"/>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图3：支出决算结构图</w:t>
      </w:r>
    </w:p>
    <w:p>
      <w:pPr>
        <w:spacing w:after="0" w:line="600" w:lineRule="exact"/>
        <w:ind w:firstLine="640" w:firstLineChars="200"/>
        <w:jc w:val="both"/>
        <w:outlineLvl w:val="1"/>
        <w:rPr>
          <w:rFonts w:ascii="Times New Roman" w:hAnsi="Times New Roman" w:eastAsia="黑体" w:cs="Times New Roman"/>
          <w:bCs/>
          <w:sz w:val="32"/>
          <w:szCs w:val="32"/>
          <w14:ligatures w14:val="none"/>
        </w:rPr>
      </w:pPr>
      <w:bookmarkStart w:id="17" w:name="_Toc15377208"/>
      <w:bookmarkStart w:id="18" w:name="_Toc15396606"/>
      <w:r>
        <w:rPr>
          <w:rFonts w:hint="eastAsia" w:ascii="Times New Roman" w:hAnsi="Times New Roman" w:eastAsia="黑体" w:cs="Times New Roman"/>
          <w:sz w:val="32"/>
          <w:szCs w:val="32"/>
          <w14:ligatures w14:val="none"/>
        </w:rPr>
        <w:t>四、财</w:t>
      </w:r>
      <w:r>
        <w:rPr>
          <w:rFonts w:hint="eastAsia" w:ascii="Times New Roman" w:hAnsi="Times New Roman" w:eastAsia="黑体" w:cs="Times New Roman"/>
          <w:bCs/>
          <w:sz w:val="32"/>
          <w:szCs w:val="32"/>
          <w14:ligatures w14:val="none"/>
        </w:rPr>
        <w:t>政拨款收入支出决算总体情况说明</w:t>
      </w:r>
      <w:bookmarkEnd w:id="17"/>
      <w:bookmarkEnd w:id="18"/>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2024年度财政拨款收入、支出总计均为355万元。与2023年度相比，财政拨款收入总计、支出总计各增加3.21万元，增长0.9%。主要变动原因是单位职工社会保险费用增加形成。</w:t>
      </w:r>
    </w:p>
    <w:p>
      <w:pPr>
        <w:snapToGrid w:val="0"/>
        <w:spacing w:after="0" w:line="240" w:lineRule="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drawing>
          <wp:inline distT="0" distB="0" distL="0" distR="0">
            <wp:extent cx="5274310" cy="3076575"/>
            <wp:effectExtent l="0" t="0" r="2540" b="9525"/>
            <wp:docPr id="29940539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after="0" w:line="600" w:lineRule="exact"/>
        <w:ind w:firstLine="640" w:firstLineChars="200"/>
        <w:jc w:val="center"/>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图4：财政拨款收、支决算总计变动情况</w:t>
      </w:r>
    </w:p>
    <w:p>
      <w:pPr>
        <w:spacing w:after="0" w:line="600" w:lineRule="exact"/>
        <w:ind w:firstLine="640"/>
        <w:jc w:val="both"/>
        <w:rPr>
          <w:rFonts w:ascii="Times New Roman" w:hAnsi="Times New Roman" w:eastAsia="仿宋_GB2312" w:cs="仿宋_GB2312"/>
          <w:sz w:val="32"/>
          <w:szCs w:val="32"/>
          <w14:ligatures w14:val="none"/>
        </w:rPr>
      </w:pPr>
    </w:p>
    <w:p>
      <w:pPr>
        <w:spacing w:after="0" w:line="600" w:lineRule="exact"/>
        <w:ind w:firstLine="640" w:firstLineChars="200"/>
        <w:jc w:val="both"/>
        <w:outlineLvl w:val="1"/>
        <w:rPr>
          <w:rFonts w:ascii="Times New Roman" w:hAnsi="Times New Roman" w:eastAsia="黑体" w:cs="Times New Roman"/>
          <w:bCs/>
          <w:sz w:val="32"/>
          <w:szCs w:val="32"/>
          <w14:ligatures w14:val="none"/>
        </w:rPr>
      </w:pPr>
      <w:bookmarkStart w:id="19" w:name="_Toc15377209"/>
      <w:bookmarkStart w:id="20" w:name="_Toc15396607"/>
      <w:r>
        <w:rPr>
          <w:rFonts w:hint="eastAsia" w:ascii="Times New Roman" w:hAnsi="Times New Roman" w:eastAsia="黑体" w:cs="Times New Roman"/>
          <w:sz w:val="32"/>
          <w:szCs w:val="32"/>
          <w14:ligatures w14:val="none"/>
        </w:rPr>
        <w:t>五、</w:t>
      </w:r>
      <w:r>
        <w:rPr>
          <w:rFonts w:hint="eastAsia" w:ascii="Times New Roman" w:hAnsi="Times New Roman" w:eastAsia="黑体" w:cs="Times New Roman"/>
          <w:b/>
          <w:sz w:val="32"/>
          <w:szCs w:val="32"/>
          <w14:ligatures w14:val="none"/>
        </w:rPr>
        <w:t>一</w:t>
      </w:r>
      <w:r>
        <w:rPr>
          <w:rFonts w:hint="eastAsia" w:ascii="Times New Roman" w:hAnsi="Times New Roman" w:eastAsia="黑体" w:cs="Times New Roman"/>
          <w:bCs/>
          <w:sz w:val="32"/>
          <w:szCs w:val="32"/>
          <w14:ligatures w14:val="none"/>
        </w:rPr>
        <w:t>般公共预算财政拨款支出决算情况说明</w:t>
      </w:r>
      <w:bookmarkEnd w:id="19"/>
      <w:bookmarkEnd w:id="20"/>
    </w:p>
    <w:p>
      <w:pPr>
        <w:spacing w:after="0" w:line="600" w:lineRule="exact"/>
        <w:ind w:firstLine="642" w:firstLineChars="200"/>
        <w:jc w:val="both"/>
        <w:outlineLvl w:val="2"/>
        <w:rPr>
          <w:rFonts w:ascii="Times New Roman" w:hAnsi="Times New Roman" w:eastAsia="楷体_GB2312" w:cs="楷体_GB2312"/>
          <w:b/>
          <w:sz w:val="32"/>
          <w:szCs w:val="32"/>
          <w14:ligatures w14:val="none"/>
        </w:rPr>
      </w:pPr>
      <w:bookmarkStart w:id="21" w:name="_Toc15377210"/>
      <w:r>
        <w:rPr>
          <w:rFonts w:hint="eastAsia" w:ascii="Times New Roman" w:hAnsi="Times New Roman" w:eastAsia="楷体_GB2312" w:cs="楷体_GB2312"/>
          <w:b/>
          <w:sz w:val="32"/>
          <w:szCs w:val="32"/>
          <w14:ligatures w14:val="none"/>
        </w:rPr>
        <w:t>（一）一般公共预算财政拨款支出决算总体情况</w:t>
      </w:r>
      <w:bookmarkEnd w:id="21"/>
    </w:p>
    <w:p>
      <w:pPr>
        <w:spacing w:after="0" w:line="600" w:lineRule="exact"/>
        <w:ind w:firstLine="640"/>
        <w:jc w:val="both"/>
        <w:rPr>
          <w:rFonts w:ascii="Times New Roman" w:hAnsi="Times New Roman" w:eastAsia="仿宋_GB2312" w:cs="仿宋_GB2312"/>
          <w:sz w:val="32"/>
          <w:szCs w:val="32"/>
          <w14:ligatures w14:val="none"/>
        </w:rPr>
      </w:pPr>
      <w:r>
        <w:rPr>
          <w:rFonts w:ascii="Times New Roman" w:hAnsi="Times New Roman" w:eastAsia="仿宋_GB2312" w:cs="Times New Roman"/>
          <w:sz w:val="32"/>
          <w:szCs w:val="32"/>
          <w14:ligatures w14:val="none"/>
        </w:rPr>
        <w:t>2024年度一般公共预算财政拨款支出355万元，占本年支出合计的100%。与2023年度相比，一般公共预算财政拨款支出增加3.21万元，增长0.9%。主要变动原因是单位职工社会保险费用增加。</w:t>
      </w:r>
    </w:p>
    <w:p>
      <w:pPr>
        <w:spacing w:after="120" w:line="240" w:lineRule="auto"/>
        <w:jc w:val="center"/>
        <w:rPr>
          <w:rFonts w:ascii="仿宋_GB2312" w:hAnsi="Times New Roman" w:eastAsia="宋体" w:cs="Times New Roman"/>
          <w:sz w:val="21"/>
          <w:szCs w:val="32"/>
          <w14:ligatures w14:val="none"/>
        </w:rPr>
      </w:pPr>
      <w:r>
        <w:rPr>
          <w:rFonts w:hint="eastAsia" w:ascii="仿宋_GB2312" w:hAnsi="Times New Roman" w:eastAsia="宋体" w:cs="Times New Roman"/>
          <w:sz w:val="21"/>
          <w:szCs w:val="32"/>
          <w14:ligatures w14:val="none"/>
        </w:rPr>
        <w:drawing>
          <wp:anchor distT="0" distB="0" distL="114300" distR="114300" simplePos="0" relativeHeight="251664384" behindDoc="1" locked="0" layoutInCell="1" allowOverlap="1">
            <wp:simplePos x="0" y="0"/>
            <wp:positionH relativeFrom="column">
              <wp:posOffset>15240</wp:posOffset>
            </wp:positionH>
            <wp:positionV relativeFrom="paragraph">
              <wp:posOffset>0</wp:posOffset>
            </wp:positionV>
            <wp:extent cx="5274310" cy="3076575"/>
            <wp:effectExtent l="0" t="0" r="2540" b="9525"/>
            <wp:wrapTight wrapText="bothSides">
              <wp:wrapPolygon>
                <wp:start x="0" y="0"/>
                <wp:lineTo x="0" y="21533"/>
                <wp:lineTo x="21532" y="21533"/>
                <wp:lineTo x="21532" y="0"/>
                <wp:lineTo x="0" y="0"/>
              </wp:wrapPolygon>
            </wp:wrapTight>
            <wp:docPr id="157212930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Pr>
          <w:rFonts w:hint="eastAsia" w:ascii="Times New Roman" w:hAnsi="Times New Roman" w:eastAsia="仿宋_GB2312" w:cs="仿宋_GB2312"/>
          <w:sz w:val="32"/>
          <w:szCs w:val="32"/>
          <w14:ligatures w14:val="none"/>
        </w:rPr>
        <w:t>图5：一般公共预算财政拨款支出决算变动情况</w:t>
      </w:r>
    </w:p>
    <w:p>
      <w:pPr>
        <w:spacing w:after="0" w:line="600" w:lineRule="exact"/>
        <w:ind w:firstLine="640"/>
        <w:jc w:val="both"/>
        <w:rPr>
          <w:rFonts w:ascii="Times New Roman" w:hAnsi="Times New Roman" w:eastAsia="仿宋_GB2312" w:cs="仿宋_GB2312"/>
          <w:sz w:val="32"/>
          <w:szCs w:val="32"/>
          <w14:ligatures w14:val="none"/>
        </w:rPr>
      </w:pPr>
    </w:p>
    <w:p>
      <w:pPr>
        <w:spacing w:after="0" w:line="600" w:lineRule="exact"/>
        <w:ind w:firstLine="642" w:firstLineChars="200"/>
        <w:jc w:val="both"/>
        <w:outlineLvl w:val="2"/>
        <w:rPr>
          <w:rFonts w:ascii="Times New Roman" w:hAnsi="Times New Roman" w:eastAsia="楷体_GB2312" w:cs="楷体_GB2312"/>
          <w:b/>
          <w:sz w:val="32"/>
          <w:szCs w:val="32"/>
          <w14:ligatures w14:val="none"/>
        </w:rPr>
      </w:pPr>
      <w:bookmarkStart w:id="22" w:name="_Toc15377211"/>
      <w:r>
        <w:rPr>
          <w:rFonts w:hint="eastAsia" w:ascii="Times New Roman" w:hAnsi="Times New Roman" w:eastAsia="楷体_GB2312" w:cs="楷体_GB2312"/>
          <w:b/>
          <w:sz w:val="32"/>
          <w:szCs w:val="32"/>
          <w14:ligatures w14:val="none"/>
        </w:rPr>
        <w:t>（二）一般公共预算财政拨款支出决算结构情况</w:t>
      </w:r>
      <w:bookmarkEnd w:id="22"/>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2024年度一般公共预算财政拨款支出355万元，主要用于以下方面：教育支出0.87万元，占0.2%；社会保障和就业支出71.52万元，占20.2%；卫生健康支出15.69万元，占4.4%；城乡社区支出244.23万元，占68.8%；住房保障支出22.69万元，占6.4%。</w:t>
      </w:r>
    </w:p>
    <w:p>
      <w:pPr>
        <w:snapToGrid w:val="0"/>
        <w:spacing w:after="0" w:line="240" w:lineRule="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drawing>
          <wp:anchor distT="0" distB="0" distL="114300" distR="114300" simplePos="0" relativeHeight="251665408" behindDoc="1" locked="0" layoutInCell="1" allowOverlap="1">
            <wp:simplePos x="0" y="0"/>
            <wp:positionH relativeFrom="column">
              <wp:posOffset>5080</wp:posOffset>
            </wp:positionH>
            <wp:positionV relativeFrom="paragraph">
              <wp:posOffset>186055</wp:posOffset>
            </wp:positionV>
            <wp:extent cx="5358765" cy="2158365"/>
            <wp:effectExtent l="0" t="0" r="13335" b="13335"/>
            <wp:wrapTight wrapText="bothSides">
              <wp:wrapPolygon>
                <wp:start x="0" y="0"/>
                <wp:lineTo x="0" y="21543"/>
                <wp:lineTo x="21577" y="21543"/>
                <wp:lineTo x="21577" y="0"/>
                <wp:lineTo x="0" y="0"/>
              </wp:wrapPolygon>
            </wp:wrapTight>
            <wp:docPr id="19923936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pPr>
        <w:spacing w:before="93" w:beforeLines="30" w:after="0" w:line="240" w:lineRule="auto"/>
        <w:jc w:val="center"/>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图6：一般公共预算财政拨款支出决算结构</w:t>
      </w:r>
    </w:p>
    <w:p>
      <w:pPr>
        <w:spacing w:after="0" w:line="600" w:lineRule="exact"/>
        <w:ind w:firstLine="642" w:firstLineChars="200"/>
        <w:jc w:val="both"/>
        <w:outlineLvl w:val="2"/>
        <w:rPr>
          <w:rFonts w:ascii="Times New Roman" w:hAnsi="Times New Roman" w:eastAsia="楷体_GB2312" w:cs="楷体_GB2312"/>
          <w:b/>
          <w:sz w:val="32"/>
          <w:szCs w:val="32"/>
          <w14:ligatures w14:val="none"/>
        </w:rPr>
      </w:pPr>
      <w:bookmarkStart w:id="23" w:name="_Toc15377212"/>
      <w:r>
        <w:rPr>
          <w:rFonts w:hint="eastAsia" w:ascii="Times New Roman" w:hAnsi="Times New Roman" w:eastAsia="楷体_GB2312" w:cs="楷体_GB2312"/>
          <w:b/>
          <w:sz w:val="32"/>
          <w:szCs w:val="32"/>
          <w14:ligatures w14:val="none"/>
        </w:rPr>
        <w:t>（三）一般公共预算财政拨款支出决算具体情况</w:t>
      </w:r>
      <w:bookmarkEnd w:id="23"/>
    </w:p>
    <w:p>
      <w:pPr>
        <w:spacing w:after="0" w:line="600" w:lineRule="exact"/>
        <w:ind w:firstLine="640"/>
        <w:jc w:val="both"/>
        <w:rPr>
          <w:rFonts w:ascii="Times New Roman" w:hAnsi="Times New Roman" w:eastAsia="仿宋_GB2312" w:cs="Times New Roman"/>
          <w:sz w:val="32"/>
          <w:szCs w:val="32"/>
          <w14:ligatures w14:val="none"/>
        </w:rPr>
      </w:pPr>
      <w:bookmarkStart w:id="24" w:name="_Toc15377444"/>
      <w:bookmarkStart w:id="25" w:name="_Toc15377213"/>
      <w:bookmarkStart w:id="26" w:name="_Toc15378460"/>
      <w:r>
        <w:rPr>
          <w:rFonts w:ascii="Times New Roman" w:hAnsi="Times New Roman" w:eastAsia="仿宋_GB2312" w:cs="Times New Roman"/>
          <w:sz w:val="32"/>
          <w:szCs w:val="32"/>
          <w14:ligatures w14:val="none"/>
        </w:rPr>
        <w:t>2024年度一般公共预算财政拨款支出决算数为355，完成预算96%。其中：</w:t>
      </w:r>
      <w:bookmarkEnd w:id="24"/>
      <w:bookmarkEnd w:id="25"/>
      <w:bookmarkEnd w:id="26"/>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1.教育（类）进修及培训（款）培训支出（项）: 支出决算为0.87万元，完成预算58%，决算数小于预算数的主要原因是部分培训原定于2024年举行延期至2025年，相应培训费减少。</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 xml:space="preserve">2.社会保障和就业（类）行政事业单位养老支出（款）事业单位离退休（项）：支出决算为16.2万元，完成预算100%。 </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3.社会保障和就业（类）行政事业单位养老支出（款）机关事业单位基本养老保险缴费支出（项）：支出决算为30.24万元，完成预算99.8%，决算数小于预算数的主要原因是年度预算执行中有变化，导致预算执行未完成。</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4.社会保障和就业（类）行政事业单位养老支出（款）机关事业单位职业年金缴费支出（项）：支出决算为15.12万元，完成预算99.5%，决算数小于预算数的主要原因是年度预算执行中有变化，导致预算执行未完成。</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5.社会保障和就业（类）抚恤（款）死亡抚恤（项）：支出决算为5.76万元，完成预算96%，决算数小于预算数的主要原因是年度预算执行中有变化，导致预算执行未完成。</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6.社会保障和就业（类）其他社会保障和就业支出（款）其他社会保障和就业支出（项）：支出决算为4.2万元，完成预算97.7%，决算数小于预算数的主要原因是年度预算执行中有变化，导致预算执行未完成。</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7.卫生健康（类）行政事业单位医疗（款）事业单位医疗（项）：支出决算为15.69万元，完成预算99.6%，决算数小于预算数的主要原因是年度预算执行中有变化，导致预算执行未完成。</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8.城乡社区支出（类）建设市场管理与监督（款）建设市场管理与监督（项）：支出决算为244.23万元，完成预算96.7%，决算数小于预算数的主要原因是年初将基本工资调标额按预估数编入预算，而实际调标额比年初预算数有所减少。</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9.住房保障支出（类）住房改革支出（款）住房公积金（项）：支出决算为22.69万元，完成预算99.5%，决算数小于预算数的主要原因是年度预算执行中有变化，导致预算执行未完成。</w:t>
      </w:r>
    </w:p>
    <w:p>
      <w:pPr>
        <w:tabs>
          <w:tab w:val="right" w:pos="8306"/>
        </w:tabs>
        <w:spacing w:after="0" w:line="600" w:lineRule="exact"/>
        <w:ind w:firstLine="640"/>
        <w:jc w:val="both"/>
        <w:outlineLvl w:val="1"/>
        <w:rPr>
          <w:rFonts w:ascii="Times New Roman" w:hAnsi="Times New Roman" w:eastAsia="宋体" w:cs="Times New Roman"/>
          <w:b/>
          <w:bCs/>
          <w:sz w:val="32"/>
          <w:szCs w:val="32"/>
          <w14:ligatures w14:val="none"/>
        </w:rPr>
      </w:pPr>
      <w:bookmarkStart w:id="27" w:name="_Toc15396608"/>
      <w:bookmarkStart w:id="28" w:name="_Toc15377214"/>
      <w:r>
        <w:rPr>
          <w:rFonts w:hint="eastAsia" w:ascii="Times New Roman" w:hAnsi="Times New Roman" w:eastAsia="黑体" w:cs="Times New Roman"/>
          <w:sz w:val="32"/>
          <w:szCs w:val="32"/>
          <w14:ligatures w14:val="none"/>
        </w:rPr>
        <w:t>六</w:t>
      </w:r>
      <w:r>
        <w:rPr>
          <w:rFonts w:hint="eastAsia" w:ascii="Times New Roman" w:hAnsi="Times New Roman" w:eastAsia="黑体" w:cs="Times New Roman"/>
          <w:b/>
          <w:sz w:val="32"/>
          <w:szCs w:val="32"/>
          <w14:ligatures w14:val="none"/>
        </w:rPr>
        <w:t>、一</w:t>
      </w:r>
      <w:r>
        <w:rPr>
          <w:rFonts w:hint="eastAsia" w:ascii="Times New Roman" w:hAnsi="Times New Roman" w:eastAsia="黑体" w:cs="Times New Roman"/>
          <w:bCs/>
          <w:sz w:val="32"/>
          <w:szCs w:val="32"/>
          <w14:ligatures w14:val="none"/>
        </w:rPr>
        <w:t>般公共预算财政拨款基本支出决算情况说明</w:t>
      </w:r>
      <w:bookmarkEnd w:id="27"/>
      <w:bookmarkEnd w:id="28"/>
      <w:r>
        <w:rPr>
          <w:rFonts w:ascii="Times New Roman" w:hAnsi="Times New Roman" w:eastAsia="黑体" w:cs="Times New Roman"/>
          <w:bCs/>
          <w:sz w:val="32"/>
          <w:szCs w:val="32"/>
          <w14:ligatures w14:val="none"/>
        </w:rPr>
        <w:tab/>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2024年度一般公共预算财政拨款基本支出355万元，其中：</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人员经费310.83万元，主要包括：基本工资、津贴补贴、绩效工资、机关事业单位基本养老保险缴费、职业年金缴费、职工基本医疗保险缴费、其他社会保障缴费、其他工资福利支出、住房公积金、抚恤金、生活补助、奖励金等。</w:t>
      </w:r>
      <w:r>
        <w:rPr>
          <w:rFonts w:ascii="Times New Roman" w:hAnsi="Times New Roman" w:eastAsia="仿宋_GB2312" w:cs="Times New Roman"/>
          <w:sz w:val="32"/>
          <w:szCs w:val="32"/>
          <w14:ligatures w14:val="none"/>
        </w:rPr>
        <w:br w:type="textWrapping"/>
      </w:r>
      <w:r>
        <w:rPr>
          <w:rFonts w:ascii="Times New Roman" w:hAnsi="Times New Roman" w:eastAsia="仿宋_GB2312" w:cs="Times New Roman"/>
          <w:sz w:val="32"/>
          <w:szCs w:val="32"/>
          <w14:ligatures w14:val="none"/>
        </w:rPr>
        <w:t>　　公用经费44.16万元，主要包括：办公费、电费、邮电费、差旅费、会议费、培训费、劳务费、委托业务费、工会经费、福利费、公务用车运行维护费、其他商品和服务支出等。</w:t>
      </w:r>
    </w:p>
    <w:p>
      <w:pPr>
        <w:spacing w:after="120" w:line="240" w:lineRule="auto"/>
        <w:jc w:val="both"/>
        <w:rPr>
          <w:rFonts w:ascii="仿宋_GB2312" w:hAnsi="Times New Roman" w:eastAsia="宋体" w:cs="Times New Roman"/>
          <w:sz w:val="21"/>
          <w:szCs w:val="32"/>
          <w14:ligatures w14:val="none"/>
        </w:rPr>
      </w:pPr>
    </w:p>
    <w:p>
      <w:pPr>
        <w:spacing w:after="0" w:line="600" w:lineRule="exact"/>
        <w:ind w:firstLine="640"/>
        <w:jc w:val="both"/>
        <w:outlineLvl w:val="1"/>
        <w:rPr>
          <w:rFonts w:ascii="Times New Roman" w:hAnsi="Times New Roman" w:eastAsia="黑体" w:cs="Times New Roman"/>
          <w:bCs/>
          <w:sz w:val="32"/>
          <w:szCs w:val="32"/>
          <w14:ligatures w14:val="none"/>
        </w:rPr>
      </w:pPr>
      <w:bookmarkStart w:id="29" w:name="_Toc15377215"/>
      <w:bookmarkStart w:id="30" w:name="_Toc15396609"/>
      <w:r>
        <w:rPr>
          <w:rFonts w:hint="eastAsia" w:ascii="Times New Roman" w:hAnsi="Times New Roman" w:eastAsia="黑体" w:cs="Times New Roman"/>
          <w:sz w:val="32"/>
          <w:szCs w:val="32"/>
          <w14:ligatures w14:val="none"/>
        </w:rPr>
        <w:t>七、</w:t>
      </w:r>
      <w:r>
        <w:rPr>
          <w:rFonts w:hint="eastAsia" w:ascii="Times New Roman" w:hAnsi="Times New Roman" w:eastAsia="黑体" w:cs="Times New Roman"/>
          <w:bCs/>
          <w:sz w:val="32"/>
          <w:szCs w:val="32"/>
          <w14:ligatures w14:val="none"/>
        </w:rPr>
        <w:t>财政拨款</w:t>
      </w:r>
      <w:r>
        <w:rPr>
          <w:rFonts w:hint="eastAsia" w:ascii="Times New Roman" w:hAnsi="Times New Roman" w:eastAsia="黑体" w:cs="Times New Roman"/>
          <w:b/>
          <w:bCs/>
          <w:sz w:val="32"/>
          <w:szCs w:val="32"/>
          <w14:ligatures w14:val="none"/>
        </w:rPr>
        <w:t>“</w:t>
      </w:r>
      <w:r>
        <w:rPr>
          <w:rFonts w:hint="eastAsia" w:ascii="Times New Roman" w:hAnsi="Times New Roman" w:eastAsia="黑体" w:cs="Times New Roman"/>
          <w:bCs/>
          <w:sz w:val="32"/>
          <w:szCs w:val="32"/>
          <w14:ligatures w14:val="none"/>
        </w:rPr>
        <w:t>三公”经费支出决算情况说明</w:t>
      </w:r>
      <w:bookmarkEnd w:id="29"/>
      <w:bookmarkEnd w:id="30"/>
    </w:p>
    <w:p>
      <w:pPr>
        <w:spacing w:after="0" w:line="600" w:lineRule="exact"/>
        <w:ind w:firstLine="642" w:firstLineChars="200"/>
        <w:jc w:val="both"/>
        <w:outlineLvl w:val="2"/>
        <w:rPr>
          <w:rFonts w:ascii="Times New Roman" w:hAnsi="Times New Roman" w:eastAsia="楷体_GB2312" w:cs="楷体_GB2312"/>
          <w:b/>
          <w:sz w:val="32"/>
          <w:szCs w:val="32"/>
          <w14:ligatures w14:val="none"/>
        </w:rPr>
      </w:pPr>
      <w:bookmarkStart w:id="31" w:name="_Toc15377216"/>
      <w:r>
        <w:rPr>
          <w:rFonts w:hint="eastAsia" w:ascii="Times New Roman" w:hAnsi="Times New Roman" w:eastAsia="楷体_GB2312" w:cs="楷体_GB2312"/>
          <w:b/>
          <w:sz w:val="32"/>
          <w:szCs w:val="32"/>
          <w14:ligatures w14:val="none"/>
        </w:rPr>
        <w:t>（一）“三公”经费财政拨款支出决算总体情况说明</w:t>
      </w:r>
      <w:bookmarkEnd w:id="31"/>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2024年度“三公”经费财政拨款支出决算为3.81万元，完成预算98.2%，较上年度减少0.06万元，减少1.6%。决算数小于预算数的主要原因是公务用车车辆保险费减少。</w:t>
      </w:r>
    </w:p>
    <w:p>
      <w:pPr>
        <w:spacing w:after="0" w:line="600" w:lineRule="exact"/>
        <w:ind w:firstLine="642" w:firstLineChars="200"/>
        <w:jc w:val="both"/>
        <w:outlineLvl w:val="2"/>
        <w:rPr>
          <w:rFonts w:ascii="Times New Roman" w:hAnsi="Times New Roman" w:eastAsia="楷体_GB2312" w:cs="楷体_GB2312"/>
          <w:b/>
          <w:sz w:val="32"/>
          <w:szCs w:val="32"/>
          <w14:ligatures w14:val="none"/>
        </w:rPr>
      </w:pPr>
      <w:bookmarkStart w:id="32" w:name="_Toc15377217"/>
      <w:r>
        <w:rPr>
          <w:rFonts w:hint="eastAsia" w:ascii="Times New Roman" w:hAnsi="Times New Roman" w:eastAsia="楷体_GB2312" w:cs="楷体_GB2312"/>
          <w:b/>
          <w:sz w:val="32"/>
          <w:szCs w:val="32"/>
          <w14:ligatures w14:val="none"/>
        </w:rPr>
        <w:t>（二）“三公”经费财政拨款支出决算具体情况说明</w:t>
      </w:r>
      <w:bookmarkEnd w:id="32"/>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2024年度“三公”经费财政拨款支出决算中，因公出国（境）费支出决算0万元，占0%；公务用车购置及运行维护费支出决算3.81万元，占100%；公务接待费支出决算0万元，占0%。具体情况如下：</w:t>
      </w:r>
    </w:p>
    <w:p>
      <w:pPr>
        <w:snapToGrid w:val="0"/>
        <w:spacing w:after="0" w:line="240" w:lineRule="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drawing>
          <wp:anchor distT="0" distB="0" distL="114300" distR="114300" simplePos="0" relativeHeight="251667456" behindDoc="1" locked="0" layoutInCell="1" allowOverlap="1">
            <wp:simplePos x="0" y="0"/>
            <wp:positionH relativeFrom="column">
              <wp:posOffset>4445</wp:posOffset>
            </wp:positionH>
            <wp:positionV relativeFrom="paragraph">
              <wp:posOffset>217170</wp:posOffset>
            </wp:positionV>
            <wp:extent cx="5274310" cy="3076575"/>
            <wp:effectExtent l="0" t="0" r="2540" b="9525"/>
            <wp:wrapTight wrapText="bothSides">
              <wp:wrapPolygon>
                <wp:start x="0" y="0"/>
                <wp:lineTo x="0" y="21533"/>
                <wp:lineTo x="21532" y="21533"/>
                <wp:lineTo x="21532" y="0"/>
                <wp:lineTo x="0" y="0"/>
              </wp:wrapPolygon>
            </wp:wrapTight>
            <wp:docPr id="21949909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pPr>
        <w:spacing w:after="0" w:line="600" w:lineRule="exact"/>
        <w:jc w:val="center"/>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图7：“三公”经费财政拨款支出结构</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b/>
          <w:bCs/>
          <w:sz w:val="32"/>
          <w:szCs w:val="32"/>
          <w14:ligatures w14:val="none"/>
        </w:rPr>
        <w:t>1.因公出国（境）经费支出0万元。</w:t>
      </w:r>
      <w:r>
        <w:rPr>
          <w:rFonts w:ascii="Times New Roman" w:hAnsi="Times New Roman" w:eastAsia="仿宋_GB2312" w:cs="Times New Roman"/>
          <w:sz w:val="32"/>
          <w:szCs w:val="32"/>
          <w14:ligatures w14:val="none"/>
        </w:rPr>
        <w:t>全年安排因公出国（境）团组0次，出国（境）0人。因公出国（境）支出决算与2023年决算数持平。</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b/>
          <w:bCs/>
          <w:sz w:val="32"/>
          <w:szCs w:val="32"/>
          <w14:ligatures w14:val="none"/>
        </w:rPr>
        <w:t>2.公务用车购置及运行维护费支出3.81万元，完成预算98.2%。</w:t>
      </w:r>
      <w:r>
        <w:rPr>
          <w:rFonts w:ascii="Times New Roman" w:hAnsi="Times New Roman" w:eastAsia="仿宋_GB2312" w:cs="Times New Roman"/>
          <w:sz w:val="32"/>
          <w:szCs w:val="32"/>
          <w14:ligatures w14:val="none"/>
        </w:rPr>
        <w:t>公务用车购置及运行维护费支出决算比2023年度减少0.06万元，下降1.6%。主要原因是公务用车车辆保险费减少。</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其中：公务用车购置支出0万元。全年按规定更新购置公务用车0辆，其中：轿车0辆、金额0万元，越野车0辆、金额0万元，载客汽车0辆、金额0万元。截至2024年12月31日，单位共有公务用车1辆，其中：轿车1辆、越野车0辆、载客汽车0辆。</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公务用车运行维护费支出3.81万元。主要用于化工建设工程质量安全监督及特种设备检验检测等所需的公务用车燃料费、维修费、过路过桥费、保险费等支出。</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b/>
          <w:bCs/>
          <w:sz w:val="32"/>
          <w:szCs w:val="32"/>
          <w14:ligatures w14:val="none"/>
        </w:rPr>
        <w:t>3.公务接待费支出0万元。</w:t>
      </w:r>
      <w:r>
        <w:rPr>
          <w:rFonts w:ascii="Times New Roman" w:hAnsi="Times New Roman" w:eastAsia="仿宋_GB2312" w:cs="Times New Roman"/>
          <w:sz w:val="32"/>
          <w:szCs w:val="32"/>
          <w14:ligatures w14:val="none"/>
        </w:rPr>
        <w:t>公务接待费支出决算与2023年决算数持平。其中：</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国内公务接待支出0万元。国内公务接待0批次，0人次（不包括陪同人员），共计支出0万元。</w:t>
      </w:r>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外事接待支出0万元。外事接待0批次，0人次（不包括陪同人员），共计支出0万元。</w:t>
      </w:r>
    </w:p>
    <w:p>
      <w:pPr>
        <w:spacing w:after="0" w:line="600" w:lineRule="exact"/>
        <w:ind w:firstLine="640"/>
        <w:jc w:val="both"/>
        <w:rPr>
          <w:rFonts w:ascii="Times New Roman" w:hAnsi="Times New Roman" w:eastAsia="仿宋_GB2312" w:cs="仿宋_GB2312"/>
          <w:sz w:val="32"/>
          <w:szCs w:val="32"/>
          <w14:ligatures w14:val="none"/>
        </w:rPr>
      </w:pPr>
      <w:bookmarkStart w:id="33" w:name="_Toc15396610"/>
      <w:bookmarkStart w:id="34" w:name="_Toc15377218"/>
    </w:p>
    <w:p>
      <w:pPr>
        <w:spacing w:after="0" w:line="600" w:lineRule="exact"/>
        <w:ind w:firstLine="640"/>
        <w:jc w:val="both"/>
        <w:outlineLvl w:val="1"/>
        <w:rPr>
          <w:rFonts w:ascii="Times New Roman" w:hAnsi="Times New Roman" w:eastAsia="黑体" w:cs="Times New Roman"/>
          <w:b/>
          <w:bCs/>
          <w:sz w:val="32"/>
          <w:szCs w:val="32"/>
          <w14:ligatures w14:val="none"/>
        </w:rPr>
      </w:pPr>
      <w:r>
        <w:rPr>
          <w:rFonts w:hint="eastAsia" w:ascii="Times New Roman" w:hAnsi="Times New Roman" w:eastAsia="黑体" w:cs="Times New Roman"/>
          <w:sz w:val="32"/>
          <w:szCs w:val="32"/>
          <w14:ligatures w14:val="none"/>
        </w:rPr>
        <w:t>八、</w:t>
      </w:r>
      <w:r>
        <w:rPr>
          <w:rFonts w:hint="eastAsia" w:ascii="Times New Roman" w:hAnsi="Times New Roman" w:eastAsia="黑体" w:cs="Times New Roman"/>
          <w:bCs/>
          <w:sz w:val="32"/>
          <w:szCs w:val="32"/>
          <w14:ligatures w14:val="none"/>
        </w:rPr>
        <w:t>政府性基金预算支出决算情况说明</w:t>
      </w:r>
      <w:bookmarkEnd w:id="33"/>
      <w:bookmarkEnd w:id="34"/>
    </w:p>
    <w:p>
      <w:pPr>
        <w:spacing w:after="0" w:line="600" w:lineRule="exact"/>
        <w:ind w:firstLine="640"/>
        <w:jc w:val="both"/>
        <w:rPr>
          <w:rFonts w:ascii="Times New Roman" w:hAnsi="Times New Roman" w:eastAsia="仿宋_GB2312" w:cs="Times New Roman"/>
          <w:b/>
          <w:bCs/>
          <w:sz w:val="32"/>
          <w:szCs w:val="32"/>
          <w14:ligatures w14:val="none"/>
        </w:rPr>
      </w:pPr>
      <w:r>
        <w:rPr>
          <w:rFonts w:ascii="Times New Roman" w:hAnsi="Times New Roman" w:eastAsia="仿宋_GB2312" w:cs="Times New Roman"/>
          <w:sz w:val="32"/>
          <w:szCs w:val="32"/>
          <w14:ligatures w14:val="none"/>
        </w:rPr>
        <w:t>2024年度政府性基金预算财政拨款支出0万元，占本年支出合计的0%。与2023年度决算数持平。</w:t>
      </w:r>
    </w:p>
    <w:p>
      <w:pPr>
        <w:spacing w:after="0" w:line="600" w:lineRule="exact"/>
        <w:ind w:firstLine="640"/>
        <w:jc w:val="both"/>
        <w:rPr>
          <w:rFonts w:ascii="Times New Roman" w:hAnsi="Times New Roman" w:eastAsia="仿宋_GB2312" w:cs="仿宋_GB2312"/>
          <w:sz w:val="32"/>
          <w:szCs w:val="32"/>
          <w14:ligatures w14:val="none"/>
        </w:rPr>
      </w:pPr>
    </w:p>
    <w:p>
      <w:pPr>
        <w:spacing w:after="0" w:line="600" w:lineRule="exact"/>
        <w:ind w:left="630"/>
        <w:jc w:val="both"/>
        <w:outlineLvl w:val="1"/>
        <w:rPr>
          <w:rFonts w:ascii="Times New Roman" w:hAnsi="Times New Roman" w:eastAsia="黑体" w:cs="Times New Roman"/>
          <w:bCs/>
          <w:sz w:val="32"/>
          <w:szCs w:val="32"/>
          <w14:ligatures w14:val="none"/>
        </w:rPr>
      </w:pPr>
      <w:bookmarkStart w:id="35" w:name="_Toc15377219"/>
      <w:bookmarkStart w:id="36" w:name="_Toc15396611"/>
      <w:r>
        <w:rPr>
          <w:rFonts w:hint="eastAsia" w:ascii="Times New Roman" w:hAnsi="Times New Roman" w:eastAsia="黑体" w:cs="Times New Roman"/>
          <w:bCs/>
          <w:sz w:val="32"/>
          <w:szCs w:val="32"/>
          <w14:ligatures w14:val="none"/>
        </w:rPr>
        <w:t>九、国有资本经营预算支出决算情况说明</w:t>
      </w:r>
      <w:bookmarkEnd w:id="35"/>
      <w:bookmarkEnd w:id="36"/>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2024年度国有资本经营预算财政拨款支出0万元，占本年支出合计的0%。与2023年度决算数持平。</w:t>
      </w:r>
    </w:p>
    <w:p>
      <w:pPr>
        <w:spacing w:after="0" w:line="600" w:lineRule="exact"/>
        <w:ind w:firstLine="640"/>
        <w:jc w:val="both"/>
        <w:rPr>
          <w:rFonts w:ascii="Times New Roman" w:hAnsi="Times New Roman" w:eastAsia="仿宋_GB2312" w:cs="仿宋_GB2312"/>
          <w:sz w:val="32"/>
          <w:szCs w:val="32"/>
          <w14:ligatures w14:val="none"/>
        </w:rPr>
      </w:pPr>
    </w:p>
    <w:p>
      <w:pPr>
        <w:spacing w:after="0" w:line="600" w:lineRule="exact"/>
        <w:ind w:left="630"/>
        <w:jc w:val="both"/>
        <w:outlineLvl w:val="1"/>
        <w:rPr>
          <w:rFonts w:ascii="Times New Roman" w:hAnsi="Times New Roman" w:eastAsia="黑体" w:cs="Times New Roman"/>
          <w:bCs/>
          <w:sz w:val="32"/>
          <w:szCs w:val="32"/>
          <w14:ligatures w14:val="none"/>
        </w:rPr>
      </w:pPr>
      <w:bookmarkStart w:id="37" w:name="_Toc15396612"/>
      <w:bookmarkStart w:id="38" w:name="_Toc15377221"/>
      <w:r>
        <w:rPr>
          <w:rFonts w:hint="eastAsia" w:ascii="Times New Roman" w:hAnsi="Times New Roman" w:eastAsia="黑体" w:cs="Times New Roman"/>
          <w:bCs/>
          <w:sz w:val="32"/>
          <w:szCs w:val="32"/>
          <w14:ligatures w14:val="none"/>
        </w:rPr>
        <w:t>十、其他重要事项的情况说明</w:t>
      </w:r>
      <w:bookmarkEnd w:id="37"/>
      <w:bookmarkEnd w:id="38"/>
    </w:p>
    <w:p>
      <w:pPr>
        <w:spacing w:after="0" w:line="600" w:lineRule="exact"/>
        <w:ind w:firstLine="642" w:firstLineChars="200"/>
        <w:jc w:val="both"/>
        <w:outlineLvl w:val="2"/>
        <w:rPr>
          <w:rFonts w:ascii="Times New Roman" w:hAnsi="Times New Roman" w:eastAsia="楷体_GB2312" w:cs="楷体_GB2312"/>
          <w:b/>
          <w:sz w:val="32"/>
          <w:szCs w:val="32"/>
          <w14:ligatures w14:val="none"/>
        </w:rPr>
      </w:pPr>
      <w:bookmarkStart w:id="39" w:name="_Toc15377222"/>
      <w:r>
        <w:rPr>
          <w:rFonts w:hint="eastAsia" w:ascii="Times New Roman" w:hAnsi="Times New Roman" w:eastAsia="楷体_GB2312" w:cs="楷体_GB2312"/>
          <w:b/>
          <w:sz w:val="32"/>
          <w:szCs w:val="32"/>
          <w14:ligatures w14:val="none"/>
        </w:rPr>
        <w:t>（一）机关运行经费支出情况</w:t>
      </w:r>
      <w:bookmarkEnd w:id="39"/>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2024年度，四川省化工建设工程质量安全监督站机关运行经费支出0万元，与2023年度决算数持平。</w:t>
      </w:r>
      <w:bookmarkStart w:id="40" w:name="_Toc15377223"/>
    </w:p>
    <w:p>
      <w:pPr>
        <w:spacing w:after="0" w:line="600" w:lineRule="exact"/>
        <w:ind w:firstLine="640"/>
        <w:jc w:val="both"/>
        <w:rPr>
          <w:rFonts w:ascii="Times New Roman" w:hAnsi="Times New Roman" w:eastAsia="楷体_GB2312" w:cs="楷体_GB2312"/>
          <w:b/>
          <w:sz w:val="32"/>
          <w:szCs w:val="32"/>
          <w14:ligatures w14:val="none"/>
        </w:rPr>
      </w:pPr>
      <w:r>
        <w:rPr>
          <w:rFonts w:hint="eastAsia" w:ascii="Times New Roman" w:hAnsi="Times New Roman" w:eastAsia="楷体_GB2312" w:cs="楷体_GB2312"/>
          <w:b/>
          <w:sz w:val="32"/>
          <w:szCs w:val="32"/>
          <w14:ligatures w14:val="none"/>
        </w:rPr>
        <w:t>（二）政府采购支出情况</w:t>
      </w:r>
      <w:bookmarkEnd w:id="40"/>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2024年度，四川省化工建设工程质量安全监督站政府采购支出总额3.3万元，其中：政府采购货物支出0万元、政府采购工程支出0万元、政府采购服务支出3.3万元。主要用于化工建设工程质量安全监督及特种设备检验检测的公务用车支出。授予中小企业合同金额0.8万元，占政府采购支出总额的24.2%，其中：授予小微企业合同金额0.8万元，占政府采购支出总额的24.2%。</w:t>
      </w:r>
    </w:p>
    <w:p>
      <w:pPr>
        <w:spacing w:after="0" w:line="600" w:lineRule="exact"/>
        <w:ind w:firstLine="640"/>
        <w:jc w:val="both"/>
        <w:rPr>
          <w:rFonts w:ascii="Times New Roman" w:hAnsi="Times New Roman" w:eastAsia="仿宋_GB2312" w:cs="仿宋_GB2312"/>
          <w:sz w:val="32"/>
          <w:szCs w:val="32"/>
          <w14:ligatures w14:val="none"/>
        </w:rPr>
      </w:pPr>
    </w:p>
    <w:p>
      <w:pPr>
        <w:spacing w:after="0" w:line="600" w:lineRule="exact"/>
        <w:ind w:firstLine="642" w:firstLineChars="200"/>
        <w:jc w:val="both"/>
        <w:outlineLvl w:val="2"/>
        <w:rPr>
          <w:rFonts w:ascii="Times New Roman" w:hAnsi="Times New Roman" w:eastAsia="楷体_GB2312" w:cs="楷体_GB2312"/>
          <w:b/>
          <w:sz w:val="32"/>
          <w:szCs w:val="32"/>
          <w14:ligatures w14:val="none"/>
        </w:rPr>
      </w:pPr>
      <w:bookmarkStart w:id="41" w:name="_Toc15377224"/>
      <w:r>
        <w:rPr>
          <w:rFonts w:hint="eastAsia" w:ascii="Times New Roman" w:hAnsi="Times New Roman" w:eastAsia="楷体_GB2312" w:cs="楷体_GB2312"/>
          <w:b/>
          <w:sz w:val="32"/>
          <w:szCs w:val="32"/>
          <w14:ligatures w14:val="none"/>
        </w:rPr>
        <w:t>（三）国有资产占有使用情况</w:t>
      </w:r>
      <w:bookmarkEnd w:id="41"/>
    </w:p>
    <w:p>
      <w:pPr>
        <w:spacing w:after="0" w:line="600" w:lineRule="exact"/>
        <w:ind w:firstLine="64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截至2024年12月31日，四川省化工建设工程质量安全监督站共有车辆1辆，其中：主要负责人用车0辆、机要通信用车0辆、应急保障用车0辆、其他用车1辆，其他用车主要是用于化工建设工程质量安全监督及特种设备检验检测。单价100万元（含）以上设备（不含车辆）0台（套）。</w:t>
      </w:r>
    </w:p>
    <w:p>
      <w:pPr>
        <w:spacing w:after="0" w:line="600" w:lineRule="exact"/>
        <w:ind w:firstLine="640"/>
        <w:jc w:val="both"/>
        <w:rPr>
          <w:rFonts w:ascii="Times New Roman" w:hAnsi="Times New Roman" w:eastAsia="仿宋_GB2312" w:cs="仿宋_GB2312"/>
          <w:sz w:val="32"/>
          <w:szCs w:val="32"/>
          <w14:ligatures w14:val="none"/>
        </w:rPr>
      </w:pPr>
    </w:p>
    <w:p>
      <w:pPr>
        <w:spacing w:after="0" w:line="600" w:lineRule="exact"/>
        <w:ind w:firstLine="642" w:firstLineChars="200"/>
        <w:jc w:val="both"/>
        <w:outlineLvl w:val="2"/>
        <w:rPr>
          <w:rFonts w:ascii="Times New Roman" w:hAnsi="Times New Roman" w:eastAsia="楷体_GB2312" w:cs="楷体_GB2312"/>
          <w:b/>
          <w:sz w:val="32"/>
          <w:szCs w:val="32"/>
          <w14:ligatures w14:val="none"/>
        </w:rPr>
      </w:pPr>
      <w:r>
        <w:rPr>
          <w:rFonts w:hint="eastAsia" w:ascii="Times New Roman" w:hAnsi="Times New Roman" w:eastAsia="楷体_GB2312" w:cs="楷体_GB2312"/>
          <w:b/>
          <w:sz w:val="32"/>
          <w:szCs w:val="32"/>
          <w14:ligatures w14:val="none"/>
        </w:rPr>
        <w:t>（四）预算绩效管理情况</w:t>
      </w:r>
    </w:p>
    <w:p>
      <w:pPr>
        <w:widowControl/>
        <w:ind w:firstLine="640" w:firstLineChars="200"/>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根据预算绩效管理要求，本单位在2024年度预算编制阶段，组织对0个项目开展了预算事前绩效评估，对9个项目编制了绩效目标，预算执行过程中，选取9个项目开展绩效监控。</w:t>
      </w:r>
    </w:p>
    <w:p>
      <w:pPr>
        <w:widowControl/>
        <w:rPr>
          <w:rFonts w:ascii="Times New Roman" w:hAnsi="Times New Roman" w:eastAsia="仿宋_GB2312" w:cs="仿宋_GB2312"/>
          <w:sz w:val="32"/>
          <w:szCs w:val="32"/>
          <w14:ligatures w14:val="none"/>
        </w:rPr>
      </w:pPr>
      <w:r>
        <w:rPr>
          <w:rFonts w:ascii="Times New Roman" w:hAnsi="Times New Roman" w:eastAsia="仿宋_GB2312" w:cs="仿宋_GB2312"/>
          <w:sz w:val="32"/>
          <w:szCs w:val="32"/>
          <w14:ligatures w14:val="none"/>
        </w:rPr>
        <w:br w:type="page"/>
      </w:r>
    </w:p>
    <w:p>
      <w:pPr>
        <w:spacing w:after="0" w:line="600" w:lineRule="exact"/>
        <w:jc w:val="center"/>
        <w:outlineLvl w:val="0"/>
        <w:rPr>
          <w:rFonts w:ascii="Times New Roman" w:hAnsi="Times New Roman" w:eastAsia="黑体" w:cs="Times New Roman"/>
          <w:sz w:val="44"/>
          <w:szCs w:val="44"/>
          <w14:ligatures w14:val="none"/>
        </w:rPr>
      </w:pPr>
      <w:bookmarkStart w:id="42" w:name="_Toc15377225"/>
      <w:bookmarkStart w:id="43" w:name="_Toc15396613"/>
      <w:r>
        <w:rPr>
          <w:rFonts w:hint="eastAsia" w:ascii="Times New Roman" w:hAnsi="Times New Roman" w:eastAsia="黑体" w:cs="Times New Roman"/>
          <w:sz w:val="44"/>
          <w:szCs w:val="44"/>
          <w14:ligatures w14:val="none"/>
        </w:rPr>
        <w:t>第三部分  名词解释</w:t>
      </w:r>
      <w:bookmarkEnd w:id="42"/>
      <w:bookmarkEnd w:id="43"/>
    </w:p>
    <w:p>
      <w:pPr>
        <w:spacing w:after="0" w:line="600" w:lineRule="exact"/>
        <w:rPr>
          <w:rFonts w:ascii="Times New Roman" w:hAnsi="Times New Roman" w:eastAsia="宋体" w:cs="Times New Roman"/>
          <w:b/>
          <w:sz w:val="44"/>
          <w:szCs w:val="44"/>
          <w14:ligatures w14:val="none"/>
        </w:rPr>
      </w:pPr>
    </w:p>
    <w:p>
      <w:pPr>
        <w:autoSpaceDE w:val="0"/>
        <w:autoSpaceDN w:val="0"/>
        <w:adjustRightInd w:val="0"/>
        <w:spacing w:after="0" w:line="560" w:lineRule="exact"/>
        <w:ind w:firstLine="640" w:firstLineChars="200"/>
        <w:rPr>
          <w:rFonts w:ascii="Times New Roman" w:hAnsi="Times New Roman" w:eastAsia="仿宋_GB2312" w:cs="Times New Roman"/>
          <w:kern w:val="0"/>
          <w:sz w:val="32"/>
          <w:szCs w:val="32"/>
          <w14:ligatures w14:val="none"/>
        </w:rPr>
      </w:pPr>
      <w:r>
        <w:rPr>
          <w:rFonts w:ascii="Times New Roman" w:hAnsi="Times New Roman" w:eastAsia="仿宋_GB2312" w:cs="Times New Roman"/>
          <w:kern w:val="0"/>
          <w:sz w:val="32"/>
          <w:szCs w:val="32"/>
          <w14:ligatures w14:val="none"/>
        </w:rPr>
        <w:t>1.财政拨款收入：指单位从同级财政部门取得的财政预算资金。</w:t>
      </w:r>
    </w:p>
    <w:p>
      <w:pPr>
        <w:spacing w:after="0" w:line="240" w:lineRule="auto"/>
        <w:ind w:firstLine="640" w:firstLineChars="20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2.教育（类）进修及培训（款）培训支出（项）：指用于事业单位职工培训方面的支出。</w:t>
      </w:r>
    </w:p>
    <w:p>
      <w:pPr>
        <w:spacing w:after="0" w:line="240" w:lineRule="auto"/>
        <w:ind w:firstLine="640" w:firstLineChars="20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3.社会保障和就业（类）行政事业单位养老支出（款）事业单位离退休（项）： 指用于事业单位开支的离退休经费支出。</w:t>
      </w:r>
    </w:p>
    <w:p>
      <w:pPr>
        <w:spacing w:after="0" w:line="240" w:lineRule="auto"/>
        <w:ind w:firstLine="640" w:firstLineChars="20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4.社会保障和就业（类）行政事业单位养老支出（款）机关事业单位基本养老保险缴费支出（项）：指用于事业单位职工基本养老保险缴费的支出。</w:t>
      </w:r>
    </w:p>
    <w:p>
      <w:pPr>
        <w:spacing w:after="0" w:line="240" w:lineRule="auto"/>
        <w:ind w:firstLine="640" w:firstLineChars="20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5.社会保障和就业（类）行政事业单位养老支出（款）机关事业单位职业年金缴费支出（项）：指用于事业单位职工职业年金缴费的支出。</w:t>
      </w:r>
    </w:p>
    <w:p>
      <w:pPr>
        <w:spacing w:after="0" w:line="240" w:lineRule="auto"/>
        <w:ind w:firstLine="640" w:firstLineChars="200"/>
        <w:jc w:val="both"/>
        <w:rPr>
          <w:rFonts w:ascii="Times New Roman" w:hAnsi="Times New Roman" w:eastAsia="宋体" w:cs="Times New Roman"/>
          <w:sz w:val="21"/>
          <w14:ligatures w14:val="none"/>
        </w:rPr>
      </w:pPr>
      <w:r>
        <w:rPr>
          <w:rFonts w:ascii="Times New Roman" w:hAnsi="Times New Roman" w:eastAsia="仿宋_GB2312" w:cs="Times New Roman"/>
          <w:sz w:val="32"/>
          <w:szCs w:val="32"/>
          <w14:ligatures w14:val="none"/>
        </w:rPr>
        <w:t>6.社会保障和就业（类）抚恤（款）死亡抚恤（项）：指按规定用于烈士和牺牲、病故人员家属的一次性和定期抚恤金、丧葬补助费以及烈士褒扬金的支出。</w:t>
      </w:r>
      <w:r>
        <w:rPr>
          <w:rFonts w:ascii="Times New Roman" w:hAnsi="Times New Roman" w:eastAsia="宋体" w:cs="Times New Roman"/>
          <w:sz w:val="21"/>
          <w14:ligatures w14:val="none"/>
        </w:rPr>
        <w:t xml:space="preserve"> </w:t>
      </w:r>
    </w:p>
    <w:p>
      <w:pPr>
        <w:spacing w:after="0" w:line="240" w:lineRule="auto"/>
        <w:ind w:firstLine="640" w:firstLineChars="20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7.卫生健康（类）行政事业单位医疗（款）事业单位医疗（项）：指用于事业单位职工基本医疗保险缴费的支出。</w:t>
      </w:r>
    </w:p>
    <w:p>
      <w:pPr>
        <w:spacing w:after="0" w:line="240" w:lineRule="auto"/>
        <w:ind w:firstLine="640" w:firstLineChars="20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8.城乡社区（类）建设市场管理与监督（款）建设市场管理与监督（项）：指用于建筑工程质量与安全监督等方面的支出。</w:t>
      </w:r>
    </w:p>
    <w:p>
      <w:pPr>
        <w:spacing w:after="0" w:line="240" w:lineRule="auto"/>
        <w:ind w:firstLine="640" w:firstLineChars="20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9. 住房保障（类）住房改革支出（款）住房公积金（项）：指按政策规定为职工缴纳的住房公积金支出。</w:t>
      </w:r>
    </w:p>
    <w:p>
      <w:pPr>
        <w:spacing w:after="0" w:line="240" w:lineRule="auto"/>
        <w:ind w:firstLine="640" w:firstLineChars="20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10. 基本支出：指为保障机构正常运转、完成日常工作任务而发生的人员支出和公用支出。</w:t>
      </w:r>
    </w:p>
    <w:p>
      <w:pPr>
        <w:autoSpaceDE w:val="0"/>
        <w:autoSpaceDN w:val="0"/>
        <w:adjustRightInd w:val="0"/>
        <w:spacing w:after="0" w:line="560" w:lineRule="exact"/>
        <w:ind w:firstLine="640" w:firstLineChars="200"/>
        <w:rPr>
          <w:rFonts w:ascii="Times New Roman" w:hAnsi="Times New Roman" w:eastAsia="仿宋_GB2312" w:cs="Times New Roman"/>
          <w:kern w:val="0"/>
          <w:sz w:val="32"/>
          <w:szCs w:val="32"/>
          <w14:ligatures w14:val="none"/>
        </w:rPr>
      </w:pPr>
      <w:r>
        <w:rPr>
          <w:rFonts w:ascii="Times New Roman" w:hAnsi="Times New Roman" w:eastAsia="仿宋_GB2312" w:cs="Times New Roman"/>
          <w:kern w:val="0"/>
          <w:sz w:val="32"/>
          <w:szCs w:val="32"/>
          <w14:ligatures w14:val="none"/>
        </w:rPr>
        <w:t>11.“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rPr>
          <w:rFonts w:ascii="Times New Roman" w:hAnsi="Times New Roman" w:eastAsia="方正小标宋简体" w:cs="Times New Roman"/>
          <w:sz w:val="44"/>
          <w:szCs w:val="44"/>
          <w14:ligatures w14:val="none"/>
        </w:rPr>
      </w:pPr>
    </w:p>
    <w:p>
      <w:pPr>
        <w:widowControl/>
        <w:rPr>
          <w:rFonts w:ascii="Times New Roman" w:hAnsi="Times New Roman" w:eastAsia="方正小标宋简体" w:cs="Times New Roman"/>
          <w:sz w:val="44"/>
          <w:szCs w:val="44"/>
          <w14:ligatures w14:val="none"/>
        </w:rPr>
      </w:pPr>
      <w:r>
        <w:rPr>
          <w:rFonts w:ascii="Times New Roman" w:hAnsi="Times New Roman" w:eastAsia="方正小标宋简体" w:cs="Times New Roman"/>
          <w:sz w:val="44"/>
          <w:szCs w:val="44"/>
          <w14:ligatures w14:val="none"/>
        </w:rPr>
        <w:br w:type="page"/>
      </w:r>
    </w:p>
    <w:p>
      <w:pPr>
        <w:spacing w:after="0" w:line="600" w:lineRule="exact"/>
        <w:jc w:val="center"/>
        <w:rPr>
          <w:rFonts w:ascii="Times New Roman" w:hAnsi="Times New Roman" w:eastAsia="黑体" w:cs="Times New Roman"/>
          <w:bCs/>
          <w:kern w:val="44"/>
          <w:sz w:val="44"/>
          <w:szCs w:val="44"/>
          <w14:ligatures w14:val="none"/>
        </w:rPr>
      </w:pPr>
      <w:bookmarkStart w:id="44" w:name="_Toc15396614"/>
      <w:r>
        <w:rPr>
          <w:rFonts w:hint="eastAsia" w:ascii="Times New Roman" w:hAnsi="Times New Roman" w:eastAsia="黑体" w:cs="Times New Roman"/>
          <w:sz w:val="44"/>
          <w:szCs w:val="44"/>
          <w14:ligatures w14:val="none"/>
        </w:rPr>
        <w:t>第四部分  附件</w:t>
      </w:r>
      <w:bookmarkEnd w:id="44"/>
    </w:p>
    <w:p>
      <w:pPr>
        <w:spacing w:after="0" w:line="572" w:lineRule="exact"/>
        <w:outlineLvl w:val="0"/>
        <w:rPr>
          <w:rFonts w:ascii="Times New Roman" w:hAnsi="Times New Roman" w:eastAsia="黑体" w:cs="黑体"/>
          <w:color w:val="FF0000"/>
          <w:sz w:val="32"/>
          <w:szCs w:val="32"/>
          <w14:ligatures w14:val="none"/>
        </w:rPr>
      </w:pPr>
    </w:p>
    <w:p>
      <w:pPr>
        <w:spacing w:after="0" w:line="572" w:lineRule="exact"/>
        <w:jc w:val="center"/>
        <w:outlineLvl w:val="0"/>
        <w:rPr>
          <w:rFonts w:ascii="Times New Roman" w:hAnsi="Times New Roman" w:eastAsia="黑体" w:cs="方正小标宋简体"/>
          <w:sz w:val="44"/>
          <w:szCs w:val="44"/>
          <w14:ligatures w14:val="none"/>
        </w:rPr>
      </w:pPr>
      <w:r>
        <w:rPr>
          <w:rFonts w:hint="eastAsia" w:ascii="Times New Roman" w:hAnsi="Times New Roman" w:eastAsia="黑体" w:cs="黑体"/>
          <w:sz w:val="32"/>
          <w:szCs w:val="32"/>
          <w14:ligatures w14:val="none"/>
        </w:rPr>
        <w:t>（本单位2024</w:t>
      </w:r>
      <w:r>
        <w:rPr>
          <w:rFonts w:ascii="Times New Roman" w:hAnsi="Times New Roman" w:eastAsia="黑体" w:cs="黑体"/>
          <w:sz w:val="32"/>
          <w:szCs w:val="32"/>
          <w14:ligatures w14:val="none"/>
        </w:rPr>
        <w:t>年度无项目支出</w:t>
      </w:r>
      <w:r>
        <w:rPr>
          <w:rFonts w:hint="eastAsia" w:ascii="Times New Roman" w:hAnsi="Times New Roman" w:eastAsia="黑体" w:cs="黑体"/>
          <w:sz w:val="32"/>
          <w:szCs w:val="32"/>
          <w14:ligatures w14:val="none"/>
        </w:rPr>
        <w:t>）</w:t>
      </w:r>
    </w:p>
    <w:p>
      <w:pPr>
        <w:widowControl/>
        <w:rPr>
          <w:rFonts w:ascii="Times New Roman" w:hAnsi="Times New Roman" w:eastAsia="方正小标宋简体" w:cs="Times New Roman"/>
          <w:sz w:val="44"/>
          <w:szCs w:val="44"/>
          <w14:ligatures w14:val="none"/>
        </w:rPr>
      </w:pPr>
    </w:p>
    <w:p>
      <w:pPr>
        <w:spacing w:before="93" w:beforeLines="30" w:after="0" w:line="240" w:lineRule="auto"/>
        <w:jc w:val="center"/>
        <w:rPr>
          <w:rFonts w:ascii="Times New Roman" w:hAnsi="Times New Roman" w:eastAsia="方正小标宋简体" w:cs="Times New Roman"/>
          <w:sz w:val="44"/>
          <w:szCs w:val="44"/>
          <w14:ligatures w14:val="none"/>
        </w:rPr>
      </w:pPr>
    </w:p>
    <w:p>
      <w:pPr>
        <w:widowControl/>
        <w:rPr>
          <w:rFonts w:ascii="Times New Roman" w:hAnsi="Times New Roman" w:eastAsia="方正小标宋简体" w:cs="Times New Roman"/>
          <w:sz w:val="44"/>
          <w:szCs w:val="44"/>
          <w14:ligatures w14:val="none"/>
        </w:rPr>
      </w:pPr>
      <w:r>
        <w:rPr>
          <w:rFonts w:ascii="Times New Roman" w:hAnsi="Times New Roman" w:eastAsia="方正小标宋简体" w:cs="Times New Roman"/>
          <w:sz w:val="44"/>
          <w:szCs w:val="44"/>
          <w14:ligatures w14:val="none"/>
        </w:rPr>
        <w:br w:type="page"/>
      </w:r>
    </w:p>
    <w:p>
      <w:pPr>
        <w:widowControl/>
        <w:spacing w:after="0" w:line="240" w:lineRule="auto"/>
        <w:jc w:val="center"/>
        <w:rPr>
          <w:rFonts w:ascii="Times New Roman" w:hAnsi="Times New Roman" w:eastAsia="仿宋" w:cs="Times New Roman"/>
          <w:sz w:val="21"/>
          <w14:ligatures w14:val="none"/>
        </w:rPr>
      </w:pPr>
      <w:r>
        <w:rPr>
          <w:rFonts w:hint="eastAsia" w:ascii="Times New Roman" w:hAnsi="Times New Roman" w:eastAsia="黑体" w:cs="Times New Roman"/>
          <w:sz w:val="44"/>
          <w:szCs w:val="44"/>
          <w14:ligatures w14:val="none"/>
        </w:rPr>
        <w:t>第</w:t>
      </w:r>
      <w:r>
        <w:rPr>
          <w:rFonts w:hint="eastAsia" w:ascii="Times New Roman" w:hAnsi="Times New Roman" w:eastAsia="黑体" w:cs="Times New Roman"/>
          <w:bCs/>
          <w:kern w:val="44"/>
          <w:sz w:val="44"/>
          <w:szCs w:val="44"/>
          <w14:ligatures w14:val="none"/>
        </w:rPr>
        <w:t>五部分 附表</w:t>
      </w:r>
      <w:bookmarkStart w:id="45" w:name="_Toc15396619"/>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一、收入支出决算总表</w:t>
      </w:r>
      <w:bookmarkEnd w:id="45"/>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46" w:name="_Toc15396620"/>
      <w:r>
        <w:rPr>
          <w:rFonts w:hint="eastAsia" w:ascii="Times New Roman" w:hAnsi="Times New Roman" w:eastAsia="仿宋_GB2312" w:cs="仿宋_GB2312"/>
          <w:sz w:val="32"/>
          <w:szCs w:val="32"/>
          <w14:ligatures w14:val="none"/>
        </w:rPr>
        <w:t>二、收入决算表</w:t>
      </w:r>
      <w:bookmarkEnd w:id="46"/>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47" w:name="_Toc15396621"/>
      <w:r>
        <w:rPr>
          <w:rFonts w:hint="eastAsia" w:ascii="Times New Roman" w:hAnsi="Times New Roman" w:eastAsia="仿宋_GB2312" w:cs="仿宋_GB2312"/>
          <w:sz w:val="32"/>
          <w:szCs w:val="32"/>
          <w14:ligatures w14:val="none"/>
        </w:rPr>
        <w:t>三、支出决算表</w:t>
      </w:r>
      <w:bookmarkEnd w:id="47"/>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48" w:name="_Toc15396622"/>
      <w:r>
        <w:rPr>
          <w:rFonts w:hint="eastAsia" w:ascii="Times New Roman" w:hAnsi="Times New Roman" w:eastAsia="仿宋_GB2312" w:cs="仿宋_GB2312"/>
          <w:sz w:val="32"/>
          <w:szCs w:val="32"/>
          <w14:ligatures w14:val="none"/>
        </w:rPr>
        <w:t>四、财政拨款收入支出决算总表</w:t>
      </w:r>
      <w:bookmarkEnd w:id="48"/>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49" w:name="_Toc15396623"/>
      <w:r>
        <w:rPr>
          <w:rFonts w:hint="eastAsia" w:ascii="Times New Roman" w:hAnsi="Times New Roman" w:eastAsia="仿宋_GB2312" w:cs="仿宋_GB2312"/>
          <w:sz w:val="32"/>
          <w:szCs w:val="32"/>
          <w14:ligatures w14:val="none"/>
        </w:rPr>
        <w:t>五、财政拨款支出决算明细表</w:t>
      </w:r>
      <w:bookmarkEnd w:id="49"/>
      <w:bookmarkStart w:id="50" w:name="_Toc15396624"/>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r>
        <w:rPr>
          <w:rFonts w:hint="eastAsia" w:ascii="Times New Roman" w:hAnsi="Times New Roman" w:eastAsia="仿宋_GB2312" w:cs="仿宋_GB2312"/>
          <w:sz w:val="32"/>
          <w:szCs w:val="32"/>
          <w14:ligatures w14:val="none"/>
        </w:rPr>
        <w:t>六、一般公共预算财政拨款支出决算表</w:t>
      </w:r>
      <w:bookmarkEnd w:id="50"/>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51" w:name="_Toc15396625"/>
      <w:r>
        <w:rPr>
          <w:rFonts w:hint="eastAsia" w:ascii="Times New Roman" w:hAnsi="Times New Roman" w:eastAsia="仿宋_GB2312" w:cs="仿宋_GB2312"/>
          <w:sz w:val="32"/>
          <w:szCs w:val="32"/>
          <w14:ligatures w14:val="none"/>
        </w:rPr>
        <w:t>七、一般公共预算财政拨款支出决算明细表</w:t>
      </w:r>
      <w:bookmarkEnd w:id="51"/>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52" w:name="_Toc15396626"/>
      <w:r>
        <w:rPr>
          <w:rFonts w:hint="eastAsia" w:ascii="Times New Roman" w:hAnsi="Times New Roman" w:eastAsia="仿宋_GB2312" w:cs="仿宋_GB2312"/>
          <w:sz w:val="32"/>
          <w:szCs w:val="32"/>
          <w14:ligatures w14:val="none"/>
        </w:rPr>
        <w:t>八、一般公共预算财政拨款基本支出决算表</w:t>
      </w:r>
      <w:bookmarkEnd w:id="52"/>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53" w:name="_Toc15396627"/>
      <w:r>
        <w:rPr>
          <w:rFonts w:hint="eastAsia" w:ascii="Times New Roman" w:hAnsi="Times New Roman" w:eastAsia="仿宋_GB2312" w:cs="仿宋_GB2312"/>
          <w:sz w:val="32"/>
          <w:szCs w:val="32"/>
          <w14:ligatures w14:val="none"/>
        </w:rPr>
        <w:t>九、一般公共预算财政拨款项目支出决算表</w:t>
      </w:r>
      <w:bookmarkEnd w:id="53"/>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54" w:name="_Toc15396628"/>
      <w:r>
        <w:rPr>
          <w:rFonts w:hint="eastAsia" w:ascii="Times New Roman" w:hAnsi="Times New Roman" w:eastAsia="仿宋_GB2312" w:cs="仿宋_GB2312"/>
          <w:sz w:val="32"/>
          <w:szCs w:val="32"/>
          <w14:ligatures w14:val="none"/>
        </w:rPr>
        <w:t>十、</w:t>
      </w:r>
      <w:bookmarkEnd w:id="54"/>
      <w:r>
        <w:rPr>
          <w:rFonts w:hint="eastAsia" w:ascii="Times New Roman" w:hAnsi="Times New Roman" w:eastAsia="仿宋_GB2312" w:cs="仿宋_GB2312"/>
          <w:sz w:val="32"/>
          <w:szCs w:val="32"/>
          <w14:ligatures w14:val="none"/>
        </w:rPr>
        <w:t>政府性基金预算财政拨款收入支出决算表</w:t>
      </w:r>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55" w:name="_Toc15396629"/>
      <w:r>
        <w:rPr>
          <w:rFonts w:hint="eastAsia" w:ascii="Times New Roman" w:hAnsi="Times New Roman" w:eastAsia="仿宋_GB2312" w:cs="仿宋_GB2312"/>
          <w:sz w:val="32"/>
          <w:szCs w:val="32"/>
          <w14:ligatures w14:val="none"/>
        </w:rPr>
        <w:t>十一、</w:t>
      </w:r>
      <w:bookmarkEnd w:id="55"/>
      <w:r>
        <w:rPr>
          <w:rFonts w:hint="eastAsia" w:ascii="Times New Roman" w:hAnsi="Times New Roman" w:eastAsia="仿宋_GB2312" w:cs="仿宋_GB2312"/>
          <w:sz w:val="32"/>
          <w:szCs w:val="32"/>
          <w14:ligatures w14:val="none"/>
        </w:rPr>
        <w:t>国有资本经营预算财政拨款收入支出决算表</w:t>
      </w:r>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56" w:name="_Toc15396630"/>
      <w:r>
        <w:rPr>
          <w:rFonts w:hint="eastAsia" w:ascii="Times New Roman" w:hAnsi="Times New Roman" w:eastAsia="仿宋_GB2312" w:cs="仿宋_GB2312"/>
          <w:sz w:val="32"/>
          <w:szCs w:val="32"/>
          <w14:ligatures w14:val="none"/>
        </w:rPr>
        <w:t>十二、</w:t>
      </w:r>
      <w:bookmarkEnd w:id="56"/>
      <w:r>
        <w:rPr>
          <w:rFonts w:hint="eastAsia" w:ascii="Times New Roman" w:hAnsi="Times New Roman" w:eastAsia="仿宋_GB2312" w:cs="仿宋_GB2312"/>
          <w:sz w:val="32"/>
          <w:szCs w:val="32"/>
          <w14:ligatures w14:val="none"/>
        </w:rPr>
        <w:t>国有资本经营预算财政拨款支出决算表</w:t>
      </w:r>
    </w:p>
    <w:p>
      <w:pPr>
        <w:tabs>
          <w:tab w:val="right" w:leader="dot" w:pos="8296"/>
        </w:tabs>
        <w:adjustRightInd w:val="0"/>
        <w:snapToGrid w:val="0"/>
        <w:spacing w:after="0" w:line="560" w:lineRule="exact"/>
        <w:ind w:left="440" w:leftChars="200"/>
        <w:rPr>
          <w:rFonts w:ascii="Times New Roman" w:hAnsi="Times New Roman" w:eastAsia="仿宋_GB2312" w:cs="仿宋_GB2312"/>
          <w:sz w:val="32"/>
          <w:szCs w:val="32"/>
          <w14:ligatures w14:val="none"/>
        </w:rPr>
      </w:pPr>
      <w:bookmarkStart w:id="57" w:name="_Toc15396631"/>
      <w:r>
        <w:rPr>
          <w:rFonts w:hint="eastAsia" w:ascii="Times New Roman" w:hAnsi="Times New Roman" w:eastAsia="仿宋_GB2312" w:cs="仿宋_GB2312"/>
          <w:sz w:val="32"/>
          <w:szCs w:val="32"/>
          <w14:ligatures w14:val="none"/>
        </w:rPr>
        <w:t>十三、</w:t>
      </w:r>
      <w:bookmarkEnd w:id="57"/>
      <w:r>
        <w:rPr>
          <w:rFonts w:hint="eastAsia" w:ascii="Times New Roman" w:hAnsi="Times New Roman" w:eastAsia="仿宋_GB2312" w:cs="仿宋_GB2312"/>
          <w:sz w:val="32"/>
          <w:szCs w:val="32"/>
          <w14:ligatures w14:val="none"/>
        </w:rPr>
        <w:t>财政拨款“三公”经费支出决算表</w:t>
      </w:r>
    </w:p>
    <w:p>
      <w:pPr>
        <w:spacing w:before="93" w:beforeLines="30" w:after="0" w:line="240" w:lineRule="auto"/>
        <w:jc w:val="center"/>
        <w:rPr>
          <w:rFonts w:ascii="Times New Roman" w:hAnsi="Times New Roman" w:eastAsia="方正小标宋简体" w:cs="Times New Roman"/>
          <w:sz w:val="44"/>
          <w:szCs w:val="44"/>
          <w14:ligatures w14:val="none"/>
        </w:rPr>
      </w:pP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等线 Light">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hint="eastAsia"/>
      </w:rPr>
    </w:pPr>
  </w:p>
  <w:p>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5833551"/>
      <w:docPartObj>
        <w:docPartGallery w:val="autotext"/>
      </w:docPartObj>
    </w:sdtPr>
    <w:sdtContent>
      <w:p>
        <w:pPr>
          <w:pStyle w:val="11"/>
          <w:jc w:val="center"/>
          <w:rPr>
            <w:rFonts w:hint="eastAsia"/>
          </w:rPr>
        </w:pPr>
        <w:r>
          <w:fldChar w:fldCharType="begin"/>
        </w:r>
        <w:r>
          <w:instrText xml:space="preserve">PAGE   \* MERGEFORMAT</w:instrText>
        </w:r>
        <w:r>
          <w:fldChar w:fldCharType="separate"/>
        </w:r>
        <w:r>
          <w:rPr>
            <w:lang w:val="zh-CN"/>
          </w:rPr>
          <w:t>2</w:t>
        </w:r>
        <w:r>
          <w:fldChar w:fldCharType="end"/>
        </w:r>
      </w:p>
    </w:sdtContent>
  </w:sdt>
  <w:p>
    <w:pPr>
      <w:pStyle w:val="11"/>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868FB"/>
    <w:multiLevelType w:val="multilevel"/>
    <w:tmpl w:val="594868FB"/>
    <w:lvl w:ilvl="0" w:tentative="0">
      <w:start w:val="1"/>
      <w:numFmt w:val="japaneseCounting"/>
      <w:lvlText w:val="%1、"/>
      <w:lvlJc w:val="left"/>
      <w:pPr>
        <w:ind w:left="630" w:hanging="63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C84"/>
    <w:rsid w:val="00036CC5"/>
    <w:rsid w:val="000D1EFB"/>
    <w:rsid w:val="000F7D86"/>
    <w:rsid w:val="001D0BE4"/>
    <w:rsid w:val="00343CAA"/>
    <w:rsid w:val="00692CDB"/>
    <w:rsid w:val="008B0061"/>
    <w:rsid w:val="00D30C84"/>
    <w:rsid w:val="00DD560B"/>
    <w:rsid w:val="00FF535C"/>
    <w:rsid w:val="1DF9EE9E"/>
    <w:rsid w:val="266739A6"/>
    <w:rsid w:val="395B6356"/>
    <w:rsid w:val="57D8B332"/>
    <w:rsid w:val="5AFFA808"/>
    <w:rsid w:val="5DEE289D"/>
    <w:rsid w:val="6BF74486"/>
    <w:rsid w:val="6BFF155B"/>
    <w:rsid w:val="7F7B89E0"/>
    <w:rsid w:val="7FBF9CF7"/>
    <w:rsid w:val="7FF7B6D6"/>
    <w:rsid w:val="AF4B8A1D"/>
    <w:rsid w:val="AFEE3509"/>
    <w:rsid w:val="B578DA92"/>
    <w:rsid w:val="B6B584B9"/>
    <w:rsid w:val="B6D39650"/>
    <w:rsid w:val="BF7F402C"/>
    <w:rsid w:val="BFA91603"/>
    <w:rsid w:val="BFDD57C3"/>
    <w:rsid w:val="BFFE7D18"/>
    <w:rsid w:val="DEE7F17C"/>
    <w:rsid w:val="EBFF5AF6"/>
    <w:rsid w:val="EDBDF08C"/>
    <w:rsid w:val="EF7946E4"/>
    <w:rsid w:val="F7FFB206"/>
    <w:rsid w:val="FA577C89"/>
    <w:rsid w:val="FFBEA4B0"/>
    <w:rsid w:val="FFFF1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6"/>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oc 2"/>
    <w:basedOn w:val="1"/>
    <w:next w:val="1"/>
    <w:unhideWhenUsed/>
    <w:qFormat/>
    <w:uiPriority w:val="39"/>
    <w:pPr>
      <w:tabs>
        <w:tab w:val="right" w:leader="dot" w:pos="8296"/>
      </w:tabs>
      <w:spacing w:after="0" w:line="240" w:lineRule="auto"/>
      <w:ind w:left="420" w:leftChars="200"/>
      <w:jc w:val="both"/>
    </w:pPr>
    <w:rPr>
      <w:rFonts w:ascii="Times New Roman" w:hAnsi="Times New Roman" w:eastAsia="宋体" w:cs="Times New Roman"/>
      <w:sz w:val="21"/>
      <w14:ligatures w14:val="none"/>
    </w:rPr>
  </w:style>
  <w:style w:type="paragraph" w:styleId="15">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qFormat/>
    <w:uiPriority w:val="9"/>
    <w:rPr>
      <w:rFonts w:cstheme="majorBidi"/>
      <w:color w:val="2F5597" w:themeColor="accent1" w:themeShade="BF"/>
      <w:sz w:val="28"/>
      <w:szCs w:val="28"/>
    </w:rPr>
  </w:style>
  <w:style w:type="character" w:customStyle="1" w:styleId="22">
    <w:name w:val="标题 5 字符"/>
    <w:basedOn w:val="17"/>
    <w:link w:val="6"/>
    <w:semiHidden/>
    <w:qFormat/>
    <w:uiPriority w:val="9"/>
    <w:rPr>
      <w:rFonts w:cstheme="majorBidi"/>
      <w:color w:val="2F5597" w:themeColor="accent1" w:themeShade="BF"/>
      <w:sz w:val="24"/>
    </w:rPr>
  </w:style>
  <w:style w:type="character" w:customStyle="1" w:styleId="23">
    <w:name w:val="标题 6 字符"/>
    <w:basedOn w:val="17"/>
    <w:link w:val="7"/>
    <w:semiHidden/>
    <w:qFormat/>
    <w:uiPriority w:val="9"/>
    <w:rPr>
      <w:rFonts w:cstheme="majorBidi"/>
      <w:b/>
      <w:bCs/>
      <w:color w:val="2F5597"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qFormat/>
    <w:uiPriority w:val="30"/>
    <w:rPr>
      <w:i/>
      <w:iCs/>
      <w:color w:val="2F5597" w:themeColor="accent1" w:themeShade="BF"/>
    </w:rPr>
  </w:style>
  <w:style w:type="character" w:customStyle="1" w:styleId="35">
    <w:name w:val="明显参考1"/>
    <w:basedOn w:val="17"/>
    <w:qFormat/>
    <w:uiPriority w:val="32"/>
    <w:rPr>
      <w:b/>
      <w:bCs/>
      <w:smallCaps/>
      <w:color w:val="2F5597" w:themeColor="accent1" w:themeShade="BF"/>
      <w:spacing w:val="5"/>
    </w:rPr>
  </w:style>
  <w:style w:type="character" w:customStyle="1" w:styleId="36">
    <w:name w:val="页眉 字符"/>
    <w:basedOn w:val="17"/>
    <w:link w:val="12"/>
    <w:qFormat/>
    <w:uiPriority w:val="99"/>
    <w:rPr>
      <w:sz w:val="18"/>
      <w:szCs w:val="18"/>
    </w:rPr>
  </w:style>
  <w:style w:type="character" w:customStyle="1" w:styleId="37">
    <w:name w:val="页脚 字符"/>
    <w:basedOn w:val="17"/>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7.xml"/><Relationship Id="rId18" Type="http://schemas.openxmlformats.org/officeDocument/2006/relationships/chart" Target="charts/chart6.xml"/><Relationship Id="rId17" Type="http://schemas.openxmlformats.org/officeDocument/2006/relationships/chart" Target="charts/chart5.xml"/><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chart" Target="charts/chart2.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manualLayout>
          <c:layoutTarget val="inner"/>
          <c:xMode val="edge"/>
          <c:yMode val="edge"/>
          <c:x val="0.0851411843444925"/>
          <c:y val="0.0536635706914345"/>
          <c:w val="0.88837193869909"/>
          <c:h val="0.761451614213858"/>
        </c:manualLayout>
      </c:layout>
      <c:barChart>
        <c:barDir val="col"/>
        <c:grouping val="clustered"/>
        <c:varyColors val="false"/>
        <c:ser>
          <c:idx val="0"/>
          <c:order val="0"/>
          <c:tx>
            <c:strRef>
              <c:f>Sheet1!$B$1</c:f>
              <c:strCache>
                <c:ptCount val="1"/>
                <c:pt idx="0">
                  <c:v>2023年收支决算总数</c:v>
                </c:pt>
              </c:strCache>
            </c:strRef>
          </c:tx>
          <c:spPr>
            <a:solidFill>
              <a:schemeClr val="accent1"/>
            </a:solidFill>
            <a:ln>
              <a:noFill/>
            </a:ln>
            <a:effectLst/>
            <a:sp3d/>
          </c:spPr>
          <c:invertIfNegative val="false"/>
          <c:dLbls>
            <c:dLbl>
              <c:idx val="0"/>
              <c:layout>
                <c:manualLayout>
                  <c:x val="0.0915001203948953"/>
                  <c:y val="-0.0990712074303406"/>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单位：万元</c:v>
                </c:pt>
              </c:strCache>
            </c:strRef>
          </c:cat>
          <c:val>
            <c:numRef>
              <c:f>Sheet1!$B$2</c:f>
              <c:numCache>
                <c:formatCode>General</c:formatCode>
                <c:ptCount val="1"/>
                <c:pt idx="0">
                  <c:v>351.79</c:v>
                </c:pt>
              </c:numCache>
            </c:numRef>
          </c:val>
        </c:ser>
        <c:ser>
          <c:idx val="1"/>
          <c:order val="1"/>
          <c:tx>
            <c:strRef>
              <c:f>Sheet1!$C$1</c:f>
              <c:strCache>
                <c:ptCount val="1"/>
                <c:pt idx="0">
                  <c:v>2024年收支决算总数</c:v>
                </c:pt>
              </c:strCache>
            </c:strRef>
          </c:tx>
          <c:spPr>
            <a:solidFill>
              <a:schemeClr val="accent2"/>
            </a:solidFill>
            <a:ln>
              <a:noFill/>
            </a:ln>
            <a:effectLst/>
            <a:sp3d/>
          </c:spPr>
          <c:invertIfNegative val="false"/>
          <c:dLbls>
            <c:dLbl>
              <c:idx val="0"/>
              <c:layout>
                <c:manualLayout>
                  <c:x val="0.0842764266795087"/>
                  <c:y val="-0.119711042311662"/>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单位：万元</c:v>
                </c:pt>
              </c:strCache>
            </c:strRef>
          </c:cat>
          <c:val>
            <c:numRef>
              <c:f>Sheet1!$C$2</c:f>
              <c:numCache>
                <c:formatCode>General</c:formatCode>
                <c:ptCount val="1"/>
                <c:pt idx="0">
                  <c:v>355</c:v>
                </c:pt>
              </c:numCache>
            </c:numRef>
          </c:val>
        </c:ser>
        <c:dLbls>
          <c:showLegendKey val="false"/>
          <c:showVal val="false"/>
          <c:showCatName val="false"/>
          <c:showSerName val="false"/>
          <c:showPercent val="false"/>
          <c:showBubbleSize val="false"/>
        </c:dLbls>
        <c:gapWidth val="150"/>
        <c:axId val="10481760"/>
        <c:axId val="10483680"/>
      </c:barChart>
      <c:catAx>
        <c:axId val="10481760"/>
        <c:scaling>
          <c:orientation val="minMax"/>
        </c:scaling>
        <c:delete val="true"/>
        <c:axPos val="b"/>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483680"/>
        <c:crosses val="autoZero"/>
        <c:auto val="true"/>
        <c:lblAlgn val="ctr"/>
        <c:lblOffset val="100"/>
        <c:noMultiLvlLbl val="false"/>
      </c:catAx>
      <c:valAx>
        <c:axId val="10483680"/>
        <c:scaling>
          <c:orientation val="minMax"/>
          <c:min val="0"/>
        </c:scaling>
        <c:delete val="false"/>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r>
                  <a:rPr lang="zh-CN" altLang="en-US"/>
                  <a:t>单位：万元</a:t>
                </a:r>
                <a:endParaRPr lang="zh-CN" altLang="en-US"/>
              </a:p>
            </c:rich>
          </c:tx>
          <c:layout>
            <c:manualLayout>
              <c:xMode val="edge"/>
              <c:yMode val="edge"/>
              <c:x val="0.0137951694155254"/>
              <c:y val="0.421226201214012"/>
            </c:manualLayout>
          </c:layout>
          <c:overlay val="false"/>
          <c:spPr>
            <a:noFill/>
            <a:ln>
              <a:noFill/>
            </a:ln>
            <a:effectLst/>
          </c:spPr>
        </c:title>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481760"/>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pieChart>
        <c:varyColors val="true"/>
        <c:ser>
          <c:idx val="0"/>
          <c:order val="0"/>
          <c:tx>
            <c:strRef>
              <c:f>Sheet1!$B$1</c:f>
              <c:strCache>
                <c:ptCount val="1"/>
                <c:pt idx="0">
                  <c:v>列1</c:v>
                </c:pt>
              </c:strCache>
            </c:strRef>
          </c:tx>
          <c:spPr>
            <a:ln w="19050">
              <a:noFill/>
            </a:ln>
          </c:spPr>
          <c:explosion val="0"/>
          <c:dPt>
            <c:idx val="0"/>
            <c:bubble3D val="false"/>
            <c:spPr>
              <a:solidFill>
                <a:schemeClr val="accent1"/>
              </a:solidFill>
              <a:ln w="25400">
                <a:noFill/>
              </a:ln>
              <a:effectLst/>
              <a:sp3d/>
            </c:spPr>
          </c:dPt>
          <c:dLbls>
            <c:dLbl>
              <c:idx val="0"/>
              <c:layout>
                <c:manualLayout>
                  <c:x val="0.303395136046232"/>
                  <c:y val="-0.0577917001860837"/>
                </c:manualLayout>
              </c:layout>
              <c:tx>
                <c:rich>
                  <a:bodyPr rot="0" spcFirstLastPara="1" vertOverflow="clip" horzOverflow="clip" vert="horz" wrap="square" lIns="38100" tIns="19050" rIns="38100" bIns="19050" anchor="ctr" anchorCtr="false">
                    <a:spAutoFit/>
                  </a:bodyPr>
                  <a:lstStyle/>
                  <a:p>
                    <a:fld id="{af686811-49aa-4014-9d52-28bceab0fb30}" type="CATEGORYNAME">
                      <a:t>[CATEGORY NAME]</a:t>
                    </a:fld>
                    <a:endParaRPr lang="zh-CN" altLang="en-US" sz="900" b="0" i="0" u="none" strike="noStrike" kern="1200" baseline="0">
                      <a:solidFill>
                        <a:sysClr val="windowText" lastClr="000000">
                          <a:lumMod val="65000"/>
                          <a:lumOff val="35000"/>
                        </a:sysClr>
                      </a:solidFill>
                      <a:latin typeface="Times New Roman" panose="02020603050405020304" charset="0"/>
                      <a:ea typeface="Times New Roman" panose="02020603050405020304" charset="0"/>
                      <a:cs typeface="+mn-ea"/>
                    </a:endParaRPr>
                  </a:p>
                </c:rich>
              </c:tx>
              <c:numFmt formatCode="General" sourceLinked="true"/>
              <c:spPr>
                <a:solidFill>
                  <a:sysClr val="window" lastClr="FFFFFF"/>
                </a:solidFill>
                <a:ln w="9525" cap="flat" cmpd="sng" algn="ctr">
                  <a:solidFill>
                    <a:schemeClr val="accent1"/>
                  </a:solidFill>
                  <a:prstDash val="solid"/>
                  <a:round/>
                  <a:headEnd type="none" w="med" len="med"/>
                  <a:tailEnd type="none" w="med" len="med"/>
                </a:ln>
                <a:effectLst/>
              </c:spPr>
              <c:txPr>
                <a:bodyPr rot="0" spcFirstLastPara="1" vertOverflow="clip" horzOverflow="clip" vert="horz" wrap="square" lIns="38100" tIns="19050" rIns="38100" bIns="19050" anchor="ctr" anchorCtr="false">
                  <a:spAutoFit/>
                </a:bodyPr>
                <a:lstStyle/>
                <a:p>
                  <a:pPr algn="ctr">
                    <a:defRPr lang="zh-CN" sz="1000" b="0" i="0" u="none" strike="noStrike" kern="1200" baseline="0">
                      <a:solidFill>
                        <a:schemeClr val="tx1"/>
                      </a:solidFill>
                      <a:latin typeface="+mn-lt"/>
                      <a:ea typeface="+mn-ea"/>
                      <a:cs typeface="+mn-cs"/>
                    </a:defRPr>
                  </a:pPr>
                </a:p>
              </c:txPr>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spPr xmlns:c15="http://schemas.microsoft.com/office/drawing/2012/chart">
                    <a:prstGeom prst="wedgeRectCallout">
                      <a:avLst>
                        <a:gd name="adj1" fmla="val -94467"/>
                        <a:gd name="adj2" fmla="val -161531"/>
                      </a:avLst>
                    </a:prstGeom>
                    <a:noFill/>
                    <a:ln>
                      <a:noFill/>
                    </a:ln>
                  </c15:spPr>
                  <c15:layout>
                    <c:manualLayout>
                      <c:w val="0.304568749277157"/>
                      <c:h val="0.207580182508146"/>
                    </c:manualLayout>
                  </c15:layout>
                </c:ext>
              </c:extLst>
            </c:dLbl>
            <c:spPr>
              <a:solidFill>
                <a:sysClr val="window" lastClr="FFFFFF"/>
              </a:solidFill>
              <a:ln>
                <a:solidFill>
                  <a:schemeClr val="accent1"/>
                </a:solidFill>
              </a:ln>
              <a:effectLst/>
            </c:spPr>
            <c:txPr>
              <a:bodyPr rot="0" spcFirstLastPara="1" vertOverflow="clip" horzOverflow="clip" vert="horz" wrap="square" lIns="38100" tIns="19050" rIns="38100" bIns="19050" anchor="ctr" anchorCtr="true">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spPr xmlns:c15="http://schemas.microsoft.com/office/drawing/2012/chart">
                  <a:prstGeom prst="wedgeRectCallout">
                    <a:avLst/>
                  </a:prstGeom>
                  <a:noFill/>
                  <a:ln>
                    <a:noFill/>
                  </a:ln>
                </c15:spPr>
                <c15:layout/>
                <c15:showLeaderLines val="true"/>
                <c15:leaderLines/>
              </c:ext>
            </c:extLst>
          </c:dLbls>
          <c:cat>
            <c:numRef>
              <c:f>Sheet1!$A$2</c:f>
              <c:numCache>
                <c:formatCode>General</c:formatCode>
                <c:ptCount val="1"/>
              </c:numCache>
            </c:numRef>
          </c:cat>
          <c:val>
            <c:numRef>
              <c:f>Sheet1!$B$2</c:f>
              <c:numCache>
                <c:formatCode>General</c:formatCode>
                <c:ptCount val="1"/>
                <c:pt idx="0">
                  <c:v>355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pieChart>
        <c:varyColors val="true"/>
        <c:ser>
          <c:idx val="0"/>
          <c:order val="0"/>
          <c:tx>
            <c:strRef>
              <c:f>Sheet1!$B$1</c:f>
              <c:strCache>
                <c:ptCount val="1"/>
                <c:pt idx="0">
                  <c:v>列1</c:v>
                </c:pt>
              </c:strCache>
            </c:strRef>
          </c:tx>
          <c:spPr>
            <a:ln w="19050">
              <a:noFill/>
            </a:ln>
          </c:spPr>
          <c:explosion val="0"/>
          <c:dPt>
            <c:idx val="0"/>
            <c:bubble3D val="false"/>
            <c:spPr>
              <a:solidFill>
                <a:schemeClr val="accent1"/>
              </a:solidFill>
              <a:ln w="25400">
                <a:noFill/>
              </a:ln>
              <a:effectLst/>
              <a:sp3d/>
            </c:spPr>
          </c:dPt>
          <c:dLbls>
            <c:dLbl>
              <c:idx val="0"/>
              <c:layout>
                <c:manualLayout>
                  <c:x val="0.314745972738538"/>
                  <c:y val="-0.0918984280532045"/>
                </c:manualLayout>
              </c:layout>
              <c:tx>
                <c:rich>
                  <a:bodyPr rot="0" spcFirstLastPara="1" vertOverflow="clip" horzOverflow="clip" vert="horz" wrap="square" lIns="38100" tIns="19050" rIns="38100" bIns="19050" anchor="ctr" anchorCtr="true">
                    <a:noAutofit/>
                  </a:bodyPr>
                  <a:lstStyle/>
                  <a:p>
                    <a:fld id="{0a926955-a68d-495f-b7f9-a630cb30cb5d}" type="CATEGORYNAME">
                      <a:t>[CATEGORY NAME]</a:t>
                    </a:fld>
                    <a:endParaRPr lang="zh-CN" altLang="en-US" sz="800" b="0" i="0" u="none" strike="noStrike" baseline="0">
                      <a:solidFill>
                        <a:schemeClr val="accent1"/>
                      </a:solidFill>
                      <a:latin typeface="Times New Roman" panose="02020603050405020304" charset="0"/>
                      <a:ea typeface="Times New Roman" panose="02020603050405020304" charset="0"/>
                      <a:cs typeface="+mn-ea"/>
                    </a:endParaRPr>
                  </a:p>
                </c:rich>
              </c:tx>
              <c:numFmt formatCode="General" sourceLinked="true"/>
              <c:spPr>
                <a:solidFill>
                  <a:sysClr val="window" lastClr="FFFFFF"/>
                </a:solidFill>
                <a:ln w="9525" cap="flat" cmpd="sng" algn="ctr">
                  <a:solidFill>
                    <a:schemeClr val="accent1"/>
                  </a:solidFill>
                  <a:prstDash val="solid"/>
                  <a:round/>
                  <a:headEnd type="none" w="med" len="med"/>
                  <a:tailEnd type="none" w="med" len="med"/>
                </a:ln>
                <a:effectLst/>
              </c:spPr>
              <c:txPr>
                <a:bodyPr rot="0" spcFirstLastPara="1" vertOverflow="clip" horzOverflow="clip" vert="horz" wrap="square" lIns="38100" tIns="19050" rIns="38100" bIns="19050" anchor="ctr" anchorCtr="true">
                  <a:noAutofit/>
                </a:bodyPr>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spPr xmlns:c15="http://schemas.microsoft.com/office/drawing/2012/chart">
                    <a:prstGeom prst="wedgeRectCallout">
                      <a:avLst>
                        <a:gd name="adj1" fmla="val -102357"/>
                        <a:gd name="adj2" fmla="val -329653"/>
                      </a:avLst>
                    </a:prstGeom>
                    <a:noFill/>
                    <a:ln>
                      <a:noFill/>
                    </a:ln>
                  </c15:spPr>
                  <c15:layout>
                    <c:manualLayout>
                      <c:w val="0.281764286899082"/>
                      <c:h val="0.126343771720192"/>
                    </c:manualLayout>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true">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spPr xmlns:c15="http://schemas.microsoft.com/office/drawing/2012/chart">
                  <a:prstGeom prst="wedgeRectCallout">
                    <a:avLst/>
                  </a:prstGeom>
                  <a:noFill/>
                  <a:ln>
                    <a:noFill/>
                  </a:ln>
                </c15:spPr>
                <c15:layout/>
                <c15:showLeaderLines val="true"/>
                <c15:leaderLines/>
              </c:ext>
            </c:extLst>
          </c:dLbls>
          <c:cat>
            <c:numRef>
              <c:f>Sheet1!$A$2</c:f>
              <c:numCache>
                <c:formatCode>General</c:formatCode>
                <c:ptCount val="1"/>
              </c:numCache>
            </c:numRef>
          </c:cat>
          <c:val>
            <c:numRef>
              <c:f>Sheet1!$B$2</c:f>
              <c:numCache>
                <c:formatCode>General</c:formatCode>
                <c:ptCount val="1"/>
                <c:pt idx="0">
                  <c:v>355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barChart>
        <c:barDir val="col"/>
        <c:grouping val="clustered"/>
        <c:varyColors val="false"/>
        <c:ser>
          <c:idx val="0"/>
          <c:order val="0"/>
          <c:tx>
            <c:strRef>
              <c:f>Sheet1!$B$1</c:f>
              <c:strCache>
                <c:ptCount val="1"/>
                <c:pt idx="0">
                  <c:v>2023年财政拨款收支决算总数</c:v>
                </c:pt>
              </c:strCache>
            </c:strRef>
          </c:tx>
          <c:spPr>
            <a:solidFill>
              <a:schemeClr val="accent1"/>
            </a:solidFill>
            <a:ln>
              <a:noFill/>
            </a:ln>
            <a:effectLst/>
            <a:sp3d/>
          </c:spPr>
          <c:invertIfNegative val="false"/>
          <c:dLbls>
            <c:dLbl>
              <c:idx val="0"/>
              <c:layout>
                <c:manualLayout>
                  <c:x val="0.0890922224897664"/>
                  <c:y val="-0.10319917440660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351.79</c:v>
                </c:pt>
              </c:numCache>
            </c:numRef>
          </c:val>
        </c:ser>
        <c:ser>
          <c:idx val="1"/>
          <c:order val="1"/>
          <c:tx>
            <c:strRef>
              <c:f>Sheet1!$C$1</c:f>
              <c:strCache>
                <c:ptCount val="1"/>
                <c:pt idx="0">
                  <c:v>2024年财政拨款收支决算总数</c:v>
                </c:pt>
              </c:strCache>
            </c:strRef>
          </c:tx>
          <c:spPr>
            <a:solidFill>
              <a:schemeClr val="accent2"/>
            </a:solidFill>
            <a:ln>
              <a:noFill/>
            </a:ln>
            <a:effectLst/>
            <a:sp3d/>
          </c:spPr>
          <c:invertIfNegative val="false"/>
          <c:dLbls>
            <c:dLbl>
              <c:idx val="0"/>
              <c:layout>
                <c:manualLayout>
                  <c:x val="0.0746448350589935"/>
                  <c:y val="-0.132094943240454"/>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355</c:v>
                </c:pt>
              </c:numCache>
            </c:numRef>
          </c:val>
        </c:ser>
        <c:dLbls>
          <c:showLegendKey val="false"/>
          <c:showVal val="false"/>
          <c:showCatName val="false"/>
          <c:showSerName val="false"/>
          <c:showPercent val="false"/>
          <c:showBubbleSize val="false"/>
        </c:dLbls>
        <c:gapWidth val="150"/>
        <c:axId val="141304208"/>
        <c:axId val="141293648"/>
      </c:barChart>
      <c:catAx>
        <c:axId val="141304208"/>
        <c:scaling>
          <c:orientation val="minMax"/>
        </c:scaling>
        <c:delete val="false"/>
        <c:axPos val="b"/>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1293648"/>
        <c:crosses val="autoZero"/>
        <c:auto val="true"/>
        <c:lblAlgn val="ctr"/>
        <c:lblOffset val="100"/>
        <c:noMultiLvlLbl val="false"/>
      </c:catAx>
      <c:valAx>
        <c:axId val="141293648"/>
        <c:scaling>
          <c:orientation val="minMax"/>
          <c:min val="0"/>
        </c:scaling>
        <c:delete val="false"/>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r>
                  <a:rPr lang="zh-CN" altLang="en-US"/>
                  <a:t>单位：万元</a:t>
                </a:r>
                <a:endParaRPr lang="zh-CN" altLang="en-US"/>
              </a:p>
            </c:rich>
          </c:tx>
          <c:layout/>
          <c:overlay val="false"/>
          <c:spPr>
            <a:noFill/>
            <a:ln>
              <a:noFill/>
            </a:ln>
            <a:effectLst/>
          </c:spPr>
        </c:title>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1304208"/>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barChart>
        <c:barDir val="col"/>
        <c:grouping val="clustered"/>
        <c:varyColors val="false"/>
        <c:ser>
          <c:idx val="0"/>
          <c:order val="0"/>
          <c:tx>
            <c:strRef>
              <c:f>Sheet1!$B$1</c:f>
              <c:strCache>
                <c:ptCount val="1"/>
                <c:pt idx="0">
                  <c:v>2023年一般公共预算财政拨款支出决算数</c:v>
                </c:pt>
              </c:strCache>
            </c:strRef>
          </c:tx>
          <c:spPr>
            <a:solidFill>
              <a:schemeClr val="accent1"/>
            </a:solidFill>
            <a:ln>
              <a:noFill/>
            </a:ln>
            <a:effectLst/>
            <a:sp3d/>
          </c:spPr>
          <c:invertIfNegative val="false"/>
          <c:dLbls>
            <c:dLbl>
              <c:idx val="0"/>
              <c:layout>
                <c:manualLayout>
                  <c:x val="0.0890922224897664"/>
                  <c:y val="-0.10319917440660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351.79</c:v>
                </c:pt>
              </c:numCache>
            </c:numRef>
          </c:val>
        </c:ser>
        <c:ser>
          <c:idx val="1"/>
          <c:order val="1"/>
          <c:tx>
            <c:strRef>
              <c:f>Sheet1!$C$1</c:f>
              <c:strCache>
                <c:ptCount val="1"/>
                <c:pt idx="0">
                  <c:v>2024年一般公共预算财政拨款支出决算数</c:v>
                </c:pt>
              </c:strCache>
            </c:strRef>
          </c:tx>
          <c:spPr>
            <a:solidFill>
              <a:schemeClr val="accent2"/>
            </a:solidFill>
            <a:ln>
              <a:noFill/>
            </a:ln>
            <a:effectLst/>
            <a:sp3d/>
          </c:spPr>
          <c:invertIfNegative val="false"/>
          <c:dLbls>
            <c:dLbl>
              <c:idx val="0"/>
              <c:layout>
                <c:manualLayout>
                  <c:x val="0.0746448350589935"/>
                  <c:y val="-0.132094943240454"/>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355</c:v>
                </c:pt>
              </c:numCache>
            </c:numRef>
          </c:val>
        </c:ser>
        <c:dLbls>
          <c:showLegendKey val="false"/>
          <c:showVal val="false"/>
          <c:showCatName val="false"/>
          <c:showSerName val="false"/>
          <c:showPercent val="false"/>
          <c:showBubbleSize val="false"/>
        </c:dLbls>
        <c:gapWidth val="150"/>
        <c:axId val="141304208"/>
        <c:axId val="141293648"/>
      </c:barChart>
      <c:catAx>
        <c:axId val="141304208"/>
        <c:scaling>
          <c:orientation val="minMax"/>
        </c:scaling>
        <c:delete val="false"/>
        <c:axPos val="b"/>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1293648"/>
        <c:crosses val="autoZero"/>
        <c:auto val="true"/>
        <c:lblAlgn val="ctr"/>
        <c:lblOffset val="100"/>
        <c:noMultiLvlLbl val="false"/>
      </c:catAx>
      <c:valAx>
        <c:axId val="141293648"/>
        <c:scaling>
          <c:orientation val="minMax"/>
          <c:min val="0"/>
        </c:scaling>
        <c:delete val="false"/>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r>
                  <a:rPr lang="zh-CN" altLang="en-US"/>
                  <a:t>单位：万元</a:t>
                </a:r>
                <a:endParaRPr lang="zh-CN" altLang="en-US"/>
              </a:p>
            </c:rich>
          </c:tx>
          <c:layout/>
          <c:overlay val="false"/>
          <c:spPr>
            <a:noFill/>
            <a:ln>
              <a:noFill/>
            </a:ln>
            <a:effectLst/>
          </c:spPr>
        </c:title>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1304208"/>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manualLayout>
          <c:layoutTarget val="inner"/>
          <c:xMode val="edge"/>
          <c:yMode val="edge"/>
          <c:x val="0.0260694395070506"/>
          <c:y val="0.0644321048571488"/>
          <c:w val="0.947026246087166"/>
          <c:h val="0.702476292630604"/>
        </c:manualLayout>
      </c:layout>
      <c:pieChart>
        <c:varyColors val="true"/>
        <c:ser>
          <c:idx val="0"/>
          <c:order val="0"/>
          <c:tx>
            <c:strRef>
              <c:f>Sheet1!$B$1</c:f>
              <c:strCache>
                <c:ptCount val="1"/>
                <c:pt idx="0">
                  <c:v>列1</c:v>
                </c:pt>
              </c:strCache>
            </c:strRef>
          </c:tx>
          <c:spPr/>
          <c:explosion val="0"/>
          <c:dPt>
            <c:idx val="0"/>
            <c:bubble3D val="false"/>
            <c:spPr>
              <a:solidFill>
                <a:schemeClr val="accent1"/>
              </a:solidFill>
              <a:ln w="25400">
                <a:solidFill>
                  <a:schemeClr val="lt1"/>
                </a:solidFill>
              </a:ln>
              <a:effectLst/>
              <a:sp3d contourW="25400">
                <a:contourClr>
                  <a:schemeClr val="lt1"/>
                </a:contourClr>
              </a:sp3d>
            </c:spPr>
          </c:dPt>
          <c:dPt>
            <c:idx val="1"/>
            <c:bubble3D val="false"/>
            <c:spPr>
              <a:solidFill>
                <a:schemeClr val="accent2"/>
              </a:solidFill>
              <a:ln w="25400">
                <a:solidFill>
                  <a:schemeClr val="lt1"/>
                </a:solidFill>
              </a:ln>
              <a:effectLst/>
              <a:sp3d contourW="25400">
                <a:contourClr>
                  <a:schemeClr val="lt1"/>
                </a:contourClr>
              </a:sp3d>
            </c:spPr>
          </c:dPt>
          <c:dPt>
            <c:idx val="2"/>
            <c:bubble3D val="false"/>
            <c:spPr>
              <a:solidFill>
                <a:schemeClr val="accent3"/>
              </a:solidFill>
              <a:ln w="25400">
                <a:solidFill>
                  <a:schemeClr val="lt1"/>
                </a:solidFill>
              </a:ln>
              <a:effectLst/>
              <a:sp3d contourW="25400">
                <a:contourClr>
                  <a:schemeClr val="lt1"/>
                </a:contourClr>
              </a:sp3d>
            </c:spPr>
          </c:dPt>
          <c:dPt>
            <c:idx val="3"/>
            <c:bubble3D val="false"/>
            <c:explosion val="19"/>
            <c:spPr>
              <a:solidFill>
                <a:schemeClr val="accent4"/>
              </a:solidFill>
              <a:ln w="25400">
                <a:noFill/>
              </a:ln>
              <a:effectLst/>
              <a:sp3d/>
            </c:spPr>
          </c:dPt>
          <c:dPt>
            <c:idx val="4"/>
            <c:bubble3D val="false"/>
            <c:spPr>
              <a:solidFill>
                <a:schemeClr val="accent5"/>
              </a:solidFill>
              <a:ln w="25400">
                <a:solidFill>
                  <a:schemeClr val="lt1"/>
                </a:solidFill>
              </a:ln>
              <a:effectLst/>
              <a:sp3d contourW="25400">
                <a:contourClr>
                  <a:schemeClr val="lt1"/>
                </a:contourClr>
              </a:sp3d>
            </c:spPr>
          </c:dPt>
          <c:dLbls>
            <c:dLbl>
              <c:idx val="0"/>
              <c:layout>
                <c:manualLayout>
                  <c:x val="0.0505409362045172"/>
                  <c:y val="-0.014625422484148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194054040436556"/>
                  <c:y val="-0.015100318991458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0802050472450275"/>
                  <c:y val="-0.070446842864853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800641565733896"/>
                  <c:y val="-0.45300817980276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4"/>
              <c:layout>
                <c:manualLayout>
                  <c:x val="-0.0293938995272232"/>
                  <c:y val="-0.0093316005402237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Sheet1!$A$2:$A$6</c:f>
              <c:strCache>
                <c:ptCount val="5"/>
                <c:pt idx="0">
                  <c:v>教育支出</c:v>
                </c:pt>
                <c:pt idx="1">
                  <c:v>社会保障和就业支出</c:v>
                </c:pt>
                <c:pt idx="2">
                  <c:v>卫生健康支出</c:v>
                </c:pt>
                <c:pt idx="3">
                  <c:v>城乡社区支出</c:v>
                </c:pt>
                <c:pt idx="4">
                  <c:v>住房保障支出</c:v>
                </c:pt>
              </c:strCache>
            </c:strRef>
          </c:cat>
          <c:val>
            <c:numRef>
              <c:f>Sheet1!$B$2:$B$6</c:f>
              <c:numCache>
                <c:formatCode>General</c:formatCode>
                <c:ptCount val="5"/>
                <c:pt idx="0">
                  <c:v>0.87</c:v>
                </c:pt>
                <c:pt idx="1">
                  <c:v>71.52</c:v>
                </c:pt>
                <c:pt idx="2">
                  <c:v>15.69</c:v>
                </c:pt>
                <c:pt idx="3">
                  <c:v>244.23</c:v>
                </c:pt>
                <c:pt idx="4">
                  <c:v>22.69</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834453087605073"/>
          <c:y val="0.0533973632819287"/>
          <c:w val="0.151096008128739"/>
          <c:h val="0.89952996828618"/>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pieChart>
        <c:varyColors val="true"/>
        <c:ser>
          <c:idx val="0"/>
          <c:order val="0"/>
          <c:tx>
            <c:strRef>
              <c:f>Sheet1!$B$1</c:f>
              <c:strCache>
                <c:ptCount val="1"/>
                <c:pt idx="0">
                  <c:v>销售额</c:v>
                </c:pt>
              </c:strCache>
            </c:strRef>
          </c:tx>
          <c:explosion val="0"/>
          <c:dPt>
            <c:idx val="0"/>
            <c:bubble3D val="false"/>
            <c:spPr>
              <a:solidFill>
                <a:schemeClr val="accent1"/>
              </a:solidFill>
              <a:ln w="25400">
                <a:noFill/>
              </a:ln>
              <a:effectLst/>
              <a:sp3d/>
            </c:spPr>
          </c:dPt>
          <c:dLbls>
            <c:dLbl>
              <c:idx val="0"/>
              <c:layout>
                <c:manualLayout>
                  <c:x val="0.378599191173822"/>
                  <c:y val="-0.0335397316821465"/>
                </c:manualLayout>
              </c:layout>
              <c:tx>
                <c:rich>
                  <a:bodyPr rot="0" spcFirstLastPara="1" vertOverflow="clip" horzOverflow="clip" vert="horz" wrap="square" lIns="38100" tIns="19050" rIns="38100" bIns="19050" anchor="ctr" anchorCtr="true">
                    <a:noAutofit/>
                  </a:bodyPr>
                  <a:lstStyle/>
                  <a:p>
                    <a:fld id="{f58940aa-1f36-493b-88e6-d8296c6b635d}" type="CATEGORYNAME">
                      <a:t>[CATEGORY NAME]</a:t>
                    </a:fld>
                    <a:endParaRPr lang="zh-CN" altLang="en-US" sz="800" b="0" i="0" u="none" strike="noStrike" baseline="0">
                      <a:solidFill>
                        <a:schemeClr val="accent1"/>
                      </a:solidFill>
                      <a:latin typeface="Times New Roman" panose="02020603050405020304" charset="0"/>
                      <a:ea typeface="Times New Roman" panose="02020603050405020304" charset="0"/>
                      <a:cs typeface="+mn-ea"/>
                    </a:endParaRPr>
                  </a:p>
                </c:rich>
              </c:tx>
              <c:numFmt formatCode="General" sourceLinked="true"/>
              <c:spPr>
                <a:solidFill>
                  <a:sysClr val="window" lastClr="FFFFFF"/>
                </a:solidFill>
                <a:ln w="9525" cap="flat" cmpd="sng" algn="ctr">
                  <a:solidFill>
                    <a:schemeClr val="accent1"/>
                  </a:solidFill>
                  <a:prstDash val="solid"/>
                  <a:round/>
                  <a:headEnd type="none" w="med" len="med"/>
                  <a:tailEnd type="none" w="med" len="med"/>
                </a:ln>
                <a:effectLst/>
              </c:spPr>
              <c:txPr>
                <a:bodyPr rot="0" spcFirstLastPara="1" vertOverflow="clip" horzOverflow="clip" vert="horz" wrap="square" lIns="38100" tIns="19050" rIns="38100" bIns="19050" anchor="ctr" anchorCtr="true">
                  <a:noAutofit/>
                </a:bodyPr>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spPr xmlns:c15="http://schemas.microsoft.com/office/drawing/2012/chart">
                    <a:prstGeom prst="wedgeRectCallout">
                      <a:avLst>
                        <a:gd name="adj1" fmla="val -202102"/>
                        <a:gd name="adj2" fmla="val -195255"/>
                      </a:avLst>
                    </a:prstGeom>
                    <a:noFill/>
                    <a:ln>
                      <a:noFill/>
                    </a:ln>
                  </c15:spPr>
                  <c15:layout>
                    <c:manualLayout>
                      <c:w val="0.213904946808208"/>
                      <c:h val="0.219178794601139"/>
                    </c:manualLayout>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true">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false"/>
            <c:showVal val="false"/>
            <c:showCatName val="true"/>
            <c:showSerName val="false"/>
            <c:showPercent val="true"/>
            <c:showBubbleSize val="false"/>
            <c:showLeaderLines val="false"/>
            <c:extLst>
              <c:ext xmlns:c15="http://schemas.microsoft.com/office/drawing/2012/chart" uri="{CE6537A1-D6FC-4f65-9D91-7224C49458BB}">
                <c15:spPr xmlns:c15="http://schemas.microsoft.com/office/drawing/2012/chart">
                  <a:prstGeom prst="wedgeRectCallout">
                    <a:avLst/>
                  </a:prstGeom>
                  <a:noFill/>
                  <a:ln>
                    <a:noFill/>
                  </a:ln>
                </c15:spPr>
                <c15:layout/>
                <c15:showLeaderLines val="false"/>
                <c15:leaderLines/>
              </c:ext>
            </c:extLst>
          </c:dLbls>
          <c:cat>
            <c:numRef>
              <c:f>Sheet1!$A$2</c:f>
              <c:numCache>
                <c:formatCode>General</c:formatCode>
                <c:ptCount val="1"/>
              </c:numCache>
            </c:numRef>
          </c:cat>
          <c:val>
            <c:numRef>
              <c:f>Sheet1!$B$2</c:f>
              <c:numCache>
                <c:formatCode>General</c:formatCode>
                <c:ptCount val="1"/>
                <c:pt idx="0">
                  <c:v>3.81</c:v>
                </c:pt>
              </c:numCache>
            </c:numRef>
          </c:val>
        </c:ser>
        <c:dLbls>
          <c:showLegendKey val="false"/>
          <c:showVal val="false"/>
          <c:showCatName val="false"/>
          <c:showSerName val="false"/>
          <c:showPercent val="false"/>
          <c:showBubbleSize val="false"/>
          <c:showLeaderLines val="fals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2400</Words>
  <Characters>2690</Characters>
  <Lines>158</Lines>
  <Paragraphs>130</Paragraphs>
  <TotalTime>0</TotalTime>
  <ScaleCrop>false</ScaleCrop>
  <LinksUpToDate>false</LinksUpToDate>
  <CharactersWithSpaces>4960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2025-09-05T22:26:00Z</dcterms:created>
  <dc:creator>DODO DONUT</dc:creator>
  <cp:lastModifiedBy>user</cp:lastModifiedBy>
  <dcterms:modified xsi:type="dcterms:W3CDTF">2025-09-10T10:21:58Z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