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bookmarkStart w:id="0" w:name="_Toc15396475"/>
      <w:bookmarkStart w:id="1" w:name="_Toc15377425"/>
      <w:bookmarkStart w:id="2" w:name="_Toc15396597"/>
      <w:bookmarkStart w:id="3" w:name="_Toc15378441"/>
      <w:bookmarkStart w:id="4" w:name="_Toc15377193"/>
      <w:bookmarkStart w:id="5" w:name="_Toc15306267"/>
    </w:p>
    <w:p>
      <w:pPr>
        <w:pStyle w:val="9"/>
        <w:spacing w:before="93"/>
        <w:rPr>
          <w:rFonts w:ascii="Times New Roman" w:eastAsia="方正小标宋简体"/>
          <w:kern w:val="2"/>
          <w:sz w:val="44"/>
          <w:szCs w:val="44"/>
        </w:rPr>
      </w:pPr>
    </w:p>
    <w:p>
      <w:pPr>
        <w:pStyle w:val="9"/>
        <w:spacing w:before="93"/>
        <w:jc w:val="center"/>
        <w:rPr>
          <w:rFonts w:ascii="Times New Roman" w:eastAsia="方正小标宋简体"/>
          <w:kern w:val="2"/>
          <w:sz w:val="44"/>
          <w:szCs w:val="44"/>
        </w:rPr>
      </w:pPr>
    </w:p>
    <w:p>
      <w:pPr>
        <w:pStyle w:val="9"/>
        <w:spacing w:before="93"/>
        <w:jc w:val="center"/>
        <w:rPr>
          <w:rFonts w:ascii="Times New Roman" w:eastAsia="方正小标宋简体"/>
          <w:kern w:val="2"/>
          <w:sz w:val="44"/>
          <w:szCs w:val="44"/>
        </w:rPr>
      </w:pPr>
    </w:p>
    <w:p>
      <w:pPr>
        <w:pStyle w:val="9"/>
        <w:spacing w:before="93"/>
        <w:jc w:val="center"/>
        <w:rPr>
          <w:rFonts w:ascii="Times New Roman" w:eastAsia="方正小标宋简体"/>
          <w:kern w:val="2"/>
          <w:sz w:val="44"/>
          <w:szCs w:val="44"/>
        </w:rPr>
      </w:pPr>
    </w:p>
    <w:bookmarkEnd w:id="0"/>
    <w:bookmarkEnd w:id="1"/>
    <w:bookmarkEnd w:id="2"/>
    <w:bookmarkEnd w:id="3"/>
    <w:bookmarkEnd w:id="4"/>
    <w:p>
      <w:pPr>
        <w:pStyle w:val="9"/>
        <w:spacing w:before="93"/>
        <w:jc w:val="center"/>
        <w:rPr>
          <w:rFonts w:ascii="Times New Roman" w:eastAsia="方正小标宋简体"/>
          <w:kern w:val="2"/>
          <w:sz w:val="44"/>
          <w:szCs w:val="44"/>
        </w:rPr>
      </w:pPr>
      <w:bookmarkStart w:id="6" w:name="_Toc15396476"/>
      <w:bookmarkStart w:id="7" w:name="_Toc15377194"/>
      <w:bookmarkStart w:id="8" w:name="_Toc15377426"/>
      <w:bookmarkStart w:id="9" w:name="_Toc15396598"/>
      <w:bookmarkStart w:id="10" w:name="_Toc15378442"/>
      <w:r>
        <w:rPr>
          <w:rFonts w:hint="eastAsia" w:ascii="Times New Roman" w:eastAsia="方正小标宋简体"/>
          <w:kern w:val="2"/>
          <w:sz w:val="44"/>
          <w:szCs w:val="44"/>
        </w:rPr>
        <w:t>2024年度四川省</w:t>
      </w:r>
      <w:bookmarkEnd w:id="5"/>
      <w:bookmarkStart w:id="11" w:name="_Toc15306268"/>
      <w:r>
        <w:rPr>
          <w:rFonts w:hint="eastAsia" w:ascii="Times New Roman" w:eastAsia="方正小标宋简体"/>
          <w:kern w:val="2"/>
          <w:sz w:val="44"/>
          <w:szCs w:val="44"/>
        </w:rPr>
        <w:t>化工设计院</w:t>
      </w:r>
    </w:p>
    <w:p>
      <w:pPr>
        <w:pStyle w:val="9"/>
        <w:spacing w:before="93"/>
        <w:jc w:val="center"/>
        <w:rPr>
          <w:rFonts w:ascii="Times New Roman" w:eastAsia="方正小标宋简体"/>
          <w:kern w:val="2"/>
          <w:sz w:val="44"/>
          <w:szCs w:val="44"/>
        </w:rPr>
      </w:pPr>
      <w:r>
        <w:rPr>
          <w:rFonts w:hint="eastAsia" w:ascii="Times New Roman" w:eastAsia="方正小标宋简体"/>
          <w:kern w:val="2"/>
          <w:sz w:val="44"/>
          <w:szCs w:val="44"/>
        </w:rPr>
        <w:t>单位决算</w:t>
      </w:r>
      <w:bookmarkEnd w:id="6"/>
      <w:bookmarkEnd w:id="7"/>
      <w:bookmarkEnd w:id="8"/>
      <w:bookmarkEnd w:id="9"/>
      <w:bookmarkEnd w:id="10"/>
      <w:bookmarkEnd w:id="11"/>
      <w:r>
        <w:rPr>
          <w:rFonts w:hint="eastAsia" w:ascii="Times New Roman" w:eastAsia="方正小标宋简体"/>
          <w:kern w:val="2"/>
          <w:sz w:val="44"/>
          <w:szCs w:val="44"/>
        </w:rPr>
        <w:t>公开</w:t>
      </w:r>
    </w:p>
    <w:p>
      <w:pPr>
        <w:widowControl/>
        <w:jc w:val="center"/>
        <w:rPr>
          <w:rFonts w:eastAsia="黑体"/>
          <w:sz w:val="48"/>
          <w:szCs w:val="48"/>
        </w:rPr>
      </w:pPr>
      <w:r>
        <w:rPr>
          <w:rFonts w:eastAsia="方正小标宋简体"/>
          <w:sz w:val="36"/>
          <w:szCs w:val="36"/>
        </w:rPr>
        <w:br w:type="page"/>
      </w:r>
      <w:r>
        <w:rPr>
          <w:rFonts w:hint="eastAsia" w:eastAsia="黑体"/>
          <w:sz w:val="48"/>
          <w:szCs w:val="48"/>
        </w:rPr>
        <w:t>目录</w:t>
      </w:r>
    </w:p>
    <w:p>
      <w:pPr>
        <w:widowControl/>
        <w:jc w:val="center"/>
        <w:rPr>
          <w:rFonts w:eastAsia="黑体" w:cstheme="minorBidi"/>
          <w:sz w:val="28"/>
          <w:szCs w:val="28"/>
        </w:rPr>
      </w:pPr>
    </w:p>
    <w:p>
      <w:pPr>
        <w:pStyle w:val="14"/>
        <w:rPr>
          <w:rFonts w:ascii="Times New Roman" w:hAnsi="Times New Roman" w:eastAsia="仿宋_GB2312"/>
          <w:sz w:val="32"/>
          <w:szCs w:val="32"/>
        </w:rPr>
      </w:pPr>
      <w:r>
        <w:rPr>
          <w:rFonts w:hint="eastAsia" w:ascii="Times New Roman" w:hAnsi="Times New Roman" w:eastAsia="仿宋_GB2312"/>
          <w:sz w:val="32"/>
          <w:szCs w:val="32"/>
        </w:rPr>
        <w:t>公开时间：202</w:t>
      </w:r>
      <w:r>
        <w:rPr>
          <w:rFonts w:ascii="Times New Roman" w:hAnsi="Times New Roman" w:eastAsia="仿宋_GB2312"/>
          <w:sz w:val="32"/>
          <w:szCs w:val="32"/>
        </w:rPr>
        <w:t>5</w:t>
      </w:r>
      <w:r>
        <w:rPr>
          <w:rFonts w:hint="eastAsia" w:ascii="Times New Roman" w:hAnsi="Times New Roman" w:eastAsia="仿宋_GB2312"/>
          <w:sz w:val="32"/>
          <w:szCs w:val="32"/>
        </w:rPr>
        <w:t>年</w:t>
      </w:r>
      <w:r>
        <w:rPr>
          <w:rFonts w:ascii="Times New Roman" w:hAnsi="Times New Roman" w:eastAsia="仿宋_GB2312"/>
          <w:sz w:val="32"/>
          <w:szCs w:val="32"/>
        </w:rPr>
        <w:t>9</w:t>
      </w:r>
      <w:r>
        <w:rPr>
          <w:rFonts w:hint="eastAsia" w:ascii="Times New Roman" w:hAnsi="Times New Roman" w:eastAsia="仿宋_GB2312"/>
          <w:sz w:val="32"/>
          <w:szCs w:val="32"/>
        </w:rPr>
        <w:t>月</w:t>
      </w:r>
      <w:r>
        <w:rPr>
          <w:rFonts w:ascii="Times New Roman" w:hAnsi="Times New Roman" w:eastAsia="仿宋_GB2312"/>
          <w:sz w:val="32"/>
          <w:szCs w:val="32"/>
        </w:rPr>
        <w:t>12</w:t>
      </w:r>
      <w:r>
        <w:rPr>
          <w:rFonts w:hint="eastAsia" w:ascii="Times New Roman" w:hAnsi="Times New Roman" w:eastAsia="仿宋_GB2312"/>
          <w:sz w:val="32"/>
          <w:szCs w:val="32"/>
        </w:rPr>
        <w:t>日</w:t>
      </w:r>
    </w:p>
    <w:p/>
    <w:p>
      <w:pPr>
        <w:pStyle w:val="14"/>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ascii="Times New Roman" w:hAnsi="Times New Roman" w:eastAsia="黑体" w:cs="黑体"/>
          <w:sz w:val="32"/>
          <w:szCs w:val="32"/>
        </w:rPr>
      </w:pPr>
      <w:r>
        <w:rPr>
          <w:rFonts w:hint="eastAsia" w:ascii="Times New Roman" w:hAnsi="Times New Roman" w:eastAsia="黑体" w:cs="黑体"/>
          <w:sz w:val="32"/>
          <w:szCs w:val="32"/>
        </w:rPr>
        <w:t>第一部分 部门概况</w:t>
      </w:r>
      <w:r>
        <w:rPr>
          <w:rFonts w:ascii="Times New Roman" w:hAnsi="Times New Roman" w:eastAsia="黑体" w:cs="黑体"/>
          <w:sz w:val="32"/>
          <w:szCs w:val="32"/>
        </w:rPr>
        <w:t>…………………………………………..4</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pPr>
      <w:r>
        <w:rPr>
          <w:rFonts w:hint="eastAsia"/>
        </w:rPr>
        <w:t>一、部门职责</w:t>
      </w:r>
      <w:r>
        <w:t>……………………………………………4</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pPr>
      <w:r>
        <w:rPr>
          <w:rFonts w:hint="eastAsia"/>
        </w:rPr>
        <w:t>二、机构设置</w:t>
      </w:r>
      <w:r>
        <w:t>……………………………………………4</w:t>
      </w:r>
    </w:p>
    <w:p>
      <w:pPr>
        <w:pStyle w:val="14"/>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ascii="Times New Roman" w:hAnsi="Times New Roman" w:eastAsia="黑体" w:cs="黑体"/>
          <w:sz w:val="32"/>
          <w:szCs w:val="32"/>
        </w:rPr>
      </w:pPr>
      <w:r>
        <w:rPr>
          <w:rFonts w:hint="eastAsia" w:ascii="Times New Roman" w:hAnsi="Times New Roman" w:eastAsia="黑体" w:cs="黑体"/>
          <w:sz w:val="32"/>
          <w:szCs w:val="32"/>
        </w:rPr>
        <w:t>第二部分 2024年度部门决算情况说明</w:t>
      </w:r>
      <w:r>
        <w:rPr>
          <w:rFonts w:ascii="Times New Roman" w:hAnsi="Times New Roman" w:eastAsia="黑体" w:cs="黑体"/>
          <w:sz w:val="32"/>
          <w:szCs w:val="32"/>
        </w:rPr>
        <w:t>…………………….5</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pPr>
      <w:r>
        <w:rPr>
          <w:rFonts w:hint="eastAsia"/>
        </w:rPr>
        <w:t>一、收入支出决算总体情况说明</w:t>
      </w:r>
      <w:r>
        <w:t>………………………5</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pPr>
      <w:r>
        <w:rPr>
          <w:rFonts w:hint="eastAsia"/>
        </w:rPr>
        <w:t>二、收入决算情况说明</w:t>
      </w:r>
      <w:r>
        <w:t>…………………………………5</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pPr>
      <w:r>
        <w:rPr>
          <w:rFonts w:hint="eastAsia"/>
        </w:rPr>
        <w:t>三、支出决算情况说明</w:t>
      </w:r>
      <w:r>
        <w:t>…………………………………6</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pPr>
      <w:r>
        <w:rPr>
          <w:rFonts w:hint="eastAsia"/>
        </w:rPr>
        <w:t>四、财政拨款收入支出决算总体情况说明</w:t>
      </w:r>
      <w:r>
        <w:t>……………6</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pPr>
      <w:r>
        <w:rPr>
          <w:rFonts w:hint="eastAsia"/>
        </w:rPr>
        <w:t>五、一般公共预算财政拨款支出决算情况说明</w:t>
      </w:r>
      <w:r>
        <w:t>………7</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pPr>
      <w:r>
        <w:rPr>
          <w:rFonts w:hint="eastAsia"/>
        </w:rPr>
        <w:t>六、一般公共预算财政拨款基本支出决算情况说明</w:t>
      </w:r>
      <w:r>
        <w:t>….9</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pPr>
      <w:r>
        <w:rPr>
          <w:rFonts w:hint="eastAsia"/>
        </w:rPr>
        <w:t>七、财政拨款“三公”经费支出决算情况说明</w:t>
      </w:r>
      <w:r>
        <w:t>……….10</w:t>
      </w:r>
      <w:bookmarkStart w:id="67" w:name="_GoBack"/>
      <w:bookmarkEnd w:id="67"/>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pPr>
      <w:r>
        <w:rPr>
          <w:rFonts w:hint="eastAsia"/>
        </w:rPr>
        <w:t>八、政府性基金预算支出决算情况说明</w:t>
      </w:r>
      <w:r>
        <w:t>………………12</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pPr>
      <w:r>
        <w:rPr>
          <w:rFonts w:hint="eastAsia"/>
        </w:rPr>
        <w:t>九、国有资本经营预算支出决算情况说明</w:t>
      </w:r>
      <w:r>
        <w:t>…………….12</w:t>
      </w:r>
    </w:p>
    <w:p>
      <w:pPr>
        <w:pStyle w:val="15"/>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jc w:val="distribute"/>
        <w:textAlignment w:val="auto"/>
      </w:pPr>
      <w:r>
        <w:rPr>
          <w:rFonts w:hint="eastAsia"/>
        </w:rPr>
        <w:t>十、其他重要事项的情况说明</w:t>
      </w:r>
      <w:r>
        <w:t>………………………….12</w:t>
      </w:r>
    </w:p>
    <w:p>
      <w:pPr>
        <w:pStyle w:val="14"/>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ascii="Times New Roman" w:hAnsi="Times New Roman" w:eastAsia="黑体" w:cs="黑体"/>
          <w:sz w:val="32"/>
          <w:szCs w:val="32"/>
        </w:rPr>
      </w:pPr>
      <w:r>
        <w:rPr>
          <w:rFonts w:hint="eastAsia" w:ascii="Times New Roman" w:hAnsi="Times New Roman" w:eastAsia="黑体" w:cs="黑体"/>
          <w:sz w:val="32"/>
          <w:szCs w:val="32"/>
        </w:rPr>
        <w:t>第三部分 名词解释</w:t>
      </w:r>
      <w:r>
        <w:rPr>
          <w:rFonts w:ascii="Times New Roman" w:hAnsi="Times New Roman" w:eastAsia="黑体" w:cs="黑体"/>
          <w:sz w:val="32"/>
          <w:szCs w:val="32"/>
        </w:rPr>
        <w:t>………………………………………….14</w:t>
      </w:r>
    </w:p>
    <w:p>
      <w:pPr>
        <w:pStyle w:val="14"/>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ascii="Times New Roman" w:hAnsi="Times New Roman" w:eastAsia="黑体" w:cs="黑体"/>
          <w:sz w:val="32"/>
          <w:szCs w:val="32"/>
        </w:rPr>
      </w:pPr>
      <w:r>
        <w:rPr>
          <w:rFonts w:hint="eastAsia" w:ascii="Times New Roman" w:hAnsi="Times New Roman" w:eastAsia="黑体" w:cs="黑体"/>
          <w:sz w:val="32"/>
          <w:szCs w:val="32"/>
        </w:rPr>
        <w:t>第四部分 附件</w:t>
      </w:r>
      <w:r>
        <w:rPr>
          <w:rFonts w:ascii="Times New Roman" w:hAnsi="Times New Roman" w:eastAsia="黑体" w:cs="黑体"/>
          <w:sz w:val="32"/>
          <w:szCs w:val="32"/>
        </w:rPr>
        <w:t>……………………………………………….16</w:t>
      </w:r>
    </w:p>
    <w:p>
      <w:pPr>
        <w:pStyle w:val="14"/>
        <w:keepNext w:val="0"/>
        <w:keepLines w:val="0"/>
        <w:pageBreakBefore w:val="0"/>
        <w:widowControl w:val="0"/>
        <w:kinsoku/>
        <w:wordWrap/>
        <w:overflowPunct/>
        <w:topLinePunct w:val="0"/>
        <w:autoSpaceDE/>
        <w:autoSpaceDN/>
        <w:bidi w:val="0"/>
        <w:adjustRightInd w:val="0"/>
        <w:snapToGrid w:val="0"/>
        <w:spacing w:before="0" w:line="560" w:lineRule="exact"/>
        <w:jc w:val="distribute"/>
        <w:textAlignment w:val="auto"/>
        <w:rPr>
          <w:rFonts w:ascii="Times New Roman" w:hAnsi="Times New Roman" w:eastAsia="黑体" w:cs="黑体"/>
          <w:sz w:val="32"/>
          <w:szCs w:val="32"/>
        </w:rPr>
      </w:pPr>
      <w:r>
        <w:rPr>
          <w:rFonts w:hint="eastAsia" w:ascii="Times New Roman" w:hAnsi="Times New Roman" w:eastAsia="黑体" w:cs="黑体"/>
          <w:sz w:val="32"/>
          <w:szCs w:val="32"/>
        </w:rPr>
        <w:t>第五部分 附表</w:t>
      </w:r>
      <w:r>
        <w:rPr>
          <w:rFonts w:ascii="Times New Roman" w:hAnsi="Times New Roman" w:eastAsia="黑体" w:cs="黑体"/>
          <w:sz w:val="32"/>
          <w:szCs w:val="32"/>
        </w:rPr>
        <w:t>……………………………………………….17</w:t>
      </w:r>
    </w:p>
    <w:p>
      <w:pPr>
        <w:pStyle w:val="15"/>
        <w:adjustRightInd w:val="0"/>
        <w:snapToGrid w:val="0"/>
        <w:spacing w:line="560" w:lineRule="exact"/>
        <w:ind w:left="0" w:leftChars="0" w:firstLine="640" w:firstLineChars="200"/>
        <w:jc w:val="left"/>
      </w:pPr>
      <w:r>
        <w:rPr>
          <w:rFonts w:hint="eastAsia"/>
        </w:rPr>
        <w:t>一、收入支出决算总表</w:t>
      </w:r>
    </w:p>
    <w:p>
      <w:pPr>
        <w:pStyle w:val="15"/>
        <w:adjustRightInd w:val="0"/>
        <w:snapToGrid w:val="0"/>
        <w:spacing w:line="560" w:lineRule="exact"/>
        <w:ind w:left="0" w:leftChars="0" w:firstLine="640" w:firstLineChars="200"/>
        <w:jc w:val="left"/>
      </w:pPr>
      <w:r>
        <w:rPr>
          <w:rFonts w:hint="eastAsia"/>
        </w:rPr>
        <w:t>二、收入决算表</w:t>
      </w:r>
    </w:p>
    <w:p>
      <w:pPr>
        <w:pStyle w:val="15"/>
        <w:adjustRightInd w:val="0"/>
        <w:snapToGrid w:val="0"/>
        <w:spacing w:line="560" w:lineRule="exact"/>
        <w:ind w:left="0" w:leftChars="0" w:firstLine="640" w:firstLineChars="200"/>
        <w:jc w:val="left"/>
      </w:pPr>
      <w:r>
        <w:rPr>
          <w:rFonts w:hint="eastAsia"/>
        </w:rPr>
        <w:t>三、支出决算表</w:t>
      </w:r>
    </w:p>
    <w:p>
      <w:pPr>
        <w:pStyle w:val="15"/>
        <w:adjustRightInd w:val="0"/>
        <w:snapToGrid w:val="0"/>
        <w:spacing w:line="560" w:lineRule="exact"/>
        <w:ind w:left="0" w:leftChars="0" w:firstLine="640" w:firstLineChars="200"/>
        <w:jc w:val="left"/>
      </w:pPr>
      <w:r>
        <w:rPr>
          <w:rFonts w:hint="eastAsia"/>
        </w:rPr>
        <w:t>四、财政拨款收入支出决算总表</w:t>
      </w:r>
    </w:p>
    <w:p>
      <w:pPr>
        <w:pStyle w:val="15"/>
        <w:adjustRightInd w:val="0"/>
        <w:snapToGrid w:val="0"/>
        <w:spacing w:line="560" w:lineRule="exact"/>
        <w:ind w:left="0" w:leftChars="0" w:firstLine="640" w:firstLineChars="200"/>
        <w:jc w:val="left"/>
      </w:pPr>
      <w:r>
        <w:rPr>
          <w:rFonts w:hint="eastAsia"/>
        </w:rPr>
        <w:t>五、财政拨款支出决算明细表</w:t>
      </w:r>
    </w:p>
    <w:p>
      <w:pPr>
        <w:pStyle w:val="15"/>
        <w:adjustRightInd w:val="0"/>
        <w:snapToGrid w:val="0"/>
        <w:spacing w:line="560" w:lineRule="exact"/>
        <w:ind w:left="0" w:leftChars="0" w:firstLine="640" w:firstLineChars="200"/>
        <w:jc w:val="left"/>
      </w:pPr>
      <w:r>
        <w:rPr>
          <w:rFonts w:hint="eastAsia"/>
        </w:rPr>
        <w:t>六、一般公共预算财政拨款支出决算表</w:t>
      </w:r>
    </w:p>
    <w:p>
      <w:pPr>
        <w:pStyle w:val="15"/>
        <w:adjustRightInd w:val="0"/>
        <w:snapToGrid w:val="0"/>
        <w:spacing w:line="560" w:lineRule="exact"/>
        <w:ind w:left="0" w:leftChars="0" w:firstLine="640" w:firstLineChars="200"/>
        <w:jc w:val="left"/>
      </w:pPr>
      <w:r>
        <w:rPr>
          <w:rFonts w:hint="eastAsia"/>
        </w:rPr>
        <w:t>七、一般公共预算财政拨款支出决算明细表</w:t>
      </w:r>
    </w:p>
    <w:p>
      <w:pPr>
        <w:pStyle w:val="15"/>
        <w:adjustRightInd w:val="0"/>
        <w:snapToGrid w:val="0"/>
        <w:spacing w:line="560" w:lineRule="exact"/>
        <w:ind w:left="0" w:leftChars="0" w:firstLine="640" w:firstLineChars="200"/>
        <w:jc w:val="left"/>
      </w:pPr>
      <w:r>
        <w:rPr>
          <w:rFonts w:hint="eastAsia"/>
        </w:rPr>
        <w:t>八、一般公共预算财政拨款基本支出决算明细表</w:t>
      </w:r>
    </w:p>
    <w:p>
      <w:pPr>
        <w:pStyle w:val="15"/>
        <w:adjustRightInd w:val="0"/>
        <w:snapToGrid w:val="0"/>
        <w:spacing w:line="560" w:lineRule="exact"/>
        <w:ind w:left="0" w:leftChars="0" w:firstLine="640" w:firstLineChars="200"/>
        <w:jc w:val="left"/>
      </w:pPr>
      <w:r>
        <w:rPr>
          <w:rFonts w:hint="eastAsia"/>
        </w:rPr>
        <w:t>九、一般公共预算财政拨款项目支出决算表</w:t>
      </w:r>
    </w:p>
    <w:p>
      <w:pPr>
        <w:pStyle w:val="15"/>
        <w:adjustRightInd w:val="0"/>
        <w:snapToGrid w:val="0"/>
        <w:spacing w:line="560" w:lineRule="exact"/>
        <w:ind w:left="0" w:leftChars="0" w:firstLine="640" w:firstLineChars="200"/>
        <w:jc w:val="left"/>
      </w:pPr>
      <w:r>
        <w:rPr>
          <w:rFonts w:hint="eastAsia"/>
        </w:rPr>
        <w:t>十、政府性基金预算财政拨款收入支出决算表</w:t>
      </w:r>
    </w:p>
    <w:p>
      <w:pPr>
        <w:pStyle w:val="15"/>
        <w:adjustRightInd w:val="0"/>
        <w:snapToGrid w:val="0"/>
        <w:spacing w:line="560" w:lineRule="exact"/>
        <w:ind w:left="0" w:leftChars="0" w:firstLine="640" w:firstLineChars="200"/>
        <w:jc w:val="left"/>
      </w:pPr>
      <w:r>
        <w:rPr>
          <w:rFonts w:hint="eastAsia"/>
        </w:rPr>
        <w:t>十一、国有资本经营预算财政拨款收入支出决算表</w:t>
      </w:r>
    </w:p>
    <w:p>
      <w:pPr>
        <w:pStyle w:val="15"/>
        <w:adjustRightInd w:val="0"/>
        <w:snapToGrid w:val="0"/>
        <w:spacing w:line="560" w:lineRule="exact"/>
        <w:ind w:left="0" w:leftChars="0" w:firstLine="640" w:firstLineChars="200"/>
        <w:jc w:val="left"/>
      </w:pPr>
      <w:r>
        <w:rPr>
          <w:rFonts w:hint="eastAsia"/>
        </w:rPr>
        <w:t>十二、国有资本经营预算财政拨款支出决算表</w:t>
      </w:r>
    </w:p>
    <w:p>
      <w:pPr>
        <w:pStyle w:val="15"/>
        <w:adjustRightInd w:val="0"/>
        <w:snapToGrid w:val="0"/>
        <w:spacing w:line="560" w:lineRule="exact"/>
        <w:ind w:left="0" w:leftChars="0" w:firstLine="640" w:firstLineChars="200"/>
        <w:jc w:val="left"/>
      </w:pPr>
      <w:r>
        <w:rPr>
          <w:rFonts w:hint="eastAsia"/>
        </w:rPr>
        <w:t>十三、财政拨款“三公”经费支出决算表</w:t>
      </w:r>
    </w:p>
    <w:p>
      <w:pPr>
        <w:widowControl/>
        <w:spacing w:line="560" w:lineRule="exact"/>
        <w:jc w:val="left"/>
        <w:rPr>
          <w:bCs/>
          <w:kern w:val="44"/>
        </w:rPr>
      </w:pPr>
      <w:bookmarkStart w:id="12" w:name="_Toc15377196"/>
      <w:bookmarkStart w:id="13" w:name="_Toc15396599"/>
      <w:r>
        <w:rPr>
          <w:rFonts w:hint="eastAsia"/>
          <w:b/>
        </w:rPr>
        <w:br w:type="page"/>
      </w:r>
    </w:p>
    <w:p>
      <w:pPr>
        <w:pStyle w:val="5"/>
        <w:jc w:val="center"/>
        <w:rPr>
          <w:rFonts w:eastAsia="方正小标宋简体" w:cs="方正小标宋简体"/>
          <w:bCs w:val="0"/>
        </w:rPr>
      </w:pPr>
      <w:r>
        <w:rPr>
          <w:rFonts w:hint="eastAsia" w:eastAsia="方正小标宋简体" w:cs="方正小标宋简体"/>
          <w:b w:val="0"/>
        </w:rPr>
        <w:t xml:space="preserve">第一部分  </w:t>
      </w:r>
      <w:r>
        <w:rPr>
          <w:rStyle w:val="31"/>
          <w:rFonts w:hint="eastAsia" w:eastAsia="方正小标宋简体" w:cs="方正小标宋简体"/>
          <w:b w:val="0"/>
          <w:bCs w:val="0"/>
        </w:rPr>
        <w:t>部门概况</w:t>
      </w:r>
      <w:bookmarkEnd w:id="12"/>
      <w:bookmarkEnd w:id="13"/>
    </w:p>
    <w:p>
      <w:pPr>
        <w:pStyle w:val="6"/>
        <w:numPr>
          <w:ilvl w:val="0"/>
          <w:numId w:val="1"/>
        </w:numPr>
        <w:rPr>
          <w:rFonts w:ascii="Times New Roman" w:hAnsi="Times New Roman" w:eastAsia="黑体"/>
          <w:b w:val="0"/>
        </w:rPr>
      </w:pPr>
      <w:r>
        <w:rPr>
          <w:rFonts w:hint="eastAsia" w:ascii="Times New Roman" w:hAnsi="Times New Roman" w:eastAsia="黑体"/>
          <w:b w:val="0"/>
        </w:rPr>
        <w:t>部门职责</w:t>
      </w:r>
    </w:p>
    <w:p>
      <w:pPr>
        <w:ind w:firstLine="640" w:firstLineChars="200"/>
      </w:pPr>
      <w:r>
        <w:rPr>
          <w:rFonts w:hint="eastAsia"/>
        </w:rPr>
        <w:t>四川省化工设计院主要负责工程设计；工程咨询；特种设备设计；环境污染防治工程工艺设计；进出口业，（以上项目不含前置许可项目，后置许可项目凭许可证或审批文件经营）（以下经营项目及期限以许可证为准）对外承包工程。</w:t>
      </w:r>
    </w:p>
    <w:p/>
    <w:p>
      <w:pPr>
        <w:pStyle w:val="6"/>
        <w:rPr>
          <w:rStyle w:val="32"/>
          <w:rFonts w:ascii="Times New Roman" w:hAnsi="Times New Roman"/>
          <w:b w:val="0"/>
          <w:bCs w:val="0"/>
        </w:rPr>
      </w:pPr>
      <w:bookmarkStart w:id="14" w:name="_Toc15377200"/>
      <w:bookmarkStart w:id="15" w:name="_Toc15396601"/>
      <w:r>
        <w:rPr>
          <w:rFonts w:hint="eastAsia" w:ascii="Times New Roman" w:hAnsi="Times New Roman" w:eastAsia="黑体"/>
          <w:b w:val="0"/>
        </w:rPr>
        <w:t>二、机</w:t>
      </w:r>
      <w:r>
        <w:rPr>
          <w:rStyle w:val="32"/>
          <w:rFonts w:hint="eastAsia" w:ascii="Times New Roman" w:hAnsi="Times New Roman" w:eastAsia="黑体"/>
          <w:b w:val="0"/>
          <w:bCs w:val="0"/>
        </w:rPr>
        <w:t>构设置</w:t>
      </w:r>
      <w:bookmarkEnd w:id="14"/>
      <w:bookmarkEnd w:id="15"/>
    </w:p>
    <w:p>
      <w:pPr>
        <w:pStyle w:val="38"/>
        <w:spacing w:before="0" w:line="576" w:lineRule="exact"/>
        <w:ind w:firstLine="640" w:firstLineChars="200"/>
        <w:rPr>
          <w:rFonts w:ascii="Times New Roman" w:hAnsi="Times New Roman" w:cs="仿宋"/>
          <w:sz w:val="32"/>
          <w:szCs w:val="32"/>
        </w:rPr>
      </w:pPr>
      <w:r>
        <w:rPr>
          <w:rFonts w:hint="eastAsia" w:ascii="Times New Roman" w:hAnsi="Times New Roman"/>
          <w:sz w:val="32"/>
          <w:szCs w:val="32"/>
        </w:rPr>
        <w:t>（一）</w:t>
      </w:r>
      <w:r>
        <w:rPr>
          <w:rFonts w:hint="eastAsia" w:ascii="Times New Roman" w:hAnsi="Times New Roman" w:cs="仿宋"/>
          <w:bCs/>
          <w:sz w:val="32"/>
          <w:szCs w:val="32"/>
        </w:rPr>
        <w:t>我院为四川省经济和信息化厅所属</w:t>
      </w:r>
      <w:r>
        <w:rPr>
          <w:rFonts w:hint="eastAsia" w:ascii="Times New Roman" w:hAnsi="Times New Roman" w:cs="宋体"/>
          <w:sz w:val="32"/>
          <w:szCs w:val="32"/>
        </w:rPr>
        <w:t>二</w:t>
      </w:r>
      <w:r>
        <w:rPr>
          <w:rFonts w:hint="eastAsia" w:ascii="Times New Roman" w:hAnsi="Times New Roman" w:cs="仿宋"/>
          <w:bCs/>
          <w:sz w:val="32"/>
          <w:szCs w:val="32"/>
        </w:rPr>
        <w:t>级</w:t>
      </w:r>
      <w:r>
        <w:rPr>
          <w:rFonts w:hint="eastAsia" w:ascii="Times New Roman" w:hAnsi="Times New Roman" w:cs="仿宋"/>
          <w:bCs/>
          <w:spacing w:val="14"/>
          <w:sz w:val="32"/>
          <w:szCs w:val="32"/>
        </w:rPr>
        <w:t>预算</w:t>
      </w:r>
      <w:r>
        <w:rPr>
          <w:rFonts w:hint="eastAsia" w:ascii="Times New Roman" w:hAnsi="Times New Roman"/>
          <w:sz w:val="32"/>
          <w:szCs w:val="32"/>
        </w:rPr>
        <w:t>差额拨款事业</w:t>
      </w:r>
      <w:r>
        <w:rPr>
          <w:rFonts w:hint="eastAsia" w:ascii="Times New Roman" w:hAnsi="Times New Roman" w:cs="仿宋"/>
          <w:bCs/>
          <w:spacing w:val="14"/>
          <w:sz w:val="32"/>
          <w:szCs w:val="32"/>
        </w:rPr>
        <w:t>单位，单位类型</w:t>
      </w:r>
      <w:r>
        <w:rPr>
          <w:rFonts w:hint="eastAsia" w:ascii="Times New Roman" w:hAnsi="Times New Roman" w:cs="仿宋"/>
          <w:bCs/>
          <w:sz w:val="32"/>
          <w:szCs w:val="32"/>
        </w:rPr>
        <w:t>为</w:t>
      </w:r>
      <w:r>
        <w:rPr>
          <w:rFonts w:hint="eastAsia" w:ascii="Times New Roman" w:hAnsi="Times New Roman"/>
          <w:sz w:val="32"/>
          <w:szCs w:val="32"/>
        </w:rPr>
        <w:t>暂未分类事业</w:t>
      </w:r>
      <w:r>
        <w:rPr>
          <w:rFonts w:hint="eastAsia" w:ascii="Times New Roman" w:hAnsi="Times New Roman" w:cs="仿宋"/>
          <w:bCs/>
          <w:sz w:val="32"/>
          <w:szCs w:val="32"/>
        </w:rPr>
        <w:t>单位。</w:t>
      </w:r>
      <w:r>
        <w:rPr>
          <w:rFonts w:hint="eastAsia" w:ascii="Times New Roman" w:hAnsi="Times New Roman"/>
          <w:sz w:val="32"/>
          <w:szCs w:val="32"/>
        </w:rPr>
        <w:t>单位领导班子设院长（党委书记）1人、纪委书记（党委副书记）1人、副院长2人、总工1人；下设六个行政管理部门，分别是院长办公室、人事部、计划经营部、质量技术部、党群工作部、财务部；八个设计室，分别是工艺室、设备室、电气室、给排水室、自控室、热工室、概预算室、土建室；采供部；工程部。当年机构无变动。</w:t>
      </w:r>
    </w:p>
    <w:p>
      <w:pPr>
        <w:widowControl/>
        <w:ind w:firstLine="640" w:firstLineChars="200"/>
        <w:jc w:val="left"/>
        <w:rPr>
          <w:rFonts w:eastAsia="仿宋"/>
          <w:kern w:val="0"/>
        </w:rPr>
      </w:pPr>
      <w:r>
        <w:rPr>
          <w:rFonts w:hint="eastAsia"/>
        </w:rPr>
        <w:t>（二）人员情况。</w:t>
      </w:r>
      <w:r>
        <w:rPr>
          <w:rFonts w:hint="eastAsia"/>
          <w:bCs/>
        </w:rPr>
        <w:t>年末在职总人数151人，其中编制人员26人，招聘人员103人，返聘人员22人；2</w:t>
      </w:r>
      <w:r>
        <w:rPr>
          <w:bCs/>
        </w:rPr>
        <w:t>004</w:t>
      </w:r>
      <w:r>
        <w:rPr>
          <w:rFonts w:hint="eastAsia"/>
          <w:bCs/>
        </w:rPr>
        <w:t>年7月1日前退休人员9</w:t>
      </w:r>
      <w:r>
        <w:rPr>
          <w:bCs/>
        </w:rPr>
        <w:t>3</w:t>
      </w:r>
      <w:r>
        <w:rPr>
          <w:rFonts w:hint="eastAsia"/>
          <w:bCs/>
        </w:rPr>
        <w:t>人。</w:t>
      </w:r>
    </w:p>
    <w:p>
      <w:pPr>
        <w:pStyle w:val="5"/>
        <w:jc w:val="center"/>
        <w:rPr>
          <w:rFonts w:eastAsia="方正小标宋简体" w:cs="方正小标宋简体"/>
          <w:b w:val="0"/>
        </w:rPr>
      </w:pPr>
      <w:bookmarkStart w:id="16" w:name="_Toc15377204"/>
      <w:bookmarkStart w:id="17" w:name="_Toc15396602"/>
      <w:r>
        <w:rPr>
          <w:rFonts w:hint="eastAsia" w:eastAsia="方正小标宋简体" w:cs="方正小标宋简体"/>
          <w:b w:val="0"/>
        </w:rPr>
        <w:t>第二部分  2024年度部门决算情况说明</w:t>
      </w:r>
      <w:bookmarkEnd w:id="16"/>
      <w:bookmarkEnd w:id="17"/>
    </w:p>
    <w:p>
      <w:pPr>
        <w:pStyle w:val="30"/>
        <w:spacing w:line="600" w:lineRule="exact"/>
        <w:ind w:firstLine="640"/>
        <w:outlineLvl w:val="1"/>
        <w:rPr>
          <w:rStyle w:val="32"/>
          <w:rFonts w:ascii="Times New Roman" w:hAnsi="Times New Roman" w:eastAsia="黑体"/>
          <w:b w:val="0"/>
        </w:rPr>
      </w:pPr>
      <w:bookmarkStart w:id="18" w:name="_Toc15377205"/>
      <w:bookmarkStart w:id="19" w:name="_Toc15396603"/>
      <w:r>
        <w:rPr>
          <w:rFonts w:hint="eastAsia" w:eastAsia="黑体"/>
        </w:rPr>
        <w:t>一、收</w:t>
      </w:r>
      <w:r>
        <w:rPr>
          <w:rStyle w:val="32"/>
          <w:rFonts w:hint="eastAsia" w:ascii="Times New Roman" w:hAnsi="Times New Roman" w:eastAsia="黑体"/>
          <w:b w:val="0"/>
        </w:rPr>
        <w:t>入支出决算总体情况说明</w:t>
      </w:r>
      <w:bookmarkEnd w:id="18"/>
      <w:bookmarkEnd w:id="19"/>
    </w:p>
    <w:p>
      <w:pPr>
        <w:pStyle w:val="30"/>
        <w:spacing w:line="600" w:lineRule="exact"/>
        <w:ind w:firstLine="640"/>
        <w:outlineLvl w:val="1"/>
        <w:rPr>
          <w:rFonts w:hint="eastAsia" w:ascii="T" w:hAnsi="T"/>
        </w:rPr>
      </w:pPr>
      <w:r>
        <w:rPr>
          <w:rFonts w:hint="eastAsia" w:ascii="T" w:hAnsi="T"/>
        </w:rPr>
        <w:t>2024年度收入总计为3355.27万元；支出总计为3</w:t>
      </w:r>
      <w:r>
        <w:rPr>
          <w:rFonts w:ascii="T" w:hAnsi="T"/>
        </w:rPr>
        <w:t>203.39</w:t>
      </w:r>
      <w:r>
        <w:rPr>
          <w:rFonts w:hint="eastAsia" w:ascii="T" w:hAnsi="T"/>
        </w:rPr>
        <w:t>万元。与2023年度相比，收入总计减少2084.62万元，下降38.3%；支出总计减少969.58万元，下降23.2%。主要变动原因是由于2024年受市场环境影响，我单位经营项目较2023年有所减少，项目资金回笼较慢，经营支出减少，且日常公用经费也有所减少，因此2024年收入和支出较2023年相比有所减少。</w:t>
      </w:r>
      <w:r>
        <w:rPr>
          <w:rFonts w:hint="eastAsia" w:ascii="T" w:hAnsi="T"/>
        </w:rPr>
        <w:tab/>
      </w:r>
      <w:r>
        <w:rPr>
          <w:rFonts w:hint="eastAsia" w:ascii="T" w:hAnsi="T"/>
        </w:rPr>
        <w:tab/>
      </w:r>
      <w:r>
        <w:rPr>
          <w:rFonts w:hint="eastAsia" w:ascii="T" w:hAnsi="T"/>
        </w:rPr>
        <w:tab/>
      </w:r>
    </w:p>
    <w:p>
      <w:pPr>
        <w:ind w:firstLine="640" w:firstLineChars="200"/>
        <w:rPr>
          <w:rFonts w:hint="eastAsia" w:ascii="T" w:hAnsi="T"/>
        </w:rPr>
      </w:pPr>
      <w:r>
        <w:rPr>
          <w:rFonts w:hint="eastAsia" w:ascii="T" w:hAnsi="T"/>
        </w:rPr>
        <w:t>（图1：收入、支出决算总计变动情况图）</w:t>
      </w:r>
    </w:p>
    <w:p>
      <w:pPr>
        <w:ind w:firstLine="640" w:firstLineChars="200"/>
      </w:pPr>
      <w:r>
        <w:drawing>
          <wp:inline distT="0" distB="0" distL="0" distR="0">
            <wp:extent cx="4566285" cy="2712720"/>
            <wp:effectExtent l="0" t="0" r="5715" b="0"/>
            <wp:docPr id="2" name="图片 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true" noChangeArrowheads="true"/>
                    </pic:cNvPicPr>
                  </pic:nvPicPr>
                  <pic:blipFill>
                    <a:blip r:embed="rId10">
                      <a:extLst>
                        <a:ext uri="{28A0092B-C50C-407E-A947-70E740481C1C}">
                          <a14:useLocalDpi xmlns:a14="http://schemas.microsoft.com/office/drawing/2010/main" val="false"/>
                        </a:ext>
                      </a:extLst>
                    </a:blip>
                    <a:srcRect/>
                    <a:stretch>
                      <a:fillRect/>
                    </a:stretch>
                  </pic:blipFill>
                  <pic:spPr>
                    <a:xfrm>
                      <a:off x="0" y="0"/>
                      <a:ext cx="4566285" cy="2712720"/>
                    </a:xfrm>
                    <a:prstGeom prst="rect">
                      <a:avLst/>
                    </a:prstGeom>
                    <a:noFill/>
                  </pic:spPr>
                </pic:pic>
              </a:graphicData>
            </a:graphic>
          </wp:inline>
        </w:drawing>
      </w:r>
    </w:p>
    <w:p>
      <w:pPr>
        <w:pStyle w:val="30"/>
        <w:spacing w:line="600" w:lineRule="exact"/>
        <w:ind w:firstLine="640"/>
        <w:outlineLvl w:val="1"/>
        <w:rPr>
          <w:rFonts w:eastAsia="黑体"/>
        </w:rPr>
      </w:pPr>
      <w:bookmarkStart w:id="20" w:name="_Toc15396604"/>
      <w:bookmarkStart w:id="21" w:name="_Toc15377206"/>
      <w:r>
        <w:rPr>
          <w:rFonts w:hint="eastAsia" w:eastAsia="黑体"/>
        </w:rPr>
        <w:t>二、收入决算情况说明</w:t>
      </w:r>
      <w:bookmarkEnd w:id="20"/>
      <w:bookmarkEnd w:id="21"/>
    </w:p>
    <w:p>
      <w:pPr>
        <w:pStyle w:val="30"/>
        <w:spacing w:line="600" w:lineRule="exact"/>
        <w:ind w:firstLine="640"/>
        <w:jc w:val="left"/>
        <w:outlineLvl w:val="1"/>
        <w:rPr>
          <w:b/>
          <w:bCs/>
          <w:highlight w:val="yellow"/>
        </w:rPr>
      </w:pPr>
      <w:r>
        <w:rPr>
          <w:rFonts w:hint="eastAsia"/>
        </w:rPr>
        <w:t>2024年度本年收入合计3355.27万元，其中：一般公共预算财政拨款收入1021.27万元，占30.4%；经营收入2334万元，占69.</w:t>
      </w:r>
      <w:r>
        <w:t>6</w:t>
      </w:r>
      <w:r>
        <w:rPr>
          <w:rFonts w:hint="eastAsia"/>
        </w:rPr>
        <w:t>%。</w:t>
      </w:r>
    </w:p>
    <w:p>
      <w:pPr>
        <w:ind w:firstLine="800" w:firstLineChars="250"/>
      </w:pPr>
      <w:r>
        <w:rPr>
          <w:rFonts w:hint="eastAsia"/>
        </w:rPr>
        <w:t>（图2：收入决算结构图）</w:t>
      </w:r>
    </w:p>
    <w:p>
      <w:pPr>
        <w:ind w:firstLine="800" w:firstLineChars="250"/>
      </w:pPr>
      <w:r>
        <w:drawing>
          <wp:inline distT="0" distB="0" distL="0" distR="0">
            <wp:extent cx="4584700" cy="2755900"/>
            <wp:effectExtent l="0" t="0" r="6350" b="6350"/>
            <wp:docPr id="3" name="图片 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true" noChangeArrowheads="true"/>
                    </pic:cNvPicPr>
                  </pic:nvPicPr>
                  <pic:blipFill>
                    <a:blip r:embed="rId11">
                      <a:extLst>
                        <a:ext uri="{28A0092B-C50C-407E-A947-70E740481C1C}">
                          <a14:useLocalDpi xmlns:a14="http://schemas.microsoft.com/office/drawing/2010/main" val="false"/>
                        </a:ext>
                      </a:extLst>
                    </a:blip>
                    <a:srcRect/>
                    <a:stretch>
                      <a:fillRect/>
                    </a:stretch>
                  </pic:blipFill>
                  <pic:spPr>
                    <a:xfrm>
                      <a:off x="0" y="0"/>
                      <a:ext cx="4584700" cy="2755900"/>
                    </a:xfrm>
                    <a:prstGeom prst="rect">
                      <a:avLst/>
                    </a:prstGeom>
                    <a:noFill/>
                  </pic:spPr>
                </pic:pic>
              </a:graphicData>
            </a:graphic>
          </wp:inline>
        </w:drawing>
      </w:r>
    </w:p>
    <w:p>
      <w:pPr>
        <w:pStyle w:val="30"/>
        <w:spacing w:line="600" w:lineRule="exact"/>
        <w:ind w:firstLine="640"/>
        <w:outlineLvl w:val="1"/>
        <w:rPr>
          <w:rStyle w:val="32"/>
          <w:rFonts w:ascii="Times New Roman" w:hAnsi="Times New Roman" w:eastAsia="黑体"/>
          <w:b w:val="0"/>
        </w:rPr>
      </w:pPr>
      <w:bookmarkStart w:id="22" w:name="_Toc15377207"/>
      <w:bookmarkStart w:id="23" w:name="_Toc15396605"/>
      <w:r>
        <w:rPr>
          <w:rFonts w:hint="eastAsia" w:eastAsia="黑体"/>
        </w:rPr>
        <w:t>三、支</w:t>
      </w:r>
      <w:r>
        <w:rPr>
          <w:rStyle w:val="32"/>
          <w:rFonts w:hint="eastAsia" w:ascii="Times New Roman" w:hAnsi="Times New Roman" w:eastAsia="黑体"/>
          <w:b w:val="0"/>
        </w:rPr>
        <w:t>出决算情况说明</w:t>
      </w:r>
      <w:bookmarkEnd w:id="22"/>
      <w:bookmarkEnd w:id="23"/>
    </w:p>
    <w:p>
      <w:pPr>
        <w:pStyle w:val="30"/>
        <w:spacing w:line="600" w:lineRule="exact"/>
        <w:ind w:firstLine="640"/>
        <w:jc w:val="left"/>
        <w:outlineLvl w:val="1"/>
        <w:rPr>
          <w:highlight w:val="yellow"/>
        </w:rPr>
      </w:pPr>
      <w:r>
        <w:rPr>
          <w:rFonts w:hint="eastAsia"/>
        </w:rPr>
        <w:t>2024年度本年支出合计3203.39万元，其中：基本支出971.27万元，占30.3%；项目支出50万元，占1.</w:t>
      </w:r>
      <w:r>
        <w:t>6</w:t>
      </w:r>
      <w:r>
        <w:rPr>
          <w:rFonts w:hint="eastAsia"/>
        </w:rPr>
        <w:t>%；经营支出2182.11万元，占68.1%。</w:t>
      </w:r>
    </w:p>
    <w:p>
      <w:pPr>
        <w:ind w:firstLine="800" w:firstLineChars="250"/>
      </w:pPr>
      <w:r>
        <w:rPr>
          <w:rFonts w:hint="eastAsia"/>
        </w:rPr>
        <w:t>（图3：支出决算结构图）</w:t>
      </w:r>
    </w:p>
    <w:p>
      <w:pPr>
        <w:ind w:firstLine="800" w:firstLineChars="250"/>
      </w:pPr>
      <w:r>
        <w:drawing>
          <wp:inline distT="0" distB="0" distL="0" distR="0">
            <wp:extent cx="4584700" cy="2755900"/>
            <wp:effectExtent l="0" t="0" r="6350" b="6350"/>
            <wp:docPr id="4" name="图片 4"/>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true" noChangeArrowheads="true"/>
                    </pic:cNvPicPr>
                  </pic:nvPicPr>
                  <pic:blipFill>
                    <a:blip r:embed="rId12">
                      <a:extLst>
                        <a:ext uri="{28A0092B-C50C-407E-A947-70E740481C1C}">
                          <a14:useLocalDpi xmlns:a14="http://schemas.microsoft.com/office/drawing/2010/main" val="false"/>
                        </a:ext>
                      </a:extLst>
                    </a:blip>
                    <a:srcRect/>
                    <a:stretch>
                      <a:fillRect/>
                    </a:stretch>
                  </pic:blipFill>
                  <pic:spPr>
                    <a:xfrm>
                      <a:off x="0" y="0"/>
                      <a:ext cx="4584700" cy="2755900"/>
                    </a:xfrm>
                    <a:prstGeom prst="rect">
                      <a:avLst/>
                    </a:prstGeom>
                    <a:noFill/>
                  </pic:spPr>
                </pic:pic>
              </a:graphicData>
            </a:graphic>
          </wp:inline>
        </w:drawing>
      </w:r>
    </w:p>
    <w:p>
      <w:pPr>
        <w:spacing w:line="600" w:lineRule="exact"/>
        <w:ind w:firstLine="640" w:firstLineChars="200"/>
        <w:outlineLvl w:val="1"/>
        <w:rPr>
          <w:rStyle w:val="32"/>
          <w:rFonts w:ascii="Times New Roman" w:hAnsi="Times New Roman" w:eastAsia="黑体"/>
          <w:b w:val="0"/>
        </w:rPr>
      </w:pPr>
      <w:bookmarkStart w:id="24" w:name="_Toc15396606"/>
      <w:bookmarkStart w:id="25" w:name="_Toc15377208"/>
      <w:r>
        <w:rPr>
          <w:rFonts w:hint="eastAsia" w:eastAsia="黑体"/>
        </w:rPr>
        <w:t>四、财</w:t>
      </w:r>
      <w:r>
        <w:rPr>
          <w:rStyle w:val="32"/>
          <w:rFonts w:hint="eastAsia" w:ascii="Times New Roman" w:hAnsi="Times New Roman" w:eastAsia="黑体"/>
          <w:b w:val="0"/>
        </w:rPr>
        <w:t>政拨款收入支出决算总体情况说明</w:t>
      </w:r>
      <w:bookmarkEnd w:id="24"/>
      <w:bookmarkEnd w:id="25"/>
    </w:p>
    <w:p>
      <w:pPr>
        <w:spacing w:line="600" w:lineRule="exact"/>
        <w:ind w:firstLine="640"/>
      </w:pPr>
      <w:r>
        <w:rPr>
          <w:rFonts w:hint="eastAsia"/>
        </w:rPr>
        <w:t>2024年度财政拨款收入、支出总计均为1021.27万元。与2023年度相比，财政拨款收入总计、支出总计各减少26.51万元，下降2.5%。主要变动原因是职工</w:t>
      </w:r>
      <w:r>
        <w:t>退休，</w:t>
      </w:r>
      <w:r>
        <w:rPr>
          <w:rFonts w:hint="eastAsia"/>
        </w:rPr>
        <w:t>人员减少。</w:t>
      </w:r>
    </w:p>
    <w:p>
      <w:pPr>
        <w:spacing w:line="600" w:lineRule="exact"/>
        <w:ind w:firstLine="640"/>
        <w:rPr>
          <w:rFonts w:eastAsia="黑体"/>
        </w:rPr>
      </w:pPr>
      <w:r>
        <w:rPr>
          <w:rFonts w:hint="eastAsia"/>
        </w:rPr>
        <w:t>（图4：财政拨款收、支决算总计变动情况）</w:t>
      </w:r>
      <w:bookmarkStart w:id="26" w:name="_Toc15377209"/>
      <w:bookmarkStart w:id="27" w:name="_Toc15396607"/>
    </w:p>
    <w:p>
      <w:pPr>
        <w:spacing w:line="600" w:lineRule="exact"/>
        <w:ind w:firstLine="640" w:firstLineChars="200"/>
        <w:outlineLvl w:val="1"/>
        <w:rPr>
          <w:rFonts w:eastAsia="黑体"/>
        </w:rPr>
      </w:pPr>
    </w:p>
    <w:p>
      <w:pPr>
        <w:spacing w:line="600" w:lineRule="exact"/>
        <w:ind w:firstLine="640" w:firstLineChars="200"/>
        <w:outlineLvl w:val="1"/>
        <w:rPr>
          <w:rFonts w:eastAsia="黑体"/>
        </w:rPr>
      </w:pPr>
      <w:r>
        <w:rPr>
          <w:rFonts w:eastAsia="黑体"/>
        </w:rPr>
        <w:drawing>
          <wp:anchor distT="0" distB="0" distL="114300" distR="114300" simplePos="0" relativeHeight="251655168" behindDoc="0" locked="0" layoutInCell="1" allowOverlap="1">
            <wp:simplePos x="0" y="0"/>
            <wp:positionH relativeFrom="column">
              <wp:posOffset>426720</wp:posOffset>
            </wp:positionH>
            <wp:positionV relativeFrom="paragraph">
              <wp:posOffset>76200</wp:posOffset>
            </wp:positionV>
            <wp:extent cx="4655185" cy="2727960"/>
            <wp:effectExtent l="0" t="0" r="0" b="0"/>
            <wp:wrapNone/>
            <wp:docPr id="9" name="图片 9"/>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true" noChangeArrowheads="true"/>
                    </pic:cNvPicPr>
                  </pic:nvPicPr>
                  <pic:blipFill>
                    <a:blip r:embed="rId13">
                      <a:extLst>
                        <a:ext uri="{28A0092B-C50C-407E-A947-70E740481C1C}">
                          <a14:useLocalDpi xmlns:a14="http://schemas.microsoft.com/office/drawing/2010/main" val="false"/>
                        </a:ext>
                      </a:extLst>
                    </a:blip>
                    <a:srcRect/>
                    <a:stretch>
                      <a:fillRect/>
                    </a:stretch>
                  </pic:blipFill>
                  <pic:spPr>
                    <a:xfrm>
                      <a:off x="0" y="0"/>
                      <a:ext cx="4665056" cy="2733602"/>
                    </a:xfrm>
                    <a:prstGeom prst="rect">
                      <a:avLst/>
                    </a:prstGeom>
                    <a:noFill/>
                  </pic:spPr>
                </pic:pic>
              </a:graphicData>
            </a:graphic>
          </wp:anchor>
        </w:drawing>
      </w:r>
    </w:p>
    <w:p>
      <w:pPr>
        <w:spacing w:line="600" w:lineRule="exact"/>
        <w:ind w:firstLine="640" w:firstLineChars="200"/>
        <w:outlineLvl w:val="1"/>
        <w:rPr>
          <w:rFonts w:eastAsia="黑体"/>
        </w:rPr>
      </w:pPr>
    </w:p>
    <w:p>
      <w:pPr>
        <w:spacing w:line="600" w:lineRule="exact"/>
        <w:ind w:firstLine="640" w:firstLineChars="200"/>
        <w:outlineLvl w:val="1"/>
        <w:rPr>
          <w:rFonts w:eastAsia="黑体"/>
        </w:rPr>
      </w:pPr>
    </w:p>
    <w:p>
      <w:pPr>
        <w:spacing w:line="600" w:lineRule="exact"/>
        <w:ind w:firstLine="640" w:firstLineChars="200"/>
        <w:outlineLvl w:val="1"/>
        <w:rPr>
          <w:rFonts w:eastAsia="黑体"/>
        </w:rPr>
      </w:pPr>
    </w:p>
    <w:p>
      <w:pPr>
        <w:spacing w:line="600" w:lineRule="exact"/>
        <w:ind w:firstLine="640" w:firstLineChars="200"/>
        <w:outlineLvl w:val="1"/>
        <w:rPr>
          <w:rFonts w:eastAsia="黑体"/>
        </w:rPr>
      </w:pPr>
    </w:p>
    <w:p>
      <w:pPr>
        <w:spacing w:line="600" w:lineRule="exact"/>
        <w:ind w:firstLine="640" w:firstLineChars="200"/>
        <w:outlineLvl w:val="1"/>
        <w:rPr>
          <w:rFonts w:eastAsia="黑体"/>
        </w:rPr>
      </w:pPr>
    </w:p>
    <w:p>
      <w:pPr>
        <w:spacing w:line="600" w:lineRule="exact"/>
        <w:ind w:firstLine="640" w:firstLineChars="200"/>
        <w:outlineLvl w:val="1"/>
        <w:rPr>
          <w:rFonts w:eastAsia="黑体"/>
        </w:rPr>
      </w:pPr>
    </w:p>
    <w:p>
      <w:pPr>
        <w:spacing w:line="600" w:lineRule="exact"/>
        <w:ind w:firstLine="640" w:firstLineChars="200"/>
        <w:outlineLvl w:val="1"/>
        <w:rPr>
          <w:rFonts w:eastAsia="黑体"/>
        </w:rPr>
      </w:pPr>
    </w:p>
    <w:p>
      <w:pPr>
        <w:spacing w:line="600" w:lineRule="exact"/>
        <w:ind w:firstLine="640" w:firstLineChars="200"/>
        <w:outlineLvl w:val="1"/>
        <w:rPr>
          <w:rStyle w:val="32"/>
          <w:rFonts w:ascii="Times New Roman" w:hAnsi="Times New Roman" w:eastAsia="黑体"/>
          <w:b w:val="0"/>
        </w:rPr>
      </w:pPr>
      <w:r>
        <w:rPr>
          <w:rFonts w:hint="eastAsia" w:eastAsia="黑体"/>
        </w:rPr>
        <w:t>五、</w:t>
      </w:r>
      <w:r>
        <w:rPr>
          <w:rFonts w:hint="eastAsia" w:eastAsia="黑体"/>
          <w:b/>
        </w:rPr>
        <w:t>一</w:t>
      </w:r>
      <w:r>
        <w:rPr>
          <w:rStyle w:val="32"/>
          <w:rFonts w:hint="eastAsia" w:ascii="Times New Roman" w:hAnsi="Times New Roman" w:eastAsia="黑体"/>
          <w:b w:val="0"/>
        </w:rPr>
        <w:t>般公共预算财政拨款支出决算情况说明</w:t>
      </w:r>
      <w:bookmarkEnd w:id="26"/>
      <w:bookmarkEnd w:id="27"/>
    </w:p>
    <w:p>
      <w:pPr>
        <w:spacing w:line="600" w:lineRule="exact"/>
        <w:ind w:firstLine="642" w:firstLineChars="200"/>
        <w:outlineLvl w:val="2"/>
        <w:rPr>
          <w:rFonts w:eastAsia="楷体_GB2312" w:cs="楷体_GB2312"/>
          <w:b/>
        </w:rPr>
      </w:pPr>
      <w:bookmarkStart w:id="28" w:name="_Toc15377210"/>
      <w:r>
        <w:rPr>
          <w:rFonts w:hint="eastAsia" w:eastAsia="楷体_GB2312" w:cs="楷体_GB2312"/>
          <w:b/>
        </w:rPr>
        <w:t>（一）一般公共预算财政拨款支出决算总体情况</w:t>
      </w:r>
      <w:bookmarkEnd w:id="28"/>
    </w:p>
    <w:p>
      <w:pPr>
        <w:spacing w:line="600" w:lineRule="exact"/>
        <w:ind w:firstLine="640"/>
      </w:pPr>
      <w:r>
        <w:rPr>
          <w:rFonts w:hint="eastAsia"/>
        </w:rPr>
        <w:t>2024年度一般公共预算财政拨款支出1021.27万元，占本年支出合计的31.</w:t>
      </w:r>
      <w:r>
        <w:t>9</w:t>
      </w:r>
      <w:r>
        <w:rPr>
          <w:rFonts w:hint="eastAsia"/>
        </w:rPr>
        <w:t>%。与2023年度相比，一般公共预算财政拨款支出减少26.51万元，下降2.5%。主要变动原因是职工</w:t>
      </w:r>
      <w:r>
        <w:t>退休，</w:t>
      </w:r>
      <w:r>
        <w:rPr>
          <w:rFonts w:hint="eastAsia"/>
        </w:rPr>
        <w:t>人员减少。</w:t>
      </w:r>
    </w:p>
    <w:p>
      <w:pPr>
        <w:spacing w:line="600" w:lineRule="exact"/>
        <w:ind w:firstLine="640"/>
      </w:pPr>
      <w:r>
        <w:rPr>
          <w:rFonts w:hint="eastAsia"/>
        </w:rPr>
        <w:t>（图5：一般公共预算财政拨款支出决算变动情况）</w:t>
      </w:r>
    </w:p>
    <w:p>
      <w:pPr>
        <w:pStyle w:val="2"/>
      </w:pPr>
    </w:p>
    <w:p>
      <w:pPr>
        <w:pStyle w:val="3"/>
        <w:ind w:left="640" w:firstLine="640"/>
      </w:pPr>
    </w:p>
    <w:p>
      <w:pPr>
        <w:pStyle w:val="3"/>
        <w:ind w:left="640" w:firstLine="640"/>
      </w:pPr>
      <w:r>
        <w:drawing>
          <wp:inline distT="0" distB="0" distL="0" distR="0">
            <wp:extent cx="4428490" cy="2884805"/>
            <wp:effectExtent l="0" t="0" r="0" b="0"/>
            <wp:docPr id="10" name="图片 10"/>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true" noChangeArrowheads="true"/>
                    </pic:cNvPicPr>
                  </pic:nvPicPr>
                  <pic:blipFill>
                    <a:blip r:embed="rId14">
                      <a:extLst>
                        <a:ext uri="{28A0092B-C50C-407E-A947-70E740481C1C}">
                          <a14:useLocalDpi xmlns:a14="http://schemas.microsoft.com/office/drawing/2010/main" val="false"/>
                        </a:ext>
                      </a:extLst>
                    </a:blip>
                    <a:srcRect/>
                    <a:stretch>
                      <a:fillRect/>
                    </a:stretch>
                  </pic:blipFill>
                  <pic:spPr>
                    <a:xfrm>
                      <a:off x="0" y="0"/>
                      <a:ext cx="4455267" cy="2902491"/>
                    </a:xfrm>
                    <a:prstGeom prst="rect">
                      <a:avLst/>
                    </a:prstGeom>
                    <a:noFill/>
                  </pic:spPr>
                </pic:pic>
              </a:graphicData>
            </a:graphic>
          </wp:inline>
        </w:drawing>
      </w:r>
    </w:p>
    <w:p>
      <w:pPr>
        <w:spacing w:line="600" w:lineRule="exact"/>
        <w:ind w:firstLine="642" w:firstLineChars="200"/>
        <w:outlineLvl w:val="2"/>
        <w:rPr>
          <w:rFonts w:eastAsia="楷体_GB2312" w:cs="楷体_GB2312"/>
          <w:b/>
        </w:rPr>
      </w:pPr>
      <w:bookmarkStart w:id="29" w:name="_Toc15377211"/>
      <w:r>
        <w:rPr>
          <w:rFonts w:hint="eastAsia" w:eastAsia="楷体_GB2312" w:cs="楷体_GB2312"/>
          <w:b/>
        </w:rPr>
        <w:t>（二）一般公共预算财政拨款支出决算结构情况</w:t>
      </w:r>
      <w:bookmarkEnd w:id="29"/>
    </w:p>
    <w:p>
      <w:pPr>
        <w:spacing w:line="600" w:lineRule="exact"/>
        <w:ind w:firstLine="640"/>
      </w:pPr>
      <w:r>
        <w:rPr>
          <w:rFonts w:hint="eastAsia"/>
        </w:rPr>
        <w:t>2024年度一般公共预算财政拨款支出1021.27万元，主要用于以下方面：社会保障和就业支出264.83万元，占25.9%；卫生健康支出67.06万元，占6.</w:t>
      </w:r>
      <w:r>
        <w:t>6</w:t>
      </w:r>
      <w:r>
        <w:rPr>
          <w:rFonts w:hint="eastAsia"/>
        </w:rPr>
        <w:t>%；资源勘探工业信息等支出673.18万元，占65.9%；住房保障支出16.2万元，占1.</w:t>
      </w:r>
      <w:r>
        <w:t>6</w:t>
      </w:r>
      <w:r>
        <w:rPr>
          <w:rFonts w:hint="eastAsia"/>
        </w:rPr>
        <w:t>%。</w:t>
      </w:r>
    </w:p>
    <w:p>
      <w:pPr>
        <w:spacing w:line="600" w:lineRule="exact"/>
        <w:ind w:firstLine="640"/>
      </w:pPr>
      <w:r>
        <w:rPr>
          <w:rFonts w:hint="eastAsia"/>
        </w:rPr>
        <w:t>（图6：一般公共预算财政拨款支出决算结构）</w:t>
      </w:r>
    </w:p>
    <w:p>
      <w:pPr>
        <w:spacing w:line="600" w:lineRule="exact"/>
        <w:ind w:firstLine="640"/>
      </w:pPr>
      <w:r>
        <w:rPr>
          <w:rFonts w:eastAsia="楷体_GB2312" w:cs="楷体_GB2312"/>
          <w:b/>
        </w:rPr>
        <w:drawing>
          <wp:anchor distT="0" distB="0" distL="114300" distR="114300" simplePos="0" relativeHeight="251662336" behindDoc="0" locked="0" layoutInCell="1" allowOverlap="1">
            <wp:simplePos x="0" y="0"/>
            <wp:positionH relativeFrom="column">
              <wp:posOffset>411480</wp:posOffset>
            </wp:positionH>
            <wp:positionV relativeFrom="paragraph">
              <wp:posOffset>137160</wp:posOffset>
            </wp:positionV>
            <wp:extent cx="4803775" cy="3202940"/>
            <wp:effectExtent l="0" t="0" r="0" b="0"/>
            <wp:wrapNone/>
            <wp:docPr id="13" name="图片 1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true" noChangeArrowheads="true"/>
                    </pic:cNvPicPr>
                  </pic:nvPicPr>
                  <pic:blipFill>
                    <a:blip r:embed="rId15">
                      <a:extLst>
                        <a:ext uri="{28A0092B-C50C-407E-A947-70E740481C1C}">
                          <a14:useLocalDpi xmlns:a14="http://schemas.microsoft.com/office/drawing/2010/main" val="false"/>
                        </a:ext>
                      </a:extLst>
                    </a:blip>
                    <a:srcRect/>
                    <a:stretch>
                      <a:fillRect/>
                    </a:stretch>
                  </pic:blipFill>
                  <pic:spPr>
                    <a:xfrm>
                      <a:off x="0" y="0"/>
                      <a:ext cx="4809988" cy="3206995"/>
                    </a:xfrm>
                    <a:prstGeom prst="rect">
                      <a:avLst/>
                    </a:prstGeom>
                    <a:noFill/>
                  </pic:spPr>
                </pic:pic>
              </a:graphicData>
            </a:graphic>
          </wp:anchor>
        </w:drawing>
      </w:r>
    </w:p>
    <w:p>
      <w:pPr>
        <w:spacing w:line="600" w:lineRule="exact"/>
        <w:ind w:firstLine="642" w:firstLineChars="200"/>
        <w:outlineLvl w:val="2"/>
        <w:rPr>
          <w:rFonts w:eastAsia="楷体_GB2312" w:cs="楷体_GB2312"/>
          <w:b/>
        </w:rPr>
      </w:pPr>
      <w:bookmarkStart w:id="30" w:name="_Toc15377212"/>
    </w:p>
    <w:p>
      <w:pPr>
        <w:spacing w:line="600" w:lineRule="exact"/>
        <w:ind w:firstLine="642" w:firstLineChars="200"/>
        <w:outlineLvl w:val="2"/>
        <w:rPr>
          <w:rFonts w:eastAsia="楷体_GB2312" w:cs="楷体_GB2312"/>
          <w:b/>
        </w:rPr>
      </w:pPr>
    </w:p>
    <w:p>
      <w:pPr>
        <w:spacing w:line="600" w:lineRule="exact"/>
        <w:ind w:firstLine="642" w:firstLineChars="200"/>
        <w:outlineLvl w:val="2"/>
        <w:rPr>
          <w:rFonts w:eastAsia="楷体_GB2312" w:cs="楷体_GB2312"/>
          <w:b/>
        </w:rPr>
      </w:pPr>
    </w:p>
    <w:p>
      <w:pPr>
        <w:spacing w:line="600" w:lineRule="exact"/>
        <w:ind w:firstLine="642" w:firstLineChars="200"/>
        <w:outlineLvl w:val="2"/>
        <w:rPr>
          <w:rFonts w:eastAsia="楷体_GB2312" w:cs="楷体_GB2312"/>
          <w:b/>
        </w:rPr>
      </w:pPr>
    </w:p>
    <w:p>
      <w:pPr>
        <w:spacing w:line="600" w:lineRule="exact"/>
        <w:ind w:firstLine="642" w:firstLineChars="200"/>
        <w:outlineLvl w:val="2"/>
        <w:rPr>
          <w:rFonts w:eastAsia="楷体_GB2312" w:cs="楷体_GB2312"/>
          <w:b/>
        </w:rPr>
      </w:pPr>
    </w:p>
    <w:p>
      <w:pPr>
        <w:spacing w:line="600" w:lineRule="exact"/>
        <w:ind w:firstLine="642" w:firstLineChars="200"/>
        <w:outlineLvl w:val="2"/>
        <w:rPr>
          <w:rFonts w:eastAsia="楷体_GB2312" w:cs="楷体_GB2312"/>
          <w:b/>
        </w:rPr>
      </w:pPr>
    </w:p>
    <w:p>
      <w:pPr>
        <w:spacing w:line="600" w:lineRule="exact"/>
        <w:ind w:firstLine="642" w:firstLineChars="200"/>
        <w:outlineLvl w:val="2"/>
        <w:rPr>
          <w:rFonts w:eastAsia="楷体_GB2312" w:cs="楷体_GB2312"/>
          <w:b/>
        </w:rPr>
      </w:pPr>
    </w:p>
    <w:p>
      <w:pPr>
        <w:spacing w:line="600" w:lineRule="exact"/>
        <w:ind w:firstLine="642" w:firstLineChars="200"/>
        <w:outlineLvl w:val="2"/>
        <w:rPr>
          <w:rFonts w:eastAsia="楷体_GB2312" w:cs="楷体_GB2312"/>
          <w:b/>
        </w:rPr>
      </w:pPr>
    </w:p>
    <w:p>
      <w:pPr>
        <w:spacing w:line="600" w:lineRule="exact"/>
        <w:ind w:firstLine="642" w:firstLineChars="200"/>
        <w:outlineLvl w:val="2"/>
        <w:rPr>
          <w:rFonts w:eastAsia="楷体_GB2312" w:cs="楷体_GB2312"/>
          <w:b/>
        </w:rPr>
      </w:pPr>
      <w:r>
        <w:rPr>
          <w:rFonts w:hint="eastAsia" w:eastAsia="楷体_GB2312" w:cs="楷体_GB2312"/>
          <w:b/>
        </w:rPr>
        <w:t>（三）一般公共预算财政拨款支出决算具体情况</w:t>
      </w:r>
      <w:bookmarkEnd w:id="30"/>
    </w:p>
    <w:p>
      <w:pPr>
        <w:spacing w:line="600" w:lineRule="exact"/>
        <w:ind w:firstLine="640"/>
      </w:pPr>
      <w:bookmarkStart w:id="31" w:name="_Toc15377444"/>
      <w:bookmarkStart w:id="32" w:name="_Toc15377213"/>
      <w:bookmarkStart w:id="33" w:name="_Toc15378460"/>
      <w:r>
        <w:rPr>
          <w:rFonts w:hint="eastAsia"/>
        </w:rPr>
        <w:t>2024年度一般公共预算财政拨款支出决算数为1021.27万元，完成预算</w:t>
      </w:r>
      <w:r>
        <w:t>100</w:t>
      </w:r>
      <w:r>
        <w:rPr>
          <w:rFonts w:hint="eastAsia"/>
        </w:rPr>
        <w:t>%。其中：</w:t>
      </w:r>
      <w:bookmarkEnd w:id="31"/>
      <w:bookmarkEnd w:id="32"/>
      <w:bookmarkEnd w:id="33"/>
    </w:p>
    <w:p>
      <w:pPr>
        <w:spacing w:line="600" w:lineRule="exact"/>
        <w:ind w:firstLine="640" w:firstLineChars="200"/>
        <w:rPr>
          <w:highlight w:val="yellow"/>
        </w:rPr>
      </w:pPr>
      <w:r>
        <w:rPr>
          <w:rFonts w:hint="eastAsia"/>
        </w:rPr>
        <w:t>1.社会保障和就业（类）行政事业单位养老支出（款）事业单位离退休（项）：支出决算为172.95万元，完成预算</w:t>
      </w:r>
      <w:r>
        <w:t>100</w:t>
      </w:r>
      <w:r>
        <w:rPr>
          <w:rFonts w:hint="eastAsia"/>
        </w:rPr>
        <w:t>%。</w:t>
      </w:r>
    </w:p>
    <w:p>
      <w:pPr>
        <w:spacing w:line="600" w:lineRule="exact"/>
        <w:ind w:firstLine="640"/>
      </w:pPr>
      <w:r>
        <w:t>2.</w:t>
      </w:r>
      <w:r>
        <w:rPr>
          <w:rFonts w:hint="eastAsia"/>
        </w:rPr>
        <w:t>社会保障和就业（类）行政事业单位养老支出（款）机关事业单位基本养老保险缴费支出（项）：支出决算为87.51万元，完成预算100%。</w:t>
      </w:r>
    </w:p>
    <w:p>
      <w:pPr>
        <w:spacing w:line="600" w:lineRule="exact"/>
        <w:ind w:firstLine="640"/>
      </w:pPr>
      <w:r>
        <w:t>3.</w:t>
      </w:r>
      <w:r>
        <w:rPr>
          <w:rFonts w:hint="eastAsia"/>
        </w:rPr>
        <w:t>社会保障和就业（类）行政事业单位养老支出（款）其他行政事业单位养老支出（项）：支出决算为4.37万元，完成预算100%。</w:t>
      </w:r>
    </w:p>
    <w:p>
      <w:pPr>
        <w:spacing w:line="600" w:lineRule="exact"/>
        <w:ind w:firstLine="640"/>
      </w:pPr>
      <w:r>
        <w:t>4.</w:t>
      </w:r>
      <w:r>
        <w:rPr>
          <w:rFonts w:hint="eastAsia"/>
        </w:rPr>
        <w:t>卫生健康（类）行政事业单位医疗（款）事业单位医疗（项）：支出决算为67.06万元，完成预算100% 。</w:t>
      </w:r>
    </w:p>
    <w:p>
      <w:pPr>
        <w:spacing w:line="600" w:lineRule="exact"/>
        <w:ind w:firstLine="640"/>
      </w:pPr>
      <w:r>
        <w:t>5.</w:t>
      </w:r>
      <w:r>
        <w:rPr>
          <w:rFonts w:hint="eastAsia"/>
        </w:rPr>
        <w:t>资源勘探工业信息等支出（类）制造业（款）其他制造业支出（项）: 支出决算为673.18万元，完成预算</w:t>
      </w:r>
      <w:r>
        <w:t>100</w:t>
      </w:r>
      <w:r>
        <w:rPr>
          <w:rFonts w:hint="eastAsia"/>
        </w:rPr>
        <w:t>%。</w:t>
      </w:r>
    </w:p>
    <w:p>
      <w:pPr>
        <w:spacing w:line="600" w:lineRule="exact"/>
        <w:ind w:firstLine="640"/>
        <w:rPr>
          <w:b/>
        </w:rPr>
      </w:pPr>
      <w:r>
        <w:rPr>
          <w:rFonts w:hint="eastAsia"/>
        </w:rPr>
        <w:t>6.住房保障支出（类）住房改革支出（款）住房公积金（项）: 支出决算为16.20万元，完成预算100%。</w:t>
      </w:r>
    </w:p>
    <w:p>
      <w:pPr>
        <w:pStyle w:val="2"/>
      </w:pPr>
    </w:p>
    <w:p>
      <w:pPr>
        <w:tabs>
          <w:tab w:val="right" w:pos="8306"/>
        </w:tabs>
        <w:spacing w:line="600" w:lineRule="exact"/>
        <w:ind w:firstLine="640"/>
        <w:outlineLvl w:val="1"/>
        <w:rPr>
          <w:rStyle w:val="32"/>
          <w:rFonts w:ascii="Times New Roman" w:hAnsi="Times New Roman"/>
        </w:rPr>
      </w:pPr>
      <w:bookmarkStart w:id="34" w:name="_Toc15396608"/>
      <w:bookmarkStart w:id="35" w:name="_Toc15377214"/>
      <w:r>
        <w:rPr>
          <w:rFonts w:hint="eastAsia" w:eastAsia="黑体"/>
        </w:rPr>
        <w:t>六</w:t>
      </w:r>
      <w:r>
        <w:rPr>
          <w:rFonts w:hint="eastAsia" w:eastAsia="黑体"/>
          <w:b/>
        </w:rPr>
        <w:t>、一</w:t>
      </w:r>
      <w:r>
        <w:rPr>
          <w:rStyle w:val="32"/>
          <w:rFonts w:hint="eastAsia" w:ascii="Times New Roman" w:hAnsi="Times New Roman" w:eastAsia="黑体"/>
          <w:b w:val="0"/>
        </w:rPr>
        <w:t>般公共预算财政拨款基本支出决算情况说明</w:t>
      </w:r>
      <w:bookmarkEnd w:id="34"/>
      <w:bookmarkEnd w:id="35"/>
      <w:r>
        <w:rPr>
          <w:rStyle w:val="32"/>
          <w:rFonts w:ascii="Times New Roman" w:hAnsi="Times New Roman" w:eastAsia="黑体"/>
          <w:b w:val="0"/>
        </w:rPr>
        <w:tab/>
      </w:r>
    </w:p>
    <w:p>
      <w:pPr>
        <w:spacing w:line="600" w:lineRule="exact"/>
        <w:ind w:firstLine="640"/>
      </w:pPr>
      <w:r>
        <w:rPr>
          <w:rFonts w:hint="eastAsia"/>
        </w:rPr>
        <w:t>2024年度一般公共预算财政拨款基本支出971.27万元，其中：</w:t>
      </w:r>
    </w:p>
    <w:p>
      <w:pPr>
        <w:spacing w:line="600" w:lineRule="exact"/>
        <w:ind w:firstLine="640"/>
      </w:pPr>
      <w:r>
        <w:rPr>
          <w:rFonts w:hint="eastAsia"/>
        </w:rPr>
        <w:t>人员经费908.22万元，主要包括：基本工资、津贴补贴、绩效工资、机关事业单位基本养老保险缴费、职工基本医疗保险缴费、其他社会保障缴费、住房公积金、生活补助、其他对个人和家庭的补助支出等。</w:t>
      </w:r>
      <w:r>
        <w:rPr>
          <w:rFonts w:hint="eastAsia"/>
        </w:rPr>
        <w:br w:type="textWrapping"/>
      </w:r>
      <w:r>
        <w:rPr>
          <w:rFonts w:hint="eastAsia"/>
        </w:rPr>
        <w:t>　　公用经费63.05万元，主要包括：办公费、水费、电费、邮电费、物业管理费、公务用车运行维护费、其他商品和服务支出等。</w:t>
      </w:r>
    </w:p>
    <w:p>
      <w:pPr>
        <w:spacing w:line="600" w:lineRule="exact"/>
        <w:ind w:firstLine="640"/>
        <w:outlineLvl w:val="1"/>
        <w:rPr>
          <w:rStyle w:val="32"/>
          <w:rFonts w:ascii="Times New Roman" w:hAnsi="Times New Roman" w:eastAsia="黑体"/>
          <w:b w:val="0"/>
        </w:rPr>
      </w:pPr>
      <w:bookmarkStart w:id="36" w:name="_Toc15377215"/>
      <w:bookmarkStart w:id="37" w:name="_Toc15396609"/>
      <w:r>
        <w:rPr>
          <w:rFonts w:hint="eastAsia" w:eastAsia="黑体"/>
        </w:rPr>
        <w:t>七、</w:t>
      </w:r>
      <w:r>
        <w:rPr>
          <w:rStyle w:val="32"/>
          <w:rFonts w:hint="eastAsia" w:ascii="Times New Roman" w:hAnsi="Times New Roman" w:eastAsia="黑体"/>
          <w:b w:val="0"/>
        </w:rPr>
        <w:t>财政拨款</w:t>
      </w:r>
      <w:r>
        <w:rPr>
          <w:rStyle w:val="32"/>
          <w:rFonts w:hint="eastAsia" w:ascii="Times New Roman" w:hAnsi="Times New Roman" w:eastAsia="黑体"/>
        </w:rPr>
        <w:t>“</w:t>
      </w:r>
      <w:r>
        <w:rPr>
          <w:rStyle w:val="32"/>
          <w:rFonts w:hint="eastAsia" w:ascii="Times New Roman" w:hAnsi="Times New Roman" w:eastAsia="黑体"/>
          <w:b w:val="0"/>
        </w:rPr>
        <w:t>三公”经费支出决算情况说明</w:t>
      </w:r>
      <w:bookmarkEnd w:id="36"/>
      <w:bookmarkEnd w:id="37"/>
    </w:p>
    <w:p>
      <w:pPr>
        <w:spacing w:line="600" w:lineRule="exact"/>
        <w:ind w:firstLine="642" w:firstLineChars="200"/>
        <w:outlineLvl w:val="2"/>
        <w:rPr>
          <w:rFonts w:eastAsia="楷体_GB2312" w:cs="楷体_GB2312"/>
          <w:b/>
        </w:rPr>
      </w:pPr>
      <w:bookmarkStart w:id="38" w:name="_Toc15377216"/>
      <w:r>
        <w:rPr>
          <w:rFonts w:hint="eastAsia" w:eastAsia="楷体_GB2312" w:cs="楷体_GB2312"/>
          <w:b/>
        </w:rPr>
        <w:t>（一）“三公”经费财政拨款支出决算总体情况说明</w:t>
      </w:r>
      <w:bookmarkEnd w:id="38"/>
    </w:p>
    <w:p>
      <w:pPr>
        <w:spacing w:line="600" w:lineRule="exact"/>
        <w:ind w:firstLine="640"/>
        <w:rPr>
          <w:highlight w:val="yellow"/>
        </w:rPr>
      </w:pPr>
      <w:r>
        <w:rPr>
          <w:rFonts w:hint="eastAsia"/>
        </w:rPr>
        <w:t>2024年度“三公”经费财政拨款支出决算为9.94万元，完成预算</w:t>
      </w:r>
      <w:r>
        <w:t>100</w:t>
      </w:r>
      <w:r>
        <w:rPr>
          <w:rFonts w:hint="eastAsia"/>
        </w:rPr>
        <w:t>%，较上年度增加9.94万元，增长100%。原因是按公务用车数量编制公务用车运行维护费。</w:t>
      </w:r>
    </w:p>
    <w:p>
      <w:pPr>
        <w:spacing w:line="600" w:lineRule="exact"/>
        <w:ind w:firstLine="642" w:firstLineChars="200"/>
        <w:outlineLvl w:val="2"/>
        <w:rPr>
          <w:rFonts w:eastAsia="楷体_GB2312" w:cs="楷体_GB2312"/>
          <w:b/>
        </w:rPr>
      </w:pPr>
      <w:bookmarkStart w:id="39" w:name="_Toc15377217"/>
      <w:r>
        <w:rPr>
          <w:rFonts w:hint="eastAsia" w:eastAsia="楷体_GB2312" w:cs="楷体_GB2312"/>
          <w:b/>
        </w:rPr>
        <w:t>（二）“三公”经费财政拨款支出决算具体情况说明</w:t>
      </w:r>
      <w:bookmarkEnd w:id="39"/>
    </w:p>
    <w:p>
      <w:pPr>
        <w:spacing w:line="600" w:lineRule="exact"/>
        <w:ind w:firstLine="640"/>
      </w:pPr>
      <w:r>
        <w:rPr>
          <w:rFonts w:hint="eastAsia"/>
        </w:rPr>
        <w:t>2024年度“三公”经费财政拨款支出决算中，因公出国（境）费支出决算0万元，占0%；公务用车购置及运行维护费支出决算9.94万元，占</w:t>
      </w:r>
      <w:r>
        <w:t>100</w:t>
      </w:r>
      <w:r>
        <w:rPr>
          <w:rFonts w:hint="eastAsia"/>
        </w:rPr>
        <w:t>%；公务接待费支出决算0万元，占0%。具体情况如下：</w:t>
      </w:r>
    </w:p>
    <w:p>
      <w:pPr>
        <w:spacing w:line="600" w:lineRule="exact"/>
        <w:ind w:firstLine="640"/>
      </w:pPr>
      <w:r>
        <w:rPr>
          <w:rFonts w:hint="eastAsia"/>
        </w:rPr>
        <w:t>（图7：“三公”经费财政拨款支出结构）</w:t>
      </w:r>
    </w:p>
    <w:p>
      <w:pPr>
        <w:pStyle w:val="2"/>
      </w:pPr>
    </w:p>
    <w:p>
      <w:pPr>
        <w:pStyle w:val="3"/>
        <w:ind w:left="640" w:firstLine="640"/>
      </w:pPr>
    </w:p>
    <w:p>
      <w:pPr>
        <w:pStyle w:val="3"/>
        <w:ind w:left="640" w:firstLine="640"/>
      </w:pPr>
    </w:p>
    <w:p>
      <w:pPr>
        <w:pStyle w:val="3"/>
        <w:ind w:left="640" w:firstLine="640"/>
      </w:pPr>
    </w:p>
    <w:p>
      <w:pPr>
        <w:pStyle w:val="3"/>
        <w:ind w:left="640" w:firstLine="640"/>
      </w:pPr>
    </w:p>
    <w:p>
      <w:pPr>
        <w:pStyle w:val="3"/>
        <w:ind w:left="640" w:firstLine="640"/>
      </w:pPr>
      <w:r>
        <w:drawing>
          <wp:inline distT="0" distB="0" distL="0" distR="0">
            <wp:extent cx="4316095" cy="3094355"/>
            <wp:effectExtent l="0" t="0" r="8255" b="0"/>
            <wp:docPr id="15" name="图片 1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true" noChangeArrowheads="true"/>
                    </pic:cNvPicPr>
                  </pic:nvPicPr>
                  <pic:blipFill>
                    <a:blip r:embed="rId16">
                      <a:extLst>
                        <a:ext uri="{28A0092B-C50C-407E-A947-70E740481C1C}">
                          <a14:useLocalDpi xmlns:a14="http://schemas.microsoft.com/office/drawing/2010/main" val="false"/>
                        </a:ext>
                      </a:extLst>
                    </a:blip>
                    <a:srcRect/>
                    <a:stretch>
                      <a:fillRect/>
                    </a:stretch>
                  </pic:blipFill>
                  <pic:spPr>
                    <a:xfrm>
                      <a:off x="0" y="0"/>
                      <a:ext cx="4392999" cy="3149343"/>
                    </a:xfrm>
                    <a:prstGeom prst="rect">
                      <a:avLst/>
                    </a:prstGeom>
                    <a:noFill/>
                  </pic:spPr>
                </pic:pic>
              </a:graphicData>
            </a:graphic>
          </wp:inline>
        </w:drawing>
      </w:r>
    </w:p>
    <w:p>
      <w:pPr>
        <w:spacing w:line="600" w:lineRule="exact"/>
        <w:ind w:firstLine="640"/>
      </w:pPr>
      <w:r>
        <w:rPr>
          <w:rFonts w:hint="eastAsia"/>
          <w:b/>
          <w:bCs/>
        </w:rPr>
        <w:t>1.因公出国（境）经费支出</w:t>
      </w:r>
      <w:r>
        <w:rPr>
          <w:b/>
          <w:bCs/>
        </w:rPr>
        <w:t>0</w:t>
      </w:r>
      <w:r>
        <w:rPr>
          <w:rFonts w:hint="eastAsia"/>
          <w:b/>
          <w:bCs/>
        </w:rPr>
        <w:t>万元。</w:t>
      </w:r>
      <w:r>
        <w:rPr>
          <w:rFonts w:hint="eastAsia"/>
        </w:rPr>
        <w:t>全年安排因公出国（境）团组0次，出国（境）0人。因公出国（境）支出决算比2023年决算数</w:t>
      </w:r>
      <w:r>
        <w:t>持平</w:t>
      </w:r>
      <w:r>
        <w:rPr>
          <w:rFonts w:hint="eastAsia"/>
        </w:rPr>
        <w:t>。</w:t>
      </w:r>
    </w:p>
    <w:p>
      <w:pPr>
        <w:spacing w:line="600" w:lineRule="exact"/>
        <w:ind w:firstLine="640"/>
      </w:pPr>
      <w:r>
        <w:rPr>
          <w:rFonts w:hint="eastAsia"/>
        </w:rPr>
        <w:t>2</w:t>
      </w:r>
      <w:r>
        <w:t>.</w:t>
      </w:r>
      <w:r>
        <w:rPr>
          <w:rFonts w:hint="eastAsia"/>
          <w:b/>
          <w:bCs/>
        </w:rPr>
        <w:t>公务用车购置及运行维护费支出</w:t>
      </w:r>
      <w:r>
        <w:rPr>
          <w:rFonts w:hint="eastAsia" w:ascii="仿宋_GB2312" w:hAnsi="仿宋_GB2312"/>
          <w:b/>
          <w:bCs/>
        </w:rPr>
        <w:t>9.94万</w:t>
      </w:r>
      <w:r>
        <w:rPr>
          <w:rFonts w:hint="eastAsia"/>
          <w:b/>
          <w:bCs/>
        </w:rPr>
        <w:t>元，完成预算</w:t>
      </w:r>
      <w:r>
        <w:rPr>
          <w:rFonts w:ascii="仿宋_GB2312" w:hAnsi="仿宋_GB2312"/>
        </w:rPr>
        <w:t>100</w:t>
      </w:r>
      <w:r>
        <w:rPr>
          <w:rFonts w:hint="eastAsia"/>
          <w:b/>
          <w:bCs/>
        </w:rPr>
        <w:t>%。</w:t>
      </w:r>
      <w:r>
        <w:rPr>
          <w:rFonts w:hint="eastAsia"/>
        </w:rPr>
        <w:t>公务用车购置及运行维护费支出决算比2023年度增加9.94万元，增长100%。主要原因是2023年度财政拨款支出预算中无公务用车购置及运行维护费支出，公务用车购置及运行维护费支出均通过单位自有资金支出，2</w:t>
      </w:r>
      <w:r>
        <w:t>024</w:t>
      </w:r>
      <w:r>
        <w:rPr>
          <w:rFonts w:hint="eastAsia"/>
        </w:rPr>
        <w:t>年将公务用车运行维护费编入财政拨款支出预算。</w:t>
      </w:r>
    </w:p>
    <w:p>
      <w:pPr>
        <w:tabs>
          <w:tab w:val="left" w:pos="312"/>
        </w:tabs>
        <w:spacing w:line="600" w:lineRule="exact"/>
        <w:ind w:firstLine="640" w:firstLineChars="200"/>
        <w:jc w:val="left"/>
      </w:pPr>
      <w:r>
        <w:rPr>
          <w:rFonts w:hint="eastAsia"/>
        </w:rPr>
        <w:t>其中：公务用车购置支出0万元。全年按规定更新购置公务用车0辆，其中：轿车0辆、金额0万元，越野车0辆、金额0万元，载客汽车0辆、金额0万元。截至2024年12月31日，单位共有公务用车3辆，其中：轿车1辆、越野车0辆、载客汽车2辆。</w:t>
      </w:r>
    </w:p>
    <w:p>
      <w:pPr>
        <w:spacing w:line="600" w:lineRule="exact"/>
        <w:ind w:firstLine="640"/>
      </w:pPr>
      <w:r>
        <w:rPr>
          <w:rFonts w:hint="eastAsia"/>
        </w:rPr>
        <w:t>公务用车运行维护费支出9.94万元。主要用于经营化工设计项目</w:t>
      </w:r>
      <w:r>
        <w:t>现场</w:t>
      </w:r>
      <w:r>
        <w:rPr>
          <w:rFonts w:hint="eastAsia"/>
        </w:rPr>
        <w:t>出差所需的公务用车燃料费、维修费、过路过桥费、保险费等支出。</w:t>
      </w:r>
    </w:p>
    <w:p>
      <w:pPr>
        <w:spacing w:line="600" w:lineRule="exact"/>
        <w:ind w:firstLine="640"/>
      </w:pPr>
      <w:r>
        <w:rPr>
          <w:rFonts w:hint="eastAsia"/>
          <w:b/>
          <w:bCs/>
        </w:rPr>
        <w:t>3.公务接待费支出</w:t>
      </w:r>
      <w:r>
        <w:rPr>
          <w:rFonts w:hint="eastAsia" w:ascii="仿宋_GB2312" w:hAnsi="仿宋_GB2312"/>
          <w:b/>
          <w:bCs/>
        </w:rPr>
        <w:t>0万</w:t>
      </w:r>
      <w:r>
        <w:rPr>
          <w:rFonts w:hint="eastAsia"/>
          <w:b/>
          <w:bCs/>
        </w:rPr>
        <w:t>元。</w:t>
      </w:r>
      <w:bookmarkStart w:id="40" w:name="_Toc15377218"/>
      <w:bookmarkStart w:id="41" w:name="_Toc15396610"/>
      <w:r>
        <w:rPr>
          <w:rFonts w:hint="eastAsia"/>
        </w:rPr>
        <w:t>与202</w:t>
      </w:r>
      <w:r>
        <w:t>3</w:t>
      </w:r>
      <w:r>
        <w:rPr>
          <w:rFonts w:hint="eastAsia"/>
        </w:rPr>
        <w:t>年决算</w:t>
      </w:r>
      <w:r>
        <w:t>持平，</w:t>
      </w:r>
      <w:r>
        <w:rPr>
          <w:rFonts w:hint="eastAsia"/>
        </w:rPr>
        <w:t>主要</w:t>
      </w:r>
      <w:r>
        <w:t>原因是我单位没有</w:t>
      </w:r>
      <w:r>
        <w:rPr>
          <w:rFonts w:hint="eastAsia"/>
        </w:rPr>
        <w:t>公务接待费</w:t>
      </w:r>
      <w:r>
        <w:t>财政拨款</w:t>
      </w:r>
      <w:r>
        <w:rPr>
          <w:rFonts w:hint="eastAsia"/>
        </w:rPr>
        <w:t>。其中：</w:t>
      </w:r>
    </w:p>
    <w:p>
      <w:pPr>
        <w:spacing w:line="600" w:lineRule="exact"/>
        <w:ind w:firstLine="640"/>
      </w:pPr>
      <w:r>
        <w:rPr>
          <w:rFonts w:hint="eastAsia"/>
        </w:rPr>
        <w:t>国内公务接待支出</w:t>
      </w:r>
      <w:r>
        <w:t>0</w:t>
      </w:r>
      <w:r>
        <w:rPr>
          <w:rFonts w:hint="eastAsia"/>
        </w:rPr>
        <w:t>万元。国内公务接待</w:t>
      </w:r>
      <w:r>
        <w:t>0</w:t>
      </w:r>
      <w:r>
        <w:rPr>
          <w:rFonts w:hint="eastAsia"/>
        </w:rPr>
        <w:t>批次，</w:t>
      </w:r>
      <w:r>
        <w:t>0</w:t>
      </w:r>
      <w:r>
        <w:rPr>
          <w:rFonts w:hint="eastAsia"/>
        </w:rPr>
        <w:t>人次（不包括陪同人员），共计支出</w:t>
      </w:r>
      <w:r>
        <w:t>0</w:t>
      </w:r>
      <w:r>
        <w:rPr>
          <w:rFonts w:hint="eastAsia"/>
        </w:rPr>
        <w:t>万元。</w:t>
      </w:r>
    </w:p>
    <w:p>
      <w:pPr>
        <w:spacing w:line="600" w:lineRule="exact"/>
        <w:ind w:firstLine="640"/>
      </w:pPr>
      <w:r>
        <w:rPr>
          <w:rFonts w:hint="eastAsia"/>
        </w:rPr>
        <w:t>外事接待支出</w:t>
      </w:r>
      <w:r>
        <w:t>0</w:t>
      </w:r>
      <w:r>
        <w:rPr>
          <w:rFonts w:hint="eastAsia"/>
        </w:rPr>
        <w:t>万元。外事接待</w:t>
      </w:r>
      <w:r>
        <w:t>0</w:t>
      </w:r>
      <w:r>
        <w:rPr>
          <w:rFonts w:hint="eastAsia"/>
        </w:rPr>
        <w:t>批次，</w:t>
      </w:r>
      <w:r>
        <w:t>0</w:t>
      </w:r>
      <w:r>
        <w:rPr>
          <w:rFonts w:hint="eastAsia"/>
        </w:rPr>
        <w:t>人次（不包括陪同人员），共计支出</w:t>
      </w:r>
      <w:r>
        <w:t>0</w:t>
      </w:r>
      <w:r>
        <w:rPr>
          <w:rFonts w:hint="eastAsia"/>
        </w:rPr>
        <w:t>万元。</w:t>
      </w:r>
    </w:p>
    <w:p>
      <w:pPr>
        <w:spacing w:line="600" w:lineRule="exact"/>
        <w:ind w:firstLine="640"/>
        <w:outlineLvl w:val="1"/>
        <w:rPr>
          <w:rStyle w:val="32"/>
          <w:rFonts w:ascii="Times New Roman" w:hAnsi="Times New Roman" w:eastAsia="黑体"/>
        </w:rPr>
      </w:pPr>
      <w:r>
        <w:rPr>
          <w:rFonts w:hint="eastAsia" w:eastAsia="黑体"/>
        </w:rPr>
        <w:t>八、</w:t>
      </w:r>
      <w:r>
        <w:rPr>
          <w:rStyle w:val="32"/>
          <w:rFonts w:hint="eastAsia" w:ascii="Times New Roman" w:hAnsi="Times New Roman" w:eastAsia="黑体"/>
          <w:b w:val="0"/>
        </w:rPr>
        <w:t>政府性基金预算支出决算情况说明</w:t>
      </w:r>
      <w:bookmarkEnd w:id="40"/>
      <w:bookmarkEnd w:id="41"/>
    </w:p>
    <w:p>
      <w:pPr>
        <w:spacing w:line="600" w:lineRule="exact"/>
        <w:ind w:firstLine="640"/>
        <w:rPr>
          <w:b/>
          <w:bCs/>
        </w:rPr>
      </w:pPr>
      <w:bookmarkStart w:id="42" w:name="_Toc15377219"/>
      <w:bookmarkStart w:id="43" w:name="_Toc15396611"/>
      <w:r>
        <w:rPr>
          <w:rFonts w:hint="eastAsia"/>
        </w:rPr>
        <w:t>2024年度政府性基金预算财政拨款支出</w:t>
      </w:r>
      <w:r>
        <w:t>0</w:t>
      </w:r>
      <w:r>
        <w:rPr>
          <w:rFonts w:hint="eastAsia"/>
        </w:rPr>
        <w:t>万元，占本年支出合计的</w:t>
      </w:r>
      <w:r>
        <w:t>0</w:t>
      </w:r>
      <w:r>
        <w:rPr>
          <w:rFonts w:hint="eastAsia"/>
        </w:rPr>
        <w:t>%。与2023年度相比，政府性基金预算财政拨款支出与2</w:t>
      </w:r>
      <w:r>
        <w:t>023</w:t>
      </w:r>
      <w:r>
        <w:rPr>
          <w:rFonts w:hint="eastAsia"/>
        </w:rPr>
        <w:t>年度决算数持平。</w:t>
      </w:r>
    </w:p>
    <w:p>
      <w:pPr>
        <w:spacing w:line="600" w:lineRule="exact"/>
        <w:ind w:firstLine="640"/>
        <w:rPr>
          <w:rStyle w:val="32"/>
          <w:rFonts w:ascii="Times New Roman" w:hAnsi="Times New Roman" w:eastAsia="黑体"/>
          <w:b w:val="0"/>
        </w:rPr>
      </w:pPr>
      <w:r>
        <w:rPr>
          <w:rStyle w:val="32"/>
          <w:rFonts w:hint="eastAsia" w:ascii="Times New Roman" w:hAnsi="Times New Roman" w:eastAsia="黑体"/>
          <w:b w:val="0"/>
        </w:rPr>
        <w:t>九、国有资本经营预算支出决算情况说明</w:t>
      </w:r>
      <w:bookmarkEnd w:id="42"/>
      <w:bookmarkEnd w:id="43"/>
    </w:p>
    <w:p>
      <w:pPr>
        <w:spacing w:line="600" w:lineRule="exact"/>
        <w:ind w:firstLine="640"/>
      </w:pPr>
      <w:bookmarkStart w:id="44" w:name="_Toc15377221"/>
      <w:bookmarkStart w:id="45" w:name="_Toc15396612"/>
      <w:r>
        <w:rPr>
          <w:rFonts w:hint="eastAsia"/>
        </w:rPr>
        <w:t>2024年度国有资本经营预算财政拨款支出</w:t>
      </w:r>
      <w:r>
        <w:t>0</w:t>
      </w:r>
      <w:r>
        <w:rPr>
          <w:rFonts w:hint="eastAsia"/>
        </w:rPr>
        <w:t>万元，占本年支出合计的</w:t>
      </w:r>
      <w:r>
        <w:t>0</w:t>
      </w:r>
      <w:r>
        <w:rPr>
          <w:rFonts w:hint="eastAsia"/>
        </w:rPr>
        <w:t>%。与2023年度相比，国有资本经营预算财政拨款支出与2</w:t>
      </w:r>
      <w:r>
        <w:t>023</w:t>
      </w:r>
      <w:r>
        <w:rPr>
          <w:rFonts w:hint="eastAsia"/>
        </w:rPr>
        <w:t>年度决算数持平。</w:t>
      </w:r>
    </w:p>
    <w:p>
      <w:pPr>
        <w:spacing w:line="600" w:lineRule="exact"/>
        <w:ind w:firstLine="640" w:firstLineChars="200"/>
        <w:outlineLvl w:val="1"/>
        <w:rPr>
          <w:rStyle w:val="32"/>
          <w:rFonts w:ascii="Times New Roman" w:hAnsi="Times New Roman" w:eastAsia="黑体"/>
          <w:b w:val="0"/>
        </w:rPr>
      </w:pPr>
      <w:r>
        <w:rPr>
          <w:rStyle w:val="32"/>
          <w:rFonts w:hint="eastAsia" w:ascii="Times New Roman" w:hAnsi="Times New Roman" w:eastAsia="黑体"/>
          <w:b w:val="0"/>
        </w:rPr>
        <w:t>十、其他重要事项的情况说明</w:t>
      </w:r>
      <w:bookmarkEnd w:id="44"/>
      <w:bookmarkEnd w:id="45"/>
    </w:p>
    <w:p>
      <w:pPr>
        <w:spacing w:line="600" w:lineRule="exact"/>
        <w:ind w:firstLine="642" w:firstLineChars="200"/>
        <w:outlineLvl w:val="2"/>
        <w:rPr>
          <w:rFonts w:eastAsia="楷体_GB2312" w:cs="楷体_GB2312"/>
          <w:b/>
        </w:rPr>
      </w:pPr>
      <w:bookmarkStart w:id="46" w:name="_Toc15377222"/>
      <w:r>
        <w:rPr>
          <w:rFonts w:hint="eastAsia" w:eastAsia="楷体_GB2312" w:cs="楷体_GB2312"/>
          <w:b/>
        </w:rPr>
        <w:t>（一）机关运行经费支出情况</w:t>
      </w:r>
      <w:bookmarkEnd w:id="46"/>
    </w:p>
    <w:p>
      <w:pPr>
        <w:spacing w:line="600" w:lineRule="exact"/>
        <w:ind w:firstLine="640"/>
      </w:pPr>
      <w:bookmarkStart w:id="47" w:name="_Toc15377223"/>
      <w:r>
        <w:rPr>
          <w:rFonts w:hint="eastAsia"/>
        </w:rPr>
        <w:t>2024年度，四川省化工设计院机关运行经费支出0万元，与2023年度决算数持平。</w:t>
      </w:r>
    </w:p>
    <w:p>
      <w:pPr>
        <w:spacing w:line="600" w:lineRule="exact"/>
        <w:ind w:firstLine="640"/>
        <w:rPr>
          <w:rFonts w:eastAsia="楷体_GB2312" w:cs="楷体_GB2312"/>
          <w:b/>
        </w:rPr>
      </w:pPr>
      <w:r>
        <w:rPr>
          <w:rFonts w:hint="eastAsia" w:eastAsia="楷体_GB2312" w:cs="楷体_GB2312"/>
          <w:b/>
        </w:rPr>
        <w:t>（二）政府采购支出情况</w:t>
      </w:r>
      <w:bookmarkEnd w:id="47"/>
    </w:p>
    <w:p>
      <w:pPr>
        <w:spacing w:line="600" w:lineRule="exact"/>
        <w:ind w:firstLine="640"/>
      </w:pPr>
      <w:r>
        <w:rPr>
          <w:rFonts w:hint="eastAsia"/>
        </w:rPr>
        <w:t>2024年度，四川省化工设计院政府采购支出总额</w:t>
      </w:r>
      <w:r>
        <w:t>35.35</w:t>
      </w:r>
      <w:r>
        <w:rPr>
          <w:rFonts w:hint="eastAsia"/>
        </w:rPr>
        <w:t>万元，其中：政府采购货物支出26.13万元、政府采购工程支出0万元、政府采购服务支出9.22万元。主要用于经营化工设计项目</w:t>
      </w:r>
      <w:r>
        <w:t>现场</w:t>
      </w:r>
      <w:r>
        <w:rPr>
          <w:rFonts w:hint="eastAsia"/>
        </w:rPr>
        <w:t>出差所需的公务用车燃料费、维修费、过路过桥费、保险费等支出，以及维护本单位日常运转所需的办公设备的购置、维护。授予中小企业合同金额</w:t>
      </w:r>
      <w:r>
        <w:t>33.58</w:t>
      </w:r>
      <w:r>
        <w:rPr>
          <w:rFonts w:hint="eastAsia"/>
        </w:rPr>
        <w:t>万元，占政府采购支出总额的</w:t>
      </w:r>
      <w:r>
        <w:t>95</w:t>
      </w:r>
      <w:r>
        <w:rPr>
          <w:rFonts w:hint="eastAsia"/>
        </w:rPr>
        <w:t>%，其中：授予小微企业合同金额</w:t>
      </w:r>
      <w:r>
        <w:t>1.85</w:t>
      </w:r>
      <w:r>
        <w:rPr>
          <w:rFonts w:hint="eastAsia"/>
        </w:rPr>
        <w:t>万元，占政府采购支出总额的</w:t>
      </w:r>
      <w:r>
        <w:t>6</w:t>
      </w:r>
      <w:r>
        <w:rPr>
          <w:rFonts w:hint="eastAsia"/>
        </w:rPr>
        <w:t>%。</w:t>
      </w:r>
    </w:p>
    <w:p>
      <w:pPr>
        <w:spacing w:line="600" w:lineRule="exact"/>
        <w:ind w:firstLine="642" w:firstLineChars="200"/>
        <w:outlineLvl w:val="2"/>
        <w:rPr>
          <w:rFonts w:eastAsia="楷体_GB2312" w:cs="楷体_GB2312"/>
          <w:b/>
        </w:rPr>
      </w:pPr>
      <w:bookmarkStart w:id="48" w:name="_Toc15377224"/>
      <w:r>
        <w:rPr>
          <w:rFonts w:hint="eastAsia" w:eastAsia="楷体_GB2312" w:cs="楷体_GB2312"/>
          <w:b/>
        </w:rPr>
        <w:t>（三）国有资产占有使用情况</w:t>
      </w:r>
      <w:bookmarkEnd w:id="48"/>
    </w:p>
    <w:p>
      <w:pPr>
        <w:spacing w:line="600" w:lineRule="exact"/>
        <w:ind w:firstLine="640"/>
      </w:pPr>
      <w:r>
        <w:rPr>
          <w:rFonts w:hint="eastAsia"/>
        </w:rPr>
        <w:t>截至2024年12月31日，四川省化工设计院共有车辆3辆，其中：主要负责人用车0辆、机要通信用车0辆、应急保障用车0辆、其他用车3辆，其他用车主要是用于经营化工设计项目</w:t>
      </w:r>
      <w:r>
        <w:t>现场</w:t>
      </w:r>
      <w:r>
        <w:rPr>
          <w:rFonts w:hint="eastAsia"/>
        </w:rPr>
        <w:t>出差。单价100万元（含）以上设备（不含车辆）1台（套）。</w:t>
      </w:r>
    </w:p>
    <w:p>
      <w:pPr>
        <w:spacing w:line="600" w:lineRule="exact"/>
        <w:ind w:firstLine="642" w:firstLineChars="200"/>
        <w:outlineLvl w:val="2"/>
        <w:rPr>
          <w:rFonts w:eastAsia="楷体_GB2312" w:cs="楷体_GB2312"/>
          <w:b/>
        </w:rPr>
      </w:pPr>
      <w:r>
        <w:rPr>
          <w:rFonts w:hint="eastAsia" w:eastAsia="楷体_GB2312" w:cs="楷体_GB2312"/>
          <w:b/>
        </w:rPr>
        <w:t>（四）预算绩效管理情况</w:t>
      </w:r>
    </w:p>
    <w:p>
      <w:pPr>
        <w:spacing w:line="600" w:lineRule="exact"/>
        <w:ind w:firstLine="640"/>
      </w:pPr>
      <w:r>
        <w:rPr>
          <w:rFonts w:hint="eastAsia"/>
        </w:rPr>
        <w:t>根据预算绩效管理要求，四川省化工设计院在2024年度预算编制阶段，无需组织开展预算事前绩效评估。对9个项目编制了绩效目标，预算执行过程中，选取</w:t>
      </w:r>
      <w:r>
        <w:t>9</w:t>
      </w:r>
      <w:r>
        <w:rPr>
          <w:rFonts w:hint="eastAsia"/>
        </w:rPr>
        <w:t>个项目开展绩效监控，组织对</w:t>
      </w:r>
      <w:r>
        <w:t>9</w:t>
      </w:r>
      <w:r>
        <w:rPr>
          <w:rFonts w:hint="eastAsia"/>
        </w:rPr>
        <w:t>个项目开展绩效自评。本单位2024年度无特定目标类项目支出。</w:t>
      </w:r>
    </w:p>
    <w:p>
      <w:pPr>
        <w:spacing w:line="600" w:lineRule="exact"/>
        <w:ind w:firstLine="640"/>
      </w:pPr>
    </w:p>
    <w:p>
      <w:pPr>
        <w:pStyle w:val="2"/>
      </w:pPr>
    </w:p>
    <w:p>
      <w:pPr>
        <w:pStyle w:val="3"/>
        <w:ind w:left="640" w:firstLine="640"/>
      </w:pPr>
    </w:p>
    <w:p>
      <w:pPr>
        <w:pStyle w:val="3"/>
        <w:ind w:left="640" w:firstLine="640"/>
      </w:pPr>
    </w:p>
    <w:p>
      <w:pPr>
        <w:spacing w:line="600" w:lineRule="exact"/>
        <w:jc w:val="center"/>
        <w:outlineLvl w:val="0"/>
        <w:rPr>
          <w:rFonts w:eastAsia="黑体"/>
          <w:sz w:val="44"/>
          <w:szCs w:val="44"/>
        </w:rPr>
      </w:pPr>
      <w:bookmarkStart w:id="49" w:name="_Toc15396613"/>
      <w:bookmarkStart w:id="50" w:name="_Toc15377225"/>
      <w:r>
        <w:rPr>
          <w:rFonts w:hint="eastAsia" w:eastAsia="黑体"/>
          <w:sz w:val="44"/>
          <w:szCs w:val="44"/>
        </w:rPr>
        <w:t>第三部分  名词解释</w:t>
      </w:r>
      <w:bookmarkEnd w:id="49"/>
      <w:bookmarkEnd w:id="50"/>
    </w:p>
    <w:p>
      <w:pPr>
        <w:spacing w:line="600" w:lineRule="exact"/>
        <w:jc w:val="left"/>
        <w:rPr>
          <w:b/>
          <w:sz w:val="44"/>
          <w:szCs w:val="44"/>
        </w:rPr>
      </w:pPr>
    </w:p>
    <w:p>
      <w:pPr>
        <w:pStyle w:val="29"/>
        <w:spacing w:line="56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1.</w:t>
      </w:r>
      <w:r>
        <w:rPr>
          <w:rFonts w:hint="eastAsia" w:ascii="Times New Roman" w:hAnsi="Times New Roman" w:eastAsia="仿宋_GB2312"/>
          <w:color w:val="auto"/>
          <w:sz w:val="32"/>
          <w:szCs w:val="32"/>
        </w:rPr>
        <w:t>财政拨款收入：指单位从同级财政部门取得的财政预算资金。</w:t>
      </w:r>
    </w:p>
    <w:p>
      <w:pPr>
        <w:pStyle w:val="29"/>
        <w:spacing w:line="56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2.</w:t>
      </w:r>
      <w:r>
        <w:rPr>
          <w:rFonts w:hint="eastAsia" w:ascii="Times New Roman" w:hAnsi="Times New Roman" w:eastAsia="仿宋_GB2312"/>
          <w:color w:val="auto"/>
          <w:sz w:val="32"/>
          <w:szCs w:val="32"/>
        </w:rPr>
        <w:t>事业收入：指事业单位开展专业业务活动及辅助活动取得的收入。（二级预算单位事业收入情况）等。</w:t>
      </w:r>
    </w:p>
    <w:p>
      <w:pPr>
        <w:pStyle w:val="29"/>
        <w:spacing w:line="56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3.</w:t>
      </w:r>
      <w:r>
        <w:rPr>
          <w:rFonts w:hint="eastAsia" w:ascii="Times New Roman" w:hAnsi="Times New Roman" w:eastAsia="仿宋_GB2312"/>
          <w:color w:val="auto"/>
          <w:sz w:val="32"/>
          <w:szCs w:val="32"/>
        </w:rPr>
        <w:t>经营收入：指事业单位在专业业务活动及其辅助活动之外开展非独立核算经营活动取得的收入。（二级预算单位经营收入情况）等。</w:t>
      </w:r>
    </w:p>
    <w:p>
      <w:pPr>
        <w:pStyle w:val="29"/>
        <w:spacing w:line="56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4.</w:t>
      </w:r>
      <w:r>
        <w:rPr>
          <w:rFonts w:hint="eastAsia" w:ascii="Times New Roman" w:hAnsi="Times New Roman" w:eastAsia="仿宋_GB2312"/>
          <w:color w:val="auto"/>
          <w:sz w:val="32"/>
          <w:szCs w:val="32"/>
        </w:rPr>
        <w:t>其他收入：指单位取得的除上述收入以外的各项收入。</w:t>
      </w:r>
      <w:r>
        <w:rPr>
          <w:rFonts w:ascii="Times New Roman" w:hAnsi="Times New Roman" w:eastAsia="仿宋_GB2312"/>
          <w:color w:val="auto"/>
          <w:sz w:val="32"/>
          <w:szCs w:val="32"/>
        </w:rPr>
        <w:t xml:space="preserve"> </w:t>
      </w:r>
    </w:p>
    <w:p>
      <w:pPr>
        <w:pStyle w:val="29"/>
        <w:spacing w:line="56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5.</w:t>
      </w:r>
      <w:r>
        <w:rPr>
          <w:rFonts w:hint="eastAsia" w:ascii="Times New Roman" w:hAnsi="Times New Roman" w:eastAsia="仿宋_GB2312"/>
          <w:sz w:val="32"/>
          <w:szCs w:val="32"/>
        </w:rPr>
        <w:t>使用非财政拨款结余</w:t>
      </w:r>
      <w:r>
        <w:rPr>
          <w:rFonts w:hint="eastAsia" w:ascii="Times New Roman" w:hAnsi="Times New Roman" w:eastAsia="仿宋_GB2312"/>
          <w:color w:val="auto"/>
          <w:sz w:val="32"/>
          <w:szCs w:val="32"/>
        </w:rPr>
        <w:t>：指事业单位使用以前年度积累的非财政拨款结余弥补当年收支差额的金额。</w:t>
      </w:r>
      <w:r>
        <w:rPr>
          <w:rFonts w:ascii="Times New Roman" w:hAnsi="Times New Roman" w:eastAsia="仿宋_GB2312"/>
          <w:color w:val="auto"/>
          <w:sz w:val="32"/>
          <w:szCs w:val="32"/>
        </w:rPr>
        <w:t xml:space="preserve"> </w:t>
      </w:r>
    </w:p>
    <w:p>
      <w:pPr>
        <w:pStyle w:val="29"/>
        <w:spacing w:line="56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6.</w:t>
      </w:r>
      <w:r>
        <w:rPr>
          <w:rFonts w:hint="eastAsia" w:ascii="Times New Roman" w:hAnsi="Times New Roman" w:eastAsia="仿宋_GB2312"/>
          <w:color w:val="auto"/>
          <w:sz w:val="32"/>
          <w:szCs w:val="32"/>
        </w:rPr>
        <w:t>年初结转和结余：指以前年度尚未完成、结转到本年按有关规定继续使用的资金。</w:t>
      </w:r>
      <w:r>
        <w:rPr>
          <w:rFonts w:ascii="Times New Roman" w:hAnsi="Times New Roman" w:eastAsia="仿宋_GB2312"/>
          <w:color w:val="auto"/>
          <w:sz w:val="32"/>
          <w:szCs w:val="32"/>
        </w:rPr>
        <w:t xml:space="preserve"> </w:t>
      </w:r>
    </w:p>
    <w:p>
      <w:pPr>
        <w:pStyle w:val="29"/>
        <w:spacing w:line="56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7.</w:t>
      </w:r>
      <w:r>
        <w:rPr>
          <w:rFonts w:hint="eastAsia" w:ascii="Times New Roman" w:hAnsi="Times New Roman" w:eastAsia="仿宋_GB2312"/>
          <w:color w:val="auto"/>
          <w:sz w:val="32"/>
          <w:szCs w:val="32"/>
        </w:rPr>
        <w:t>结余分配：指事业单位按照会计制度规定缴纳的所得税、提取的专用结余以及转入非财政拨款结余的金额等。</w:t>
      </w:r>
    </w:p>
    <w:p>
      <w:pPr>
        <w:pStyle w:val="29"/>
        <w:spacing w:line="560" w:lineRule="exact"/>
        <w:ind w:firstLine="640" w:firstLineChars="200"/>
        <w:rPr>
          <w:rFonts w:ascii="Times New Roman" w:hAnsi="Times New Roman" w:eastAsia="仿宋_GB2312"/>
          <w:color w:val="auto"/>
          <w:sz w:val="32"/>
          <w:szCs w:val="32"/>
        </w:rPr>
      </w:pPr>
      <w:r>
        <w:rPr>
          <w:rFonts w:ascii="Times New Roman" w:hAnsi="Times New Roman" w:eastAsia="仿宋_GB2312"/>
          <w:color w:val="auto"/>
          <w:sz w:val="32"/>
          <w:szCs w:val="32"/>
        </w:rPr>
        <w:t>8</w:t>
      </w:r>
      <w:r>
        <w:rPr>
          <w:rFonts w:hint="eastAsia" w:ascii="Times New Roman" w:hAnsi="Times New Roman" w:eastAsia="仿宋_GB2312"/>
          <w:color w:val="auto"/>
          <w:sz w:val="32"/>
          <w:szCs w:val="32"/>
        </w:rPr>
        <w:t>.年末结转和结余：指单位按有关规定结转到下年或以后年度继续使用的资金。</w:t>
      </w:r>
    </w:p>
    <w:p>
      <w:pPr>
        <w:ind w:firstLine="640" w:firstLineChars="200"/>
      </w:pPr>
      <w:r>
        <w:t>9.</w:t>
      </w:r>
      <w:r>
        <w:rPr>
          <w:rFonts w:hint="eastAsia"/>
        </w:rPr>
        <w:t>社会保障和就业（类）行政事业单位养老支出（款）事业单位离退休（项）：指事业单位开支的离退休经费。</w:t>
      </w:r>
    </w:p>
    <w:p>
      <w:pPr>
        <w:pStyle w:val="9"/>
        <w:spacing w:before="93"/>
        <w:ind w:firstLine="600"/>
        <w:rPr>
          <w:rFonts w:ascii="Times New Roman"/>
          <w:sz w:val="32"/>
        </w:rPr>
      </w:pPr>
      <w:r>
        <w:rPr>
          <w:rFonts w:ascii="Times New Roman"/>
          <w:sz w:val="32"/>
        </w:rPr>
        <w:t>10.</w:t>
      </w:r>
      <w:r>
        <w:rPr>
          <w:rFonts w:hint="eastAsia" w:ascii="Times New Roman"/>
          <w:sz w:val="32"/>
        </w:rPr>
        <w:t>社会保障和就业（类）行政事业单位养老支出（款）其他行政事业单位养老支出（项）：指其他用于行政事业单位养老方面的支出。</w:t>
      </w:r>
    </w:p>
    <w:p>
      <w:pPr>
        <w:ind w:firstLine="640" w:firstLineChars="200"/>
      </w:pPr>
      <w:r>
        <w:t>11.</w:t>
      </w:r>
      <w:r>
        <w:rPr>
          <w:rFonts w:hint="eastAsia"/>
        </w:rPr>
        <w:t>医疗卫生与计划生育（类）行政事业单位医疗（款）事业单位医疗（项）：</w:t>
      </w:r>
      <w:r>
        <w:rPr>
          <w:rFonts w:hint="eastAsia"/>
          <w:kern w:val="0"/>
        </w:rPr>
        <w:t xml:space="preserve">指政部门安排的事业单位基本医疗保险缴费经费，未参加医疗保险的事业单位的公费医疗经费，按国家规定享受离休人员待遇的医疗经费。 </w:t>
      </w:r>
    </w:p>
    <w:p>
      <w:pPr>
        <w:ind w:firstLine="640" w:firstLineChars="200"/>
      </w:pPr>
      <w:r>
        <w:t>12.</w:t>
      </w:r>
      <w:r>
        <w:rPr>
          <w:rFonts w:hint="eastAsia"/>
        </w:rPr>
        <w:t>资源勘探信息等（类）制造业（款）其他制造业支出（项）：指其他用于制造业方面的支出。</w:t>
      </w:r>
    </w:p>
    <w:p>
      <w:pPr>
        <w:ind w:firstLine="640" w:firstLineChars="200"/>
      </w:pPr>
      <w:r>
        <w:t>13.</w:t>
      </w:r>
      <w:r>
        <w:rPr>
          <w:rFonts w:hint="eastAsia"/>
        </w:rPr>
        <w:t>住房保障（类）住房改革支出（款）住房公积金（项）：指行政事业单位按人力资源和社会保障部、财政部规定的基本工资和津贴补贴以及规定比例为职工缴纳的住房公积金。</w:t>
      </w:r>
    </w:p>
    <w:p>
      <w:pPr>
        <w:ind w:firstLine="640" w:firstLineChars="200"/>
      </w:pPr>
      <w:r>
        <w:t>14.</w:t>
      </w:r>
      <w:r>
        <w:rPr>
          <w:rFonts w:hint="eastAsia"/>
        </w:rPr>
        <w:t>基本支出：指为保障机构正常运转、完成日常工作任务而发生的人员支出和公用支出。</w:t>
      </w:r>
    </w:p>
    <w:p>
      <w:pPr>
        <w:ind w:firstLine="640" w:firstLineChars="200"/>
      </w:pPr>
      <w:r>
        <w:t>15.</w:t>
      </w:r>
      <w:r>
        <w:rPr>
          <w:rFonts w:hint="eastAsia"/>
        </w:rPr>
        <w:t xml:space="preserve">项目支出：指在基本支出之外为完成特定行政任务和事业发展目标所发生的支出。 </w:t>
      </w:r>
    </w:p>
    <w:p>
      <w:pPr>
        <w:ind w:firstLine="640" w:firstLineChars="200"/>
      </w:pPr>
      <w:r>
        <w:t>16.</w:t>
      </w:r>
      <w:r>
        <w:rPr>
          <w:rFonts w:hint="eastAsia"/>
        </w:rPr>
        <w:t>经营支出：指事业单位在专业业务活动及其辅助活动之外开展非独立核算经营活动发生的支出。</w:t>
      </w:r>
    </w:p>
    <w:p>
      <w:pPr>
        <w:pStyle w:val="29"/>
        <w:spacing w:line="560" w:lineRule="exact"/>
        <w:ind w:firstLine="640" w:firstLineChars="200"/>
        <w:rPr>
          <w:rFonts w:ascii="Times New Roman" w:hAnsi="Times New Roman" w:eastAsia="仿宋_GB2312"/>
          <w:sz w:val="32"/>
          <w:szCs w:val="32"/>
        </w:rPr>
      </w:pPr>
      <w:r>
        <w:rPr>
          <w:rFonts w:ascii="Times New Roman" w:hAnsi="Times New Roman" w:eastAsia="仿宋_GB2312"/>
          <w:sz w:val="32"/>
          <w:szCs w:val="32"/>
        </w:rPr>
        <w:t>17.</w:t>
      </w:r>
      <w:r>
        <w:rPr>
          <w:rFonts w:hint="eastAsia" w:ascii="Times New Roman" w:hAnsi="Times New Roman" w:eastAsia="仿宋_GB2312"/>
          <w:color w:val="auto"/>
          <w:sz w:val="32"/>
          <w:szCs w:val="32"/>
        </w:rPr>
        <w:t>“三公”经费：指单位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600" w:lineRule="exact"/>
        <w:jc w:val="center"/>
        <w:rPr>
          <w:rStyle w:val="31"/>
          <w:rFonts w:eastAsia="黑体"/>
          <w:b w:val="0"/>
        </w:rPr>
      </w:pPr>
      <w:bookmarkStart w:id="51" w:name="_Toc15377226"/>
      <w:r>
        <w:rPr>
          <w:rFonts w:hint="eastAsia"/>
        </w:rPr>
        <w:br w:type="page"/>
      </w:r>
      <w:bookmarkStart w:id="52" w:name="_Toc15396614"/>
      <w:r>
        <w:rPr>
          <w:rFonts w:hint="eastAsia" w:eastAsia="黑体"/>
          <w:sz w:val="44"/>
          <w:szCs w:val="44"/>
        </w:rPr>
        <w:t>第四部分  附件</w:t>
      </w:r>
      <w:bookmarkEnd w:id="52"/>
      <w:bookmarkStart w:id="53" w:name="_Toc15396618"/>
    </w:p>
    <w:p>
      <w:pPr>
        <w:pStyle w:val="2"/>
      </w:pPr>
    </w:p>
    <w:p>
      <w:r>
        <w:rPr>
          <w:rFonts w:hint="eastAsia"/>
        </w:rPr>
        <w:t xml:space="preserve"> </w:t>
      </w:r>
      <w:r>
        <w:t xml:space="preserve">   </w:t>
      </w:r>
      <w:r>
        <w:rPr>
          <w:rFonts w:hint="eastAsia"/>
        </w:rPr>
        <w:t>本单位2024年度无特定目标类项目支出。</w:t>
      </w:r>
    </w:p>
    <w:p/>
    <w:p/>
    <w:p/>
    <w:p>
      <w:pPr>
        <w:pStyle w:val="2"/>
      </w:pPr>
    </w:p>
    <w:p>
      <w:r>
        <w:rPr>
          <w:rFonts w:hint="eastAsia"/>
        </w:rPr>
        <w:br w:type="page"/>
      </w:r>
    </w:p>
    <w:p>
      <w:pPr>
        <w:jc w:val="center"/>
        <w:rPr>
          <w:rFonts w:eastAsia="仿宋"/>
        </w:rPr>
      </w:pPr>
      <w:r>
        <w:rPr>
          <w:rFonts w:hint="eastAsia" w:eastAsia="黑体"/>
          <w:sz w:val="44"/>
          <w:szCs w:val="44"/>
        </w:rPr>
        <w:t>第</w:t>
      </w:r>
      <w:r>
        <w:rPr>
          <w:rStyle w:val="31"/>
          <w:rFonts w:hint="eastAsia" w:eastAsia="黑体"/>
          <w:b w:val="0"/>
        </w:rPr>
        <w:t>五部分 附表</w:t>
      </w:r>
      <w:bookmarkEnd w:id="51"/>
      <w:bookmarkEnd w:id="53"/>
      <w:bookmarkStart w:id="54" w:name="_Toc15396619"/>
    </w:p>
    <w:p>
      <w:pPr>
        <w:pStyle w:val="15"/>
        <w:adjustRightInd w:val="0"/>
        <w:snapToGrid w:val="0"/>
        <w:spacing w:line="560" w:lineRule="exact"/>
        <w:ind w:left="640"/>
        <w:jc w:val="left"/>
      </w:pPr>
    </w:p>
    <w:p>
      <w:pPr>
        <w:pStyle w:val="15"/>
        <w:adjustRightInd w:val="0"/>
        <w:snapToGrid w:val="0"/>
        <w:spacing w:line="560" w:lineRule="exact"/>
        <w:ind w:left="640"/>
        <w:jc w:val="left"/>
      </w:pPr>
      <w:r>
        <w:rPr>
          <w:rFonts w:hint="eastAsia"/>
        </w:rPr>
        <w:t>一、收入支出决算总表</w:t>
      </w:r>
      <w:bookmarkEnd w:id="54"/>
    </w:p>
    <w:p>
      <w:pPr>
        <w:pStyle w:val="15"/>
        <w:adjustRightInd w:val="0"/>
        <w:snapToGrid w:val="0"/>
        <w:spacing w:line="560" w:lineRule="exact"/>
        <w:ind w:left="640"/>
        <w:jc w:val="left"/>
      </w:pPr>
      <w:bookmarkStart w:id="55" w:name="_Toc15396620"/>
      <w:r>
        <w:rPr>
          <w:rFonts w:hint="eastAsia"/>
        </w:rPr>
        <w:t>二、收入决算表</w:t>
      </w:r>
      <w:bookmarkEnd w:id="55"/>
    </w:p>
    <w:p>
      <w:pPr>
        <w:pStyle w:val="15"/>
        <w:adjustRightInd w:val="0"/>
        <w:snapToGrid w:val="0"/>
        <w:spacing w:line="560" w:lineRule="exact"/>
        <w:ind w:left="640"/>
        <w:jc w:val="left"/>
      </w:pPr>
      <w:bookmarkStart w:id="56" w:name="_Toc15396621"/>
      <w:r>
        <w:rPr>
          <w:rFonts w:hint="eastAsia"/>
        </w:rPr>
        <w:t>三、支出决算表</w:t>
      </w:r>
      <w:bookmarkEnd w:id="56"/>
    </w:p>
    <w:p>
      <w:pPr>
        <w:pStyle w:val="15"/>
        <w:adjustRightInd w:val="0"/>
        <w:snapToGrid w:val="0"/>
        <w:spacing w:line="560" w:lineRule="exact"/>
        <w:ind w:left="640"/>
        <w:jc w:val="left"/>
      </w:pPr>
      <w:bookmarkStart w:id="57" w:name="_Toc15396622"/>
      <w:r>
        <w:rPr>
          <w:rFonts w:hint="eastAsia"/>
        </w:rPr>
        <w:t>四、财政拨款收入支出决算总表</w:t>
      </w:r>
      <w:bookmarkEnd w:id="57"/>
    </w:p>
    <w:p>
      <w:pPr>
        <w:pStyle w:val="15"/>
        <w:adjustRightInd w:val="0"/>
        <w:snapToGrid w:val="0"/>
        <w:spacing w:line="560" w:lineRule="exact"/>
        <w:ind w:left="640"/>
        <w:jc w:val="left"/>
      </w:pPr>
      <w:bookmarkStart w:id="58" w:name="_Toc15396623"/>
      <w:r>
        <w:rPr>
          <w:rFonts w:hint="eastAsia"/>
        </w:rPr>
        <w:t>五、财政拨款支出决算明细表</w:t>
      </w:r>
      <w:bookmarkEnd w:id="58"/>
      <w:bookmarkStart w:id="59" w:name="_Toc15396624"/>
    </w:p>
    <w:p>
      <w:pPr>
        <w:pStyle w:val="15"/>
        <w:adjustRightInd w:val="0"/>
        <w:snapToGrid w:val="0"/>
        <w:spacing w:line="560" w:lineRule="exact"/>
        <w:ind w:left="640"/>
        <w:jc w:val="left"/>
      </w:pPr>
      <w:r>
        <w:rPr>
          <w:rFonts w:hint="eastAsia"/>
        </w:rPr>
        <w:t>六、一般公共预算财政拨款支出决算表</w:t>
      </w:r>
      <w:bookmarkEnd w:id="59"/>
    </w:p>
    <w:p>
      <w:pPr>
        <w:pStyle w:val="15"/>
        <w:adjustRightInd w:val="0"/>
        <w:snapToGrid w:val="0"/>
        <w:spacing w:line="560" w:lineRule="exact"/>
        <w:ind w:left="640"/>
        <w:jc w:val="left"/>
      </w:pPr>
      <w:bookmarkStart w:id="60" w:name="_Toc15396625"/>
      <w:r>
        <w:rPr>
          <w:rFonts w:hint="eastAsia"/>
        </w:rPr>
        <w:t>七、一般公共预算财政拨款支出决算明细表</w:t>
      </w:r>
      <w:bookmarkEnd w:id="60"/>
    </w:p>
    <w:p>
      <w:pPr>
        <w:pStyle w:val="15"/>
        <w:adjustRightInd w:val="0"/>
        <w:snapToGrid w:val="0"/>
        <w:spacing w:line="560" w:lineRule="exact"/>
        <w:ind w:left="640"/>
        <w:jc w:val="left"/>
      </w:pPr>
      <w:bookmarkStart w:id="61" w:name="_Toc15396626"/>
      <w:r>
        <w:rPr>
          <w:rFonts w:hint="eastAsia"/>
        </w:rPr>
        <w:t>八、一般公共预算财政拨款基本支出决算表</w:t>
      </w:r>
      <w:bookmarkEnd w:id="61"/>
    </w:p>
    <w:p>
      <w:pPr>
        <w:pStyle w:val="15"/>
        <w:adjustRightInd w:val="0"/>
        <w:snapToGrid w:val="0"/>
        <w:spacing w:line="560" w:lineRule="exact"/>
        <w:ind w:left="640"/>
        <w:jc w:val="left"/>
      </w:pPr>
      <w:bookmarkStart w:id="62" w:name="_Toc15396627"/>
      <w:r>
        <w:rPr>
          <w:rFonts w:hint="eastAsia"/>
        </w:rPr>
        <w:t>九、一般公共预算财政拨款项目支出决算表</w:t>
      </w:r>
      <w:bookmarkEnd w:id="62"/>
    </w:p>
    <w:p>
      <w:pPr>
        <w:pStyle w:val="15"/>
        <w:adjustRightInd w:val="0"/>
        <w:snapToGrid w:val="0"/>
        <w:spacing w:line="560" w:lineRule="exact"/>
        <w:ind w:left="640"/>
        <w:jc w:val="left"/>
      </w:pPr>
      <w:bookmarkStart w:id="63" w:name="_Toc15396628"/>
      <w:r>
        <w:rPr>
          <w:rFonts w:hint="eastAsia"/>
        </w:rPr>
        <w:t>十、</w:t>
      </w:r>
      <w:bookmarkEnd w:id="63"/>
      <w:r>
        <w:rPr>
          <w:rFonts w:hint="eastAsia"/>
        </w:rPr>
        <w:t>政府性基金预算财政拨款收入支出决算表</w:t>
      </w:r>
    </w:p>
    <w:p>
      <w:pPr>
        <w:pStyle w:val="15"/>
        <w:adjustRightInd w:val="0"/>
        <w:snapToGrid w:val="0"/>
        <w:spacing w:line="560" w:lineRule="exact"/>
        <w:ind w:left="640"/>
        <w:jc w:val="left"/>
      </w:pPr>
      <w:bookmarkStart w:id="64" w:name="_Toc15396629"/>
      <w:r>
        <w:rPr>
          <w:rFonts w:hint="eastAsia"/>
        </w:rPr>
        <w:t>十一、</w:t>
      </w:r>
      <w:bookmarkEnd w:id="64"/>
      <w:r>
        <w:rPr>
          <w:rFonts w:hint="eastAsia"/>
        </w:rPr>
        <w:t>国有资本经营预算财政拨款收入支出决算表</w:t>
      </w:r>
    </w:p>
    <w:p>
      <w:pPr>
        <w:pStyle w:val="15"/>
        <w:adjustRightInd w:val="0"/>
        <w:snapToGrid w:val="0"/>
        <w:spacing w:line="560" w:lineRule="exact"/>
        <w:ind w:left="640"/>
        <w:jc w:val="left"/>
      </w:pPr>
      <w:bookmarkStart w:id="65" w:name="_Toc15396630"/>
      <w:r>
        <w:rPr>
          <w:rFonts w:hint="eastAsia"/>
        </w:rPr>
        <w:t>十二、</w:t>
      </w:r>
      <w:bookmarkEnd w:id="65"/>
      <w:r>
        <w:rPr>
          <w:rFonts w:hint="eastAsia"/>
        </w:rPr>
        <w:t>国有资本经营预算财政拨款支出决算表</w:t>
      </w:r>
    </w:p>
    <w:p>
      <w:pPr>
        <w:pStyle w:val="15"/>
        <w:adjustRightInd w:val="0"/>
        <w:snapToGrid w:val="0"/>
        <w:spacing w:line="560" w:lineRule="exact"/>
        <w:ind w:left="640"/>
        <w:jc w:val="left"/>
      </w:pPr>
      <w:bookmarkStart w:id="66" w:name="_Toc15396631"/>
      <w:r>
        <w:rPr>
          <w:rFonts w:hint="eastAsia"/>
        </w:rPr>
        <w:t>十三、</w:t>
      </w:r>
      <w:bookmarkEnd w:id="66"/>
      <w:r>
        <w:rPr>
          <w:rFonts w:hint="eastAsia"/>
        </w:rPr>
        <w:t>财政拨款“三公”经费支出决算表</w:t>
      </w:r>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auto"/>
    <w:pitch w:val="default"/>
    <w:sig w:usb0="00000001" w:usb1="080E0000" w:usb2="00000000" w:usb3="00000000" w:csb0="00040000" w:csb1="00000000"/>
  </w:font>
  <w:font w:name="Cambria">
    <w:altName w:val="Noto Sans Syriac Eastern"/>
    <w:panose1 w:val="02040503050406030204"/>
    <w:charset w:val="00"/>
    <w:family w:val="roman"/>
    <w:pitch w:val="default"/>
    <w:sig w:usb0="00000000" w:usb1="00000000" w:usb2="02000000" w:usb3="00000000" w:csb0="0000019F" w:csb1="00000000"/>
  </w:font>
  <w:font w:name="仿宋">
    <w:panose1 w:val="02010609060101010101"/>
    <w:charset w:val="86"/>
    <w:family w:val="modern"/>
    <w:pitch w:val="default"/>
    <w:sig w:usb0="800002BF" w:usb1="38CF7CFA" w:usb2="00000016" w:usb3="00000000" w:csb0="00040001" w:csb1="00000000"/>
  </w:font>
  <w:font w:name="Arial">
    <w:altName w:val="Times New Roman"/>
    <w:panose1 w:val="020B0604020202020204"/>
    <w:charset w:val="00"/>
    <w:family w:val="swiss"/>
    <w:pitch w:val="default"/>
    <w:sig w:usb0="00000000" w:usb1="00000000" w:usb2="00000009" w:usb3="00000000" w:csb0="000001FF" w:csb1="00000000"/>
  </w:font>
  <w:font w:name="??">
    <w:altName w:val="Times New Roman"/>
    <w:panose1 w:val="00000000000000000000"/>
    <w:charset w:val="00"/>
    <w:family w:val="roman"/>
    <w:pitch w:val="default"/>
    <w:sig w:usb0="00000000" w:usb1="00000000" w:usb2="00000000" w:usb3="00000000" w:csb0="00000000" w:csb1="00000000"/>
  </w:font>
  <w:font w:name="Courier New">
    <w:altName w:val="DejaVu Sans"/>
    <w:panose1 w:val="02070309020205020404"/>
    <w:charset w:val="00"/>
    <w:family w:val="modern"/>
    <w:pitch w:val="default"/>
    <w:sig w:usb0="00000000" w:usb1="00000000" w:usb2="00000009" w:usb3="00000000" w:csb0="000001FF" w:csb1="00000000"/>
  </w:font>
  <w:font w:name="微软雅黑">
    <w:altName w:val="黑体"/>
    <w:panose1 w:val="020B0503020204020204"/>
    <w:charset w:val="86"/>
    <w:family w:val="swiss"/>
    <w:pitch w:val="default"/>
    <w:sig w:usb0="00000000" w:usb1="00000000" w:usb2="00000016" w:usb3="00000000" w:csb0="0004001F" w:csb1="00000000"/>
  </w:font>
  <w:font w:name="方正小标宋简体">
    <w:panose1 w:val="02000000000000000000"/>
    <w:charset w:val="86"/>
    <w:family w:val="auto"/>
    <w:pitch w:val="default"/>
    <w:sig w:usb0="A00002BF" w:usb1="184F6CFA" w:usb2="00000012" w:usb3="00000000" w:csb0="00040001" w:csb1="00000000"/>
  </w:font>
  <w:font w:name="T">
    <w:altName w:val="Times New Roman"/>
    <w:panose1 w:val="00000000000000000000"/>
    <w:charset w:val="00"/>
    <w:family w:val="roman"/>
    <w:pitch w:val="default"/>
    <w:sig w:usb0="00000000" w:usb1="00000000" w:usb2="00000000" w:usb3="00000000" w:csb0="00000000" w:csb1="00000000"/>
  </w:font>
  <w:font w:name="楷体_GB2312">
    <w:panose1 w:val="02010609030101010101"/>
    <w:charset w:val="86"/>
    <w:family w:val="modern"/>
    <w:pitch w:val="default"/>
    <w:sig w:usb0="00000001" w:usb1="080E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NanumGothic">
    <w:panose1 w:val="020D0604000000000000"/>
    <w:charset w:val="81"/>
    <w:family w:val="auto"/>
    <w:pitch w:val="default"/>
    <w:sig w:usb0="900002A7" w:usb1="29D7FCFB" w:usb2="00000010" w:usb3="00000000" w:csb0="00080001"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299341378"/>
    </w:sdtPr>
    <w:sdtContent>
      <w:p>
        <w:pPr>
          <w:pStyle w:val="12"/>
          <w:jc w:val="center"/>
        </w:pPr>
        <w:r>
          <w:fldChar w:fldCharType="begin"/>
        </w:r>
        <w:r>
          <w:instrText xml:space="preserve">PAGE   \* MERGEFORMAT</w:instrText>
        </w:r>
        <w:r>
          <w:fldChar w:fldCharType="separate"/>
        </w:r>
        <w:r>
          <w:rPr>
            <w:lang w:val="zh-CN"/>
          </w:rPr>
          <w:t>-</w:t>
        </w:r>
        <w:r>
          <w:t xml:space="preserve"> 13 -</w:t>
        </w:r>
        <w:r>
          <w:fldChar w:fldCharType="end"/>
        </w:r>
      </w:p>
    </w:sdtContent>
  </w:sdt>
  <w:p>
    <w:pPr>
      <w:pStyle w:val="1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BA282DB"/>
    <w:multiLevelType w:val="singleLevel"/>
    <w:tmpl w:val="ABA282D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1C"/>
    <w:rsid w:val="000222C6"/>
    <w:rsid w:val="0002549F"/>
    <w:rsid w:val="000468DB"/>
    <w:rsid w:val="00063ABD"/>
    <w:rsid w:val="0006487A"/>
    <w:rsid w:val="00065F8F"/>
    <w:rsid w:val="00070A43"/>
    <w:rsid w:val="00070F04"/>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2ABF"/>
    <w:rsid w:val="000E6613"/>
    <w:rsid w:val="000E7119"/>
    <w:rsid w:val="000F3827"/>
    <w:rsid w:val="00114E9B"/>
    <w:rsid w:val="00142216"/>
    <w:rsid w:val="00144D6A"/>
    <w:rsid w:val="0014729F"/>
    <w:rsid w:val="00157BAB"/>
    <w:rsid w:val="001654D1"/>
    <w:rsid w:val="001727CE"/>
    <w:rsid w:val="00174518"/>
    <w:rsid w:val="0018106D"/>
    <w:rsid w:val="001877A7"/>
    <w:rsid w:val="00191536"/>
    <w:rsid w:val="00196687"/>
    <w:rsid w:val="001C0962"/>
    <w:rsid w:val="001D7531"/>
    <w:rsid w:val="001E3BD4"/>
    <w:rsid w:val="001E737D"/>
    <w:rsid w:val="001F0592"/>
    <w:rsid w:val="001F7506"/>
    <w:rsid w:val="002005A2"/>
    <w:rsid w:val="002006CD"/>
    <w:rsid w:val="00202B36"/>
    <w:rsid w:val="00204B7A"/>
    <w:rsid w:val="00204CDE"/>
    <w:rsid w:val="0021101A"/>
    <w:rsid w:val="00220536"/>
    <w:rsid w:val="00235629"/>
    <w:rsid w:val="0023585B"/>
    <w:rsid w:val="00260C38"/>
    <w:rsid w:val="002616C0"/>
    <w:rsid w:val="00265372"/>
    <w:rsid w:val="002662AA"/>
    <w:rsid w:val="00280496"/>
    <w:rsid w:val="00294DC9"/>
    <w:rsid w:val="00295495"/>
    <w:rsid w:val="002A31DE"/>
    <w:rsid w:val="002B2613"/>
    <w:rsid w:val="002D6D05"/>
    <w:rsid w:val="002F1818"/>
    <w:rsid w:val="002F567B"/>
    <w:rsid w:val="003216A9"/>
    <w:rsid w:val="00332470"/>
    <w:rsid w:val="00335A74"/>
    <w:rsid w:val="0036561B"/>
    <w:rsid w:val="0037013F"/>
    <w:rsid w:val="00380C92"/>
    <w:rsid w:val="003A484F"/>
    <w:rsid w:val="003A4883"/>
    <w:rsid w:val="003B0BE0"/>
    <w:rsid w:val="003B0C1B"/>
    <w:rsid w:val="003B44AD"/>
    <w:rsid w:val="003B5B10"/>
    <w:rsid w:val="003B688C"/>
    <w:rsid w:val="003C0291"/>
    <w:rsid w:val="003C39AE"/>
    <w:rsid w:val="003C7B60"/>
    <w:rsid w:val="003D0C0F"/>
    <w:rsid w:val="003D1FB2"/>
    <w:rsid w:val="003D66DA"/>
    <w:rsid w:val="003E1310"/>
    <w:rsid w:val="003E6F55"/>
    <w:rsid w:val="00400C4A"/>
    <w:rsid w:val="00406254"/>
    <w:rsid w:val="004223DE"/>
    <w:rsid w:val="00434489"/>
    <w:rsid w:val="00437085"/>
    <w:rsid w:val="00443880"/>
    <w:rsid w:val="004464F4"/>
    <w:rsid w:val="00452EC4"/>
    <w:rsid w:val="00471401"/>
    <w:rsid w:val="00473F31"/>
    <w:rsid w:val="0048263A"/>
    <w:rsid w:val="00483B36"/>
    <w:rsid w:val="00487E5D"/>
    <w:rsid w:val="004A711F"/>
    <w:rsid w:val="004B199D"/>
    <w:rsid w:val="004B4690"/>
    <w:rsid w:val="004C5D46"/>
    <w:rsid w:val="004E0A2D"/>
    <w:rsid w:val="004E206B"/>
    <w:rsid w:val="004E6DF7"/>
    <w:rsid w:val="004F0FBD"/>
    <w:rsid w:val="004F692C"/>
    <w:rsid w:val="0050580B"/>
    <w:rsid w:val="00505A47"/>
    <w:rsid w:val="00512FDA"/>
    <w:rsid w:val="00520DA0"/>
    <w:rsid w:val="005322D9"/>
    <w:rsid w:val="005664BB"/>
    <w:rsid w:val="00566FFA"/>
    <w:rsid w:val="0057481D"/>
    <w:rsid w:val="0058486E"/>
    <w:rsid w:val="00585B33"/>
    <w:rsid w:val="0059014D"/>
    <w:rsid w:val="005B5C64"/>
    <w:rsid w:val="005C5337"/>
    <w:rsid w:val="005C6BD0"/>
    <w:rsid w:val="005D1C8B"/>
    <w:rsid w:val="005D468D"/>
    <w:rsid w:val="005D5CED"/>
    <w:rsid w:val="005E7C26"/>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6487B"/>
    <w:rsid w:val="006748A4"/>
    <w:rsid w:val="00681A31"/>
    <w:rsid w:val="00683E73"/>
    <w:rsid w:val="006904EF"/>
    <w:rsid w:val="006A3141"/>
    <w:rsid w:val="006A5E34"/>
    <w:rsid w:val="006B2422"/>
    <w:rsid w:val="006B2B9A"/>
    <w:rsid w:val="006C1937"/>
    <w:rsid w:val="006C6AF2"/>
    <w:rsid w:val="006C7DD7"/>
    <w:rsid w:val="006F020C"/>
    <w:rsid w:val="006F22BC"/>
    <w:rsid w:val="007127B7"/>
    <w:rsid w:val="0071340F"/>
    <w:rsid w:val="0071798E"/>
    <w:rsid w:val="00720F8E"/>
    <w:rsid w:val="007416B6"/>
    <w:rsid w:val="00746F48"/>
    <w:rsid w:val="0075404D"/>
    <w:rsid w:val="0076182A"/>
    <w:rsid w:val="00767B7E"/>
    <w:rsid w:val="00774827"/>
    <w:rsid w:val="007770C3"/>
    <w:rsid w:val="00784D24"/>
    <w:rsid w:val="00785FBA"/>
    <w:rsid w:val="00786E4A"/>
    <w:rsid w:val="007875EB"/>
    <w:rsid w:val="0079426B"/>
    <w:rsid w:val="007A3D79"/>
    <w:rsid w:val="007A4E09"/>
    <w:rsid w:val="007B7EC1"/>
    <w:rsid w:val="007D1682"/>
    <w:rsid w:val="007D312A"/>
    <w:rsid w:val="007D3F19"/>
    <w:rsid w:val="007E18A0"/>
    <w:rsid w:val="007E23B0"/>
    <w:rsid w:val="007E23E5"/>
    <w:rsid w:val="007F1991"/>
    <w:rsid w:val="007F2C2F"/>
    <w:rsid w:val="007F55FC"/>
    <w:rsid w:val="007F5665"/>
    <w:rsid w:val="007F5ED4"/>
    <w:rsid w:val="00800112"/>
    <w:rsid w:val="00813348"/>
    <w:rsid w:val="008253BB"/>
    <w:rsid w:val="0083706E"/>
    <w:rsid w:val="008408F6"/>
    <w:rsid w:val="008423A5"/>
    <w:rsid w:val="0084269D"/>
    <w:rsid w:val="00845870"/>
    <w:rsid w:val="00850625"/>
    <w:rsid w:val="00853718"/>
    <w:rsid w:val="008546C0"/>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14189"/>
    <w:rsid w:val="009233B3"/>
    <w:rsid w:val="00923564"/>
    <w:rsid w:val="0092392E"/>
    <w:rsid w:val="009315F9"/>
    <w:rsid w:val="00933499"/>
    <w:rsid w:val="00935C98"/>
    <w:rsid w:val="00946945"/>
    <w:rsid w:val="00951248"/>
    <w:rsid w:val="0095152F"/>
    <w:rsid w:val="00954C49"/>
    <w:rsid w:val="00955E37"/>
    <w:rsid w:val="00966347"/>
    <w:rsid w:val="0097099F"/>
    <w:rsid w:val="00971997"/>
    <w:rsid w:val="00971FFC"/>
    <w:rsid w:val="0098660A"/>
    <w:rsid w:val="009931C3"/>
    <w:rsid w:val="009B2C43"/>
    <w:rsid w:val="009B4EAE"/>
    <w:rsid w:val="009B7573"/>
    <w:rsid w:val="009B7E20"/>
    <w:rsid w:val="009C22F4"/>
    <w:rsid w:val="009C2A4B"/>
    <w:rsid w:val="009C2E98"/>
    <w:rsid w:val="009C5C2E"/>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3C53"/>
    <w:rsid w:val="00A66F8D"/>
    <w:rsid w:val="00A67AB5"/>
    <w:rsid w:val="00A733B2"/>
    <w:rsid w:val="00A741C2"/>
    <w:rsid w:val="00A91760"/>
    <w:rsid w:val="00A93B00"/>
    <w:rsid w:val="00A93C21"/>
    <w:rsid w:val="00AB5AF9"/>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394F"/>
    <w:rsid w:val="00BB4DF0"/>
    <w:rsid w:val="00BC289F"/>
    <w:rsid w:val="00BC2D50"/>
    <w:rsid w:val="00BC5361"/>
    <w:rsid w:val="00BC5460"/>
    <w:rsid w:val="00BC6B50"/>
    <w:rsid w:val="00BD0E25"/>
    <w:rsid w:val="00BE5702"/>
    <w:rsid w:val="00BF5BD6"/>
    <w:rsid w:val="00C03E31"/>
    <w:rsid w:val="00C17DA4"/>
    <w:rsid w:val="00C33E72"/>
    <w:rsid w:val="00C354B2"/>
    <w:rsid w:val="00C35554"/>
    <w:rsid w:val="00C410C4"/>
    <w:rsid w:val="00C42709"/>
    <w:rsid w:val="00C533CC"/>
    <w:rsid w:val="00C5751C"/>
    <w:rsid w:val="00C61BFC"/>
    <w:rsid w:val="00C62B85"/>
    <w:rsid w:val="00C65438"/>
    <w:rsid w:val="00C87FD8"/>
    <w:rsid w:val="00C91381"/>
    <w:rsid w:val="00C91CBB"/>
    <w:rsid w:val="00CB4E70"/>
    <w:rsid w:val="00CB753C"/>
    <w:rsid w:val="00CC09B6"/>
    <w:rsid w:val="00CC666F"/>
    <w:rsid w:val="00CD1E3F"/>
    <w:rsid w:val="00CE44F6"/>
    <w:rsid w:val="00CE49DA"/>
    <w:rsid w:val="00CE7B61"/>
    <w:rsid w:val="00D00095"/>
    <w:rsid w:val="00D06EFB"/>
    <w:rsid w:val="00D114F0"/>
    <w:rsid w:val="00D1299D"/>
    <w:rsid w:val="00D20620"/>
    <w:rsid w:val="00D254F7"/>
    <w:rsid w:val="00D26091"/>
    <w:rsid w:val="00D2685C"/>
    <w:rsid w:val="00D34E7C"/>
    <w:rsid w:val="00D35489"/>
    <w:rsid w:val="00D36AFE"/>
    <w:rsid w:val="00D51276"/>
    <w:rsid w:val="00D57A60"/>
    <w:rsid w:val="00D7035F"/>
    <w:rsid w:val="00D960CE"/>
    <w:rsid w:val="00DA634F"/>
    <w:rsid w:val="00DA65AC"/>
    <w:rsid w:val="00DB1913"/>
    <w:rsid w:val="00DC410D"/>
    <w:rsid w:val="00DC5A81"/>
    <w:rsid w:val="00DC68CA"/>
    <w:rsid w:val="00DC7CBA"/>
    <w:rsid w:val="00DD53D0"/>
    <w:rsid w:val="00DD73B7"/>
    <w:rsid w:val="00DF00B0"/>
    <w:rsid w:val="00DF28BC"/>
    <w:rsid w:val="00DF34B9"/>
    <w:rsid w:val="00E01053"/>
    <w:rsid w:val="00E07ACF"/>
    <w:rsid w:val="00E253E1"/>
    <w:rsid w:val="00E331A1"/>
    <w:rsid w:val="00E33202"/>
    <w:rsid w:val="00E336A9"/>
    <w:rsid w:val="00E472B1"/>
    <w:rsid w:val="00E50624"/>
    <w:rsid w:val="00E54633"/>
    <w:rsid w:val="00E568DF"/>
    <w:rsid w:val="00E61320"/>
    <w:rsid w:val="00E64269"/>
    <w:rsid w:val="00E81A29"/>
    <w:rsid w:val="00E82267"/>
    <w:rsid w:val="00E853CE"/>
    <w:rsid w:val="00E867B6"/>
    <w:rsid w:val="00EA010F"/>
    <w:rsid w:val="00EC68C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A6012"/>
    <w:rsid w:val="00FD3CC1"/>
    <w:rsid w:val="00FF1E02"/>
    <w:rsid w:val="00FF30B4"/>
    <w:rsid w:val="00FF475A"/>
    <w:rsid w:val="012A5EC2"/>
    <w:rsid w:val="015975B8"/>
    <w:rsid w:val="016966E0"/>
    <w:rsid w:val="02FEBE30"/>
    <w:rsid w:val="04916F1E"/>
    <w:rsid w:val="061E35DE"/>
    <w:rsid w:val="064F49ED"/>
    <w:rsid w:val="066E0107"/>
    <w:rsid w:val="07996F6E"/>
    <w:rsid w:val="07DFD8BA"/>
    <w:rsid w:val="09265ED9"/>
    <w:rsid w:val="09867E8F"/>
    <w:rsid w:val="09931095"/>
    <w:rsid w:val="0A2032A3"/>
    <w:rsid w:val="0CA8290A"/>
    <w:rsid w:val="0D35B1ED"/>
    <w:rsid w:val="0E254B6B"/>
    <w:rsid w:val="0E417312"/>
    <w:rsid w:val="0F98263C"/>
    <w:rsid w:val="101860EC"/>
    <w:rsid w:val="101F47CC"/>
    <w:rsid w:val="10C055FF"/>
    <w:rsid w:val="11694EBD"/>
    <w:rsid w:val="11772AA4"/>
    <w:rsid w:val="118107EC"/>
    <w:rsid w:val="12E24EE2"/>
    <w:rsid w:val="13C67415"/>
    <w:rsid w:val="13D50BC4"/>
    <w:rsid w:val="14B17F78"/>
    <w:rsid w:val="165E0673"/>
    <w:rsid w:val="16B831D5"/>
    <w:rsid w:val="16BB723D"/>
    <w:rsid w:val="17E50567"/>
    <w:rsid w:val="186504BB"/>
    <w:rsid w:val="19A445FC"/>
    <w:rsid w:val="1BE8440E"/>
    <w:rsid w:val="1D155CEE"/>
    <w:rsid w:val="1D1638FE"/>
    <w:rsid w:val="1E312DEB"/>
    <w:rsid w:val="1E740ACF"/>
    <w:rsid w:val="1FF35744"/>
    <w:rsid w:val="1FF6BC77"/>
    <w:rsid w:val="2186353C"/>
    <w:rsid w:val="23860B96"/>
    <w:rsid w:val="240371BF"/>
    <w:rsid w:val="244F3473"/>
    <w:rsid w:val="24C97D99"/>
    <w:rsid w:val="25A718F0"/>
    <w:rsid w:val="25BB59F6"/>
    <w:rsid w:val="260F557C"/>
    <w:rsid w:val="26970054"/>
    <w:rsid w:val="27AF30E6"/>
    <w:rsid w:val="281408E2"/>
    <w:rsid w:val="29FD04D3"/>
    <w:rsid w:val="2BFF7BC6"/>
    <w:rsid w:val="2C8A61B5"/>
    <w:rsid w:val="2DF04E50"/>
    <w:rsid w:val="2E586DFA"/>
    <w:rsid w:val="2F040D46"/>
    <w:rsid w:val="2F6B035B"/>
    <w:rsid w:val="2FAE5751"/>
    <w:rsid w:val="2FB1A395"/>
    <w:rsid w:val="2FD9A7D8"/>
    <w:rsid w:val="2FDBF714"/>
    <w:rsid w:val="30AB6865"/>
    <w:rsid w:val="319F7F4E"/>
    <w:rsid w:val="32BD1EF1"/>
    <w:rsid w:val="3304709D"/>
    <w:rsid w:val="33A773CB"/>
    <w:rsid w:val="349D6851"/>
    <w:rsid w:val="3665084C"/>
    <w:rsid w:val="36AA5135"/>
    <w:rsid w:val="36BE0DA7"/>
    <w:rsid w:val="376B6AA6"/>
    <w:rsid w:val="376D39B2"/>
    <w:rsid w:val="37E16F03"/>
    <w:rsid w:val="37F53A3B"/>
    <w:rsid w:val="389B6C89"/>
    <w:rsid w:val="38D170CB"/>
    <w:rsid w:val="38D469F0"/>
    <w:rsid w:val="39627CCD"/>
    <w:rsid w:val="397BAF1F"/>
    <w:rsid w:val="3A865FD3"/>
    <w:rsid w:val="3AB79AF3"/>
    <w:rsid w:val="3AE834C0"/>
    <w:rsid w:val="3B7EF35A"/>
    <w:rsid w:val="3B9FDB6C"/>
    <w:rsid w:val="3BF5BC2F"/>
    <w:rsid w:val="3CEBA265"/>
    <w:rsid w:val="3D98207C"/>
    <w:rsid w:val="3DEE7CF3"/>
    <w:rsid w:val="3E740A63"/>
    <w:rsid w:val="3E78745D"/>
    <w:rsid w:val="3EE17838"/>
    <w:rsid w:val="3F55381A"/>
    <w:rsid w:val="3F7F7599"/>
    <w:rsid w:val="3FF4CAE0"/>
    <w:rsid w:val="3FF7B227"/>
    <w:rsid w:val="430D71E7"/>
    <w:rsid w:val="44E268DA"/>
    <w:rsid w:val="450D13D7"/>
    <w:rsid w:val="45506656"/>
    <w:rsid w:val="486A6C7A"/>
    <w:rsid w:val="4A627F82"/>
    <w:rsid w:val="4B0E749A"/>
    <w:rsid w:val="4B2477C4"/>
    <w:rsid w:val="4B4F25DA"/>
    <w:rsid w:val="4BE068DB"/>
    <w:rsid w:val="4D577224"/>
    <w:rsid w:val="4DBF1CEB"/>
    <w:rsid w:val="4DF0007C"/>
    <w:rsid w:val="4EAB630A"/>
    <w:rsid w:val="4ECE2238"/>
    <w:rsid w:val="4F833267"/>
    <w:rsid w:val="4FE9BD67"/>
    <w:rsid w:val="4FFB052F"/>
    <w:rsid w:val="537E6D0A"/>
    <w:rsid w:val="53F74C96"/>
    <w:rsid w:val="55170BA8"/>
    <w:rsid w:val="553218C9"/>
    <w:rsid w:val="567E1AA5"/>
    <w:rsid w:val="56E47B74"/>
    <w:rsid w:val="57175D52"/>
    <w:rsid w:val="57BD3DD4"/>
    <w:rsid w:val="5AF92295"/>
    <w:rsid w:val="5B250254"/>
    <w:rsid w:val="5BDD79E6"/>
    <w:rsid w:val="5BF561CA"/>
    <w:rsid w:val="5BFF5DFC"/>
    <w:rsid w:val="5CD71FC4"/>
    <w:rsid w:val="5D1F11B5"/>
    <w:rsid w:val="5D695134"/>
    <w:rsid w:val="5DAE1B18"/>
    <w:rsid w:val="5DE7D9E5"/>
    <w:rsid w:val="5ECEC941"/>
    <w:rsid w:val="5F4678B1"/>
    <w:rsid w:val="5FBF9FF3"/>
    <w:rsid w:val="5FCD4E2C"/>
    <w:rsid w:val="5FEF394A"/>
    <w:rsid w:val="5FF67715"/>
    <w:rsid w:val="5FF7D975"/>
    <w:rsid w:val="62BF3928"/>
    <w:rsid w:val="63B3701E"/>
    <w:rsid w:val="647F5392"/>
    <w:rsid w:val="65E66580"/>
    <w:rsid w:val="664B1D71"/>
    <w:rsid w:val="664B4E8E"/>
    <w:rsid w:val="67277B67"/>
    <w:rsid w:val="67AA3209"/>
    <w:rsid w:val="68E14BE4"/>
    <w:rsid w:val="698D0931"/>
    <w:rsid w:val="6A7FE5F3"/>
    <w:rsid w:val="6B053271"/>
    <w:rsid w:val="6BDD78B3"/>
    <w:rsid w:val="6C4A05C8"/>
    <w:rsid w:val="6C8742B8"/>
    <w:rsid w:val="6DBF5E93"/>
    <w:rsid w:val="6DFF077E"/>
    <w:rsid w:val="6E714EF0"/>
    <w:rsid w:val="6E7E3605"/>
    <w:rsid w:val="6E7FDCC7"/>
    <w:rsid w:val="6ED6A62E"/>
    <w:rsid w:val="6EE00B15"/>
    <w:rsid w:val="6F6FB3EB"/>
    <w:rsid w:val="6F8731EA"/>
    <w:rsid w:val="6FCE6052"/>
    <w:rsid w:val="6FD57C00"/>
    <w:rsid w:val="6FEFFFD8"/>
    <w:rsid w:val="6FF5CC65"/>
    <w:rsid w:val="6FF869A5"/>
    <w:rsid w:val="6FFB47EC"/>
    <w:rsid w:val="6FFF034A"/>
    <w:rsid w:val="70484440"/>
    <w:rsid w:val="712A28F1"/>
    <w:rsid w:val="715C0E4B"/>
    <w:rsid w:val="71992E7C"/>
    <w:rsid w:val="72233669"/>
    <w:rsid w:val="72734D90"/>
    <w:rsid w:val="73160E6D"/>
    <w:rsid w:val="7332FE48"/>
    <w:rsid w:val="73AB61DA"/>
    <w:rsid w:val="73AD73D5"/>
    <w:rsid w:val="73B6EB34"/>
    <w:rsid w:val="73FA497D"/>
    <w:rsid w:val="744731E5"/>
    <w:rsid w:val="746B3E27"/>
    <w:rsid w:val="74BBD01D"/>
    <w:rsid w:val="74ED5379"/>
    <w:rsid w:val="75DEEEC2"/>
    <w:rsid w:val="75E32345"/>
    <w:rsid w:val="76E3355F"/>
    <w:rsid w:val="76FF5125"/>
    <w:rsid w:val="776F6FFA"/>
    <w:rsid w:val="778769C8"/>
    <w:rsid w:val="77A75DCA"/>
    <w:rsid w:val="77DC22F5"/>
    <w:rsid w:val="783E271A"/>
    <w:rsid w:val="78616DE9"/>
    <w:rsid w:val="78E875D7"/>
    <w:rsid w:val="79086DAD"/>
    <w:rsid w:val="79D7FD79"/>
    <w:rsid w:val="79EE5BA4"/>
    <w:rsid w:val="7A894339"/>
    <w:rsid w:val="7AD284E8"/>
    <w:rsid w:val="7AFF7572"/>
    <w:rsid w:val="7B6C7DFB"/>
    <w:rsid w:val="7BBFBED0"/>
    <w:rsid w:val="7BC3E394"/>
    <w:rsid w:val="7C1F3737"/>
    <w:rsid w:val="7CBFC87B"/>
    <w:rsid w:val="7CFE0F48"/>
    <w:rsid w:val="7D272ABC"/>
    <w:rsid w:val="7D7EC23E"/>
    <w:rsid w:val="7E8ADEBF"/>
    <w:rsid w:val="7EEF11D3"/>
    <w:rsid w:val="7EFE4840"/>
    <w:rsid w:val="7F0971A6"/>
    <w:rsid w:val="7F1D62E7"/>
    <w:rsid w:val="7F3F679B"/>
    <w:rsid w:val="7F4FC4EF"/>
    <w:rsid w:val="7F5E4D54"/>
    <w:rsid w:val="7F6E0135"/>
    <w:rsid w:val="7F79F205"/>
    <w:rsid w:val="7FA30C79"/>
    <w:rsid w:val="7FA79C44"/>
    <w:rsid w:val="7FAF8ABF"/>
    <w:rsid w:val="7FB7269E"/>
    <w:rsid w:val="7FC96657"/>
    <w:rsid w:val="7FDA9588"/>
    <w:rsid w:val="7FDF220F"/>
    <w:rsid w:val="7FEB9EB9"/>
    <w:rsid w:val="7FEDC5F7"/>
    <w:rsid w:val="7FEDD9DE"/>
    <w:rsid w:val="7FF5890D"/>
    <w:rsid w:val="7FF93490"/>
    <w:rsid w:val="8A3EEB48"/>
    <w:rsid w:val="99FF2014"/>
    <w:rsid w:val="9DFADFBB"/>
    <w:rsid w:val="A6DD0D7F"/>
    <w:rsid w:val="ACFF4FBB"/>
    <w:rsid w:val="ADC6F725"/>
    <w:rsid w:val="B7CF06AB"/>
    <w:rsid w:val="B7CFA926"/>
    <w:rsid w:val="B7F8786B"/>
    <w:rsid w:val="BABB6AA1"/>
    <w:rsid w:val="BB2F4199"/>
    <w:rsid w:val="BCFFB442"/>
    <w:rsid w:val="BD079C78"/>
    <w:rsid w:val="BD733540"/>
    <w:rsid w:val="BF3735D5"/>
    <w:rsid w:val="BF7F09AC"/>
    <w:rsid w:val="BFD475C3"/>
    <w:rsid w:val="BFDE5EA6"/>
    <w:rsid w:val="CF6FC6F3"/>
    <w:rsid w:val="CFD3D3D7"/>
    <w:rsid w:val="CFDF1009"/>
    <w:rsid w:val="D7D7B16A"/>
    <w:rsid w:val="D8D6DB89"/>
    <w:rsid w:val="DB6F4CAB"/>
    <w:rsid w:val="DB777682"/>
    <w:rsid w:val="DD1FB521"/>
    <w:rsid w:val="DEFBFEAE"/>
    <w:rsid w:val="DF1F3B80"/>
    <w:rsid w:val="DF6F9789"/>
    <w:rsid w:val="DFE9BE81"/>
    <w:rsid w:val="DFFFA9E8"/>
    <w:rsid w:val="E5F4E9DC"/>
    <w:rsid w:val="E70FE695"/>
    <w:rsid w:val="EB2E368B"/>
    <w:rsid w:val="ECFED1BC"/>
    <w:rsid w:val="ED1D69BB"/>
    <w:rsid w:val="ED7FD312"/>
    <w:rsid w:val="EF2E1AC6"/>
    <w:rsid w:val="EF53993F"/>
    <w:rsid w:val="EF6FD633"/>
    <w:rsid w:val="EFBFB2F4"/>
    <w:rsid w:val="EFBFFA21"/>
    <w:rsid w:val="F2BEBCB8"/>
    <w:rsid w:val="F36FB518"/>
    <w:rsid w:val="F3DE1A04"/>
    <w:rsid w:val="F3F722E5"/>
    <w:rsid w:val="F4FBCD07"/>
    <w:rsid w:val="FA5F1E70"/>
    <w:rsid w:val="FA5FDB97"/>
    <w:rsid w:val="FB7F486A"/>
    <w:rsid w:val="FBFF5B2E"/>
    <w:rsid w:val="FD7FFE2B"/>
    <w:rsid w:val="FDEE196B"/>
    <w:rsid w:val="FDFE6575"/>
    <w:rsid w:val="FEDFDDC2"/>
    <w:rsid w:val="FEED32F6"/>
    <w:rsid w:val="FEF781DD"/>
    <w:rsid w:val="FF3F7E3F"/>
    <w:rsid w:val="FFBA12D7"/>
    <w:rsid w:val="FFCBD314"/>
    <w:rsid w:val="FFDFF91C"/>
    <w:rsid w:val="FFDFFAEE"/>
    <w:rsid w:val="FFEF6777"/>
    <w:rsid w:val="FFF9B57B"/>
    <w:rsid w:val="FFFD61D9"/>
    <w:rsid w:val="FFFD8F59"/>
    <w:rsid w:val="FFFF2BB1"/>
    <w:rsid w:val="FFFFB0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仿宋_GB2312" w:cs="仿宋_GB2312"/>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99" w:name="footnote text"/>
    <w:lsdException w:qFormat="1"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仿宋_GB2312"/>
      <w:kern w:val="2"/>
      <w:sz w:val="32"/>
      <w:szCs w:val="32"/>
      <w:lang w:val="en-US" w:eastAsia="zh-CN" w:bidi="ar-SA"/>
    </w:rPr>
  </w:style>
  <w:style w:type="paragraph" w:styleId="5">
    <w:name w:val="heading 1"/>
    <w:basedOn w:val="1"/>
    <w:next w:val="1"/>
    <w:link w:val="31"/>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32"/>
    <w:unhideWhenUsed/>
    <w:qFormat/>
    <w:uiPriority w:val="9"/>
    <w:pPr>
      <w:keepNext/>
      <w:keepLines/>
      <w:spacing w:before="260" w:after="260" w:line="416" w:lineRule="auto"/>
      <w:outlineLvl w:val="1"/>
    </w:pPr>
    <w:rPr>
      <w:rFonts w:asciiTheme="majorHAnsi" w:hAnsiTheme="majorHAnsi" w:eastAsiaTheme="majorEastAsia" w:cstheme="majorBidi"/>
      <w:b/>
      <w:bCs/>
    </w:rPr>
  </w:style>
  <w:style w:type="paragraph" w:styleId="7">
    <w:name w:val="heading 3"/>
    <w:basedOn w:val="1"/>
    <w:next w:val="1"/>
    <w:link w:val="35"/>
    <w:unhideWhenUsed/>
    <w:qFormat/>
    <w:uiPriority w:val="9"/>
    <w:pPr>
      <w:keepNext/>
      <w:keepLines/>
      <w:spacing w:before="260" w:after="260" w:line="416" w:lineRule="auto"/>
      <w:outlineLvl w:val="2"/>
    </w:pPr>
    <w:rPr>
      <w:b/>
      <w:bCs/>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link w:val="52"/>
    <w:semiHidden/>
    <w:qFormat/>
    <w:uiPriority w:val="99"/>
    <w:pPr>
      <w:snapToGrid w:val="0"/>
      <w:jc w:val="left"/>
    </w:pPr>
    <w:rPr>
      <w:sz w:val="18"/>
      <w:szCs w:val="18"/>
    </w:rPr>
  </w:style>
  <w:style w:type="paragraph" w:styleId="3">
    <w:name w:val="Body Text First Indent 2"/>
    <w:basedOn w:val="4"/>
    <w:unhideWhenUsed/>
    <w:qFormat/>
    <w:uiPriority w:val="99"/>
    <w:pPr>
      <w:ind w:firstLine="420" w:firstLineChars="200"/>
    </w:pPr>
  </w:style>
  <w:style w:type="paragraph" w:styleId="4">
    <w:name w:val="Body Text Indent"/>
    <w:basedOn w:val="1"/>
    <w:next w:val="3"/>
    <w:qFormat/>
    <w:uiPriority w:val="0"/>
    <w:pPr>
      <w:spacing w:after="120"/>
      <w:ind w:left="200" w:leftChars="200"/>
    </w:pPr>
    <w:rPr>
      <w:rFonts w:ascii="仿宋_GB2312"/>
    </w:rPr>
  </w:style>
  <w:style w:type="paragraph" w:styleId="8">
    <w:name w:val="annotation text"/>
    <w:basedOn w:val="1"/>
    <w:semiHidden/>
    <w:unhideWhenUsed/>
    <w:qFormat/>
    <w:uiPriority w:val="99"/>
    <w:pPr>
      <w:jc w:val="left"/>
    </w:pPr>
  </w:style>
  <w:style w:type="paragraph" w:styleId="9">
    <w:name w:val="Body Text"/>
    <w:basedOn w:val="1"/>
    <w:link w:val="28"/>
    <w:qFormat/>
    <w:uiPriority w:val="99"/>
    <w:pPr>
      <w:spacing w:beforeLines="30"/>
    </w:pPr>
    <w:rPr>
      <w:rFonts w:ascii="仿宋_GB2312"/>
      <w:kern w:val="0"/>
      <w:sz w:val="30"/>
    </w:rPr>
  </w:style>
  <w:style w:type="paragraph" w:styleId="10">
    <w:name w:val="toc 3"/>
    <w:basedOn w:val="1"/>
    <w:next w:val="1"/>
    <w:unhideWhenUsed/>
    <w:qFormat/>
    <w:uiPriority w:val="39"/>
    <w:pPr>
      <w:tabs>
        <w:tab w:val="right" w:leader="dot" w:pos="8296"/>
      </w:tabs>
      <w:ind w:left="840" w:leftChars="400"/>
    </w:pPr>
  </w:style>
  <w:style w:type="paragraph" w:styleId="11">
    <w:name w:val="Balloon Text"/>
    <w:basedOn w:val="1"/>
    <w:link w:val="34"/>
    <w:semiHidden/>
    <w:unhideWhenUsed/>
    <w:qFormat/>
    <w:uiPriority w:val="99"/>
    <w:rPr>
      <w:sz w:val="18"/>
      <w:szCs w:val="18"/>
    </w:rPr>
  </w:style>
  <w:style w:type="paragraph" w:styleId="12">
    <w:name w:val="footer"/>
    <w:basedOn w:val="1"/>
    <w:link w:val="26"/>
    <w:qFormat/>
    <w:uiPriority w:val="99"/>
    <w:pPr>
      <w:tabs>
        <w:tab w:val="center" w:pos="4153"/>
        <w:tab w:val="right" w:pos="8306"/>
      </w:tabs>
      <w:snapToGrid w:val="0"/>
      <w:jc w:val="left"/>
    </w:pPr>
    <w:rPr>
      <w:rFonts w:ascii="Calibri" w:hAnsi="Calibri"/>
      <w:kern w:val="0"/>
      <w:sz w:val="18"/>
      <w:szCs w:val="18"/>
    </w:rPr>
  </w:style>
  <w:style w:type="paragraph" w:styleId="13">
    <w:name w:val="header"/>
    <w:basedOn w:val="1"/>
    <w:link w:val="24"/>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4">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5">
    <w:name w:val="toc 2"/>
    <w:basedOn w:val="1"/>
    <w:next w:val="1"/>
    <w:unhideWhenUsed/>
    <w:qFormat/>
    <w:uiPriority w:val="39"/>
    <w:pPr>
      <w:tabs>
        <w:tab w:val="right" w:leader="dot" w:pos="8296"/>
      </w:tabs>
      <w:ind w:left="420" w:leftChars="200"/>
    </w:pPr>
  </w:style>
  <w:style w:type="character" w:styleId="18">
    <w:name w:val="Strong"/>
    <w:basedOn w:val="17"/>
    <w:qFormat/>
    <w:uiPriority w:val="99"/>
    <w:rPr>
      <w:b/>
    </w:rPr>
  </w:style>
  <w:style w:type="character" w:styleId="19">
    <w:name w:val="FollowedHyperlink"/>
    <w:basedOn w:val="17"/>
    <w:semiHidden/>
    <w:unhideWhenUsed/>
    <w:qFormat/>
    <w:uiPriority w:val="99"/>
    <w:rPr>
      <w:color w:val="954F72"/>
      <w:u w:val="single"/>
    </w:rPr>
  </w:style>
  <w:style w:type="character" w:styleId="20">
    <w:name w:val="Hyperlink"/>
    <w:basedOn w:val="17"/>
    <w:unhideWhenUsed/>
    <w:qFormat/>
    <w:uiPriority w:val="99"/>
    <w:rPr>
      <w:color w:val="0000FF" w:themeColor="hyperlink"/>
      <w:u w:val="single"/>
      <w14:textFill>
        <w14:solidFill>
          <w14:schemeClr w14:val="hlink"/>
        </w14:solidFill>
      </w14:textFill>
    </w:rPr>
  </w:style>
  <w:style w:type="character" w:styleId="21">
    <w:name w:val="annotation reference"/>
    <w:basedOn w:val="17"/>
    <w:semiHidden/>
    <w:unhideWhenUsed/>
    <w:qFormat/>
    <w:uiPriority w:val="99"/>
    <w:rPr>
      <w:sz w:val="21"/>
      <w:szCs w:val="21"/>
    </w:rPr>
  </w:style>
  <w:style w:type="paragraph" w:customStyle="1" w:styleId="22">
    <w:name w:val="标题 5（有编号）（绿盟科技）"/>
    <w:next w:val="1"/>
    <w:qFormat/>
    <w:uiPriority w:val="99"/>
    <w:pPr>
      <w:keepNext/>
      <w:keepLines/>
      <w:widowControl w:val="0"/>
      <w:spacing w:before="280" w:after="156" w:line="377" w:lineRule="auto"/>
      <w:outlineLvl w:val="4"/>
    </w:pPr>
    <w:rPr>
      <w:rFonts w:ascii="Arial" w:hAnsi="Arial" w:eastAsia="黑体" w:cs="Times New Roman"/>
      <w:b/>
      <w:kern w:val="2"/>
      <w:sz w:val="24"/>
      <w:szCs w:val="28"/>
      <w:lang w:val="en-US" w:eastAsia="zh-CN" w:bidi="ar-SA"/>
    </w:rPr>
  </w:style>
  <w:style w:type="character" w:customStyle="1" w:styleId="23">
    <w:name w:val="Header Char"/>
    <w:basedOn w:val="17"/>
    <w:semiHidden/>
    <w:qFormat/>
    <w:uiPriority w:val="99"/>
    <w:rPr>
      <w:rFonts w:ascii="Times New Roman" w:hAnsi="Times New Roman"/>
      <w:sz w:val="18"/>
      <w:szCs w:val="18"/>
    </w:rPr>
  </w:style>
  <w:style w:type="character" w:customStyle="1" w:styleId="24">
    <w:name w:val="页眉 字符"/>
    <w:link w:val="13"/>
    <w:qFormat/>
    <w:locked/>
    <w:uiPriority w:val="99"/>
    <w:rPr>
      <w:sz w:val="18"/>
    </w:rPr>
  </w:style>
  <w:style w:type="character" w:customStyle="1" w:styleId="25">
    <w:name w:val="Footer Char"/>
    <w:basedOn w:val="17"/>
    <w:semiHidden/>
    <w:qFormat/>
    <w:uiPriority w:val="99"/>
    <w:rPr>
      <w:rFonts w:ascii="Times New Roman" w:hAnsi="Times New Roman"/>
      <w:sz w:val="18"/>
      <w:szCs w:val="18"/>
    </w:rPr>
  </w:style>
  <w:style w:type="character" w:customStyle="1" w:styleId="26">
    <w:name w:val="页脚 字符"/>
    <w:link w:val="12"/>
    <w:qFormat/>
    <w:locked/>
    <w:uiPriority w:val="99"/>
    <w:rPr>
      <w:sz w:val="18"/>
    </w:rPr>
  </w:style>
  <w:style w:type="character" w:customStyle="1" w:styleId="27">
    <w:name w:val="Body Text Char"/>
    <w:basedOn w:val="17"/>
    <w:semiHidden/>
    <w:qFormat/>
    <w:uiPriority w:val="99"/>
    <w:rPr>
      <w:rFonts w:ascii="Times New Roman" w:hAnsi="Times New Roman"/>
      <w:szCs w:val="24"/>
    </w:rPr>
  </w:style>
  <w:style w:type="character" w:customStyle="1" w:styleId="28">
    <w:name w:val="正文文本 字符"/>
    <w:link w:val="9"/>
    <w:qFormat/>
    <w:locked/>
    <w:uiPriority w:val="99"/>
    <w:rPr>
      <w:rFonts w:ascii="仿宋_GB2312" w:hAnsi="Times New Roman" w:eastAsia="仿宋_GB2312"/>
      <w:sz w:val="24"/>
    </w:rPr>
  </w:style>
  <w:style w:type="paragraph" w:customStyle="1" w:styleId="29">
    <w:name w:val="Default"/>
    <w:qFormat/>
    <w:uiPriority w:val="99"/>
    <w:pPr>
      <w:widowControl w:val="0"/>
      <w:autoSpaceDE w:val="0"/>
      <w:autoSpaceDN w:val="0"/>
      <w:adjustRightInd w:val="0"/>
    </w:pPr>
    <w:rPr>
      <w:rFonts w:ascii="仿宋" w:hAnsi="Calibri" w:eastAsia="仿宋" w:cs="仿宋"/>
      <w:color w:val="000000"/>
      <w:kern w:val="2"/>
      <w:sz w:val="24"/>
      <w:szCs w:val="24"/>
      <w:lang w:val="en-US" w:eastAsia="zh-CN" w:bidi="ar-SA"/>
    </w:rPr>
  </w:style>
  <w:style w:type="paragraph" w:styleId="30">
    <w:name w:val="List Paragraph"/>
    <w:basedOn w:val="1"/>
    <w:qFormat/>
    <w:uiPriority w:val="34"/>
    <w:pPr>
      <w:ind w:firstLine="420" w:firstLineChars="200"/>
    </w:pPr>
  </w:style>
  <w:style w:type="character" w:customStyle="1" w:styleId="31">
    <w:name w:val="标题 1 字符"/>
    <w:basedOn w:val="17"/>
    <w:link w:val="5"/>
    <w:qFormat/>
    <w:uiPriority w:val="9"/>
    <w:rPr>
      <w:rFonts w:ascii="Times New Roman" w:hAnsi="Times New Roman"/>
      <w:b/>
      <w:bCs/>
      <w:kern w:val="44"/>
      <w:sz w:val="44"/>
      <w:szCs w:val="44"/>
    </w:rPr>
  </w:style>
  <w:style w:type="character" w:customStyle="1" w:styleId="32">
    <w:name w:val="标题 2 字符"/>
    <w:basedOn w:val="17"/>
    <w:link w:val="6"/>
    <w:qFormat/>
    <w:uiPriority w:val="9"/>
    <w:rPr>
      <w:rFonts w:asciiTheme="majorHAnsi" w:hAnsiTheme="majorHAnsi" w:eastAsiaTheme="majorEastAsia" w:cstheme="majorBidi"/>
      <w:b/>
      <w:bCs/>
      <w:kern w:val="2"/>
      <w:sz w:val="32"/>
      <w:szCs w:val="32"/>
    </w:rPr>
  </w:style>
  <w:style w:type="paragraph" w:customStyle="1" w:styleId="33">
    <w:name w:val="TOC 标题1"/>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4">
    <w:name w:val="批注框文本 字符"/>
    <w:basedOn w:val="17"/>
    <w:link w:val="11"/>
    <w:semiHidden/>
    <w:qFormat/>
    <w:uiPriority w:val="99"/>
    <w:rPr>
      <w:rFonts w:ascii="Times New Roman" w:hAnsi="Times New Roman"/>
      <w:kern w:val="2"/>
      <w:sz w:val="18"/>
      <w:szCs w:val="18"/>
    </w:rPr>
  </w:style>
  <w:style w:type="character" w:customStyle="1" w:styleId="35">
    <w:name w:val="标题 3 字符"/>
    <w:basedOn w:val="17"/>
    <w:link w:val="7"/>
    <w:qFormat/>
    <w:uiPriority w:val="9"/>
    <w:rPr>
      <w:rFonts w:ascii="Times New Roman" w:hAnsi="Times New Roman"/>
      <w:b/>
      <w:bCs/>
      <w:kern w:val="2"/>
      <w:sz w:val="32"/>
      <w:szCs w:val="32"/>
    </w:rPr>
  </w:style>
  <w:style w:type="paragraph" w:customStyle="1" w:styleId="36">
    <w:name w:val="TOC 标题2"/>
    <w:basedOn w:val="5"/>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paragraph" w:customStyle="1" w:styleId="37">
    <w:name w:val="四号正文"/>
    <w:basedOn w:val="1"/>
    <w:qFormat/>
    <w:uiPriority w:val="0"/>
    <w:pPr>
      <w:spacing w:line="360" w:lineRule="auto"/>
    </w:pPr>
    <w:rPr>
      <w:rFonts w:ascii="??" w:hAnsi="??"/>
      <w:color w:val="000000"/>
      <w:kern w:val="0"/>
      <w:sz w:val="28"/>
      <w:szCs w:val="21"/>
      <w:lang w:val="zh-CN"/>
    </w:rPr>
  </w:style>
  <w:style w:type="paragraph" w:customStyle="1" w:styleId="38">
    <w:name w:val="正文文本1"/>
    <w:basedOn w:val="1"/>
    <w:qFormat/>
    <w:uiPriority w:val="0"/>
    <w:pPr>
      <w:spacing w:before="93"/>
    </w:pPr>
    <w:rPr>
      <w:rFonts w:ascii="仿宋_GB2312" w:hAnsi="仿宋_GB2312" w:cstheme="minorBidi"/>
      <w:color w:val="000000"/>
      <w:sz w:val="30"/>
      <w:szCs w:val="20"/>
    </w:rPr>
  </w:style>
  <w:style w:type="paragraph" w:customStyle="1" w:styleId="39">
    <w:name w:val="msonormal"/>
    <w:basedOn w:val="1"/>
    <w:qFormat/>
    <w:uiPriority w:val="0"/>
    <w:pPr>
      <w:widowControl/>
      <w:spacing w:before="100" w:beforeAutospacing="1" w:after="100" w:afterAutospacing="1"/>
      <w:jc w:val="left"/>
    </w:pPr>
    <w:rPr>
      <w:rFonts w:ascii="宋体" w:hAnsi="宋体" w:cs="宋体"/>
      <w:kern w:val="0"/>
      <w:sz w:val="24"/>
    </w:rPr>
  </w:style>
  <w:style w:type="paragraph" w:customStyle="1" w:styleId="40">
    <w:name w:val="xl6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宋体" w:hAnsi="宋体" w:cs="宋体"/>
      <w:color w:val="000000"/>
      <w:kern w:val="0"/>
      <w:sz w:val="18"/>
      <w:szCs w:val="18"/>
    </w:rPr>
  </w:style>
  <w:style w:type="paragraph" w:customStyle="1" w:styleId="41">
    <w:name w:val="xl66"/>
    <w:basedOn w:val="1"/>
    <w:qFormat/>
    <w:uiPriority w:val="0"/>
    <w:pPr>
      <w:widowControl/>
      <w:spacing w:before="100" w:beforeAutospacing="1" w:after="100" w:afterAutospacing="1"/>
      <w:jc w:val="left"/>
    </w:pPr>
    <w:rPr>
      <w:rFonts w:ascii="Courier New" w:hAnsi="Courier New" w:cs="Courier New"/>
      <w:color w:val="000000"/>
      <w:kern w:val="0"/>
      <w:sz w:val="18"/>
      <w:szCs w:val="18"/>
    </w:rPr>
  </w:style>
  <w:style w:type="paragraph" w:customStyle="1" w:styleId="42">
    <w:name w:val="xl67"/>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kern w:val="0"/>
      <w:sz w:val="18"/>
      <w:szCs w:val="18"/>
    </w:rPr>
  </w:style>
  <w:style w:type="paragraph" w:customStyle="1" w:styleId="43">
    <w:name w:val="xl68"/>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kern w:val="0"/>
      <w:sz w:val="18"/>
      <w:szCs w:val="18"/>
    </w:rPr>
  </w:style>
  <w:style w:type="paragraph" w:customStyle="1" w:styleId="44">
    <w:name w:val="xl69"/>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宋体" w:hAnsi="宋体" w:cs="宋体"/>
      <w:color w:val="000000"/>
      <w:kern w:val="0"/>
      <w:sz w:val="18"/>
      <w:szCs w:val="18"/>
    </w:rPr>
  </w:style>
  <w:style w:type="paragraph" w:customStyle="1" w:styleId="45">
    <w:name w:val="xl70"/>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微软雅黑" w:hAnsi="微软雅黑" w:eastAsia="微软雅黑" w:cs="宋体"/>
      <w:i/>
      <w:iCs/>
      <w:color w:val="000000"/>
      <w:kern w:val="0"/>
      <w:sz w:val="16"/>
      <w:szCs w:val="16"/>
    </w:rPr>
  </w:style>
  <w:style w:type="paragraph" w:customStyle="1" w:styleId="46">
    <w:name w:val="xl71"/>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47">
    <w:name w:val="xl72"/>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微软雅黑" w:hAnsi="微软雅黑" w:eastAsia="微软雅黑" w:cs="宋体"/>
      <w:i/>
      <w:iCs/>
      <w:color w:val="000000"/>
      <w:kern w:val="0"/>
      <w:sz w:val="16"/>
      <w:szCs w:val="16"/>
    </w:rPr>
  </w:style>
  <w:style w:type="paragraph" w:customStyle="1" w:styleId="48">
    <w:name w:val="xl73"/>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Courier New" w:hAnsi="Courier New" w:cs="Courier New"/>
      <w:color w:val="000000"/>
      <w:kern w:val="0"/>
      <w:sz w:val="18"/>
      <w:szCs w:val="18"/>
    </w:rPr>
  </w:style>
  <w:style w:type="paragraph" w:customStyle="1" w:styleId="49">
    <w:name w:val="xl74"/>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left"/>
    </w:pPr>
    <w:rPr>
      <w:rFonts w:ascii="Courier New" w:hAnsi="Courier New" w:cs="Courier New"/>
      <w:i/>
      <w:iCs/>
      <w:color w:val="000000"/>
      <w:kern w:val="0"/>
      <w:sz w:val="18"/>
      <w:szCs w:val="18"/>
    </w:rPr>
  </w:style>
  <w:style w:type="paragraph" w:customStyle="1" w:styleId="50">
    <w:name w:val="xl75"/>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Courier New" w:hAnsi="Courier New" w:cs="Courier New"/>
      <w:color w:val="000000"/>
      <w:kern w:val="0"/>
      <w:sz w:val="18"/>
      <w:szCs w:val="18"/>
    </w:rPr>
  </w:style>
  <w:style w:type="paragraph" w:customStyle="1" w:styleId="51">
    <w:name w:val="xl76"/>
    <w:basedOn w:val="1"/>
    <w:qFormat/>
    <w:uiPriority w:val="0"/>
    <w:pPr>
      <w:widowControl/>
      <w:pBdr>
        <w:top w:val="single" w:color="000000" w:sz="4" w:space="0"/>
        <w:left w:val="single" w:color="000000" w:sz="4" w:space="0"/>
        <w:bottom w:val="single" w:color="000000" w:sz="4" w:space="0"/>
        <w:right w:val="single" w:color="000000" w:sz="4" w:space="0"/>
      </w:pBdr>
      <w:spacing w:before="100" w:beforeAutospacing="1" w:after="100" w:afterAutospacing="1"/>
      <w:jc w:val="center"/>
    </w:pPr>
    <w:rPr>
      <w:rFonts w:ascii="黑体" w:hAnsi="黑体" w:eastAsia="黑体" w:cs="宋体"/>
      <w:b/>
      <w:bCs/>
      <w:color w:val="000000"/>
      <w:kern w:val="0"/>
      <w:sz w:val="30"/>
      <w:szCs w:val="30"/>
    </w:rPr>
  </w:style>
  <w:style w:type="character" w:customStyle="1" w:styleId="52">
    <w:name w:val="脚注文本 字符"/>
    <w:basedOn w:val="17"/>
    <w:link w:val="2"/>
    <w:semiHidden/>
    <w:qFormat/>
    <w:uiPriority w:val="99"/>
    <w:rPr>
      <w:rFonts w:ascii="Times New Roman" w:hAnsi="Times New Roman" w:eastAsia="宋体" w:cs="Times New Roman"/>
      <w:kern w:val="2"/>
      <w:sz w:val="18"/>
      <w:szCs w:val="18"/>
    </w:rPr>
  </w:style>
  <w:style w:type="paragraph" w:customStyle="1" w:styleId="53">
    <w:name w:val="TOC 标题3"/>
    <w:basedOn w:val="5"/>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376092" w:themeColor="accent1" w:themeShade="BF"/>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四川省财政厅</Company>
  <Pages>1</Pages>
  <Words>824</Words>
  <Characters>4703</Characters>
  <Lines>39</Lines>
  <Paragraphs>11</Paragraphs>
  <TotalTime>615</TotalTime>
  <ScaleCrop>false</ScaleCrop>
  <LinksUpToDate>false</LinksUpToDate>
  <CharactersWithSpaces>5516</CharactersWithSpaces>
  <Application>WPS Office_11.8.2.9793_F1E327BC-269C-435d-A152-05C5408002CA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2020-08-10T09:49:00Z</dcterms:created>
  <dc:creator>曹颖</dc:creator>
  <cp:lastModifiedBy>user</cp:lastModifiedBy>
  <cp:lastPrinted>2025-08-07T17:34:00Z</cp:lastPrinted>
  <dcterms:modified xsi:type="dcterms:W3CDTF">2025-09-09T12:22:33Z</dcterms:modified>
  <dc:title>四川省***</dc:title>
  <cp:revision>76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2052-11.8.2.9793</vt:lpwstr>
  </property>
  <property fmtid="{D5CDD505-2E9C-101B-9397-08002B2CF9AE}" pid="3" name="ICV">
    <vt:lpwstr>4C24657818094AEDB2CE352EE35FE669_13</vt:lpwstr>
  </property>
  <property fmtid="{D5CDD505-2E9C-101B-9397-08002B2CF9AE}" pid="4" name="KSOTemplateDocerSaveRecord">
    <vt:lpwstr>eyJoZGlkIjoiYTk3N2ZjNDcyN2YyYTg5NWZlNTYyZDQzYTczYzkyNGIiLCJ1c2VySWQiOiI0ODY4Njk0NDIifQ==</vt:lpwstr>
  </property>
</Properties>
</file>