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rFonts w:hint="default" w:ascii="Times New Roman" w:hAnsi="Times New Roman" w:eastAsia="黑体" w:cs="Times New Roman"/>
          <w:color w:val="auto"/>
          <w:kern w:val="2"/>
          <w:sz w:val="32"/>
          <w:szCs w:val="32"/>
          <w:highlight w:val="none"/>
          <w:lang w:val="en-US" w:eastAsia="zh-CN" w:bidi="ar-SA"/>
        </w:rPr>
      </w:pPr>
      <w:bookmarkStart w:id="0" w:name="_Toc15396475"/>
      <w:bookmarkStart w:id="1" w:name="_Toc15396597"/>
      <w:bookmarkStart w:id="2" w:name="_Toc15377193"/>
      <w:bookmarkStart w:id="3" w:name="_Toc15378441"/>
      <w:bookmarkStart w:id="4" w:name="_Toc15377425"/>
      <w:bookmarkStart w:id="5" w:name="_Toc15306267"/>
    </w:p>
    <w:p>
      <w:pPr>
        <w:pStyle w:val="7"/>
        <w:rPr>
          <w:rFonts w:hint="default" w:ascii="Times New Roman" w:hAnsi="Times New Roman" w:eastAsia="黑体" w:cs="Times New Roman"/>
          <w:color w:val="auto"/>
          <w:kern w:val="2"/>
          <w:sz w:val="32"/>
          <w:szCs w:val="32"/>
          <w:highlight w:val="none"/>
          <w:lang w:val="en-US" w:eastAsia="zh-CN" w:bidi="ar-SA"/>
        </w:rPr>
      </w:pPr>
    </w:p>
    <w:p>
      <w:pPr>
        <w:pStyle w:val="7"/>
        <w:rPr>
          <w:rFonts w:hint="default" w:ascii="Times New Roman" w:hAnsi="Times New Roman" w:eastAsia="黑体" w:cs="Times New Roman"/>
          <w:color w:val="auto"/>
          <w:kern w:val="2"/>
          <w:sz w:val="32"/>
          <w:szCs w:val="32"/>
          <w:highlight w:val="none"/>
          <w:lang w:val="en-US" w:eastAsia="zh-CN" w:bidi="ar-SA"/>
        </w:rPr>
      </w:pPr>
    </w:p>
    <w:p>
      <w:pPr>
        <w:pStyle w:val="7"/>
        <w:rPr>
          <w:rFonts w:hint="default" w:ascii="Times New Roman" w:hAnsi="Times New Roman" w:eastAsia="黑体" w:cs="Times New Roman"/>
          <w:color w:val="auto"/>
          <w:kern w:val="2"/>
          <w:sz w:val="32"/>
          <w:szCs w:val="32"/>
          <w:highlight w:val="none"/>
          <w:lang w:val="en-US" w:eastAsia="zh-CN" w:bidi="ar-SA"/>
        </w:rPr>
      </w:pPr>
    </w:p>
    <w:p>
      <w:pPr>
        <w:pStyle w:val="7"/>
        <w:rPr>
          <w:rFonts w:hint="default" w:ascii="Times New Roman" w:hAnsi="Times New Roman" w:eastAsia="黑体" w:cs="Times New Roman"/>
          <w:color w:val="auto"/>
          <w:kern w:val="2"/>
          <w:sz w:val="32"/>
          <w:szCs w:val="32"/>
          <w:highlight w:val="none"/>
          <w:lang w:val="en-US" w:eastAsia="zh-CN" w:bidi="ar-SA"/>
        </w:rPr>
      </w:pPr>
    </w:p>
    <w:p>
      <w:pPr>
        <w:pStyle w:val="7"/>
        <w:rPr>
          <w:rFonts w:hint="default" w:ascii="Times New Roman" w:hAnsi="Times New Roman" w:eastAsia="黑体" w:cs="Times New Roman"/>
          <w:color w:val="auto"/>
          <w:kern w:val="2"/>
          <w:sz w:val="32"/>
          <w:szCs w:val="32"/>
          <w:highlight w:val="none"/>
          <w:lang w:val="en-US" w:eastAsia="zh-CN" w:bidi="ar-SA"/>
        </w:rPr>
      </w:pPr>
    </w:p>
    <w:p>
      <w:pPr>
        <w:pStyle w:val="7"/>
        <w:rPr>
          <w:rFonts w:hint="default" w:ascii="Times New Roman" w:hAnsi="Times New Roman" w:eastAsia="黑体" w:cs="Times New Roman"/>
          <w:color w:val="auto"/>
          <w:kern w:val="2"/>
          <w:sz w:val="32"/>
          <w:szCs w:val="32"/>
          <w:highlight w:val="none"/>
          <w:lang w:val="en-US" w:eastAsia="zh-CN" w:bidi="ar-SA"/>
        </w:rPr>
      </w:pPr>
    </w:p>
    <w:bookmarkEnd w:id="0"/>
    <w:bookmarkEnd w:id="1"/>
    <w:bookmarkEnd w:id="2"/>
    <w:bookmarkEnd w:id="3"/>
    <w:bookmarkEnd w:id="4"/>
    <w:p>
      <w:pPr>
        <w:pStyle w:val="7"/>
        <w:jc w:val="center"/>
        <w:rPr>
          <w:rFonts w:hint="default" w:ascii="Times New Roman" w:hAnsi="Times New Roman" w:eastAsia="方正小标宋简体" w:cs="Times New Roman"/>
          <w:color w:val="auto"/>
          <w:kern w:val="2"/>
          <w:sz w:val="44"/>
          <w:szCs w:val="44"/>
          <w:highlight w:val="none"/>
          <w:lang w:val="en-US" w:eastAsia="zh-CN" w:bidi="ar-SA"/>
        </w:rPr>
      </w:pPr>
      <w:bookmarkStart w:id="6" w:name="_Toc15396598"/>
      <w:bookmarkStart w:id="7" w:name="_Toc15377194"/>
      <w:bookmarkStart w:id="8" w:name="_Toc15396476"/>
      <w:bookmarkStart w:id="9" w:name="_Toc15377426"/>
      <w:bookmarkStart w:id="10" w:name="_Toc15378442"/>
    </w:p>
    <w:p>
      <w:pPr>
        <w:pStyle w:val="7"/>
        <w:widowControl w:val="0"/>
        <w:kinsoku/>
        <w:autoSpaceDE/>
        <w:autoSpaceDN/>
        <w:adjustRightInd/>
        <w:snapToGrid/>
        <w:spacing w:beforeLines="30" w:line="240" w:lineRule="auto"/>
        <w:ind w:left="0" w:leftChars="0" w:firstLine="0" w:firstLineChars="0"/>
        <w:jc w:val="center"/>
        <w:textAlignment w:val="auto"/>
        <w:rPr>
          <w:rFonts w:hint="default" w:ascii="Times New Roman" w:hAnsi="Times New Roman" w:eastAsia="方正小标宋简体" w:cs="Times New Roman"/>
          <w:snapToGrid/>
          <w:color w:val="auto"/>
          <w:kern w:val="2"/>
          <w:sz w:val="52"/>
          <w:szCs w:val="52"/>
          <w:highlight w:val="none"/>
          <w:lang w:val="en-US" w:eastAsia="zh-CN" w:bidi="ar-SA"/>
        </w:rPr>
      </w:pPr>
      <w:r>
        <w:rPr>
          <w:rFonts w:hint="default" w:ascii="Times New Roman" w:hAnsi="Times New Roman" w:eastAsia="方正小标宋简体" w:cs="Times New Roman"/>
          <w:snapToGrid/>
          <w:color w:val="auto"/>
          <w:kern w:val="2"/>
          <w:sz w:val="52"/>
          <w:szCs w:val="52"/>
          <w:highlight w:val="none"/>
          <w:lang w:val="en-US" w:eastAsia="zh-CN" w:bidi="ar-SA"/>
        </w:rPr>
        <w:t>2024年度</w:t>
      </w:r>
    </w:p>
    <w:p>
      <w:pPr>
        <w:pStyle w:val="7"/>
        <w:widowControl w:val="0"/>
        <w:kinsoku/>
        <w:autoSpaceDE/>
        <w:autoSpaceDN/>
        <w:adjustRightInd/>
        <w:snapToGrid/>
        <w:spacing w:beforeLines="30" w:line="240" w:lineRule="auto"/>
        <w:ind w:left="0" w:leftChars="0" w:firstLine="0" w:firstLineChars="0"/>
        <w:jc w:val="center"/>
        <w:textAlignment w:val="auto"/>
        <w:rPr>
          <w:rFonts w:hint="default" w:ascii="Times New Roman" w:hAnsi="Times New Roman" w:eastAsia="方正小标宋简体" w:cs="Times New Roman"/>
          <w:snapToGrid/>
          <w:color w:val="auto"/>
          <w:kern w:val="2"/>
          <w:sz w:val="52"/>
          <w:szCs w:val="52"/>
          <w:highlight w:val="none"/>
          <w:lang w:val="en-US" w:eastAsia="zh-CN" w:bidi="ar-SA"/>
        </w:rPr>
      </w:pPr>
      <w:r>
        <w:rPr>
          <w:rFonts w:hint="default" w:ascii="Times New Roman" w:hAnsi="Times New Roman" w:eastAsia="方正小标宋简体" w:cs="Times New Roman"/>
          <w:snapToGrid/>
          <w:color w:val="auto"/>
          <w:kern w:val="2"/>
          <w:sz w:val="52"/>
          <w:szCs w:val="52"/>
          <w:highlight w:val="none"/>
          <w:lang w:val="en-US" w:eastAsia="zh-CN" w:bidi="ar-SA"/>
        </w:rPr>
        <w:t>四川省</w:t>
      </w:r>
      <w:bookmarkEnd w:id="5"/>
      <w:bookmarkStart w:id="11" w:name="_Toc15306268"/>
      <w:r>
        <w:rPr>
          <w:rFonts w:hint="default" w:ascii="Times New Roman" w:hAnsi="Times New Roman" w:eastAsia="方正小标宋简体" w:cs="Times New Roman"/>
          <w:snapToGrid/>
          <w:color w:val="auto"/>
          <w:kern w:val="2"/>
          <w:sz w:val="52"/>
          <w:szCs w:val="52"/>
          <w:highlight w:val="none"/>
          <w:lang w:val="en-US" w:eastAsia="zh-CN" w:bidi="ar-SA"/>
        </w:rPr>
        <w:t>工业和信息化研究院单位决算</w:t>
      </w:r>
      <w:bookmarkEnd w:id="6"/>
      <w:bookmarkEnd w:id="7"/>
      <w:bookmarkEnd w:id="8"/>
      <w:bookmarkEnd w:id="9"/>
      <w:bookmarkEnd w:id="10"/>
      <w:bookmarkEnd w:id="11"/>
    </w:p>
    <w:p>
      <w:pPr>
        <w:widowControl/>
        <w:jc w:val="center"/>
        <w:rPr>
          <w:rFonts w:hint="default" w:ascii="Times New Roman" w:hAnsi="Times New Roman" w:eastAsia="方正小标宋_GBK" w:cs="Times New Roman"/>
          <w:color w:val="auto"/>
          <w:sz w:val="44"/>
          <w:szCs w:val="44"/>
          <w:highlight w:val="none"/>
        </w:rPr>
      </w:pPr>
    </w:p>
    <w:p>
      <w:pPr>
        <w:keepNext w:val="0"/>
        <w:keepLines w:val="0"/>
        <w:pageBreakBefore/>
        <w:widowControl/>
        <w:kinsoku w:val="0"/>
        <w:wordWrap/>
        <w:overflowPunct/>
        <w:topLinePunct w:val="0"/>
        <w:autoSpaceDE w:val="0"/>
        <w:autoSpaceDN w:val="0"/>
        <w:bidi w:val="0"/>
        <w:adjustRightInd w:val="0"/>
        <w:snapToGrid w:val="0"/>
        <w:jc w:val="center"/>
        <w:textAlignment w:val="baseline"/>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t>目</w:t>
      </w:r>
      <w:r>
        <w:rPr>
          <w:rFonts w:hint="default" w:ascii="Times New Roman" w:hAnsi="Times New Roman" w:eastAsia="方正小标宋_GBK" w:cs="Times New Roman"/>
          <w:color w:val="auto"/>
          <w:sz w:val="44"/>
          <w:szCs w:val="44"/>
          <w:highlight w:val="none"/>
          <w:lang w:val="en-US" w:eastAsia="zh-CN"/>
        </w:rPr>
        <w:t xml:space="preserve">  </w:t>
      </w:r>
      <w:r>
        <w:rPr>
          <w:rFonts w:hint="default" w:ascii="Times New Roman" w:hAnsi="Times New Roman" w:eastAsia="方正小标宋_GBK" w:cs="Times New Roman"/>
          <w:color w:val="auto"/>
          <w:sz w:val="44"/>
          <w:szCs w:val="44"/>
          <w:highlight w:val="none"/>
        </w:rPr>
        <w:t>录</w:t>
      </w:r>
    </w:p>
    <w:p>
      <w:pPr>
        <w:widowControl/>
        <w:jc w:val="center"/>
        <w:rPr>
          <w:rFonts w:hint="default" w:ascii="Times New Roman" w:hAnsi="Times New Roman" w:eastAsia="黑体" w:cs="Times New Roman"/>
          <w:color w:val="auto"/>
          <w:sz w:val="28"/>
          <w:szCs w:val="28"/>
          <w:highlight w:val="none"/>
        </w:rPr>
      </w:pPr>
    </w:p>
    <w:p>
      <w:pPr>
        <w:pStyle w:val="11"/>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公开时间：20</w:t>
      </w:r>
      <w:r>
        <w:rPr>
          <w:rFonts w:hint="default" w:ascii="Times New Roman" w:hAnsi="Times New Roman" w:eastAsia="仿宋_GB2312" w:cs="Times New Roman"/>
          <w:color w:val="auto"/>
          <w:sz w:val="32"/>
          <w:szCs w:val="32"/>
          <w:highlight w:val="none"/>
          <w:lang w:val="en-US" w:eastAsia="zh-CN"/>
        </w:rPr>
        <w:t>25</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月</w:t>
      </w:r>
      <w:r>
        <w:rPr>
          <w:rFonts w:hint="default" w:ascii="Times New Roman" w:hAnsi="Times New Roman" w:eastAsia="仿宋_GB2312" w:cs="Times New Roman"/>
          <w:color w:val="auto"/>
          <w:sz w:val="32"/>
          <w:szCs w:val="32"/>
          <w:highlight w:val="none"/>
          <w:lang w:val="en-US" w:eastAsia="zh-CN"/>
        </w:rPr>
        <w:t>12</w:t>
      </w:r>
      <w:r>
        <w:rPr>
          <w:rFonts w:hint="default" w:ascii="Times New Roman" w:hAnsi="Times New Roman" w:eastAsia="仿宋_GB2312" w:cs="Times New Roman"/>
          <w:color w:val="auto"/>
          <w:sz w:val="32"/>
          <w:szCs w:val="32"/>
          <w:highlight w:val="none"/>
        </w:rPr>
        <w:t>日</w:t>
      </w:r>
    </w:p>
    <w:p>
      <w:pPr>
        <w:rPr>
          <w:rFonts w:hint="default" w:ascii="Times New Roman" w:hAnsi="Times New Roman" w:cs="Times New Roman"/>
          <w:color w:val="auto"/>
          <w:highlight w:val="none"/>
        </w:rPr>
      </w:pPr>
    </w:p>
    <w:p>
      <w:pPr>
        <w:pStyle w:val="11"/>
        <w:keepNext w:val="0"/>
        <w:keepLines w:val="0"/>
        <w:pageBreakBefore w:val="0"/>
        <w:widowControl/>
        <w:tabs>
          <w:tab w:val="right" w:leader="dot" w:pos="8839"/>
          <w:tab w:val="clear" w:pos="8296"/>
        </w:tabs>
        <w:kinsoku w:val="0"/>
        <w:wordWrap/>
        <w:overflowPunct/>
        <w:topLinePunct w:val="0"/>
        <w:autoSpaceDE w:val="0"/>
        <w:autoSpaceDN w:val="0"/>
        <w:bidi w:val="0"/>
        <w:adjustRightInd w:val="0"/>
        <w:snapToGrid w:val="0"/>
        <w:spacing w:line="570" w:lineRule="exact"/>
        <w:textAlignment w:val="baseline"/>
        <w:rPr>
          <w:rFonts w:hint="default" w:ascii="Times New Roman" w:hAnsi="Times New Roman" w:eastAsia="仿宋_GB2312" w:cs="Times New Roman"/>
          <w:sz w:val="32"/>
          <w:szCs w:val="32"/>
        </w:rPr>
      </w:pPr>
      <w:r>
        <w:rPr>
          <w:rFonts w:hint="default" w:ascii="Times New Roman" w:hAnsi="Times New Roman" w:eastAsia="黑体" w:cs="Times New Roman"/>
          <w:color w:val="auto"/>
          <w:sz w:val="32"/>
          <w:szCs w:val="32"/>
          <w:highlight w:val="none"/>
        </w:rPr>
        <w:fldChar w:fldCharType="begin"/>
      </w:r>
      <w:r>
        <w:rPr>
          <w:rFonts w:hint="default" w:ascii="Times New Roman" w:hAnsi="Times New Roman" w:eastAsia="黑体" w:cs="Times New Roman"/>
          <w:color w:val="auto"/>
          <w:sz w:val="32"/>
          <w:szCs w:val="32"/>
          <w:highlight w:val="none"/>
        </w:rPr>
        <w:instrText xml:space="preserve">TOC \o "1-3" \h \u </w:instrText>
      </w:r>
      <w:r>
        <w:rPr>
          <w:rFonts w:hint="default" w:ascii="Times New Roman" w:hAnsi="Times New Roman" w:eastAsia="黑体" w:cs="Times New Roman"/>
          <w:color w:val="auto"/>
          <w:sz w:val="32"/>
          <w:szCs w:val="32"/>
          <w:highlight w:val="none"/>
        </w:rPr>
        <w:fldChar w:fldCharType="separate"/>
      </w:r>
      <w:r>
        <w:rPr>
          <w:rFonts w:hint="default" w:ascii="Times New Roman" w:hAnsi="Times New Roman" w:eastAsia="黑体" w:cs="Times New Roman"/>
          <w:color w:val="auto"/>
          <w:sz w:val="32"/>
          <w:szCs w:val="32"/>
          <w:highlight w:val="none"/>
        </w:rPr>
        <w:fldChar w:fldCharType="begin"/>
      </w:r>
      <w:r>
        <w:rPr>
          <w:rFonts w:hint="default" w:ascii="Times New Roman" w:hAnsi="Times New Roman" w:eastAsia="黑体" w:cs="Times New Roman"/>
          <w:sz w:val="32"/>
          <w:szCs w:val="32"/>
          <w:highlight w:val="none"/>
        </w:rPr>
        <w:instrText xml:space="preserve"> HYPERLINK \l _Toc17814 </w:instrText>
      </w:r>
      <w:r>
        <w:rPr>
          <w:rFonts w:hint="default" w:ascii="Times New Roman" w:hAnsi="Times New Roman" w:eastAsia="黑体" w:cs="Times New Roman"/>
          <w:sz w:val="32"/>
          <w:szCs w:val="32"/>
          <w:highlight w:val="none"/>
        </w:rPr>
        <w:fldChar w:fldCharType="separate"/>
      </w:r>
      <w:r>
        <w:rPr>
          <w:rFonts w:hint="default" w:ascii="Times New Roman" w:hAnsi="Times New Roman" w:eastAsia="黑体" w:cs="Times New Roman"/>
          <w:sz w:val="32"/>
          <w:szCs w:val="32"/>
          <w:highlight w:val="none"/>
        </w:rPr>
        <w:t>第一部分</w:t>
      </w:r>
      <w:r>
        <w:rPr>
          <w:rFonts w:hint="default" w:ascii="Times New Roman" w:hAnsi="Times New Roman" w:eastAsia="黑体" w:cs="Times New Roman"/>
          <w:sz w:val="32"/>
          <w:szCs w:val="32"/>
          <w:highlight w:val="none"/>
          <w:lang w:val="en-US" w:eastAsia="zh-CN"/>
        </w:rPr>
        <w:t xml:space="preserve"> </w:t>
      </w:r>
      <w:r>
        <w:rPr>
          <w:rFonts w:hint="default" w:ascii="Times New Roman" w:hAnsi="Times New Roman" w:eastAsia="黑体" w:cs="Times New Roman"/>
          <w:sz w:val="32"/>
          <w:szCs w:val="32"/>
          <w:highlight w:val="none"/>
        </w:rPr>
        <w:t xml:space="preserve"> </w:t>
      </w:r>
      <w:r>
        <w:rPr>
          <w:rFonts w:hint="default" w:ascii="Times New Roman" w:hAnsi="Times New Roman" w:eastAsia="黑体" w:cs="Times New Roman"/>
          <w:sz w:val="32"/>
          <w:szCs w:val="32"/>
          <w:highlight w:val="none"/>
          <w:lang w:val="en-US" w:eastAsia="zh-CN"/>
        </w:rPr>
        <w:t>单位</w:t>
      </w:r>
      <w:r>
        <w:rPr>
          <w:rFonts w:hint="default" w:ascii="Times New Roman" w:hAnsi="Times New Roman" w:eastAsia="黑体" w:cs="Times New Roman"/>
          <w:bCs w:val="0"/>
          <w:sz w:val="32"/>
          <w:szCs w:val="32"/>
          <w:highlight w:val="none"/>
        </w:rPr>
        <w:t>概况</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_Toc17814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rPr>
        <w:fldChar w:fldCharType="end"/>
      </w:r>
      <w:r>
        <w:rPr>
          <w:rFonts w:hint="default" w:ascii="Times New Roman" w:hAnsi="Times New Roman" w:eastAsia="黑体" w:cs="Times New Roman"/>
          <w:color w:val="auto"/>
          <w:sz w:val="32"/>
          <w:szCs w:val="32"/>
          <w:highlight w:val="none"/>
        </w:rPr>
        <w:fldChar w:fldCharType="end"/>
      </w:r>
    </w:p>
    <w:p>
      <w:pPr>
        <w:pStyle w:val="12"/>
        <w:keepNext w:val="0"/>
        <w:keepLines w:val="0"/>
        <w:pageBreakBefore w:val="0"/>
        <w:widowControl/>
        <w:tabs>
          <w:tab w:val="right" w:leader="dot" w:pos="8839"/>
          <w:tab w:val="clear" w:pos="8296"/>
        </w:tabs>
        <w:kinsoku w:val="0"/>
        <w:wordWrap/>
        <w:overflowPunct/>
        <w:topLinePunct w:val="0"/>
        <w:autoSpaceDE w:val="0"/>
        <w:autoSpaceDN w:val="0"/>
        <w:bidi w:val="0"/>
        <w:adjustRightInd w:val="0"/>
        <w:snapToGrid w:val="0"/>
        <w:spacing w:line="570" w:lineRule="exac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_Toc10073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val="0"/>
          <w:sz w:val="32"/>
          <w:szCs w:val="32"/>
          <w:lang w:eastAsia="zh-CN"/>
        </w:rPr>
        <w:t xml:space="preserve">一、 </w:t>
      </w:r>
      <w:r>
        <w:rPr>
          <w:rFonts w:hint="default" w:ascii="Times New Roman" w:hAnsi="Times New Roman" w:eastAsia="仿宋_GB2312" w:cs="Times New Roman"/>
          <w:bCs w:val="0"/>
          <w:sz w:val="32"/>
          <w:szCs w:val="32"/>
          <w:lang w:val="en-US" w:eastAsia="zh-CN"/>
        </w:rPr>
        <w:t>主要</w:t>
      </w:r>
      <w:r>
        <w:rPr>
          <w:rFonts w:hint="default" w:ascii="Times New Roman" w:hAnsi="Times New Roman" w:eastAsia="仿宋_GB2312" w:cs="Times New Roman"/>
          <w:bCs w:val="0"/>
          <w:sz w:val="32"/>
          <w:szCs w:val="32"/>
          <w:lang w:eastAsia="zh-CN"/>
        </w:rPr>
        <w:t>职责</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_Toc10073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color w:val="auto"/>
          <w:sz w:val="32"/>
          <w:szCs w:val="32"/>
          <w:highlight w:val="none"/>
        </w:rPr>
        <w:fldChar w:fldCharType="end"/>
      </w:r>
    </w:p>
    <w:p>
      <w:pPr>
        <w:pStyle w:val="12"/>
        <w:keepNext w:val="0"/>
        <w:keepLines w:val="0"/>
        <w:pageBreakBefore w:val="0"/>
        <w:widowControl/>
        <w:tabs>
          <w:tab w:val="right" w:leader="dot" w:pos="8839"/>
          <w:tab w:val="clear" w:pos="8296"/>
        </w:tabs>
        <w:kinsoku w:val="0"/>
        <w:wordWrap/>
        <w:overflowPunct/>
        <w:topLinePunct w:val="0"/>
        <w:autoSpaceDE w:val="0"/>
        <w:autoSpaceDN w:val="0"/>
        <w:bidi w:val="0"/>
        <w:adjustRightInd w:val="0"/>
        <w:snapToGrid w:val="0"/>
        <w:spacing w:line="570" w:lineRule="exac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_Toc28408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val="0"/>
          <w:sz w:val="32"/>
          <w:szCs w:val="32"/>
          <w:lang w:val="en-US" w:eastAsia="zh-CN"/>
        </w:rPr>
        <w:t>二、 机构设置</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_Toc28408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color w:val="auto"/>
          <w:sz w:val="32"/>
          <w:szCs w:val="32"/>
          <w:highlight w:val="none"/>
        </w:rPr>
        <w:fldChar w:fldCharType="end"/>
      </w:r>
    </w:p>
    <w:p>
      <w:pPr>
        <w:pStyle w:val="11"/>
        <w:keepNext w:val="0"/>
        <w:keepLines w:val="0"/>
        <w:pageBreakBefore w:val="0"/>
        <w:widowControl/>
        <w:tabs>
          <w:tab w:val="right" w:leader="dot" w:pos="8839"/>
          <w:tab w:val="clear" w:pos="8296"/>
        </w:tabs>
        <w:kinsoku w:val="0"/>
        <w:wordWrap/>
        <w:overflowPunct/>
        <w:topLinePunct w:val="0"/>
        <w:autoSpaceDE w:val="0"/>
        <w:autoSpaceDN w:val="0"/>
        <w:bidi w:val="0"/>
        <w:adjustRightInd w:val="0"/>
        <w:snapToGrid w:val="0"/>
        <w:spacing w:line="570" w:lineRule="exac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_Toc16980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黑体" w:cs="Times New Roman"/>
          <w:bCs w:val="0"/>
          <w:sz w:val="32"/>
          <w:szCs w:val="32"/>
          <w:highlight w:val="none"/>
        </w:rPr>
        <w:t>第二部分</w:t>
      </w:r>
      <w:r>
        <w:rPr>
          <w:rFonts w:hint="default" w:ascii="Times New Roman" w:hAnsi="Times New Roman" w:eastAsia="黑体" w:cs="Times New Roman"/>
          <w:bCs w:val="0"/>
          <w:sz w:val="32"/>
          <w:szCs w:val="32"/>
          <w:highlight w:val="none"/>
          <w:lang w:val="en-US" w:eastAsia="zh-CN"/>
        </w:rPr>
        <w:t xml:space="preserve"> </w:t>
      </w:r>
      <w:r>
        <w:rPr>
          <w:rFonts w:hint="default" w:ascii="Times New Roman" w:hAnsi="Times New Roman" w:eastAsia="黑体" w:cs="Times New Roman"/>
          <w:bCs w:val="0"/>
          <w:sz w:val="32"/>
          <w:szCs w:val="32"/>
          <w:highlight w:val="none"/>
        </w:rPr>
        <w:t xml:space="preserve"> </w:t>
      </w:r>
      <w:r>
        <w:rPr>
          <w:rFonts w:hint="default" w:ascii="Times New Roman" w:hAnsi="Times New Roman" w:eastAsia="黑体" w:cs="Times New Roman"/>
          <w:bCs w:val="0"/>
          <w:sz w:val="32"/>
          <w:szCs w:val="32"/>
          <w:highlight w:val="none"/>
          <w:lang w:val="en-US" w:eastAsia="zh-CN"/>
        </w:rPr>
        <w:t>2024年度单位</w:t>
      </w:r>
      <w:r>
        <w:rPr>
          <w:rFonts w:hint="default" w:ascii="Times New Roman" w:hAnsi="Times New Roman" w:eastAsia="黑体" w:cs="Times New Roman"/>
          <w:bCs w:val="0"/>
          <w:sz w:val="32"/>
          <w:szCs w:val="32"/>
          <w:highlight w:val="none"/>
        </w:rPr>
        <w:t>决算情况说明</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_Toc16980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color w:val="auto"/>
          <w:sz w:val="32"/>
          <w:szCs w:val="32"/>
          <w:highlight w:val="none"/>
        </w:rPr>
        <w:fldChar w:fldCharType="end"/>
      </w:r>
    </w:p>
    <w:p>
      <w:pPr>
        <w:pStyle w:val="12"/>
        <w:keepNext w:val="0"/>
        <w:keepLines w:val="0"/>
        <w:pageBreakBefore w:val="0"/>
        <w:widowControl/>
        <w:tabs>
          <w:tab w:val="right" w:leader="dot" w:pos="8839"/>
          <w:tab w:val="clear" w:pos="8296"/>
        </w:tabs>
        <w:kinsoku w:val="0"/>
        <w:wordWrap/>
        <w:overflowPunct/>
        <w:topLinePunct w:val="0"/>
        <w:autoSpaceDE w:val="0"/>
        <w:autoSpaceDN w:val="0"/>
        <w:bidi w:val="0"/>
        <w:adjustRightInd w:val="0"/>
        <w:snapToGrid w:val="0"/>
        <w:spacing w:line="570" w:lineRule="exac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_Toc14020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lang w:eastAsia="zh-CN"/>
        </w:rPr>
        <w:t>一、</w:t>
      </w:r>
      <w:r>
        <w:rPr>
          <w:rFonts w:hint="default" w:ascii="Times New Roman" w:hAnsi="Times New Roman" w:eastAsia="仿宋_GB2312" w:cs="Times New Roman"/>
          <w:sz w:val="32"/>
          <w:szCs w:val="32"/>
          <w:highlight w:val="none"/>
        </w:rPr>
        <w:t>收入支出决算总体情况说明</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_Toc14020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color w:val="auto"/>
          <w:sz w:val="32"/>
          <w:szCs w:val="32"/>
          <w:highlight w:val="none"/>
        </w:rPr>
        <w:fldChar w:fldCharType="end"/>
      </w:r>
    </w:p>
    <w:p>
      <w:pPr>
        <w:pStyle w:val="12"/>
        <w:keepNext w:val="0"/>
        <w:keepLines w:val="0"/>
        <w:pageBreakBefore w:val="0"/>
        <w:widowControl/>
        <w:tabs>
          <w:tab w:val="right" w:leader="dot" w:pos="8839"/>
          <w:tab w:val="clear" w:pos="8296"/>
        </w:tabs>
        <w:kinsoku w:val="0"/>
        <w:wordWrap/>
        <w:overflowPunct/>
        <w:topLinePunct w:val="0"/>
        <w:autoSpaceDE w:val="0"/>
        <w:autoSpaceDN w:val="0"/>
        <w:bidi w:val="0"/>
        <w:adjustRightInd w:val="0"/>
        <w:snapToGrid w:val="0"/>
        <w:spacing w:line="570" w:lineRule="exac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_Toc1625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lang w:eastAsia="zh-CN"/>
        </w:rPr>
        <w:t>二、收入决算情况说明</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_Toc1625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color w:val="auto"/>
          <w:sz w:val="32"/>
          <w:szCs w:val="32"/>
          <w:highlight w:val="none"/>
        </w:rPr>
        <w:fldChar w:fldCharType="end"/>
      </w:r>
    </w:p>
    <w:p>
      <w:pPr>
        <w:pStyle w:val="12"/>
        <w:keepNext w:val="0"/>
        <w:keepLines w:val="0"/>
        <w:pageBreakBefore w:val="0"/>
        <w:widowControl/>
        <w:tabs>
          <w:tab w:val="right" w:leader="dot" w:pos="8839"/>
          <w:tab w:val="clear" w:pos="8296"/>
        </w:tabs>
        <w:kinsoku w:val="0"/>
        <w:wordWrap/>
        <w:overflowPunct/>
        <w:topLinePunct w:val="0"/>
        <w:autoSpaceDE w:val="0"/>
        <w:autoSpaceDN w:val="0"/>
        <w:bidi w:val="0"/>
        <w:adjustRightInd w:val="0"/>
        <w:snapToGrid w:val="0"/>
        <w:spacing w:line="570" w:lineRule="exac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_Toc4049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lang w:eastAsia="zh-CN"/>
        </w:rPr>
        <w:t>三、</w:t>
      </w:r>
      <w:r>
        <w:rPr>
          <w:rFonts w:hint="default" w:ascii="Times New Roman" w:hAnsi="Times New Roman" w:eastAsia="仿宋_GB2312" w:cs="Times New Roman"/>
          <w:sz w:val="32"/>
          <w:szCs w:val="32"/>
          <w:highlight w:val="none"/>
        </w:rPr>
        <w:t>支出决算情况说明</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_Toc4049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3</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color w:val="auto"/>
          <w:sz w:val="32"/>
          <w:szCs w:val="32"/>
          <w:highlight w:val="none"/>
        </w:rPr>
        <w:fldChar w:fldCharType="end"/>
      </w:r>
    </w:p>
    <w:p>
      <w:pPr>
        <w:pStyle w:val="12"/>
        <w:keepNext w:val="0"/>
        <w:keepLines w:val="0"/>
        <w:pageBreakBefore w:val="0"/>
        <w:widowControl/>
        <w:tabs>
          <w:tab w:val="right" w:leader="dot" w:pos="8839"/>
          <w:tab w:val="clear" w:pos="8296"/>
        </w:tabs>
        <w:kinsoku w:val="0"/>
        <w:wordWrap/>
        <w:overflowPunct/>
        <w:topLinePunct w:val="0"/>
        <w:autoSpaceDE w:val="0"/>
        <w:autoSpaceDN w:val="0"/>
        <w:bidi w:val="0"/>
        <w:adjustRightInd w:val="0"/>
        <w:snapToGrid w:val="0"/>
        <w:spacing w:line="570" w:lineRule="exac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_Toc21250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四、财政拨款收入支出决算总体情况说明</w:t>
      </w:r>
      <w:r>
        <w:rPr>
          <w:rFonts w:hint="default" w:ascii="Times New Roman" w:hAnsi="Times New Roman" w:eastAsia="仿宋_GB2312" w:cs="Times New Roman"/>
          <w:sz w:val="32"/>
          <w:szCs w:val="32"/>
        </w:rPr>
        <w:tab/>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color w:val="auto"/>
          <w:sz w:val="32"/>
          <w:szCs w:val="32"/>
          <w:highlight w:val="none"/>
        </w:rPr>
        <w:fldChar w:fldCharType="end"/>
      </w:r>
    </w:p>
    <w:p>
      <w:pPr>
        <w:pStyle w:val="12"/>
        <w:keepNext w:val="0"/>
        <w:keepLines w:val="0"/>
        <w:pageBreakBefore w:val="0"/>
        <w:widowControl/>
        <w:tabs>
          <w:tab w:val="right" w:leader="dot" w:pos="8839"/>
          <w:tab w:val="clear" w:pos="8296"/>
        </w:tabs>
        <w:kinsoku w:val="0"/>
        <w:wordWrap/>
        <w:overflowPunct/>
        <w:topLinePunct w:val="0"/>
        <w:autoSpaceDE w:val="0"/>
        <w:autoSpaceDN w:val="0"/>
        <w:bidi w:val="0"/>
        <w:adjustRightInd w:val="0"/>
        <w:snapToGrid w:val="0"/>
        <w:spacing w:line="570" w:lineRule="exac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_Toc7830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五、一般公共预算财政拨款支出决算情况说明</w:t>
      </w:r>
      <w:r>
        <w:rPr>
          <w:rFonts w:hint="default" w:ascii="Times New Roman" w:hAnsi="Times New Roman" w:eastAsia="仿宋_GB2312" w:cs="Times New Roman"/>
          <w:sz w:val="32"/>
          <w:szCs w:val="32"/>
        </w:rPr>
        <w:tab/>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color w:val="auto"/>
          <w:sz w:val="32"/>
          <w:szCs w:val="32"/>
          <w:highlight w:val="none"/>
        </w:rPr>
        <w:fldChar w:fldCharType="end"/>
      </w:r>
    </w:p>
    <w:p>
      <w:pPr>
        <w:pStyle w:val="12"/>
        <w:keepNext w:val="0"/>
        <w:keepLines w:val="0"/>
        <w:pageBreakBefore w:val="0"/>
        <w:widowControl/>
        <w:tabs>
          <w:tab w:val="right" w:leader="dot" w:pos="8839"/>
          <w:tab w:val="clear" w:pos="8296"/>
        </w:tabs>
        <w:kinsoku w:val="0"/>
        <w:wordWrap/>
        <w:overflowPunct/>
        <w:topLinePunct w:val="0"/>
        <w:autoSpaceDE w:val="0"/>
        <w:autoSpaceDN w:val="0"/>
        <w:bidi w:val="0"/>
        <w:adjustRightInd w:val="0"/>
        <w:snapToGrid w:val="0"/>
        <w:spacing w:line="570" w:lineRule="exac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_Toc16577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六、一般公共预算财政拨款基本支出决算情况说明</w:t>
      </w:r>
      <w:r>
        <w:rPr>
          <w:rFonts w:hint="default" w:ascii="Times New Roman" w:hAnsi="Times New Roman" w:eastAsia="仿宋_GB2312" w:cs="Times New Roman"/>
          <w:sz w:val="32"/>
          <w:szCs w:val="32"/>
        </w:rPr>
        <w:tab/>
      </w:r>
      <w:r>
        <w:rPr>
          <w:rFonts w:hint="eastAsia" w:ascii="Times New Roman" w:hAnsi="Times New Roman" w:eastAsia="仿宋_GB2312" w:cs="Times New Roman"/>
          <w:sz w:val="32"/>
          <w:szCs w:val="32"/>
          <w:lang w:val="en-US" w:eastAsia="zh-CN"/>
        </w:rPr>
        <w:t>7</w:t>
      </w:r>
      <w:r>
        <w:rPr>
          <w:rFonts w:hint="default" w:ascii="Times New Roman" w:hAnsi="Times New Roman" w:eastAsia="仿宋_GB2312" w:cs="Times New Roman"/>
          <w:color w:val="auto"/>
          <w:sz w:val="32"/>
          <w:szCs w:val="32"/>
          <w:highlight w:val="none"/>
        </w:rPr>
        <w:fldChar w:fldCharType="end"/>
      </w:r>
    </w:p>
    <w:p>
      <w:pPr>
        <w:pStyle w:val="12"/>
        <w:keepNext w:val="0"/>
        <w:keepLines w:val="0"/>
        <w:pageBreakBefore w:val="0"/>
        <w:widowControl/>
        <w:tabs>
          <w:tab w:val="right" w:leader="dot" w:pos="8839"/>
          <w:tab w:val="clear" w:pos="8296"/>
        </w:tabs>
        <w:kinsoku w:val="0"/>
        <w:wordWrap/>
        <w:overflowPunct/>
        <w:topLinePunct w:val="0"/>
        <w:autoSpaceDE w:val="0"/>
        <w:autoSpaceDN w:val="0"/>
        <w:bidi w:val="0"/>
        <w:adjustRightInd w:val="0"/>
        <w:snapToGrid w:val="0"/>
        <w:spacing w:line="570" w:lineRule="exac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_Toc7523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七、财政拨款“三公”经费支出决算情况说明</w:t>
      </w:r>
      <w:r>
        <w:rPr>
          <w:rFonts w:hint="default" w:ascii="Times New Roman" w:hAnsi="Times New Roman" w:eastAsia="仿宋_GB2312" w:cs="Times New Roman"/>
          <w:sz w:val="32"/>
          <w:szCs w:val="32"/>
        </w:rPr>
        <w:tab/>
      </w:r>
      <w:r>
        <w:rPr>
          <w:rFonts w:hint="eastAsia" w:ascii="Times New Roman" w:hAnsi="Times New Roman" w:eastAsia="仿宋_GB2312" w:cs="Times New Roman"/>
          <w:sz w:val="32"/>
          <w:szCs w:val="32"/>
          <w:lang w:val="en-US" w:eastAsia="zh-CN"/>
        </w:rPr>
        <w:t>8</w:t>
      </w:r>
      <w:r>
        <w:rPr>
          <w:rFonts w:hint="default" w:ascii="Times New Roman" w:hAnsi="Times New Roman" w:eastAsia="仿宋_GB2312" w:cs="Times New Roman"/>
          <w:color w:val="auto"/>
          <w:sz w:val="32"/>
          <w:szCs w:val="32"/>
          <w:highlight w:val="none"/>
        </w:rPr>
        <w:fldChar w:fldCharType="end"/>
      </w:r>
    </w:p>
    <w:p>
      <w:pPr>
        <w:pStyle w:val="12"/>
        <w:keepNext w:val="0"/>
        <w:keepLines w:val="0"/>
        <w:pageBreakBefore w:val="0"/>
        <w:widowControl/>
        <w:tabs>
          <w:tab w:val="right" w:leader="dot" w:pos="8839"/>
          <w:tab w:val="clear" w:pos="8296"/>
        </w:tabs>
        <w:kinsoku w:val="0"/>
        <w:wordWrap/>
        <w:overflowPunct/>
        <w:topLinePunct w:val="0"/>
        <w:autoSpaceDE w:val="0"/>
        <w:autoSpaceDN w:val="0"/>
        <w:bidi w:val="0"/>
        <w:adjustRightInd w:val="0"/>
        <w:snapToGrid w:val="0"/>
        <w:spacing w:line="570" w:lineRule="exact"/>
        <w:textAlignment w:val="baseline"/>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_Toc6683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八、政府性基金预算支出决算情况说明</w:t>
      </w:r>
      <w:r>
        <w:rPr>
          <w:rFonts w:hint="default" w:ascii="Times New Roman" w:hAnsi="Times New Roman" w:eastAsia="仿宋_GB2312" w:cs="Times New Roman"/>
          <w:sz w:val="32"/>
          <w:szCs w:val="32"/>
        </w:rPr>
        <w:tab/>
      </w:r>
      <w:r>
        <w:rPr>
          <w:rFonts w:hint="default" w:ascii="Times New Roman" w:hAnsi="Times New Roman" w:eastAsia="仿宋_GB2312" w:cs="Times New Roman"/>
          <w:color w:val="auto"/>
          <w:sz w:val="32"/>
          <w:szCs w:val="32"/>
          <w:highlight w:val="none"/>
        </w:rPr>
        <w:fldChar w:fldCharType="end"/>
      </w:r>
      <w:r>
        <w:rPr>
          <w:rFonts w:hint="eastAsia" w:ascii="Times New Roman" w:hAnsi="Times New Roman" w:eastAsia="仿宋_GB2312" w:cs="Times New Roman"/>
          <w:color w:val="auto"/>
          <w:sz w:val="32"/>
          <w:szCs w:val="32"/>
          <w:highlight w:val="none"/>
          <w:lang w:val="en-US" w:eastAsia="zh-CN"/>
        </w:rPr>
        <w:t>9</w:t>
      </w:r>
    </w:p>
    <w:p>
      <w:pPr>
        <w:pStyle w:val="12"/>
        <w:keepNext w:val="0"/>
        <w:keepLines w:val="0"/>
        <w:pageBreakBefore w:val="0"/>
        <w:widowControl/>
        <w:tabs>
          <w:tab w:val="right" w:leader="dot" w:pos="8839"/>
          <w:tab w:val="clear" w:pos="8296"/>
        </w:tabs>
        <w:kinsoku w:val="0"/>
        <w:wordWrap/>
        <w:overflowPunct/>
        <w:topLinePunct w:val="0"/>
        <w:autoSpaceDE w:val="0"/>
        <w:autoSpaceDN w:val="0"/>
        <w:bidi w:val="0"/>
        <w:adjustRightInd w:val="0"/>
        <w:snapToGrid w:val="0"/>
        <w:spacing w:line="570" w:lineRule="exact"/>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_Toc27812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lang w:eastAsia="zh-CN"/>
        </w:rPr>
        <w:t>九、</w:t>
      </w:r>
      <w:r>
        <w:rPr>
          <w:rFonts w:hint="default" w:ascii="Times New Roman" w:hAnsi="Times New Roman" w:eastAsia="仿宋_GB2312" w:cs="Times New Roman"/>
          <w:sz w:val="32"/>
          <w:szCs w:val="32"/>
          <w:highlight w:val="none"/>
        </w:rPr>
        <w:t>国有资本经营预算支出决算情况说明</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lang w:val="en-US" w:eastAsia="zh-CN"/>
        </w:rPr>
        <w:t>0</w:t>
      </w:r>
    </w:p>
    <w:p>
      <w:pPr>
        <w:pStyle w:val="12"/>
        <w:keepNext w:val="0"/>
        <w:keepLines w:val="0"/>
        <w:pageBreakBefore w:val="0"/>
        <w:widowControl/>
        <w:tabs>
          <w:tab w:val="right" w:leader="dot" w:pos="8839"/>
          <w:tab w:val="clear" w:pos="8296"/>
        </w:tabs>
        <w:kinsoku w:val="0"/>
        <w:wordWrap/>
        <w:overflowPunct/>
        <w:topLinePunct w:val="0"/>
        <w:autoSpaceDE w:val="0"/>
        <w:autoSpaceDN w:val="0"/>
        <w:bidi w:val="0"/>
        <w:adjustRightInd w:val="0"/>
        <w:snapToGrid w:val="0"/>
        <w:spacing w:line="570" w:lineRule="exact"/>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_Toc10665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lang w:eastAsia="zh-CN"/>
        </w:rPr>
        <w:t>十、</w:t>
      </w:r>
      <w:r>
        <w:rPr>
          <w:rFonts w:hint="default" w:ascii="Times New Roman" w:hAnsi="Times New Roman" w:eastAsia="仿宋_GB2312" w:cs="Times New Roman"/>
          <w:sz w:val="32"/>
          <w:szCs w:val="32"/>
          <w:highlight w:val="none"/>
        </w:rPr>
        <w:t>其他重要事项的情况说明</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color w:val="auto"/>
          <w:sz w:val="32"/>
          <w:szCs w:val="32"/>
          <w:highlight w:val="none"/>
        </w:rPr>
        <w:fldChar w:fldCharType="end"/>
      </w:r>
      <w:r>
        <w:rPr>
          <w:rFonts w:hint="eastAsia" w:ascii="Times New Roman" w:hAnsi="Times New Roman" w:eastAsia="仿宋_GB2312" w:cs="Times New Roman"/>
          <w:color w:val="auto"/>
          <w:sz w:val="32"/>
          <w:szCs w:val="32"/>
          <w:highlight w:val="none"/>
          <w:lang w:val="en-US" w:eastAsia="zh-CN"/>
        </w:rPr>
        <w:t>0</w:t>
      </w:r>
    </w:p>
    <w:p>
      <w:pPr>
        <w:pStyle w:val="11"/>
        <w:keepNext w:val="0"/>
        <w:keepLines w:val="0"/>
        <w:pageBreakBefore w:val="0"/>
        <w:widowControl/>
        <w:tabs>
          <w:tab w:val="right" w:leader="dot" w:pos="8839"/>
          <w:tab w:val="clear" w:pos="8296"/>
        </w:tabs>
        <w:kinsoku w:val="0"/>
        <w:wordWrap/>
        <w:overflowPunct/>
        <w:topLinePunct w:val="0"/>
        <w:autoSpaceDE w:val="0"/>
        <w:autoSpaceDN w:val="0"/>
        <w:bidi w:val="0"/>
        <w:adjustRightInd w:val="0"/>
        <w:snapToGrid w:val="0"/>
        <w:spacing w:line="570" w:lineRule="exac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_Toc9401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黑体" w:cs="Times New Roman"/>
          <w:bCs w:val="0"/>
          <w:sz w:val="32"/>
          <w:szCs w:val="32"/>
          <w:highlight w:val="none"/>
        </w:rPr>
        <w:t>第</w:t>
      </w:r>
      <w:r>
        <w:rPr>
          <w:rFonts w:hint="default" w:ascii="Times New Roman" w:hAnsi="Times New Roman" w:eastAsia="黑体" w:cs="Times New Roman"/>
          <w:bCs w:val="0"/>
          <w:sz w:val="32"/>
          <w:szCs w:val="32"/>
          <w:highlight w:val="none"/>
          <w:lang w:eastAsia="zh-CN"/>
        </w:rPr>
        <w:t>三</w:t>
      </w:r>
      <w:r>
        <w:rPr>
          <w:rFonts w:hint="default" w:ascii="Times New Roman" w:hAnsi="Times New Roman" w:eastAsia="黑体" w:cs="Times New Roman"/>
          <w:bCs w:val="0"/>
          <w:sz w:val="32"/>
          <w:szCs w:val="32"/>
          <w:highlight w:val="none"/>
        </w:rPr>
        <w:t>部分</w:t>
      </w:r>
      <w:r>
        <w:rPr>
          <w:rFonts w:hint="default" w:ascii="Times New Roman" w:hAnsi="Times New Roman" w:eastAsia="黑体" w:cs="Times New Roman"/>
          <w:bCs w:val="0"/>
          <w:sz w:val="32"/>
          <w:szCs w:val="32"/>
          <w:highlight w:val="none"/>
          <w:lang w:val="en-US" w:eastAsia="zh-CN"/>
        </w:rPr>
        <w:t xml:space="preserve">  </w:t>
      </w:r>
      <w:r>
        <w:rPr>
          <w:rFonts w:hint="default" w:ascii="Times New Roman" w:hAnsi="Times New Roman" w:eastAsia="黑体" w:cs="Times New Roman"/>
          <w:bCs w:val="0"/>
          <w:sz w:val="32"/>
          <w:szCs w:val="32"/>
          <w:highlight w:val="none"/>
        </w:rPr>
        <w:t>名词解释</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_Toc9401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color w:val="auto"/>
          <w:sz w:val="32"/>
          <w:szCs w:val="32"/>
          <w:highlight w:val="none"/>
        </w:rPr>
        <w:fldChar w:fldCharType="end"/>
      </w:r>
    </w:p>
    <w:p>
      <w:pPr>
        <w:pStyle w:val="11"/>
        <w:keepNext w:val="0"/>
        <w:keepLines w:val="0"/>
        <w:pageBreakBefore w:val="0"/>
        <w:widowControl/>
        <w:tabs>
          <w:tab w:val="right" w:leader="dot" w:pos="8839"/>
          <w:tab w:val="clear" w:pos="8296"/>
        </w:tabs>
        <w:kinsoku w:val="0"/>
        <w:wordWrap/>
        <w:overflowPunct/>
        <w:topLinePunct w:val="0"/>
        <w:autoSpaceDE w:val="0"/>
        <w:autoSpaceDN w:val="0"/>
        <w:bidi w:val="0"/>
        <w:adjustRightInd w:val="0"/>
        <w:snapToGrid w:val="0"/>
        <w:spacing w:line="570" w:lineRule="exact"/>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_Toc23770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黑体" w:cs="Times New Roman"/>
          <w:bCs w:val="0"/>
          <w:sz w:val="32"/>
          <w:szCs w:val="32"/>
          <w:highlight w:val="none"/>
        </w:rPr>
        <w:t>第四部分</w:t>
      </w:r>
      <w:r>
        <w:rPr>
          <w:rFonts w:hint="default" w:ascii="Times New Roman" w:hAnsi="Times New Roman" w:eastAsia="黑体" w:cs="Times New Roman"/>
          <w:bCs w:val="0"/>
          <w:sz w:val="32"/>
          <w:szCs w:val="32"/>
          <w:highlight w:val="none"/>
          <w:lang w:val="en-US" w:eastAsia="zh-CN"/>
        </w:rPr>
        <w:t xml:space="preserve"> </w:t>
      </w:r>
      <w:r>
        <w:rPr>
          <w:rFonts w:hint="default" w:ascii="Times New Roman" w:hAnsi="Times New Roman" w:eastAsia="黑体" w:cs="Times New Roman"/>
          <w:bCs w:val="0"/>
          <w:sz w:val="32"/>
          <w:szCs w:val="32"/>
          <w:highlight w:val="none"/>
        </w:rPr>
        <w:t xml:space="preserve"> 附件</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lang w:val="en-US" w:eastAsia="zh-CN"/>
        </w:rPr>
        <w:t>4</w:t>
      </w:r>
      <w:bookmarkStart w:id="95" w:name="_GoBack"/>
      <w:bookmarkEnd w:id="95"/>
    </w:p>
    <w:p>
      <w:pPr>
        <w:pStyle w:val="11"/>
        <w:keepNext w:val="0"/>
        <w:keepLines w:val="0"/>
        <w:pageBreakBefore w:val="0"/>
        <w:widowControl/>
        <w:tabs>
          <w:tab w:val="right" w:leader="dot" w:pos="8839"/>
          <w:tab w:val="clear" w:pos="8296"/>
        </w:tabs>
        <w:kinsoku w:val="0"/>
        <w:wordWrap/>
        <w:overflowPunct/>
        <w:topLinePunct w:val="0"/>
        <w:autoSpaceDE w:val="0"/>
        <w:autoSpaceDN w:val="0"/>
        <w:bidi w:val="0"/>
        <w:adjustRightInd w:val="0"/>
        <w:snapToGrid w:val="0"/>
        <w:spacing w:line="570" w:lineRule="exact"/>
        <w:textAlignment w:val="baseline"/>
        <w:rPr>
          <w:rFonts w:hint="default" w:ascii="Times New Roman" w:hAnsi="Times New Roman" w:eastAsia="仿宋_GB2312" w:cs="Times New Roman"/>
          <w:lang w:val="en-US" w:eastAsia="zh-CN"/>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_Toc22094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黑体" w:cs="Times New Roman"/>
          <w:bCs w:val="0"/>
          <w:sz w:val="32"/>
          <w:szCs w:val="32"/>
          <w:highlight w:val="none"/>
        </w:rPr>
        <w:t>第五部分</w:t>
      </w:r>
      <w:r>
        <w:rPr>
          <w:rFonts w:hint="default" w:ascii="Times New Roman" w:hAnsi="Times New Roman" w:eastAsia="黑体" w:cs="Times New Roman"/>
          <w:bCs w:val="0"/>
          <w:sz w:val="32"/>
          <w:szCs w:val="32"/>
          <w:highlight w:val="none"/>
          <w:lang w:val="en-US" w:eastAsia="zh-CN"/>
        </w:rPr>
        <w:t xml:space="preserve">  </w:t>
      </w:r>
      <w:r>
        <w:rPr>
          <w:rFonts w:hint="default" w:ascii="Times New Roman" w:hAnsi="Times New Roman" w:eastAsia="黑体" w:cs="Times New Roman"/>
          <w:bCs w:val="0"/>
          <w:sz w:val="32"/>
          <w:szCs w:val="32"/>
          <w:highlight w:val="none"/>
        </w:rPr>
        <w:t>附表</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lang w:val="en-US" w:eastAsia="zh-CN"/>
        </w:rPr>
        <w:t>8</w:t>
      </w:r>
    </w:p>
    <w:p>
      <w:pPr>
        <w:pStyle w:val="11"/>
        <w:keepNext w:val="0"/>
        <w:keepLines w:val="0"/>
        <w:pageBreakBefore w:val="0"/>
        <w:tabs>
          <w:tab w:val="right" w:leader="dot" w:pos="8820"/>
          <w:tab w:val="right" w:pos="9870"/>
          <w:tab w:val="clear" w:pos="8296"/>
        </w:tabs>
        <w:kinsoku/>
        <w:wordWrap/>
        <w:overflowPunct/>
        <w:topLinePunct w:val="0"/>
        <w:autoSpaceDE/>
        <w:autoSpaceDN/>
        <w:bidi w:val="0"/>
        <w:adjustRightInd w:val="0"/>
        <w:snapToGrid w:val="0"/>
        <w:spacing w:before="0" w:line="560" w:lineRule="exact"/>
        <w:ind w:firstLine="560" w:firstLineChars="200"/>
        <w:jc w:val="left"/>
        <w:textAlignment w:val="auto"/>
        <w:rPr>
          <w:rFonts w:hint="default" w:ascii="Times New Roman" w:hAnsi="Times New Roman" w:cs="Times New Roman"/>
          <w:lang w:val="en-US" w:eastAsia="zh-CN"/>
        </w:rPr>
      </w:pPr>
      <w:r>
        <w:rPr>
          <w:rFonts w:hint="default" w:ascii="Times New Roman" w:hAnsi="Times New Roman" w:eastAsia="黑体" w:cs="Times New Roman"/>
          <w:color w:val="auto"/>
          <w:szCs w:val="32"/>
          <w:highlight w:val="none"/>
        </w:rPr>
        <w:fldChar w:fldCharType="end"/>
      </w:r>
      <w:r>
        <w:rPr>
          <w:rFonts w:hint="default" w:ascii="Times New Roman" w:hAnsi="Times New Roman" w:eastAsia="仿宋_GB2312" w:cs="Times New Roman"/>
          <w:color w:val="auto"/>
          <w:sz w:val="32"/>
          <w:szCs w:val="32"/>
          <w:highlight w:val="none"/>
        </w:rPr>
        <w:t>一、收入支出决算总表</w:t>
      </w:r>
    </w:p>
    <w:p>
      <w:pPr>
        <w:pStyle w:val="12"/>
        <w:keepNext w:val="0"/>
        <w:keepLines w:val="0"/>
        <w:pageBreakBefore w:val="0"/>
        <w:widowControl w:val="0"/>
        <w:tabs>
          <w:tab w:val="right" w:leader="dot" w:pos="8820"/>
          <w:tab w:val="right" w:pos="9870"/>
          <w:tab w:val="clear" w:pos="8296"/>
        </w:tabs>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二、收入决算表</w:t>
      </w:r>
    </w:p>
    <w:p>
      <w:pPr>
        <w:pStyle w:val="12"/>
        <w:keepNext w:val="0"/>
        <w:keepLines w:val="0"/>
        <w:pageBreakBefore w:val="0"/>
        <w:widowControl w:val="0"/>
        <w:tabs>
          <w:tab w:val="right" w:leader="dot" w:pos="8820"/>
          <w:tab w:val="right" w:pos="9870"/>
          <w:tab w:val="clear" w:pos="8296"/>
        </w:tabs>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三、支出决算表</w:t>
      </w:r>
    </w:p>
    <w:p>
      <w:pPr>
        <w:pStyle w:val="12"/>
        <w:keepNext w:val="0"/>
        <w:keepLines w:val="0"/>
        <w:pageBreakBefore w:val="0"/>
        <w:widowControl w:val="0"/>
        <w:tabs>
          <w:tab w:val="right" w:leader="dot" w:pos="8820"/>
          <w:tab w:val="right" w:pos="9870"/>
          <w:tab w:val="clear" w:pos="8296"/>
        </w:tabs>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四、财政拨款收入支出决算总表</w:t>
      </w:r>
    </w:p>
    <w:p>
      <w:pPr>
        <w:pStyle w:val="12"/>
        <w:keepNext w:val="0"/>
        <w:keepLines w:val="0"/>
        <w:pageBreakBefore w:val="0"/>
        <w:widowControl w:val="0"/>
        <w:tabs>
          <w:tab w:val="right" w:leader="dot" w:pos="8820"/>
          <w:tab w:val="right" w:pos="9870"/>
          <w:tab w:val="clear" w:pos="8296"/>
        </w:tabs>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五、财政拨款支出决算明细表</w:t>
      </w:r>
    </w:p>
    <w:p>
      <w:pPr>
        <w:pStyle w:val="12"/>
        <w:keepNext w:val="0"/>
        <w:keepLines w:val="0"/>
        <w:pageBreakBefore w:val="0"/>
        <w:widowControl w:val="0"/>
        <w:tabs>
          <w:tab w:val="right" w:leader="dot" w:pos="8820"/>
          <w:tab w:val="right" w:pos="9870"/>
          <w:tab w:val="clear" w:pos="8296"/>
        </w:tabs>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六、一般公共预算财政拨款支出决算表</w:t>
      </w:r>
    </w:p>
    <w:p>
      <w:pPr>
        <w:pStyle w:val="12"/>
        <w:keepNext w:val="0"/>
        <w:keepLines w:val="0"/>
        <w:pageBreakBefore w:val="0"/>
        <w:widowControl w:val="0"/>
        <w:tabs>
          <w:tab w:val="right" w:leader="dot" w:pos="8820"/>
          <w:tab w:val="right" w:pos="9870"/>
          <w:tab w:val="clear" w:pos="8296"/>
        </w:tabs>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七、一般公共预算财政拨款支出决算明细表</w:t>
      </w:r>
    </w:p>
    <w:p>
      <w:pPr>
        <w:pStyle w:val="12"/>
        <w:keepNext w:val="0"/>
        <w:keepLines w:val="0"/>
        <w:pageBreakBefore w:val="0"/>
        <w:widowControl w:val="0"/>
        <w:tabs>
          <w:tab w:val="right" w:leader="dot" w:pos="8820"/>
          <w:tab w:val="right" w:pos="9870"/>
          <w:tab w:val="clear" w:pos="8296"/>
        </w:tabs>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八、一般公共预算财政拨款基本支出决算</w:t>
      </w:r>
      <w:r>
        <w:rPr>
          <w:rFonts w:hint="default" w:ascii="Times New Roman" w:hAnsi="Times New Roman" w:eastAsia="仿宋_GB2312" w:cs="Times New Roman"/>
          <w:color w:val="auto"/>
          <w:sz w:val="32"/>
          <w:szCs w:val="32"/>
          <w:highlight w:val="none"/>
          <w:lang w:eastAsia="zh-CN"/>
        </w:rPr>
        <w:t>明细</w:t>
      </w:r>
      <w:r>
        <w:rPr>
          <w:rFonts w:hint="default" w:ascii="Times New Roman" w:hAnsi="Times New Roman" w:eastAsia="仿宋_GB2312" w:cs="Times New Roman"/>
          <w:color w:val="auto"/>
          <w:sz w:val="32"/>
          <w:szCs w:val="32"/>
          <w:highlight w:val="none"/>
        </w:rPr>
        <w:t>表</w:t>
      </w:r>
    </w:p>
    <w:p>
      <w:pPr>
        <w:pStyle w:val="12"/>
        <w:keepNext w:val="0"/>
        <w:keepLines w:val="0"/>
        <w:pageBreakBefore w:val="0"/>
        <w:widowControl w:val="0"/>
        <w:tabs>
          <w:tab w:val="right" w:leader="dot" w:pos="8820"/>
          <w:tab w:val="right" w:pos="9870"/>
          <w:tab w:val="clear" w:pos="8296"/>
        </w:tabs>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九、一般公共预算财政拨款项目支出决算表</w:t>
      </w:r>
    </w:p>
    <w:p>
      <w:pPr>
        <w:pStyle w:val="12"/>
        <w:keepNext w:val="0"/>
        <w:keepLines w:val="0"/>
        <w:pageBreakBefore w:val="0"/>
        <w:widowControl w:val="0"/>
        <w:tabs>
          <w:tab w:val="right" w:leader="dot" w:pos="8820"/>
          <w:tab w:val="right" w:pos="9870"/>
          <w:tab w:val="clear" w:pos="8296"/>
        </w:tabs>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十、政府性基金预算财政拨款收入支出决算表</w:t>
      </w:r>
    </w:p>
    <w:p>
      <w:pPr>
        <w:pStyle w:val="12"/>
        <w:keepNext w:val="0"/>
        <w:keepLines w:val="0"/>
        <w:pageBreakBefore w:val="0"/>
        <w:widowControl w:val="0"/>
        <w:tabs>
          <w:tab w:val="right" w:leader="dot" w:pos="8820"/>
          <w:tab w:val="right" w:pos="9870"/>
          <w:tab w:val="clear" w:pos="8296"/>
        </w:tabs>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十一、国有资本经营预算财政拨款收入支出决算表</w:t>
      </w:r>
    </w:p>
    <w:p>
      <w:pPr>
        <w:pStyle w:val="12"/>
        <w:keepNext w:val="0"/>
        <w:keepLines w:val="0"/>
        <w:pageBreakBefore w:val="0"/>
        <w:widowControl w:val="0"/>
        <w:tabs>
          <w:tab w:val="right" w:leader="dot" w:pos="8820"/>
          <w:tab w:val="right" w:pos="9870"/>
          <w:tab w:val="clear" w:pos="8296"/>
        </w:tabs>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Times New Roman"/>
          <w:color w:val="auto"/>
          <w:sz w:val="32"/>
          <w:szCs w:val="32"/>
          <w:highlight w:val="none"/>
          <w:lang w:val="en-US"/>
        </w:rPr>
      </w:pPr>
      <w:r>
        <w:rPr>
          <w:rFonts w:hint="default" w:ascii="Times New Roman" w:hAnsi="Times New Roman" w:eastAsia="仿宋_GB2312" w:cs="Times New Roman"/>
          <w:color w:val="auto"/>
          <w:sz w:val="32"/>
          <w:szCs w:val="32"/>
          <w:highlight w:val="none"/>
        </w:rPr>
        <w:t>十二、</w:t>
      </w:r>
      <w:r>
        <w:rPr>
          <w:rFonts w:hint="default" w:ascii="Times New Roman" w:hAnsi="Times New Roman" w:eastAsia="仿宋_GB2312" w:cs="Times New Roman"/>
          <w:color w:val="auto"/>
          <w:sz w:val="32"/>
          <w:szCs w:val="32"/>
          <w:highlight w:val="none"/>
          <w:lang w:val="en-US" w:eastAsia="zh-CN"/>
        </w:rPr>
        <w:t>国有资本经营预算财政拨款支出决算表</w:t>
      </w:r>
    </w:p>
    <w:p>
      <w:pPr>
        <w:pStyle w:val="12"/>
        <w:keepNext w:val="0"/>
        <w:keepLines w:val="0"/>
        <w:pageBreakBefore w:val="0"/>
        <w:widowControl w:val="0"/>
        <w:tabs>
          <w:tab w:val="right" w:leader="dot" w:pos="8820"/>
          <w:tab w:val="right" w:pos="9870"/>
          <w:tab w:val="clear" w:pos="8296"/>
        </w:tabs>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方正小标宋简体" w:cs="Times New Roman"/>
          <w:b w:val="0"/>
          <w:color w:val="auto"/>
          <w:sz w:val="44"/>
          <w:highlight w:val="none"/>
        </w:rPr>
        <w:sectPr>
          <w:pgSz w:w="11900" w:h="16820"/>
          <w:pgMar w:top="2098" w:right="1474" w:bottom="1984" w:left="1587" w:header="0" w:footer="0" w:gutter="0"/>
          <w:pgNumType w:fmt="decimal"/>
          <w:cols w:space="720" w:num="1"/>
        </w:sectPr>
      </w:pPr>
      <w:r>
        <w:rPr>
          <w:rFonts w:hint="default" w:ascii="Times New Roman" w:hAnsi="Times New Roman" w:eastAsia="仿宋_GB2312" w:cs="Times New Roman"/>
          <w:color w:val="auto"/>
          <w:sz w:val="32"/>
          <w:szCs w:val="32"/>
          <w:highlight w:val="none"/>
        </w:rPr>
        <w:t>十三、财政拨款“三公”经费支出决算表</w:t>
      </w:r>
      <w:bookmarkStart w:id="12" w:name="_Toc17814"/>
      <w:bookmarkStart w:id="13" w:name="_Toc15396599"/>
      <w:bookmarkStart w:id="14" w:name="_Toc15377196"/>
    </w:p>
    <w:p>
      <w:pPr>
        <w:pStyle w:val="5"/>
        <w:keepNext/>
        <w:keepLines/>
        <w:pageBreakBefore w:val="0"/>
        <w:widowControl/>
        <w:kinsoku w:val="0"/>
        <w:wordWrap/>
        <w:overflowPunct/>
        <w:topLinePunct w:val="0"/>
        <w:autoSpaceDE w:val="0"/>
        <w:autoSpaceDN w:val="0"/>
        <w:bidi w:val="0"/>
        <w:adjustRightInd w:val="0"/>
        <w:snapToGrid w:val="0"/>
        <w:spacing w:before="0" w:after="0" w:line="600" w:lineRule="exact"/>
        <w:jc w:val="center"/>
        <w:textAlignment w:val="baseline"/>
        <w:rPr>
          <w:rStyle w:val="18"/>
          <w:rFonts w:hint="default" w:ascii="Times New Roman" w:hAnsi="Times New Roman" w:eastAsia="方正小标宋简体" w:cs="Times New Roman"/>
          <w:b/>
          <w:bCs w:val="0"/>
          <w:color w:val="auto"/>
          <w:sz w:val="44"/>
          <w:highlight w:val="none"/>
        </w:rPr>
      </w:pPr>
      <w:r>
        <w:rPr>
          <w:rFonts w:hint="default" w:ascii="Times New Roman" w:hAnsi="Times New Roman" w:eastAsia="方正小标宋简体" w:cs="Times New Roman"/>
          <w:b w:val="0"/>
          <w:color w:val="auto"/>
          <w:sz w:val="44"/>
          <w:highlight w:val="none"/>
        </w:rPr>
        <w:t>第一部分</w:t>
      </w:r>
      <w:r>
        <w:rPr>
          <w:rFonts w:hint="default" w:ascii="Times New Roman" w:hAnsi="Times New Roman" w:eastAsia="方正小标宋简体" w:cs="Times New Roman"/>
          <w:b w:val="0"/>
          <w:color w:val="auto"/>
          <w:sz w:val="44"/>
          <w:highlight w:val="none"/>
          <w:lang w:val="en-US" w:eastAsia="zh-CN"/>
        </w:rPr>
        <w:t xml:space="preserve"> </w:t>
      </w:r>
      <w:r>
        <w:rPr>
          <w:rFonts w:hint="default" w:ascii="Times New Roman" w:hAnsi="Times New Roman" w:eastAsia="方正小标宋简体" w:cs="Times New Roman"/>
          <w:b w:val="0"/>
          <w:color w:val="auto"/>
          <w:sz w:val="44"/>
          <w:highlight w:val="none"/>
        </w:rPr>
        <w:t xml:space="preserve"> </w:t>
      </w:r>
      <w:r>
        <w:rPr>
          <w:rFonts w:hint="default" w:ascii="Times New Roman" w:hAnsi="Times New Roman" w:eastAsia="方正小标宋简体" w:cs="Times New Roman"/>
          <w:b w:val="0"/>
          <w:color w:val="auto"/>
          <w:sz w:val="44"/>
          <w:highlight w:val="none"/>
          <w:lang w:val="en-US" w:eastAsia="zh-CN"/>
        </w:rPr>
        <w:t>单位</w:t>
      </w:r>
      <w:r>
        <w:rPr>
          <w:rStyle w:val="18"/>
          <w:rFonts w:hint="default" w:ascii="Times New Roman" w:hAnsi="Times New Roman" w:eastAsia="方正小标宋简体" w:cs="Times New Roman"/>
          <w:b w:val="0"/>
          <w:bCs w:val="0"/>
          <w:color w:val="auto"/>
          <w:sz w:val="44"/>
          <w:highlight w:val="none"/>
        </w:rPr>
        <w:t>概况</w:t>
      </w:r>
      <w:bookmarkEnd w:id="12"/>
      <w:bookmarkEnd w:id="13"/>
      <w:bookmarkEnd w:id="14"/>
    </w:p>
    <w:p>
      <w:pPr>
        <w:widowControl/>
        <w:jc w:val="left"/>
        <w:rPr>
          <w:rFonts w:hint="default" w:ascii="Times New Roman" w:hAnsi="Times New Roman" w:eastAsia="黑体" w:cs="Times New Roman"/>
          <w:color w:val="auto"/>
          <w:sz w:val="32"/>
          <w:szCs w:val="32"/>
          <w:highlight w:val="none"/>
        </w:rPr>
      </w:pPr>
    </w:p>
    <w:p>
      <w:pPr>
        <w:pStyle w:val="6"/>
        <w:keepNext w:val="0"/>
        <w:keepLines w:val="0"/>
        <w:pageBreakBefore w:val="0"/>
        <w:widowControl w:val="0"/>
        <w:numPr>
          <w:ilvl w:val="0"/>
          <w:numId w:val="1"/>
        </w:numPr>
        <w:kinsoku w:val="0"/>
        <w:wordWrap/>
        <w:overflowPunct/>
        <w:topLinePunct w:val="0"/>
        <w:autoSpaceDE w:val="0"/>
        <w:autoSpaceDN w:val="0"/>
        <w:bidi w:val="0"/>
        <w:adjustRightInd w:val="0"/>
        <w:snapToGrid w:val="0"/>
        <w:spacing w:before="0" w:after="0" w:line="570" w:lineRule="exact"/>
        <w:ind w:firstLine="640" w:firstLineChars="200"/>
        <w:textAlignment w:val="baseline"/>
        <w:rPr>
          <w:rFonts w:hint="default" w:ascii="Times New Roman" w:hAnsi="Times New Roman" w:eastAsia="黑体" w:cs="Times New Roman"/>
          <w:b w:val="0"/>
          <w:bCs w:val="0"/>
          <w:lang w:eastAsia="zh-CN"/>
        </w:rPr>
      </w:pPr>
      <w:bookmarkStart w:id="15" w:name="_Toc10073"/>
      <w:r>
        <w:rPr>
          <w:rFonts w:hint="default" w:ascii="Times New Roman" w:hAnsi="Times New Roman" w:eastAsia="黑体" w:cs="Times New Roman"/>
          <w:b w:val="0"/>
          <w:bCs w:val="0"/>
          <w:lang w:val="en-US" w:eastAsia="zh-CN"/>
        </w:rPr>
        <w:t>主要</w:t>
      </w:r>
      <w:r>
        <w:rPr>
          <w:rFonts w:hint="default" w:ascii="Times New Roman" w:hAnsi="Times New Roman" w:eastAsia="黑体" w:cs="Times New Roman"/>
          <w:b w:val="0"/>
          <w:bCs w:val="0"/>
          <w:lang w:eastAsia="zh-CN"/>
        </w:rPr>
        <w:t>职责</w:t>
      </w:r>
      <w:bookmarkEnd w:id="15"/>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baseline"/>
        <w:rPr>
          <w:rFonts w:hint="default" w:ascii="Times New Roman" w:hAnsi="Times New Roman" w:eastAsia="仿宋_GB2312" w:cs="Times New Roman"/>
          <w:sz w:val="32"/>
          <w:szCs w:val="32"/>
        </w:rPr>
      </w:pPr>
      <w:bookmarkStart w:id="16" w:name="_Toc15396601"/>
      <w:bookmarkStart w:id="17" w:name="_Toc15377200"/>
      <w:r>
        <w:rPr>
          <w:rFonts w:hint="default" w:ascii="Times New Roman" w:hAnsi="Times New Roman" w:eastAsia="仿宋_GB2312" w:cs="Times New Roman"/>
          <w:sz w:val="32"/>
          <w:szCs w:val="32"/>
          <w:lang w:val="en-US" w:eastAsia="zh-CN"/>
        </w:rPr>
        <w:t>按照政治强院、科研立院、人才兴院、开放办院的方针，</w:t>
      </w:r>
      <w:r>
        <w:rPr>
          <w:rFonts w:hint="default" w:ascii="Times New Roman" w:hAnsi="Times New Roman" w:eastAsia="仿宋_GB2312" w:cs="Times New Roman"/>
          <w:sz w:val="32"/>
          <w:szCs w:val="32"/>
          <w:lang w:val="zh-TW" w:eastAsia="zh-TW"/>
        </w:rPr>
        <w:t>开展工业和信息化发展的战略性、综合性、前瞻性重大问题研究</w:t>
      </w:r>
      <w:r>
        <w:rPr>
          <w:rFonts w:hint="default" w:ascii="Times New Roman" w:hAnsi="Times New Roman" w:eastAsia="仿宋_GB2312" w:cs="Times New Roman"/>
          <w:sz w:val="32"/>
          <w:szCs w:val="32"/>
          <w:lang w:val="zh-TW" w:eastAsia="zh-CN"/>
        </w:rPr>
        <w:t>，</w:t>
      </w:r>
      <w:r>
        <w:rPr>
          <w:rFonts w:hint="default" w:ascii="Times New Roman" w:hAnsi="Times New Roman" w:eastAsia="仿宋_GB2312" w:cs="Times New Roman"/>
          <w:sz w:val="32"/>
          <w:szCs w:val="32"/>
          <w:lang w:val="zh-TW" w:eastAsia="zh-TW"/>
        </w:rPr>
        <w:t>承担科技园区建设、高新技术企业培育服务，参与科技园区战略规划、产业发展、政策理论、园区建设、平台运营等研究</w:t>
      </w:r>
      <w:r>
        <w:rPr>
          <w:rFonts w:hint="default" w:ascii="Times New Roman" w:hAnsi="Times New Roman" w:eastAsia="仿宋_GB2312" w:cs="Times New Roman"/>
          <w:sz w:val="32"/>
          <w:szCs w:val="32"/>
          <w:lang w:val="zh-TW" w:eastAsia="zh-CN"/>
        </w:rPr>
        <w:t>。</w:t>
      </w:r>
      <w:r>
        <w:rPr>
          <w:rFonts w:hint="default" w:ascii="Times New Roman" w:hAnsi="Times New Roman" w:eastAsia="仿宋_GB2312" w:cs="Times New Roman"/>
          <w:sz w:val="32"/>
          <w:szCs w:val="32"/>
          <w:lang w:val="en-US" w:eastAsia="zh-CN"/>
        </w:rPr>
        <w:t>打造咨政建言、理论创新、舆论引导、社会服务、产业推进的新型工信智库，</w:t>
      </w:r>
      <w:r>
        <w:rPr>
          <w:rFonts w:hint="default" w:ascii="Times New Roman" w:hAnsi="Times New Roman" w:eastAsia="仿宋_GB2312" w:cs="Times New Roman"/>
          <w:sz w:val="32"/>
          <w:szCs w:val="32"/>
          <w:lang w:val="zh-TW" w:eastAsia="zh-TW"/>
        </w:rPr>
        <w:t>承担宏观经济政策研究、工业行业发展研究、新经济前沿研究、区域经济发展研究、信息产业研究、工业标准信息服务</w:t>
      </w:r>
      <w:r>
        <w:rPr>
          <w:rFonts w:hint="default" w:ascii="Times New Roman" w:hAnsi="Times New Roman" w:eastAsia="仿宋_GB2312" w:cs="Times New Roman"/>
          <w:sz w:val="32"/>
          <w:szCs w:val="32"/>
          <w:lang w:val="zh-TW" w:eastAsia="zh-CN"/>
        </w:rPr>
        <w:t>、</w:t>
      </w:r>
      <w:r>
        <w:rPr>
          <w:rFonts w:hint="default" w:ascii="Times New Roman" w:hAnsi="Times New Roman" w:eastAsia="仿宋_GB2312" w:cs="Times New Roman"/>
          <w:sz w:val="32"/>
          <w:szCs w:val="32"/>
          <w:lang w:val="zh-TW" w:eastAsia="zh-TW"/>
        </w:rPr>
        <w:t>专家智库建设、期刊出版发行、学术交流、公益人才培训等相关工作。是四川工信智库、四川省5G产业联盟</w:t>
      </w:r>
      <w:r>
        <w:rPr>
          <w:rFonts w:hint="default" w:ascii="Times New Roman" w:hAnsi="Times New Roman" w:eastAsia="仿宋_GB2312" w:cs="Times New Roman"/>
          <w:sz w:val="32"/>
          <w:szCs w:val="32"/>
          <w:lang w:val="zh-TW" w:eastAsia="zh-CN"/>
        </w:rPr>
        <w:t>、</w:t>
      </w:r>
      <w:r>
        <w:rPr>
          <w:rFonts w:hint="default" w:ascii="Times New Roman" w:hAnsi="Times New Roman" w:eastAsia="仿宋_GB2312" w:cs="Times New Roman"/>
          <w:sz w:val="32"/>
          <w:szCs w:val="32"/>
          <w:lang w:val="zh-TW" w:eastAsia="zh-TW"/>
        </w:rPr>
        <w:t>四川省地热产业联盟</w:t>
      </w:r>
      <w:r>
        <w:rPr>
          <w:rFonts w:hint="default" w:ascii="Times New Roman" w:hAnsi="Times New Roman" w:eastAsia="仿宋_GB2312" w:cs="Times New Roman"/>
          <w:sz w:val="32"/>
          <w:szCs w:val="32"/>
          <w:lang w:val="en-US" w:eastAsia="zh-CN"/>
        </w:rPr>
        <w:t>和</w:t>
      </w:r>
      <w:r>
        <w:rPr>
          <w:rFonts w:hint="default" w:ascii="Times New Roman" w:hAnsi="Times New Roman" w:eastAsia="仿宋_GB2312" w:cs="Times New Roman"/>
          <w:sz w:val="32"/>
          <w:szCs w:val="32"/>
          <w:lang w:val="zh-TW" w:eastAsia="zh-TW"/>
        </w:rPr>
        <w:t>四川省电子信息标准化技术委员会</w:t>
      </w:r>
      <w:r>
        <w:rPr>
          <w:rFonts w:hint="default" w:ascii="Times New Roman" w:hAnsi="Times New Roman" w:eastAsia="仿宋_GB2312" w:cs="Times New Roman"/>
          <w:sz w:val="32"/>
          <w:szCs w:val="32"/>
          <w:lang w:val="en-US" w:eastAsia="zh-CN"/>
        </w:rPr>
        <w:t>等</w:t>
      </w:r>
      <w:r>
        <w:rPr>
          <w:rFonts w:hint="default" w:ascii="Times New Roman" w:hAnsi="Times New Roman" w:eastAsia="仿宋_GB2312" w:cs="Times New Roman"/>
          <w:sz w:val="32"/>
          <w:szCs w:val="32"/>
          <w:lang w:val="zh-TW" w:eastAsia="zh-TW"/>
        </w:rPr>
        <w:t>的牵头单位，主办有《四川冶金》等刊物</w:t>
      </w:r>
      <w:r>
        <w:rPr>
          <w:rFonts w:hint="default" w:ascii="Times New Roman" w:hAnsi="Times New Roman" w:eastAsia="仿宋_GB2312" w:cs="Times New Roman"/>
          <w:sz w:val="32"/>
          <w:szCs w:val="32"/>
          <w:lang w:val="zh-TW" w:eastAsia="zh-CN"/>
        </w:rPr>
        <w:t>。</w:t>
      </w:r>
      <w:r>
        <w:rPr>
          <w:rFonts w:hint="default" w:ascii="Times New Roman" w:hAnsi="Times New Roman" w:eastAsia="仿宋_GB2312" w:cs="Times New Roman"/>
          <w:sz w:val="32"/>
          <w:szCs w:val="32"/>
          <w:lang w:val="zh-TW" w:eastAsia="zh-TW"/>
        </w:rPr>
        <w:t>以深耕产业细分领域为抓手，开展学术研究，打造工信发展生态</w:t>
      </w:r>
      <w:r>
        <w:rPr>
          <w:rFonts w:hint="default" w:ascii="Times New Roman" w:hAnsi="Times New Roman" w:eastAsia="仿宋_GB2312" w:cs="Times New Roman"/>
          <w:sz w:val="32"/>
          <w:szCs w:val="32"/>
          <w:lang w:val="zh-TW" w:eastAsia="zh-CN"/>
        </w:rPr>
        <w:t>，</w:t>
      </w:r>
      <w:r>
        <w:rPr>
          <w:rFonts w:hint="default" w:ascii="Times New Roman" w:hAnsi="Times New Roman" w:eastAsia="仿宋_GB2312" w:cs="Times New Roman"/>
          <w:sz w:val="32"/>
          <w:szCs w:val="32"/>
          <w:lang w:val="zh-TW" w:eastAsia="zh-TW"/>
        </w:rPr>
        <w:t>助力四川工业和信息化领域产业经济发展。</w:t>
      </w:r>
    </w:p>
    <w:p>
      <w:pPr>
        <w:pStyle w:val="6"/>
        <w:keepNext w:val="0"/>
        <w:keepLines w:val="0"/>
        <w:pageBreakBefore w:val="0"/>
        <w:widowControl w:val="0"/>
        <w:numPr>
          <w:ilvl w:val="0"/>
          <w:numId w:val="1"/>
        </w:numPr>
        <w:kinsoku w:val="0"/>
        <w:wordWrap/>
        <w:overflowPunct/>
        <w:topLinePunct w:val="0"/>
        <w:autoSpaceDE w:val="0"/>
        <w:autoSpaceDN w:val="0"/>
        <w:bidi w:val="0"/>
        <w:adjustRightInd w:val="0"/>
        <w:snapToGrid w:val="0"/>
        <w:spacing w:before="0" w:after="0" w:line="570" w:lineRule="exact"/>
        <w:ind w:firstLine="640" w:firstLineChars="200"/>
        <w:textAlignment w:val="baseline"/>
        <w:rPr>
          <w:rFonts w:hint="default" w:ascii="Times New Roman" w:hAnsi="Times New Roman" w:eastAsia="黑体" w:cs="Times New Roman"/>
          <w:b w:val="0"/>
          <w:bCs w:val="0"/>
          <w:lang w:val="en-US" w:eastAsia="zh-CN"/>
        </w:rPr>
      </w:pPr>
      <w:bookmarkStart w:id="18" w:name="_Toc28408"/>
      <w:r>
        <w:rPr>
          <w:rFonts w:hint="default" w:ascii="Times New Roman" w:hAnsi="Times New Roman" w:eastAsia="黑体" w:cs="Times New Roman"/>
          <w:b w:val="0"/>
          <w:bCs w:val="0"/>
          <w:lang w:val="en-US" w:eastAsia="zh-CN"/>
        </w:rPr>
        <w:t>机构设置</w:t>
      </w:r>
      <w:bookmarkEnd w:id="16"/>
      <w:bookmarkEnd w:id="17"/>
      <w:bookmarkEnd w:id="18"/>
    </w:p>
    <w:p>
      <w:pPr>
        <w:pStyle w:val="13"/>
        <w:keepNext w:val="0"/>
        <w:keepLines w:val="0"/>
        <w:pageBreakBefore w:val="0"/>
        <w:widowControl w:val="0"/>
        <w:suppressLineNumbers w:val="0"/>
        <w:wordWrap/>
        <w:overflowPunct/>
        <w:topLinePunct w:val="0"/>
        <w:bidi w:val="0"/>
        <w:spacing w:beforeAutospacing="0" w:after="0" w:afterAutospacing="0" w:line="570" w:lineRule="exact"/>
        <w:ind w:left="0" w:right="0" w:firstLine="525"/>
        <w:jc w:val="both"/>
        <w:rPr>
          <w:rFonts w:hint="default" w:ascii="Times New Roman" w:hAnsi="Times New Roman" w:eastAsia="仿宋_GB2312" w:cs="Times New Roman"/>
          <w:b w:val="0"/>
          <w:bCs w:val="0"/>
          <w:i w:val="0"/>
          <w:iCs w:val="0"/>
          <w:color w:val="000000"/>
          <w:spacing w:val="0"/>
          <w:w w:val="100"/>
          <w:sz w:val="32"/>
          <w:szCs w:val="32"/>
          <w:vertAlign w:val="baseline"/>
          <w:lang w:val="en-US" w:eastAsia="zh-CN"/>
        </w:rPr>
      </w:pPr>
      <w:r>
        <w:rPr>
          <w:rFonts w:hint="default" w:ascii="Times New Roman" w:hAnsi="Times New Roman" w:eastAsia="仿宋_GB2312" w:cs="Times New Roman"/>
          <w:b w:val="0"/>
          <w:bCs w:val="0"/>
          <w:i w:val="0"/>
          <w:iCs w:val="0"/>
          <w:color w:val="000000"/>
          <w:spacing w:val="0"/>
          <w:w w:val="100"/>
          <w:sz w:val="32"/>
          <w:szCs w:val="32"/>
          <w:vertAlign w:val="baseline"/>
          <w:lang w:val="en-US" w:eastAsia="zh-CN"/>
        </w:rPr>
        <w:t xml:space="preserve">四川省工业和信息化研究院内设机构10个（3部7所），分别为：综合管理部、党群工作部、科研事业部、产业政策研究所、区域经济研究所、工业经济研究所、信息产业研究所、新经济研究所、工业标准研究所、高新技术产业研究所。 </w:t>
      </w:r>
    </w:p>
    <w:p>
      <w:pPr>
        <w:pStyle w:val="13"/>
        <w:keepNext w:val="0"/>
        <w:keepLines w:val="0"/>
        <w:pageBreakBefore w:val="0"/>
        <w:widowControl w:val="0"/>
        <w:suppressLineNumbers w:val="0"/>
        <w:wordWrap/>
        <w:overflowPunct/>
        <w:topLinePunct w:val="0"/>
        <w:bidi w:val="0"/>
        <w:spacing w:beforeAutospacing="0" w:after="0" w:afterAutospacing="0" w:line="570" w:lineRule="exact"/>
        <w:ind w:right="0"/>
        <w:jc w:val="both"/>
        <w:rPr>
          <w:rFonts w:hint="default" w:ascii="Times New Roman" w:hAnsi="Times New Roman" w:eastAsia="仿宋_GB2312" w:cs="Times New Roman"/>
          <w:b w:val="0"/>
          <w:bCs w:val="0"/>
          <w:i w:val="0"/>
          <w:iCs w:val="0"/>
          <w:color w:val="000000"/>
          <w:spacing w:val="0"/>
          <w:w w:val="100"/>
          <w:sz w:val="32"/>
          <w:szCs w:val="32"/>
          <w:vertAlign w:val="baseline"/>
          <w:lang w:val="en-US" w:eastAsia="zh-CN"/>
        </w:rPr>
      </w:pPr>
    </w:p>
    <w:p>
      <w:pPr>
        <w:pStyle w:val="5"/>
        <w:keepNext/>
        <w:keepLines/>
        <w:pageBreakBefore w:val="0"/>
        <w:widowControl/>
        <w:kinsoku w:val="0"/>
        <w:wordWrap/>
        <w:overflowPunct/>
        <w:topLinePunct w:val="0"/>
        <w:autoSpaceDE w:val="0"/>
        <w:autoSpaceDN w:val="0"/>
        <w:bidi w:val="0"/>
        <w:adjustRightInd w:val="0"/>
        <w:snapToGrid w:val="0"/>
        <w:spacing w:before="0" w:after="0" w:line="600" w:lineRule="exact"/>
        <w:jc w:val="center"/>
        <w:textAlignment w:val="baseline"/>
        <w:rPr>
          <w:rFonts w:hint="default" w:ascii="Times New Roman" w:hAnsi="Times New Roman" w:eastAsia="方正小标宋简体" w:cs="Times New Roman"/>
          <w:b w:val="0"/>
          <w:color w:val="auto"/>
          <w:sz w:val="44"/>
          <w:highlight w:val="none"/>
        </w:rPr>
      </w:pPr>
      <w:bookmarkStart w:id="19" w:name="_Toc15377204"/>
      <w:bookmarkStart w:id="20" w:name="_Toc16980"/>
      <w:bookmarkStart w:id="21" w:name="_Toc15396602"/>
      <w:r>
        <w:rPr>
          <w:rFonts w:hint="default" w:ascii="Times New Roman" w:hAnsi="Times New Roman" w:eastAsia="方正小标宋简体" w:cs="Times New Roman"/>
          <w:b w:val="0"/>
          <w:color w:val="auto"/>
          <w:sz w:val="44"/>
          <w:highlight w:val="none"/>
        </w:rPr>
        <w:t>第二部分</w:t>
      </w:r>
      <w:r>
        <w:rPr>
          <w:rFonts w:hint="default" w:ascii="Times New Roman" w:hAnsi="Times New Roman" w:eastAsia="方正小标宋简体" w:cs="Times New Roman"/>
          <w:b w:val="0"/>
          <w:color w:val="auto"/>
          <w:sz w:val="44"/>
          <w:highlight w:val="none"/>
          <w:lang w:val="en-US" w:eastAsia="zh-CN"/>
        </w:rPr>
        <w:t xml:space="preserve"> </w:t>
      </w:r>
      <w:r>
        <w:rPr>
          <w:rFonts w:hint="default" w:ascii="Times New Roman" w:hAnsi="Times New Roman" w:eastAsia="方正小标宋简体" w:cs="Times New Roman"/>
          <w:b w:val="0"/>
          <w:color w:val="auto"/>
          <w:sz w:val="44"/>
          <w:highlight w:val="none"/>
        </w:rPr>
        <w:t xml:space="preserve"> </w:t>
      </w:r>
      <w:r>
        <w:rPr>
          <w:rFonts w:hint="default" w:ascii="Times New Roman" w:hAnsi="Times New Roman" w:eastAsia="方正小标宋简体" w:cs="Times New Roman"/>
          <w:b w:val="0"/>
          <w:color w:val="auto"/>
          <w:sz w:val="44"/>
          <w:highlight w:val="none"/>
          <w:lang w:val="en-US" w:eastAsia="zh-CN"/>
        </w:rPr>
        <w:t>2024年度单位</w:t>
      </w:r>
      <w:r>
        <w:rPr>
          <w:rFonts w:hint="default" w:ascii="Times New Roman" w:hAnsi="Times New Roman" w:eastAsia="方正小标宋简体" w:cs="Times New Roman"/>
          <w:b w:val="0"/>
          <w:color w:val="auto"/>
          <w:sz w:val="44"/>
          <w:highlight w:val="none"/>
        </w:rPr>
        <w:t>决算情况说明</w:t>
      </w:r>
      <w:bookmarkEnd w:id="19"/>
      <w:bookmarkEnd w:id="20"/>
      <w:bookmarkEnd w:id="21"/>
    </w:p>
    <w:p>
      <w:pPr>
        <w:rPr>
          <w:rFonts w:hint="default" w:ascii="Times New Roman" w:hAnsi="Times New Roman" w:cs="Times New Roman"/>
          <w:color w:val="auto"/>
          <w:highlight w:val="none"/>
        </w:rPr>
      </w:pPr>
    </w:p>
    <w:p>
      <w:pPr>
        <w:pStyle w:val="2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19"/>
          <w:rFonts w:hint="default" w:ascii="Times New Roman" w:hAnsi="Times New Roman" w:eastAsia="黑体" w:cs="Times New Roman"/>
          <w:b w:val="0"/>
          <w:color w:val="auto"/>
          <w:highlight w:val="none"/>
        </w:rPr>
      </w:pPr>
      <w:bookmarkStart w:id="22" w:name="_Toc15396603"/>
      <w:bookmarkStart w:id="23" w:name="_Toc14020"/>
      <w:bookmarkStart w:id="24" w:name="_Toc15377205"/>
      <w:r>
        <w:rPr>
          <w:rFonts w:hint="default" w:ascii="Times New Roman" w:hAnsi="Times New Roman" w:eastAsia="黑体" w:cs="Times New Roman"/>
          <w:color w:val="auto"/>
          <w:sz w:val="32"/>
          <w:szCs w:val="32"/>
          <w:highlight w:val="none"/>
          <w:lang w:eastAsia="zh-CN"/>
        </w:rPr>
        <w:t>一、</w:t>
      </w:r>
      <w:r>
        <w:rPr>
          <w:rFonts w:hint="default" w:ascii="Times New Roman" w:hAnsi="Times New Roman" w:eastAsia="黑体" w:cs="Times New Roman"/>
          <w:color w:val="auto"/>
          <w:sz w:val="32"/>
          <w:szCs w:val="32"/>
          <w:highlight w:val="none"/>
        </w:rPr>
        <w:t>收</w:t>
      </w:r>
      <w:r>
        <w:rPr>
          <w:rStyle w:val="19"/>
          <w:rFonts w:hint="default" w:ascii="Times New Roman" w:hAnsi="Times New Roman" w:eastAsia="黑体" w:cs="Times New Roman"/>
          <w:b w:val="0"/>
          <w:color w:val="auto"/>
          <w:highlight w:val="none"/>
        </w:rPr>
        <w:t>入支出决算总体情况说明</w:t>
      </w:r>
      <w:bookmarkEnd w:id="22"/>
      <w:bookmarkEnd w:id="23"/>
      <w:bookmarkEnd w:id="24"/>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zh-TW" w:eastAsia="zh-CN"/>
        </w:rPr>
        <w:t>2024年度收入</w:t>
      </w:r>
      <w:r>
        <w:rPr>
          <w:rFonts w:hint="default" w:ascii="Times New Roman" w:hAnsi="Times New Roman" w:eastAsia="仿宋_GB2312" w:cs="Times New Roman"/>
          <w:sz w:val="32"/>
          <w:szCs w:val="32"/>
          <w:lang w:val="zh-TW" w:eastAsia="zh-TW"/>
        </w:rPr>
        <w:t>、</w:t>
      </w:r>
      <w:r>
        <w:rPr>
          <w:rFonts w:hint="default" w:ascii="Times New Roman" w:hAnsi="Times New Roman" w:eastAsia="仿宋_GB2312" w:cs="Times New Roman"/>
          <w:sz w:val="32"/>
          <w:szCs w:val="32"/>
          <w:lang w:val="zh-TW" w:eastAsia="zh-CN"/>
        </w:rPr>
        <w:t>支出</w:t>
      </w:r>
      <w:r>
        <w:rPr>
          <w:rFonts w:hint="default" w:ascii="Times New Roman" w:hAnsi="Times New Roman" w:eastAsia="仿宋_GB2312" w:cs="Times New Roman"/>
          <w:sz w:val="32"/>
          <w:szCs w:val="32"/>
          <w:lang w:val="zh-TW" w:eastAsia="zh-TW"/>
        </w:rPr>
        <w:t>总计</w:t>
      </w:r>
      <w:r>
        <w:rPr>
          <w:rFonts w:hint="default" w:ascii="Times New Roman" w:hAnsi="Times New Roman" w:eastAsia="仿宋_GB2312" w:cs="Times New Roman"/>
          <w:sz w:val="32"/>
          <w:szCs w:val="32"/>
          <w:lang w:val="zh-TW" w:eastAsia="zh-CN"/>
        </w:rPr>
        <w:t>均为</w:t>
      </w:r>
      <w:r>
        <w:rPr>
          <w:rFonts w:hint="default" w:ascii="Times New Roman" w:hAnsi="Times New Roman" w:eastAsia="仿宋_GB2312" w:cs="Times New Roman"/>
          <w:sz w:val="32"/>
          <w:szCs w:val="32"/>
          <w:lang w:val="zh-TW" w:eastAsia="zh-TW"/>
        </w:rPr>
        <w:t>2676.11万元。与</w:t>
      </w:r>
      <w:r>
        <w:rPr>
          <w:rFonts w:hint="default" w:ascii="Times New Roman" w:hAnsi="Times New Roman" w:eastAsia="仿宋_GB2312" w:cs="Times New Roman"/>
          <w:sz w:val="32"/>
          <w:szCs w:val="32"/>
          <w:lang w:val="zh-TW" w:eastAsia="zh-CN"/>
        </w:rPr>
        <w:t>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zh-TW" w:eastAsia="zh-TW"/>
        </w:rPr>
        <w:t>年</w:t>
      </w:r>
      <w:r>
        <w:rPr>
          <w:rFonts w:hint="default" w:ascii="Times New Roman" w:hAnsi="Times New Roman" w:eastAsia="仿宋_GB2312" w:cs="Times New Roman"/>
          <w:sz w:val="32"/>
          <w:szCs w:val="32"/>
          <w:lang w:val="zh-TW" w:eastAsia="zh-CN"/>
        </w:rPr>
        <w:t>度</w:t>
      </w:r>
      <w:r>
        <w:rPr>
          <w:rFonts w:hint="default" w:ascii="Times New Roman" w:hAnsi="Times New Roman" w:eastAsia="仿宋_GB2312" w:cs="Times New Roman"/>
          <w:sz w:val="32"/>
          <w:szCs w:val="32"/>
          <w:lang w:val="zh-TW" w:eastAsia="zh-TW"/>
        </w:rPr>
        <w:t>相比，</w:t>
      </w:r>
      <w:r>
        <w:rPr>
          <w:rFonts w:hint="default" w:ascii="Times New Roman" w:hAnsi="Times New Roman" w:eastAsia="仿宋_GB2312" w:cs="Times New Roman"/>
          <w:sz w:val="32"/>
          <w:szCs w:val="32"/>
          <w:lang w:val="zh-TW" w:eastAsia="zh-CN"/>
        </w:rPr>
        <w:t>收入</w:t>
      </w:r>
      <w:r>
        <w:rPr>
          <w:rFonts w:hint="default" w:ascii="Times New Roman" w:hAnsi="Times New Roman" w:eastAsia="仿宋_GB2312" w:cs="Times New Roman"/>
          <w:sz w:val="32"/>
          <w:szCs w:val="32"/>
          <w:lang w:val="zh-TW" w:eastAsia="zh-TW"/>
        </w:rPr>
        <w:t>、</w:t>
      </w:r>
      <w:r>
        <w:rPr>
          <w:rFonts w:hint="default" w:ascii="Times New Roman" w:hAnsi="Times New Roman" w:eastAsia="仿宋_GB2312" w:cs="Times New Roman"/>
          <w:sz w:val="32"/>
          <w:szCs w:val="32"/>
          <w:lang w:val="zh-TW" w:eastAsia="zh-CN"/>
        </w:rPr>
        <w:t>支出</w:t>
      </w:r>
      <w:r>
        <w:rPr>
          <w:rFonts w:hint="default" w:ascii="Times New Roman" w:hAnsi="Times New Roman" w:eastAsia="仿宋_GB2312" w:cs="Times New Roman"/>
          <w:sz w:val="32"/>
          <w:szCs w:val="32"/>
          <w:lang w:val="zh-TW" w:eastAsia="zh-TW"/>
        </w:rPr>
        <w:t>总计各增加</w:t>
      </w:r>
      <w:r>
        <w:rPr>
          <w:rFonts w:hint="default" w:ascii="Times New Roman" w:hAnsi="Times New Roman" w:eastAsia="仿宋_GB2312" w:cs="Times New Roman"/>
          <w:sz w:val="32"/>
          <w:szCs w:val="32"/>
          <w:lang w:val="en-US" w:eastAsia="zh-CN"/>
        </w:rPr>
        <w:t>341.98</w:t>
      </w:r>
      <w:r>
        <w:rPr>
          <w:rFonts w:hint="default" w:ascii="Times New Roman" w:hAnsi="Times New Roman" w:eastAsia="仿宋_GB2312" w:cs="Times New Roman"/>
          <w:sz w:val="32"/>
          <w:szCs w:val="32"/>
          <w:lang w:val="zh-TW" w:eastAsia="zh-TW"/>
        </w:rPr>
        <w:t>万元，增长</w:t>
      </w:r>
      <w:r>
        <w:rPr>
          <w:rFonts w:hint="default" w:ascii="Times New Roman" w:hAnsi="Times New Roman" w:eastAsia="仿宋_GB2312" w:cs="Times New Roman"/>
          <w:sz w:val="32"/>
          <w:szCs w:val="32"/>
          <w:lang w:val="en-US" w:eastAsia="zh-CN"/>
        </w:rPr>
        <w:t>14.7</w:t>
      </w:r>
      <w:r>
        <w:rPr>
          <w:rFonts w:hint="default" w:ascii="Times New Roman" w:hAnsi="Times New Roman" w:eastAsia="仿宋_GB2312" w:cs="Times New Roman"/>
          <w:sz w:val="32"/>
          <w:szCs w:val="32"/>
          <w:lang w:val="zh-TW" w:eastAsia="zh-TW"/>
        </w:rPr>
        <w:t>%。主要变动原因是</w:t>
      </w:r>
      <w:r>
        <w:rPr>
          <w:rFonts w:hint="default" w:ascii="Times New Roman" w:hAnsi="Times New Roman" w:eastAsia="仿宋_GB2312" w:cs="Times New Roman"/>
          <w:sz w:val="32"/>
          <w:szCs w:val="32"/>
          <w:lang w:val="en-US" w:eastAsia="zh-CN"/>
        </w:rPr>
        <w:t>2023年底通过公开考试招聘9名工作人员，增加了2024年人员经费支出，另新申请一批职工住房补贴资金。</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eastAsia="仿宋_GB2312" w:cs="Times New Roman"/>
          <w:color w:val="FF0000"/>
          <w:sz w:val="32"/>
          <w:szCs w:val="32"/>
          <w:highlight w:val="none"/>
        </w:rPr>
      </w:pPr>
      <w:r>
        <w:rPr>
          <w:rFonts w:hint="default" w:ascii="Times New Roman" w:hAnsi="Times New Roman" w:cs="Times New Roman"/>
        </w:rPr>
        <w:drawing>
          <wp:inline distT="0" distB="0" distL="114300" distR="114300">
            <wp:extent cx="4826000" cy="2743200"/>
            <wp:effectExtent l="4445" t="4445" r="8255" b="14605"/>
            <wp:docPr id="8"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图1：</w:t>
      </w:r>
      <w:r>
        <w:rPr>
          <w:rFonts w:hint="default" w:ascii="Times New Roman" w:hAnsi="Times New Roman" w:eastAsia="楷体_GB2312" w:cs="Times New Roman"/>
          <w:color w:val="auto"/>
          <w:sz w:val="32"/>
          <w:szCs w:val="32"/>
          <w:highlight w:val="none"/>
          <w:lang w:eastAsia="zh-CN"/>
        </w:rPr>
        <w:t>收入</w:t>
      </w:r>
      <w:r>
        <w:rPr>
          <w:rFonts w:hint="default" w:ascii="Times New Roman" w:hAnsi="Times New Roman" w:eastAsia="楷体_GB2312" w:cs="Times New Roman"/>
          <w:color w:val="auto"/>
          <w:sz w:val="32"/>
          <w:szCs w:val="32"/>
          <w:highlight w:val="none"/>
        </w:rPr>
        <w:t>、</w:t>
      </w:r>
      <w:r>
        <w:rPr>
          <w:rFonts w:hint="default" w:ascii="Times New Roman" w:hAnsi="Times New Roman" w:eastAsia="楷体_GB2312" w:cs="Times New Roman"/>
          <w:color w:val="auto"/>
          <w:sz w:val="32"/>
          <w:szCs w:val="32"/>
          <w:highlight w:val="none"/>
          <w:lang w:eastAsia="zh-CN"/>
        </w:rPr>
        <w:t>支出</w:t>
      </w:r>
      <w:r>
        <w:rPr>
          <w:rFonts w:hint="default" w:ascii="Times New Roman" w:hAnsi="Times New Roman" w:eastAsia="楷体_GB2312" w:cs="Times New Roman"/>
          <w:color w:val="auto"/>
          <w:sz w:val="32"/>
          <w:szCs w:val="32"/>
          <w:highlight w:val="none"/>
        </w:rPr>
        <w:t>决算总计变动情况图</w:t>
      </w:r>
    </w:p>
    <w:p>
      <w:pPr>
        <w:pStyle w:val="2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ascii="Times New Roman" w:hAnsi="Times New Roman" w:eastAsia="黑体" w:cs="Times New Roman"/>
          <w:color w:val="auto"/>
          <w:sz w:val="32"/>
          <w:szCs w:val="32"/>
          <w:highlight w:val="none"/>
          <w:lang w:eastAsia="zh-CN"/>
        </w:rPr>
      </w:pPr>
      <w:bookmarkStart w:id="25" w:name="_Toc15377206"/>
      <w:bookmarkStart w:id="26" w:name="_Toc15396604"/>
      <w:bookmarkStart w:id="27" w:name="_Toc1625"/>
    </w:p>
    <w:p>
      <w:pPr>
        <w:pStyle w:val="2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二、收入决算情况说明</w:t>
      </w:r>
      <w:bookmarkEnd w:id="25"/>
      <w:bookmarkEnd w:id="26"/>
      <w:bookmarkEnd w:id="27"/>
    </w:p>
    <w:p>
      <w:pPr>
        <w:pStyle w:val="2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仿宋_GB2312" w:cs="Times New Roman"/>
          <w:b/>
          <w:bCs/>
          <w:color w:val="auto"/>
          <w:sz w:val="32"/>
          <w:szCs w:val="32"/>
          <w:highlight w:val="yellow"/>
          <w:lang w:eastAsia="zh-CN"/>
        </w:rPr>
      </w:pPr>
      <w:bookmarkStart w:id="28" w:name="_Toc26520"/>
      <w:r>
        <w:rPr>
          <w:rFonts w:hint="default" w:ascii="Times New Roman" w:hAnsi="Times New Roman" w:eastAsia="仿宋_GB2312" w:cs="Times New Roman"/>
          <w:color w:val="auto"/>
          <w:sz w:val="32"/>
          <w:szCs w:val="32"/>
          <w:highlight w:val="none"/>
          <w:lang w:eastAsia="zh-CN"/>
        </w:rPr>
        <w:t>2024年度本年收入合计</w:t>
      </w:r>
      <w:r>
        <w:rPr>
          <w:rFonts w:hint="default" w:ascii="Times New Roman" w:hAnsi="Times New Roman" w:eastAsia="仿宋_GB2312" w:cs="Times New Roman"/>
          <w:sz w:val="32"/>
          <w:szCs w:val="32"/>
        </w:rPr>
        <w:t>2670.65万元，其中：一般公共预算财政拨款收入2670.65</w:t>
      </w:r>
      <w:r>
        <w:rPr>
          <w:rFonts w:hint="default" w:ascii="Times New Roman" w:hAnsi="Times New Roman" w:eastAsia="仿宋_GB2312" w:cs="Times New Roman"/>
          <w:color w:val="auto"/>
          <w:sz w:val="32"/>
          <w:szCs w:val="32"/>
          <w:highlight w:val="none"/>
          <w:lang w:eastAsia="zh-CN"/>
        </w:rPr>
        <w:t>万元，占</w:t>
      </w:r>
      <w:r>
        <w:rPr>
          <w:rFonts w:hint="default" w:ascii="Times New Roman" w:hAnsi="Times New Roman" w:eastAsia="仿宋_GB2312" w:cs="Times New Roman"/>
          <w:sz w:val="32"/>
          <w:szCs w:val="32"/>
        </w:rPr>
        <w:t>100</w:t>
      </w:r>
      <w:r>
        <w:rPr>
          <w:rFonts w:hint="default" w:ascii="Times New Roman" w:hAnsi="Times New Roman" w:eastAsia="仿宋_GB2312" w:cs="Times New Roman"/>
          <w:color w:val="auto"/>
          <w:sz w:val="32"/>
          <w:szCs w:val="32"/>
          <w:highlight w:val="none"/>
          <w:lang w:eastAsia="zh-CN"/>
        </w:rPr>
        <w:t>%；</w:t>
      </w:r>
      <w:bookmarkEnd w:id="28"/>
    </w:p>
    <w:p>
      <w:pPr>
        <w:ind w:firstLine="525" w:firstLineChars="250"/>
        <w:rPr>
          <w:rFonts w:hint="default" w:ascii="Times New Roman" w:hAnsi="Times New Roman" w:eastAsia="仿宋_GB2312" w:cs="Times New Roman"/>
          <w:color w:val="FF0000"/>
          <w:sz w:val="32"/>
          <w:szCs w:val="32"/>
          <w:highlight w:val="none"/>
          <w:lang w:eastAsia="zh-CN"/>
        </w:rPr>
      </w:pPr>
      <w:r>
        <w:rPr>
          <w:rFonts w:hint="default" w:ascii="Times New Roman" w:hAnsi="Times New Roman" w:cs="Times New Roman"/>
        </w:rPr>
        <w:drawing>
          <wp:inline distT="0" distB="0" distL="114300" distR="114300">
            <wp:extent cx="4826000" cy="2743200"/>
            <wp:effectExtent l="4445" t="4445" r="8255" b="14605"/>
            <wp:docPr id="5"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default" w:ascii="Times New Roman" w:hAnsi="Times New Roman" w:eastAsia="楷体_GB2312" w:cs="Times New Roman"/>
          <w:color w:val="auto"/>
          <w:sz w:val="32"/>
          <w:szCs w:val="32"/>
          <w:highlight w:val="none"/>
          <w:lang w:eastAsia="zh-CN"/>
        </w:rPr>
      </w:pPr>
      <w:r>
        <w:rPr>
          <w:rFonts w:hint="default" w:ascii="Times New Roman" w:hAnsi="Times New Roman" w:eastAsia="楷体_GB2312" w:cs="Times New Roman"/>
          <w:color w:val="auto"/>
          <w:sz w:val="32"/>
          <w:szCs w:val="32"/>
          <w:highlight w:val="none"/>
          <w:lang w:eastAsia="zh-CN"/>
        </w:rPr>
        <w:t>图2：收入决算结构图</w:t>
      </w:r>
    </w:p>
    <w:p>
      <w:pPr>
        <w:ind w:firstLine="800" w:firstLineChars="250"/>
        <w:rPr>
          <w:rFonts w:hint="default" w:ascii="Times New Roman" w:hAnsi="Times New Roman" w:eastAsia="仿宋_GB2312" w:cs="Times New Roman"/>
          <w:color w:val="auto"/>
          <w:sz w:val="32"/>
          <w:szCs w:val="32"/>
          <w:highlight w:val="none"/>
          <w:lang w:eastAsia="zh-CN"/>
        </w:rPr>
      </w:pPr>
    </w:p>
    <w:p>
      <w:pPr>
        <w:pStyle w:val="2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19"/>
          <w:rFonts w:hint="default" w:ascii="Times New Roman" w:hAnsi="Times New Roman" w:eastAsia="黑体" w:cs="Times New Roman"/>
          <w:b w:val="0"/>
          <w:color w:val="auto"/>
          <w:highlight w:val="none"/>
        </w:rPr>
      </w:pPr>
      <w:bookmarkStart w:id="29" w:name="_Toc15377207"/>
      <w:bookmarkStart w:id="30" w:name="_Toc15396605"/>
      <w:bookmarkStart w:id="31" w:name="_Toc4049"/>
      <w:r>
        <w:rPr>
          <w:rFonts w:hint="default" w:ascii="Times New Roman" w:hAnsi="Times New Roman" w:eastAsia="黑体" w:cs="Times New Roman"/>
          <w:color w:val="auto"/>
          <w:sz w:val="32"/>
          <w:szCs w:val="32"/>
          <w:highlight w:val="none"/>
          <w:lang w:eastAsia="zh-CN"/>
        </w:rPr>
        <w:t>三、</w:t>
      </w:r>
      <w:r>
        <w:rPr>
          <w:rFonts w:hint="default" w:ascii="Times New Roman" w:hAnsi="Times New Roman" w:eastAsia="黑体" w:cs="Times New Roman"/>
          <w:color w:val="auto"/>
          <w:sz w:val="32"/>
          <w:szCs w:val="32"/>
          <w:highlight w:val="none"/>
        </w:rPr>
        <w:t>支</w:t>
      </w:r>
      <w:r>
        <w:rPr>
          <w:rStyle w:val="19"/>
          <w:rFonts w:hint="default" w:ascii="Times New Roman" w:hAnsi="Times New Roman" w:eastAsia="黑体" w:cs="Times New Roman"/>
          <w:b w:val="0"/>
          <w:color w:val="auto"/>
          <w:highlight w:val="none"/>
        </w:rPr>
        <w:t>出决算情况说明</w:t>
      </w:r>
      <w:bookmarkEnd w:id="29"/>
      <w:bookmarkEnd w:id="30"/>
      <w:bookmarkEnd w:id="31"/>
    </w:p>
    <w:p>
      <w:pPr>
        <w:pStyle w:val="2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仿宋_GB2312" w:cs="Times New Roman"/>
          <w:color w:val="auto"/>
          <w:sz w:val="32"/>
          <w:szCs w:val="32"/>
          <w:highlight w:val="yellow"/>
          <w:lang w:eastAsia="zh-CN"/>
        </w:rPr>
      </w:pPr>
      <w:bookmarkStart w:id="32" w:name="_Toc16248"/>
      <w:r>
        <w:rPr>
          <w:rFonts w:hint="default" w:ascii="Times New Roman" w:hAnsi="Times New Roman" w:eastAsia="仿宋_GB2312" w:cs="Times New Roman"/>
          <w:color w:val="auto"/>
          <w:sz w:val="32"/>
          <w:szCs w:val="32"/>
          <w:highlight w:val="none"/>
          <w:lang w:eastAsia="zh-CN"/>
        </w:rPr>
        <w:t>2024年度本年支出合计</w:t>
      </w:r>
      <w:r>
        <w:rPr>
          <w:rFonts w:hint="default" w:ascii="Times New Roman" w:hAnsi="Times New Roman" w:eastAsia="仿宋_GB2312" w:cs="Times New Roman"/>
          <w:sz w:val="32"/>
          <w:szCs w:val="32"/>
        </w:rPr>
        <w:t>2658.04</w:t>
      </w:r>
      <w:r>
        <w:rPr>
          <w:rFonts w:hint="default" w:ascii="Times New Roman" w:hAnsi="Times New Roman" w:eastAsia="仿宋_GB2312" w:cs="Times New Roman"/>
          <w:color w:val="auto"/>
          <w:sz w:val="32"/>
          <w:szCs w:val="32"/>
          <w:highlight w:val="none"/>
          <w:lang w:eastAsia="zh-CN"/>
        </w:rPr>
        <w:t>万元，其中：基本支出</w:t>
      </w:r>
      <w:r>
        <w:rPr>
          <w:rFonts w:hint="default" w:ascii="Times New Roman" w:hAnsi="Times New Roman" w:eastAsia="仿宋_GB2312" w:cs="Times New Roman"/>
          <w:sz w:val="32"/>
          <w:szCs w:val="32"/>
        </w:rPr>
        <w:t>2471.27</w:t>
      </w:r>
      <w:r>
        <w:rPr>
          <w:rFonts w:hint="default" w:ascii="Times New Roman" w:hAnsi="Times New Roman" w:eastAsia="仿宋_GB2312" w:cs="Times New Roman"/>
          <w:color w:val="auto"/>
          <w:sz w:val="32"/>
          <w:szCs w:val="32"/>
          <w:highlight w:val="none"/>
          <w:lang w:eastAsia="zh-CN"/>
        </w:rPr>
        <w:t>万元，占</w:t>
      </w:r>
      <w:r>
        <w:rPr>
          <w:rFonts w:hint="default" w:ascii="Times New Roman" w:hAnsi="Times New Roman" w:eastAsia="仿宋_GB2312" w:cs="Times New Roman"/>
          <w:sz w:val="32"/>
          <w:szCs w:val="32"/>
        </w:rPr>
        <w:t>9</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color w:val="auto"/>
          <w:sz w:val="32"/>
          <w:szCs w:val="32"/>
          <w:highlight w:val="none"/>
          <w:lang w:eastAsia="zh-CN"/>
        </w:rPr>
        <w:t>%；项目支出</w:t>
      </w:r>
      <w:r>
        <w:rPr>
          <w:rFonts w:hint="default" w:ascii="Times New Roman" w:hAnsi="Times New Roman" w:eastAsia="仿宋_GB2312" w:cs="Times New Roman"/>
          <w:sz w:val="32"/>
          <w:szCs w:val="32"/>
        </w:rPr>
        <w:t>186.76</w:t>
      </w:r>
      <w:r>
        <w:rPr>
          <w:rFonts w:hint="default" w:ascii="Times New Roman" w:hAnsi="Times New Roman" w:eastAsia="仿宋_GB2312" w:cs="Times New Roman"/>
          <w:color w:val="auto"/>
          <w:sz w:val="32"/>
          <w:szCs w:val="32"/>
          <w:highlight w:val="none"/>
          <w:lang w:eastAsia="zh-CN"/>
        </w:rPr>
        <w:t>万元，占</w:t>
      </w:r>
      <w:r>
        <w:rPr>
          <w:rFonts w:hint="default" w:ascii="Times New Roman" w:hAnsi="Times New Roman" w:eastAsia="仿宋_GB2312" w:cs="Times New Roman"/>
          <w:sz w:val="32"/>
          <w:szCs w:val="32"/>
        </w:rPr>
        <w:t>7</w:t>
      </w:r>
      <w:r>
        <w:rPr>
          <w:rFonts w:hint="default" w:ascii="Times New Roman" w:hAnsi="Times New Roman" w:eastAsia="仿宋_GB2312" w:cs="Times New Roman"/>
          <w:color w:val="auto"/>
          <w:sz w:val="32"/>
          <w:szCs w:val="32"/>
          <w:highlight w:val="none"/>
          <w:lang w:eastAsia="zh-CN"/>
        </w:rPr>
        <w:t>%；</w:t>
      </w:r>
      <w:bookmarkEnd w:id="32"/>
    </w:p>
    <w:p>
      <w:pPr>
        <w:rPr>
          <w:rFonts w:hint="default" w:ascii="Times New Roman" w:hAnsi="Times New Roman" w:eastAsia="仿宋_GB2312" w:cs="Times New Roman"/>
          <w:color w:val="FF000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ind w:firstLine="420" w:firstLineChars="200"/>
        <w:jc w:val="center"/>
        <w:textAlignment w:val="auto"/>
        <w:rPr>
          <w:rFonts w:hint="default" w:ascii="Times New Roman" w:hAnsi="Times New Roman" w:cs="Times New Roman"/>
        </w:rPr>
      </w:pPr>
      <w:r>
        <w:rPr>
          <w:rFonts w:hint="default" w:ascii="Times New Roman" w:hAnsi="Times New Roman" w:cs="Times New Roman"/>
        </w:rPr>
        <w:drawing>
          <wp:inline distT="0" distB="0" distL="114300" distR="114300">
            <wp:extent cx="4826000" cy="1714500"/>
            <wp:effectExtent l="4445" t="4445" r="8255" b="1460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default"/>
        </w:rPr>
      </w:pPr>
      <w:r>
        <w:rPr>
          <w:rFonts w:hint="default" w:ascii="Times New Roman" w:hAnsi="Times New Roman" w:eastAsia="楷体_GB2312" w:cs="Times New Roman"/>
          <w:color w:val="auto"/>
          <w:sz w:val="32"/>
          <w:szCs w:val="32"/>
          <w:highlight w:val="none"/>
          <w:lang w:eastAsia="zh-CN"/>
        </w:rPr>
        <w:t>图3：支出决算结构图</w:t>
      </w:r>
      <w:bookmarkStart w:id="33" w:name="_Toc15396606"/>
      <w:bookmarkStart w:id="34" w:name="_Toc15377208"/>
      <w:r>
        <w:rPr>
          <w:rFonts w:hint="default" w:ascii="Times New Roman" w:hAnsi="Times New Roman" w:eastAsia="黑体" w:cs="Times New Roman"/>
          <w:color w:val="auto"/>
          <w:sz w:val="32"/>
          <w:szCs w:val="32"/>
          <w:highlight w:val="none"/>
        </w:rPr>
        <w:br w:type="page"/>
      </w:r>
    </w:p>
    <w:p>
      <w:pPr>
        <w:spacing w:line="600" w:lineRule="exact"/>
        <w:ind w:firstLine="640" w:firstLineChars="200"/>
        <w:outlineLvl w:val="1"/>
        <w:rPr>
          <w:rStyle w:val="19"/>
          <w:rFonts w:hint="default" w:ascii="Times New Roman" w:hAnsi="Times New Roman" w:eastAsia="黑体" w:cs="Times New Roman"/>
          <w:b w:val="0"/>
          <w:color w:val="auto"/>
          <w:highlight w:val="none"/>
        </w:rPr>
      </w:pPr>
      <w:bookmarkStart w:id="35" w:name="_Toc21250"/>
      <w:r>
        <w:rPr>
          <w:rFonts w:hint="default" w:ascii="Times New Roman" w:hAnsi="Times New Roman" w:eastAsia="黑体" w:cs="Times New Roman"/>
          <w:color w:val="auto"/>
          <w:sz w:val="32"/>
          <w:szCs w:val="32"/>
          <w:highlight w:val="none"/>
        </w:rPr>
        <w:t>四、财</w:t>
      </w:r>
      <w:r>
        <w:rPr>
          <w:rStyle w:val="19"/>
          <w:rFonts w:hint="default" w:ascii="Times New Roman" w:hAnsi="Times New Roman" w:eastAsia="黑体" w:cs="Times New Roman"/>
          <w:b w:val="0"/>
          <w:color w:val="auto"/>
          <w:highlight w:val="none"/>
        </w:rPr>
        <w:t>政拨款收入支出决算总体情况说明</w:t>
      </w:r>
      <w:bookmarkEnd w:id="33"/>
      <w:bookmarkEnd w:id="34"/>
      <w:bookmarkEnd w:id="35"/>
    </w:p>
    <w:p>
      <w:pPr>
        <w:keepNext w:val="0"/>
        <w:keepLines w:val="0"/>
        <w:pageBreakBefore w:val="0"/>
        <w:widowControl w:val="0"/>
        <w:kinsoku/>
        <w:wordWrap/>
        <w:overflowPunct/>
        <w:topLinePunct w:val="0"/>
        <w:autoSpaceDE/>
        <w:autoSpaceDN/>
        <w:bidi w:val="0"/>
        <w:adjustRightInd w:val="0"/>
        <w:snapToGrid/>
        <w:spacing w:line="560" w:lineRule="exact"/>
        <w:ind w:firstLine="630" w:firstLineChars="3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cs="Times New Roman"/>
        </w:rPr>
        <w:drawing>
          <wp:anchor distT="0" distB="0" distL="114935" distR="114935" simplePos="0" relativeHeight="251660288" behindDoc="1" locked="0" layoutInCell="1" allowOverlap="1">
            <wp:simplePos x="0" y="0"/>
            <wp:positionH relativeFrom="column">
              <wp:posOffset>159385</wp:posOffset>
            </wp:positionH>
            <wp:positionV relativeFrom="paragraph">
              <wp:posOffset>1921510</wp:posOffset>
            </wp:positionV>
            <wp:extent cx="4826000" cy="2743200"/>
            <wp:effectExtent l="4445" t="4445" r="8255" b="14605"/>
            <wp:wrapTight wrapText="bothSides">
              <wp:wrapPolygon>
                <wp:start x="-20" y="-35"/>
                <wp:lineTo x="-20" y="21565"/>
                <wp:lineTo x="21552" y="21565"/>
                <wp:lineTo x="21552" y="-35"/>
                <wp:lineTo x="-20" y="-35"/>
              </wp:wrapPolygon>
            </wp:wrapTight>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default" w:ascii="Times New Roman" w:hAnsi="Times New Roman" w:eastAsia="仿宋_GB2312" w:cs="Times New Roman"/>
          <w:color w:val="auto"/>
          <w:kern w:val="2"/>
          <w:sz w:val="32"/>
          <w:szCs w:val="32"/>
          <w:highlight w:val="none"/>
          <w:lang w:val="en-US" w:eastAsia="zh-CN" w:bidi="ar-SA"/>
        </w:rPr>
        <w:t>2024年度财政拨款收入、支出总计均为</w:t>
      </w:r>
      <w:r>
        <w:rPr>
          <w:rFonts w:hint="default" w:ascii="Times New Roman" w:hAnsi="Times New Roman" w:eastAsia="仿宋_GB2312" w:cs="Times New Roman"/>
          <w:sz w:val="32"/>
          <w:szCs w:val="32"/>
        </w:rPr>
        <w:t>2676.11</w:t>
      </w:r>
      <w:r>
        <w:rPr>
          <w:rFonts w:hint="default" w:ascii="Times New Roman" w:hAnsi="Times New Roman" w:eastAsia="仿宋_GB2312" w:cs="Times New Roman"/>
          <w:color w:val="auto"/>
          <w:kern w:val="2"/>
          <w:sz w:val="32"/>
          <w:szCs w:val="32"/>
          <w:highlight w:val="none"/>
          <w:lang w:val="en-US" w:eastAsia="zh-CN" w:bidi="ar-SA"/>
        </w:rPr>
        <w:t>万元。与2023年度相比，财政拨款收入总计、支出总计各增加341.98万元，增长14.7%。主要变动原因</w:t>
      </w:r>
      <w:r>
        <w:rPr>
          <w:rFonts w:hint="default" w:ascii="Times New Roman" w:hAnsi="Times New Roman" w:eastAsia="仿宋_GB2312" w:cs="Times New Roman"/>
          <w:color w:val="auto"/>
          <w:sz w:val="32"/>
          <w:szCs w:val="32"/>
          <w:highlight w:val="none"/>
        </w:rPr>
        <w:t>是</w:t>
      </w:r>
      <w:r>
        <w:rPr>
          <w:rFonts w:hint="default" w:ascii="Times New Roman" w:hAnsi="Times New Roman" w:eastAsia="仿宋_GB2312" w:cs="Times New Roman"/>
          <w:color w:val="auto"/>
          <w:sz w:val="32"/>
          <w:szCs w:val="32"/>
          <w:highlight w:val="none"/>
          <w:lang w:val="en-US" w:eastAsia="zh-CN"/>
        </w:rPr>
        <w:t>2023年底通过公开考试招聘9名工作人员，增加了2024年人员经费支出，另新申请一批职工住房补贴资金。</w:t>
      </w:r>
    </w:p>
    <w:p>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default" w:ascii="Times New Roman" w:hAnsi="Times New Roman" w:eastAsia="楷体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lang w:val="en-US" w:eastAsia="zh-CN"/>
        </w:rPr>
        <w:t>图4：财政拨款收、支决算总计变动情况</w:t>
      </w:r>
    </w:p>
    <w:p>
      <w:pPr>
        <w:spacing w:line="600" w:lineRule="exact"/>
        <w:ind w:firstLine="640" w:firstLineChars="200"/>
        <w:outlineLvl w:val="1"/>
        <w:rPr>
          <w:rFonts w:hint="default" w:ascii="Times New Roman" w:hAnsi="Times New Roman" w:eastAsia="黑体" w:cs="Times New Roman"/>
          <w:color w:val="auto"/>
          <w:sz w:val="32"/>
          <w:szCs w:val="32"/>
          <w:highlight w:val="none"/>
        </w:rPr>
      </w:pPr>
      <w:bookmarkStart w:id="36" w:name="_Toc15377209"/>
      <w:bookmarkStart w:id="37" w:name="_Toc15396607"/>
    </w:p>
    <w:p>
      <w:pPr>
        <w:spacing w:line="600" w:lineRule="exact"/>
        <w:ind w:firstLine="640" w:firstLineChars="200"/>
        <w:outlineLvl w:val="1"/>
        <w:rPr>
          <w:rStyle w:val="19"/>
          <w:rFonts w:hint="default" w:ascii="Times New Roman" w:hAnsi="Times New Roman" w:eastAsia="黑体" w:cs="Times New Roman"/>
          <w:b w:val="0"/>
          <w:color w:val="auto"/>
          <w:highlight w:val="none"/>
        </w:rPr>
      </w:pPr>
      <w:bookmarkStart w:id="38" w:name="_Toc7830"/>
      <w:r>
        <w:rPr>
          <w:rFonts w:hint="default" w:ascii="Times New Roman" w:hAnsi="Times New Roman" w:eastAsia="黑体" w:cs="Times New Roman"/>
          <w:color w:val="auto"/>
          <w:sz w:val="32"/>
          <w:szCs w:val="32"/>
          <w:highlight w:val="none"/>
        </w:rPr>
        <w:t>五、</w:t>
      </w:r>
      <w:r>
        <w:rPr>
          <w:rFonts w:hint="default" w:ascii="Times New Roman" w:hAnsi="Times New Roman" w:eastAsia="黑体" w:cs="Times New Roman"/>
          <w:b/>
          <w:color w:val="auto"/>
          <w:sz w:val="32"/>
          <w:szCs w:val="32"/>
          <w:highlight w:val="none"/>
        </w:rPr>
        <w:t>一</w:t>
      </w:r>
      <w:r>
        <w:rPr>
          <w:rStyle w:val="19"/>
          <w:rFonts w:hint="default" w:ascii="Times New Roman" w:hAnsi="Times New Roman" w:eastAsia="黑体" w:cs="Times New Roman"/>
          <w:b w:val="0"/>
          <w:color w:val="auto"/>
          <w:highlight w:val="none"/>
        </w:rPr>
        <w:t>般公共预算财政拨款支出决算情况说明</w:t>
      </w:r>
      <w:bookmarkEnd w:id="36"/>
      <w:bookmarkEnd w:id="37"/>
      <w:bookmarkEnd w:id="38"/>
    </w:p>
    <w:p>
      <w:pPr>
        <w:spacing w:line="600" w:lineRule="exact"/>
        <w:ind w:firstLine="642" w:firstLineChars="200"/>
        <w:outlineLvl w:val="2"/>
        <w:rPr>
          <w:rFonts w:hint="default" w:ascii="Times New Roman" w:hAnsi="Times New Roman" w:eastAsia="楷体_GB2312" w:cs="Times New Roman"/>
          <w:b w:val="0"/>
          <w:bCs/>
          <w:color w:val="auto"/>
          <w:sz w:val="32"/>
          <w:szCs w:val="32"/>
          <w:highlight w:val="none"/>
        </w:rPr>
      </w:pPr>
      <w:bookmarkStart w:id="39" w:name="_Toc15377210"/>
      <w:bookmarkStart w:id="40" w:name="_Toc8246"/>
      <w:r>
        <w:rPr>
          <w:rFonts w:hint="default" w:ascii="Times New Roman" w:hAnsi="Times New Roman" w:eastAsia="楷体_GB2312" w:cs="Times New Roman"/>
          <w:b/>
          <w:bCs w:val="0"/>
          <w:color w:val="auto"/>
          <w:sz w:val="32"/>
          <w:szCs w:val="32"/>
          <w:highlight w:val="none"/>
        </w:rPr>
        <w:t>（一）一般公共预算财政拨款支出决算总体情况</w:t>
      </w:r>
      <w:bookmarkEnd w:id="39"/>
      <w:bookmarkEnd w:id="40"/>
    </w:p>
    <w:p>
      <w:pPr>
        <w:spacing w:line="600" w:lineRule="exact"/>
        <w:ind w:firstLine="640"/>
        <w:rPr>
          <w:rFonts w:hint="default" w:ascii="Times New Roman" w:hAnsi="Times New Roman" w:eastAsia="仿宋_GB2312" w:cs="Times New Roman"/>
          <w:color w:val="FF0000"/>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2024年度一般公共预算财政拨款支出</w:t>
      </w:r>
      <w:r>
        <w:rPr>
          <w:rFonts w:hint="default" w:ascii="Times New Roman" w:hAnsi="Times New Roman" w:eastAsia="仿宋_GB2312" w:cs="Times New Roman"/>
          <w:sz w:val="32"/>
          <w:szCs w:val="32"/>
        </w:rPr>
        <w:t>2658.04</w:t>
      </w:r>
      <w:r>
        <w:rPr>
          <w:rFonts w:hint="default" w:ascii="Times New Roman" w:hAnsi="Times New Roman" w:eastAsia="仿宋_GB2312" w:cs="Times New Roman"/>
          <w:color w:val="auto"/>
          <w:kern w:val="2"/>
          <w:sz w:val="32"/>
          <w:szCs w:val="32"/>
          <w:highlight w:val="none"/>
          <w:lang w:val="en-US" w:eastAsia="zh-CN" w:bidi="ar-SA"/>
        </w:rPr>
        <w:t>万元，占本年支出合计的</w:t>
      </w:r>
      <w:r>
        <w:rPr>
          <w:rFonts w:hint="default" w:ascii="Times New Roman" w:hAnsi="Times New Roman" w:eastAsia="仿宋_GB2312" w:cs="Times New Roman"/>
          <w:color w:val="auto"/>
          <w:sz w:val="32"/>
          <w:szCs w:val="32"/>
        </w:rPr>
        <w:t>100</w:t>
      </w:r>
      <w:r>
        <w:rPr>
          <w:rFonts w:hint="default" w:ascii="Times New Roman" w:hAnsi="Times New Roman" w:eastAsia="仿宋_GB2312" w:cs="Times New Roman"/>
          <w:color w:val="auto"/>
          <w:kern w:val="2"/>
          <w:sz w:val="32"/>
          <w:szCs w:val="32"/>
          <w:highlight w:val="none"/>
          <w:lang w:val="en-US" w:eastAsia="zh-CN" w:bidi="ar-SA"/>
        </w:rPr>
        <w:t>%。与2023年度相比，一般公共预算财政拨款支出增加323.91万元，增长13.9%。主要变动原因是</w:t>
      </w:r>
      <w:r>
        <w:rPr>
          <w:rFonts w:hint="default" w:ascii="Times New Roman" w:hAnsi="Times New Roman" w:eastAsia="仿宋_GB2312" w:cs="Times New Roman"/>
          <w:color w:val="auto"/>
          <w:sz w:val="32"/>
          <w:szCs w:val="32"/>
          <w:highlight w:val="none"/>
          <w:lang w:val="en-US" w:eastAsia="zh-CN"/>
        </w:rPr>
        <w:t>2023年底通过公开考试招聘9名工作人员，增加了2024年人员经费支出，另新申请一批职工住房补贴资金。</w:t>
      </w:r>
    </w:p>
    <w:p>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default" w:ascii="Times New Roman" w:hAnsi="Times New Roman" w:eastAsia="楷体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lang w:val="en-US" w:eastAsia="zh-CN"/>
        </w:rPr>
        <w:drawing>
          <wp:anchor distT="0" distB="0" distL="114300" distR="114300" simplePos="0" relativeHeight="251661312" behindDoc="0" locked="0" layoutInCell="1" allowOverlap="1">
            <wp:simplePos x="0" y="0"/>
            <wp:positionH relativeFrom="column">
              <wp:posOffset>351790</wp:posOffset>
            </wp:positionH>
            <wp:positionV relativeFrom="paragraph">
              <wp:posOffset>126365</wp:posOffset>
            </wp:positionV>
            <wp:extent cx="4826000" cy="2743200"/>
            <wp:effectExtent l="4445" t="4445" r="8255" b="14605"/>
            <wp:wrapTopAndBottom/>
            <wp:docPr id="9"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default" w:ascii="Times New Roman" w:hAnsi="Times New Roman" w:eastAsia="楷体_GB2312" w:cs="Times New Roman"/>
          <w:color w:val="auto"/>
          <w:sz w:val="32"/>
          <w:szCs w:val="32"/>
          <w:highlight w:val="none"/>
          <w:lang w:val="en-US" w:eastAsia="zh-CN"/>
        </w:rPr>
        <w:t>图5：一般公共预算财政拨款支出决算变动情况</w:t>
      </w:r>
    </w:p>
    <w:p>
      <w:pPr>
        <w:spacing w:line="600" w:lineRule="exact"/>
        <w:ind w:firstLine="640" w:firstLineChars="200"/>
        <w:outlineLvl w:val="2"/>
        <w:rPr>
          <w:rFonts w:hint="default" w:ascii="Times New Roman" w:hAnsi="Times New Roman" w:eastAsia="楷体_GB2312" w:cs="Times New Roman"/>
          <w:b w:val="0"/>
          <w:bCs/>
          <w:color w:val="auto"/>
          <w:sz w:val="32"/>
          <w:szCs w:val="32"/>
          <w:highlight w:val="none"/>
        </w:rPr>
      </w:pPr>
      <w:bookmarkStart w:id="41" w:name="_Toc15377211"/>
    </w:p>
    <w:p>
      <w:pPr>
        <w:spacing w:line="600" w:lineRule="exact"/>
        <w:ind w:firstLine="642" w:firstLineChars="200"/>
        <w:outlineLvl w:val="2"/>
        <w:rPr>
          <w:rFonts w:hint="default" w:ascii="Times New Roman" w:hAnsi="Times New Roman" w:eastAsia="楷体_GB2312" w:cs="Times New Roman"/>
          <w:b w:val="0"/>
          <w:bCs/>
          <w:color w:val="auto"/>
          <w:sz w:val="32"/>
          <w:szCs w:val="32"/>
          <w:highlight w:val="none"/>
        </w:rPr>
      </w:pPr>
      <w:bookmarkStart w:id="42" w:name="_Toc18800"/>
      <w:r>
        <w:rPr>
          <w:rFonts w:hint="default" w:ascii="Times New Roman" w:hAnsi="Times New Roman" w:eastAsia="楷体_GB2312" w:cs="Times New Roman"/>
          <w:b/>
          <w:bCs w:val="0"/>
          <w:color w:val="auto"/>
          <w:sz w:val="32"/>
          <w:szCs w:val="32"/>
          <w:highlight w:val="none"/>
        </w:rPr>
        <w:t>（二）一般公共预算财政拨款支出决算结构情况</w:t>
      </w:r>
      <w:bookmarkEnd w:id="41"/>
      <w:bookmarkEnd w:id="42"/>
    </w:p>
    <w:p>
      <w:pPr>
        <w:keepNext w:val="0"/>
        <w:keepLines w:val="0"/>
        <w:pageBreakBefore w:val="0"/>
        <w:widowControl w:val="0"/>
        <w:kinsoku/>
        <w:wordWrap/>
        <w:overflowPunct/>
        <w:topLinePunct w:val="0"/>
        <w:autoSpaceDE/>
        <w:autoSpaceDN/>
        <w:bidi w:val="0"/>
        <w:adjustRightInd w:val="0"/>
        <w:snapToGrid/>
        <w:spacing w:line="580" w:lineRule="exact"/>
        <w:ind w:firstLine="641"/>
        <w:textAlignment w:val="auto"/>
        <w:rPr>
          <w:rFonts w:hint="default" w:ascii="Times New Roman" w:hAnsi="Times New Roman" w:eastAsia="仿宋_GB2312" w:cs="Times New Roman"/>
          <w:b/>
          <w:color w:val="auto"/>
          <w:sz w:val="32"/>
          <w:szCs w:val="32"/>
          <w:highlight w:val="none"/>
        </w:rPr>
      </w:pPr>
      <w:r>
        <w:rPr>
          <w:rFonts w:hint="default" w:ascii="Times New Roman" w:hAnsi="Times New Roman" w:eastAsia="仿宋_GB2312" w:cs="Times New Roman"/>
          <w:color w:val="auto"/>
          <w:kern w:val="2"/>
          <w:sz w:val="32"/>
          <w:szCs w:val="32"/>
          <w:highlight w:val="none"/>
          <w:lang w:val="en-US" w:eastAsia="zh-CN" w:bidi="ar-SA"/>
        </w:rPr>
        <w:t>2024年度一般公共预算财政拨款支出</w:t>
      </w:r>
      <w:r>
        <w:rPr>
          <w:rFonts w:hint="default" w:ascii="Times New Roman" w:hAnsi="Times New Roman" w:eastAsia="仿宋_GB2312" w:cs="Times New Roman"/>
          <w:sz w:val="32"/>
          <w:szCs w:val="32"/>
        </w:rPr>
        <w:t>2658.04</w:t>
      </w:r>
      <w:r>
        <w:rPr>
          <w:rFonts w:hint="default" w:ascii="Times New Roman" w:hAnsi="Times New Roman" w:eastAsia="仿宋_GB2312" w:cs="Times New Roman"/>
          <w:color w:val="auto"/>
          <w:kern w:val="2"/>
          <w:sz w:val="32"/>
          <w:szCs w:val="32"/>
          <w:highlight w:val="none"/>
          <w:lang w:val="en-US" w:eastAsia="zh-CN" w:bidi="ar-SA"/>
        </w:rPr>
        <w:t>万元，主要用于以下方面：教育支出3万元，占0.1%；科学技术支出84.97万元，占3.2%；社会保障和就业支出250.99万元，占9.4%；卫生健康支出103.23万元，占3.9%；住房保障支出288.74万元，占10.9%；</w:t>
      </w:r>
      <w:r>
        <w:rPr>
          <w:rFonts w:hint="default" w:ascii="Times New Roman" w:hAnsi="Times New Roman" w:eastAsia="仿宋_GB2312" w:cs="Times New Roman"/>
          <w:b w:val="0"/>
          <w:bCs w:val="0"/>
          <w:color w:val="auto"/>
          <w:sz w:val="32"/>
          <w:szCs w:val="32"/>
          <w:highlight w:val="none"/>
        </w:rPr>
        <w:t>资源勘探工业信息等支出</w:t>
      </w:r>
      <w:r>
        <w:rPr>
          <w:rFonts w:hint="default" w:ascii="Times New Roman" w:hAnsi="Times New Roman" w:eastAsia="仿宋_GB2312" w:cs="Times New Roman"/>
          <w:b w:val="0"/>
          <w:bCs w:val="0"/>
          <w:color w:val="auto"/>
          <w:sz w:val="32"/>
          <w:szCs w:val="32"/>
          <w:highlight w:val="none"/>
          <w:lang w:val="en-US" w:eastAsia="zh-CN"/>
        </w:rPr>
        <w:t>1927.11</w:t>
      </w:r>
      <w:r>
        <w:rPr>
          <w:rFonts w:hint="default" w:ascii="Times New Roman" w:hAnsi="Times New Roman" w:eastAsia="仿宋_GB2312" w:cs="Times New Roman"/>
          <w:b w:val="0"/>
          <w:bCs w:val="0"/>
          <w:color w:val="auto"/>
          <w:sz w:val="32"/>
          <w:szCs w:val="32"/>
          <w:highlight w:val="none"/>
        </w:rPr>
        <w:t>，</w:t>
      </w:r>
      <w:r>
        <w:rPr>
          <w:rFonts w:hint="default" w:ascii="Times New Roman" w:hAnsi="Times New Roman" w:eastAsia="仿宋_GB2312" w:cs="Times New Roman"/>
          <w:color w:val="auto"/>
          <w:sz w:val="32"/>
          <w:szCs w:val="32"/>
          <w:highlight w:val="none"/>
        </w:rPr>
        <w:t>占</w:t>
      </w:r>
      <w:r>
        <w:rPr>
          <w:rFonts w:hint="default" w:ascii="Times New Roman" w:hAnsi="Times New Roman" w:eastAsia="仿宋_GB2312" w:cs="Times New Roman"/>
          <w:color w:val="auto"/>
          <w:sz w:val="32"/>
          <w:szCs w:val="32"/>
          <w:highlight w:val="none"/>
          <w:lang w:val="en-US" w:eastAsia="zh-CN"/>
        </w:rPr>
        <w:t>72.5</w:t>
      </w:r>
      <w:r>
        <w:rPr>
          <w:rFonts w:hint="default" w:ascii="Times New Roman" w:hAnsi="Times New Roman" w:eastAsia="仿宋_GB2312" w:cs="Times New Roman"/>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default" w:ascii="Times New Roman" w:hAnsi="Times New Roman" w:eastAsia="楷体_GB2312" w:cs="Times New Roman"/>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default" w:ascii="Times New Roman" w:hAnsi="Times New Roman" w:eastAsia="楷体_GB2312" w:cs="Times New Roman"/>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default" w:ascii="Times New Roman" w:hAnsi="Times New Roman" w:eastAsia="楷体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lang w:val="en-US" w:eastAsia="zh-CN"/>
        </w:rPr>
        <w:drawing>
          <wp:anchor distT="0" distB="0" distL="114300" distR="114300" simplePos="0" relativeHeight="251662336" behindDoc="0" locked="0" layoutInCell="1" allowOverlap="1">
            <wp:simplePos x="0" y="0"/>
            <wp:positionH relativeFrom="column">
              <wp:posOffset>439420</wp:posOffset>
            </wp:positionH>
            <wp:positionV relativeFrom="paragraph">
              <wp:posOffset>-106045</wp:posOffset>
            </wp:positionV>
            <wp:extent cx="4826000" cy="2743200"/>
            <wp:effectExtent l="4445" t="4445" r="8255" b="14605"/>
            <wp:wrapTopAndBottom/>
            <wp:docPr id="10"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default" w:ascii="Times New Roman" w:hAnsi="Times New Roman" w:eastAsia="楷体_GB2312" w:cs="Times New Roman"/>
          <w:color w:val="auto"/>
          <w:sz w:val="32"/>
          <w:szCs w:val="32"/>
          <w:highlight w:val="none"/>
          <w:lang w:val="en-US" w:eastAsia="zh-CN"/>
        </w:rPr>
        <w:t>图6：一般公共预算财政拨款支出决算结构</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p>
    <w:p>
      <w:pPr>
        <w:spacing w:line="600" w:lineRule="exact"/>
        <w:ind w:firstLine="642" w:firstLineChars="200"/>
        <w:outlineLvl w:val="2"/>
        <w:rPr>
          <w:rFonts w:hint="default" w:ascii="Times New Roman" w:hAnsi="Times New Roman" w:eastAsia="楷体_GB2312" w:cs="Times New Roman"/>
          <w:b/>
          <w:bCs w:val="0"/>
          <w:color w:val="auto"/>
          <w:sz w:val="32"/>
          <w:szCs w:val="32"/>
          <w:highlight w:val="none"/>
        </w:rPr>
      </w:pPr>
      <w:bookmarkStart w:id="43" w:name="_Toc15377212"/>
      <w:bookmarkStart w:id="44" w:name="_Toc29159"/>
      <w:r>
        <w:rPr>
          <w:rFonts w:hint="default" w:ascii="Times New Roman" w:hAnsi="Times New Roman" w:eastAsia="楷体_GB2312" w:cs="Times New Roman"/>
          <w:b/>
          <w:bCs w:val="0"/>
          <w:color w:val="auto"/>
          <w:sz w:val="32"/>
          <w:szCs w:val="32"/>
          <w:highlight w:val="none"/>
        </w:rPr>
        <w:t>（三）一般公共预算财政拨款支出决算具体情况</w:t>
      </w:r>
      <w:bookmarkEnd w:id="43"/>
      <w:bookmarkEnd w:id="44"/>
    </w:p>
    <w:p>
      <w:pPr>
        <w:keepNext w:val="0"/>
        <w:keepLines w:val="0"/>
        <w:pageBreakBefore w:val="0"/>
        <w:widowControl w:val="0"/>
        <w:kinsoku/>
        <w:wordWrap/>
        <w:overflowPunct/>
        <w:topLinePunct w:val="0"/>
        <w:autoSpaceDE/>
        <w:bidi w:val="0"/>
        <w:adjustRightInd w:val="0"/>
        <w:spacing w:line="570" w:lineRule="exact"/>
        <w:ind w:firstLine="640"/>
        <w:rPr>
          <w:rFonts w:hint="default" w:ascii="Times New Roman" w:hAnsi="Times New Roman" w:eastAsia="仿宋_GB2312" w:cs="Times New Roman"/>
          <w:color w:val="auto"/>
          <w:kern w:val="2"/>
          <w:sz w:val="32"/>
          <w:szCs w:val="32"/>
          <w:highlight w:val="none"/>
          <w:lang w:val="en-US" w:eastAsia="zh-CN" w:bidi="ar-SA"/>
        </w:rPr>
      </w:pPr>
      <w:bookmarkStart w:id="45" w:name="_Toc15378460"/>
      <w:bookmarkStart w:id="46" w:name="_Toc15377213"/>
      <w:bookmarkStart w:id="47" w:name="_Toc15377444"/>
      <w:r>
        <w:rPr>
          <w:rFonts w:hint="default" w:ascii="Times New Roman" w:hAnsi="Times New Roman" w:eastAsia="仿宋_GB2312" w:cs="Times New Roman"/>
          <w:color w:val="auto"/>
          <w:kern w:val="2"/>
          <w:sz w:val="32"/>
          <w:szCs w:val="32"/>
          <w:highlight w:val="none"/>
          <w:lang w:val="en-US" w:eastAsia="zh-CN" w:bidi="ar-SA"/>
        </w:rPr>
        <w:t>2024年度一般公共预算财政拨款支出决算数为</w:t>
      </w:r>
      <w:r>
        <w:rPr>
          <w:rFonts w:hint="default" w:ascii="Times New Roman" w:hAnsi="Times New Roman" w:eastAsia="仿宋_GB2312" w:cs="Times New Roman"/>
          <w:sz w:val="32"/>
          <w:szCs w:val="32"/>
        </w:rPr>
        <w:t>2658.04</w:t>
      </w:r>
      <w:r>
        <w:rPr>
          <w:rFonts w:hint="default" w:ascii="Times New Roman" w:hAnsi="Times New Roman" w:eastAsia="仿宋_GB2312" w:cs="Times New Roman"/>
          <w:color w:val="auto"/>
          <w:kern w:val="2"/>
          <w:sz w:val="32"/>
          <w:szCs w:val="32"/>
          <w:highlight w:val="none"/>
          <w:lang w:val="en-US" w:eastAsia="zh-CN" w:bidi="ar-SA"/>
        </w:rPr>
        <w:t>，完成预算99.2%。其中：</w:t>
      </w:r>
      <w:bookmarkEnd w:id="45"/>
      <w:bookmarkEnd w:id="46"/>
      <w:bookmarkEnd w:id="47"/>
    </w:p>
    <w:p>
      <w:pPr>
        <w:keepNext w:val="0"/>
        <w:keepLines w:val="0"/>
        <w:pageBreakBefore w:val="0"/>
        <w:widowControl w:val="0"/>
        <w:kinsoku/>
        <w:wordWrap/>
        <w:overflowPunct/>
        <w:topLinePunct w:val="0"/>
        <w:autoSpaceDE/>
        <w:bidi w:val="0"/>
        <w:adjustRightInd w:val="0"/>
        <w:snapToGrid/>
        <w:spacing w:line="570" w:lineRule="exact"/>
        <w:ind w:firstLine="640" w:firstLineChars="200"/>
        <w:textAlignment w:val="auto"/>
        <w:rPr>
          <w:rFonts w:hint="default" w:ascii="Times New Roman" w:hAnsi="Times New Roman" w:eastAsia="仿宋_GB2312" w:cs="Times New Roman"/>
          <w:b w:val="0"/>
          <w:bCs w:val="0"/>
          <w:color w:val="auto"/>
          <w:sz w:val="32"/>
          <w:szCs w:val="32"/>
          <w:highlight w:val="none"/>
        </w:rPr>
      </w:pPr>
      <w:r>
        <w:rPr>
          <w:rStyle w:val="16"/>
          <w:rFonts w:hint="default" w:ascii="Times New Roman" w:hAnsi="Times New Roman" w:eastAsia="仿宋_GB2312" w:cs="Times New Roman"/>
          <w:b w:val="0"/>
          <w:bCs w:val="0"/>
          <w:color w:val="auto"/>
          <w:sz w:val="32"/>
          <w:szCs w:val="32"/>
          <w:highlight w:val="none"/>
          <w:lang w:val="en-US" w:eastAsia="zh-CN"/>
        </w:rPr>
        <w:t>1</w:t>
      </w:r>
      <w:r>
        <w:rPr>
          <w:rStyle w:val="16"/>
          <w:rFonts w:hint="default" w:ascii="Times New Roman" w:hAnsi="Times New Roman" w:eastAsia="仿宋_GB2312" w:cs="Times New Roman"/>
          <w:b w:val="0"/>
          <w:bCs w:val="0"/>
          <w:color w:val="auto"/>
          <w:sz w:val="32"/>
          <w:szCs w:val="32"/>
          <w:highlight w:val="none"/>
        </w:rPr>
        <w:t>.教育</w:t>
      </w:r>
      <w:r>
        <w:rPr>
          <w:rStyle w:val="16"/>
          <w:rFonts w:hint="default" w:ascii="Times New Roman" w:hAnsi="Times New Roman" w:eastAsia="仿宋_GB2312" w:cs="Times New Roman"/>
          <w:b w:val="0"/>
          <w:bCs w:val="0"/>
          <w:color w:val="auto"/>
          <w:sz w:val="32"/>
          <w:szCs w:val="32"/>
          <w:highlight w:val="none"/>
          <w:lang w:val="en-US" w:eastAsia="zh-CN"/>
        </w:rPr>
        <w:t>支出</w:t>
      </w:r>
      <w:r>
        <w:rPr>
          <w:rStyle w:val="16"/>
          <w:rFonts w:hint="default" w:ascii="Times New Roman" w:hAnsi="Times New Roman" w:eastAsia="仿宋_GB2312" w:cs="Times New Roman"/>
          <w:b w:val="0"/>
          <w:bCs w:val="0"/>
          <w:color w:val="auto"/>
          <w:sz w:val="32"/>
          <w:szCs w:val="32"/>
          <w:highlight w:val="none"/>
        </w:rPr>
        <w:t>（类）进修及培训（款）培训支出（项）:支出决算为</w:t>
      </w:r>
      <w:r>
        <w:rPr>
          <w:rStyle w:val="16"/>
          <w:rFonts w:hint="default" w:ascii="Times New Roman" w:hAnsi="Times New Roman" w:eastAsia="仿宋_GB2312" w:cs="Times New Roman"/>
          <w:b w:val="0"/>
          <w:bCs w:val="0"/>
          <w:color w:val="auto"/>
          <w:sz w:val="32"/>
          <w:szCs w:val="32"/>
          <w:highlight w:val="none"/>
          <w:lang w:val="en-US" w:eastAsia="zh-CN"/>
        </w:rPr>
        <w:t>3</w:t>
      </w:r>
      <w:r>
        <w:rPr>
          <w:rStyle w:val="16"/>
          <w:rFonts w:hint="default" w:ascii="Times New Roman" w:hAnsi="Times New Roman" w:eastAsia="仿宋_GB2312" w:cs="Times New Roman"/>
          <w:b w:val="0"/>
          <w:bCs w:val="0"/>
          <w:color w:val="auto"/>
          <w:sz w:val="32"/>
          <w:szCs w:val="32"/>
          <w:highlight w:val="none"/>
        </w:rPr>
        <w:t>万元，完成预算</w:t>
      </w:r>
      <w:r>
        <w:rPr>
          <w:rStyle w:val="16"/>
          <w:rFonts w:hint="default" w:ascii="Times New Roman" w:hAnsi="Times New Roman" w:eastAsia="仿宋_GB2312" w:cs="Times New Roman"/>
          <w:b w:val="0"/>
          <w:bCs w:val="0"/>
          <w:color w:val="auto"/>
          <w:sz w:val="32"/>
          <w:szCs w:val="32"/>
          <w:highlight w:val="none"/>
          <w:lang w:val="en-US" w:eastAsia="zh-CN"/>
        </w:rPr>
        <w:t>100</w:t>
      </w:r>
      <w:r>
        <w:rPr>
          <w:rStyle w:val="16"/>
          <w:rFonts w:hint="default" w:ascii="Times New Roman" w:hAnsi="Times New Roman" w:eastAsia="仿宋_GB2312" w:cs="Times New Roman"/>
          <w:b w:val="0"/>
          <w:bCs w:val="0"/>
          <w:color w:val="auto"/>
          <w:sz w:val="32"/>
          <w:szCs w:val="32"/>
          <w:highlight w:val="none"/>
        </w:rPr>
        <w:t>%。</w:t>
      </w:r>
    </w:p>
    <w:p>
      <w:pPr>
        <w:keepNext w:val="0"/>
        <w:keepLines w:val="0"/>
        <w:pageBreakBefore w:val="0"/>
        <w:widowControl w:val="0"/>
        <w:kinsoku/>
        <w:wordWrap/>
        <w:overflowPunct/>
        <w:topLinePunct w:val="0"/>
        <w:autoSpaceDE/>
        <w:bidi w:val="0"/>
        <w:adjustRightInd w:val="0"/>
        <w:snapToGrid/>
        <w:spacing w:line="570" w:lineRule="exact"/>
        <w:ind w:firstLine="640" w:firstLineChars="200"/>
        <w:textAlignment w:val="auto"/>
        <w:rPr>
          <w:rStyle w:val="16"/>
          <w:rFonts w:hint="default" w:ascii="Times New Roman" w:hAnsi="Times New Roman" w:eastAsia="仿宋_GB2312" w:cs="Times New Roman"/>
          <w:b w:val="0"/>
          <w:bCs w:val="0"/>
          <w:color w:val="auto"/>
          <w:sz w:val="32"/>
          <w:szCs w:val="32"/>
          <w:highlight w:val="none"/>
        </w:rPr>
      </w:pPr>
      <w:r>
        <w:rPr>
          <w:rStyle w:val="16"/>
          <w:rFonts w:hint="default" w:ascii="Times New Roman" w:hAnsi="Times New Roman" w:eastAsia="仿宋_GB2312" w:cs="Times New Roman"/>
          <w:b w:val="0"/>
          <w:bCs w:val="0"/>
          <w:color w:val="auto"/>
          <w:sz w:val="32"/>
          <w:szCs w:val="32"/>
          <w:highlight w:val="none"/>
          <w:lang w:val="en-US" w:eastAsia="zh-CN"/>
        </w:rPr>
        <w:t>2</w:t>
      </w:r>
      <w:r>
        <w:rPr>
          <w:rStyle w:val="16"/>
          <w:rFonts w:hint="default" w:ascii="Times New Roman" w:hAnsi="Times New Roman" w:eastAsia="仿宋_GB2312" w:cs="Times New Roman"/>
          <w:b w:val="0"/>
          <w:bCs w:val="0"/>
          <w:color w:val="auto"/>
          <w:sz w:val="32"/>
          <w:szCs w:val="32"/>
          <w:highlight w:val="none"/>
        </w:rPr>
        <w:t>.科学技术（类）其他科学技术支出（款）其他科学技术支出（项）:支出决算为</w:t>
      </w:r>
      <w:r>
        <w:rPr>
          <w:rStyle w:val="16"/>
          <w:rFonts w:hint="default" w:ascii="Times New Roman" w:hAnsi="Times New Roman" w:eastAsia="仿宋_GB2312" w:cs="Times New Roman"/>
          <w:b w:val="0"/>
          <w:bCs w:val="0"/>
          <w:color w:val="auto"/>
          <w:sz w:val="32"/>
          <w:szCs w:val="32"/>
          <w:highlight w:val="none"/>
          <w:lang w:val="en-US" w:eastAsia="zh-CN"/>
        </w:rPr>
        <w:t>84.97</w:t>
      </w:r>
      <w:r>
        <w:rPr>
          <w:rStyle w:val="16"/>
          <w:rFonts w:hint="default" w:ascii="Times New Roman" w:hAnsi="Times New Roman" w:eastAsia="仿宋_GB2312" w:cs="Times New Roman"/>
          <w:b w:val="0"/>
          <w:bCs w:val="0"/>
          <w:color w:val="auto"/>
          <w:sz w:val="32"/>
          <w:szCs w:val="32"/>
          <w:highlight w:val="none"/>
        </w:rPr>
        <w:t>万元，完成预算</w:t>
      </w:r>
      <w:r>
        <w:rPr>
          <w:rStyle w:val="16"/>
          <w:rFonts w:hint="default" w:ascii="Times New Roman" w:hAnsi="Times New Roman" w:eastAsia="仿宋_GB2312" w:cs="Times New Roman"/>
          <w:b w:val="0"/>
          <w:bCs w:val="0"/>
          <w:color w:val="auto"/>
          <w:sz w:val="32"/>
          <w:szCs w:val="32"/>
          <w:highlight w:val="none"/>
          <w:lang w:val="en-US" w:eastAsia="zh-CN"/>
        </w:rPr>
        <w:t>82.1</w:t>
      </w:r>
      <w:r>
        <w:rPr>
          <w:rStyle w:val="16"/>
          <w:rFonts w:hint="default" w:ascii="Times New Roman" w:hAnsi="Times New Roman" w:eastAsia="仿宋_GB2312" w:cs="Times New Roman"/>
          <w:b w:val="0"/>
          <w:bCs w:val="0"/>
          <w:color w:val="auto"/>
          <w:sz w:val="32"/>
          <w:szCs w:val="32"/>
          <w:highlight w:val="none"/>
        </w:rPr>
        <w:t>%，决算数小于预算数的主要原因是</w:t>
      </w:r>
      <w:r>
        <w:rPr>
          <w:rStyle w:val="16"/>
          <w:rFonts w:hint="default" w:ascii="Times New Roman" w:hAnsi="Times New Roman" w:eastAsia="仿宋_GB2312" w:cs="Times New Roman"/>
          <w:b w:val="0"/>
          <w:bCs w:val="0"/>
          <w:color w:val="auto"/>
          <w:sz w:val="32"/>
          <w:szCs w:val="32"/>
          <w:highlight w:val="none"/>
          <w:lang w:val="en-US" w:eastAsia="zh-CN"/>
        </w:rPr>
        <w:t>单位少量课题研究项目预算不精确，经费结转至下一年度使用</w:t>
      </w:r>
      <w:r>
        <w:rPr>
          <w:rStyle w:val="16"/>
          <w:rFonts w:hint="default" w:ascii="Times New Roman" w:hAnsi="Times New Roman" w:eastAsia="仿宋_GB2312" w:cs="Times New Roman"/>
          <w:b w:val="0"/>
          <w:bCs w:val="0"/>
          <w:color w:val="auto"/>
          <w:sz w:val="32"/>
          <w:szCs w:val="32"/>
          <w:highlight w:val="none"/>
        </w:rPr>
        <w:t>。</w:t>
      </w:r>
    </w:p>
    <w:p>
      <w:pPr>
        <w:keepNext w:val="0"/>
        <w:keepLines w:val="0"/>
        <w:pageBreakBefore w:val="0"/>
        <w:widowControl w:val="0"/>
        <w:kinsoku/>
        <w:wordWrap/>
        <w:overflowPunct/>
        <w:topLinePunct w:val="0"/>
        <w:autoSpaceDE/>
        <w:bidi w:val="0"/>
        <w:adjustRightInd w:val="0"/>
        <w:snapToGrid/>
        <w:spacing w:line="570" w:lineRule="exact"/>
        <w:ind w:firstLine="640" w:firstLineChars="200"/>
        <w:textAlignment w:val="auto"/>
        <w:rPr>
          <w:rStyle w:val="16"/>
          <w:rFonts w:hint="default" w:ascii="Times New Roman" w:hAnsi="Times New Roman" w:eastAsia="仿宋_GB2312" w:cs="Times New Roman"/>
          <w:b w:val="0"/>
          <w:bCs w:val="0"/>
          <w:color w:val="auto"/>
          <w:sz w:val="32"/>
          <w:szCs w:val="32"/>
          <w:highlight w:val="none"/>
        </w:rPr>
      </w:pPr>
      <w:r>
        <w:rPr>
          <w:rStyle w:val="16"/>
          <w:rFonts w:hint="default" w:ascii="Times New Roman" w:hAnsi="Times New Roman" w:eastAsia="仿宋_GB2312" w:cs="Times New Roman"/>
          <w:b w:val="0"/>
          <w:bCs w:val="0"/>
          <w:color w:val="auto"/>
          <w:sz w:val="32"/>
          <w:szCs w:val="32"/>
          <w:highlight w:val="none"/>
          <w:lang w:val="en-US" w:eastAsia="zh-CN"/>
        </w:rPr>
        <w:t>3</w:t>
      </w:r>
      <w:r>
        <w:rPr>
          <w:rStyle w:val="16"/>
          <w:rFonts w:hint="default" w:ascii="Times New Roman" w:hAnsi="Times New Roman" w:eastAsia="仿宋_GB2312" w:cs="Times New Roman"/>
          <w:b w:val="0"/>
          <w:bCs w:val="0"/>
          <w:color w:val="auto"/>
          <w:sz w:val="32"/>
          <w:szCs w:val="32"/>
          <w:highlight w:val="none"/>
        </w:rPr>
        <w:t>.社会保障和就业（类）行政事业单位养老支出（款）机关事业单位基本养老保险缴费支出（项）:支出决算为</w:t>
      </w:r>
      <w:r>
        <w:rPr>
          <w:rStyle w:val="16"/>
          <w:rFonts w:hint="default" w:ascii="Times New Roman" w:hAnsi="Times New Roman" w:eastAsia="仿宋_GB2312" w:cs="Times New Roman"/>
          <w:b w:val="0"/>
          <w:bCs w:val="0"/>
          <w:color w:val="auto"/>
          <w:sz w:val="32"/>
          <w:szCs w:val="32"/>
          <w:highlight w:val="none"/>
          <w:lang w:val="en-US" w:eastAsia="zh-CN"/>
        </w:rPr>
        <w:t>170.66</w:t>
      </w:r>
      <w:r>
        <w:rPr>
          <w:rStyle w:val="16"/>
          <w:rFonts w:hint="default" w:ascii="Times New Roman" w:hAnsi="Times New Roman" w:eastAsia="仿宋_GB2312" w:cs="Times New Roman"/>
          <w:b w:val="0"/>
          <w:bCs w:val="0"/>
          <w:color w:val="auto"/>
          <w:sz w:val="32"/>
          <w:szCs w:val="32"/>
          <w:highlight w:val="none"/>
        </w:rPr>
        <w:t>万元，完成预算</w:t>
      </w:r>
      <w:r>
        <w:rPr>
          <w:rStyle w:val="16"/>
          <w:rFonts w:hint="default" w:ascii="Times New Roman" w:hAnsi="Times New Roman" w:eastAsia="仿宋_GB2312" w:cs="Times New Roman"/>
          <w:b w:val="0"/>
          <w:bCs w:val="0"/>
          <w:color w:val="auto"/>
          <w:sz w:val="32"/>
          <w:szCs w:val="32"/>
          <w:highlight w:val="none"/>
          <w:lang w:val="en-US" w:eastAsia="zh-CN"/>
        </w:rPr>
        <w:t>100</w:t>
      </w:r>
      <w:r>
        <w:rPr>
          <w:rStyle w:val="16"/>
          <w:rFonts w:hint="default" w:ascii="Times New Roman" w:hAnsi="Times New Roman" w:eastAsia="仿宋_GB2312" w:cs="Times New Roman"/>
          <w:b w:val="0"/>
          <w:bCs w:val="0"/>
          <w:color w:val="auto"/>
          <w:sz w:val="32"/>
          <w:szCs w:val="32"/>
          <w:highlight w:val="none"/>
        </w:rPr>
        <w:t>%。</w:t>
      </w:r>
    </w:p>
    <w:p>
      <w:pPr>
        <w:keepNext w:val="0"/>
        <w:keepLines w:val="0"/>
        <w:pageBreakBefore w:val="0"/>
        <w:widowControl w:val="0"/>
        <w:kinsoku/>
        <w:wordWrap/>
        <w:overflowPunct/>
        <w:topLinePunct w:val="0"/>
        <w:autoSpaceDE/>
        <w:bidi w:val="0"/>
        <w:adjustRightInd w:val="0"/>
        <w:snapToGrid/>
        <w:spacing w:line="570" w:lineRule="exact"/>
        <w:ind w:firstLine="640" w:firstLineChars="200"/>
        <w:textAlignment w:val="auto"/>
        <w:rPr>
          <w:rStyle w:val="16"/>
          <w:rFonts w:hint="default" w:ascii="Times New Roman" w:hAnsi="Times New Roman" w:eastAsia="仿宋_GB2312" w:cs="Times New Roman"/>
          <w:b w:val="0"/>
          <w:bCs w:val="0"/>
          <w:color w:val="auto"/>
          <w:sz w:val="32"/>
          <w:szCs w:val="32"/>
          <w:highlight w:val="none"/>
        </w:rPr>
      </w:pPr>
      <w:r>
        <w:rPr>
          <w:rStyle w:val="16"/>
          <w:rFonts w:hint="default" w:ascii="Times New Roman" w:hAnsi="Times New Roman" w:eastAsia="仿宋_GB2312" w:cs="Times New Roman"/>
          <w:b w:val="0"/>
          <w:bCs w:val="0"/>
          <w:color w:val="auto"/>
          <w:sz w:val="32"/>
          <w:szCs w:val="32"/>
          <w:highlight w:val="none"/>
          <w:lang w:val="en-US" w:eastAsia="zh-CN"/>
        </w:rPr>
        <w:t>4</w:t>
      </w:r>
      <w:r>
        <w:rPr>
          <w:rStyle w:val="16"/>
          <w:rFonts w:hint="default" w:ascii="Times New Roman" w:hAnsi="Times New Roman" w:eastAsia="仿宋_GB2312" w:cs="Times New Roman"/>
          <w:b w:val="0"/>
          <w:bCs w:val="0"/>
          <w:color w:val="auto"/>
          <w:sz w:val="32"/>
          <w:szCs w:val="32"/>
          <w:highlight w:val="none"/>
        </w:rPr>
        <w:t>.社会保障和就业（类）行政事业单位养老支出（款）机关事业单位职业年金缴费支出（项）:支出决算为</w:t>
      </w:r>
      <w:r>
        <w:rPr>
          <w:rStyle w:val="16"/>
          <w:rFonts w:hint="default" w:ascii="Times New Roman" w:hAnsi="Times New Roman" w:eastAsia="仿宋_GB2312" w:cs="Times New Roman"/>
          <w:b w:val="0"/>
          <w:bCs w:val="0"/>
          <w:color w:val="auto"/>
          <w:sz w:val="32"/>
          <w:szCs w:val="32"/>
          <w:highlight w:val="none"/>
          <w:lang w:val="en-US" w:eastAsia="zh-CN"/>
        </w:rPr>
        <w:t>80.33</w:t>
      </w:r>
      <w:r>
        <w:rPr>
          <w:rStyle w:val="16"/>
          <w:rFonts w:hint="default" w:ascii="Times New Roman" w:hAnsi="Times New Roman" w:eastAsia="仿宋_GB2312" w:cs="Times New Roman"/>
          <w:b w:val="0"/>
          <w:bCs w:val="0"/>
          <w:color w:val="auto"/>
          <w:sz w:val="32"/>
          <w:szCs w:val="32"/>
          <w:highlight w:val="none"/>
        </w:rPr>
        <w:t>万元，完成预算</w:t>
      </w:r>
      <w:r>
        <w:rPr>
          <w:rStyle w:val="16"/>
          <w:rFonts w:hint="default" w:ascii="Times New Roman" w:hAnsi="Times New Roman" w:eastAsia="仿宋_GB2312" w:cs="Times New Roman"/>
          <w:b w:val="0"/>
          <w:bCs w:val="0"/>
          <w:color w:val="auto"/>
          <w:sz w:val="32"/>
          <w:szCs w:val="32"/>
          <w:highlight w:val="none"/>
          <w:lang w:val="en-US" w:eastAsia="zh-CN"/>
        </w:rPr>
        <w:t>100</w:t>
      </w:r>
      <w:r>
        <w:rPr>
          <w:rStyle w:val="16"/>
          <w:rFonts w:hint="default" w:ascii="Times New Roman" w:hAnsi="Times New Roman" w:eastAsia="仿宋_GB2312" w:cs="Times New Roman"/>
          <w:b w:val="0"/>
          <w:bCs w:val="0"/>
          <w:color w:val="auto"/>
          <w:sz w:val="32"/>
          <w:szCs w:val="32"/>
          <w:highlight w:val="none"/>
        </w:rPr>
        <w:t>%。</w:t>
      </w:r>
    </w:p>
    <w:p>
      <w:pPr>
        <w:keepNext w:val="0"/>
        <w:keepLines w:val="0"/>
        <w:pageBreakBefore w:val="0"/>
        <w:widowControl w:val="0"/>
        <w:kinsoku/>
        <w:wordWrap/>
        <w:overflowPunct/>
        <w:topLinePunct w:val="0"/>
        <w:autoSpaceDE/>
        <w:bidi w:val="0"/>
        <w:adjustRightInd w:val="0"/>
        <w:snapToGrid/>
        <w:spacing w:line="570" w:lineRule="exact"/>
        <w:ind w:firstLine="640" w:firstLineChars="200"/>
        <w:textAlignment w:val="auto"/>
        <w:rPr>
          <w:rFonts w:hint="default" w:ascii="Times New Roman" w:hAnsi="Times New Roman" w:eastAsia="仿宋_GB2312" w:cs="Times New Roman"/>
          <w:b w:val="0"/>
          <w:bCs w:val="0"/>
          <w:color w:val="auto"/>
          <w:sz w:val="32"/>
          <w:szCs w:val="32"/>
          <w:highlight w:val="none"/>
        </w:rPr>
      </w:pPr>
      <w:r>
        <w:rPr>
          <w:rStyle w:val="16"/>
          <w:rFonts w:hint="default" w:ascii="Times New Roman" w:hAnsi="Times New Roman" w:eastAsia="仿宋_GB2312" w:cs="Times New Roman"/>
          <w:b w:val="0"/>
          <w:bCs w:val="0"/>
          <w:color w:val="auto"/>
          <w:sz w:val="32"/>
          <w:szCs w:val="32"/>
          <w:highlight w:val="none"/>
          <w:lang w:val="en-US" w:eastAsia="zh-CN"/>
        </w:rPr>
        <w:t>5.</w:t>
      </w:r>
      <w:r>
        <w:rPr>
          <w:rFonts w:hint="default" w:ascii="Times New Roman" w:hAnsi="Times New Roman" w:eastAsia="仿宋_GB2312" w:cs="Times New Roman"/>
          <w:b w:val="0"/>
          <w:bCs w:val="0"/>
          <w:color w:val="auto"/>
          <w:sz w:val="32"/>
          <w:szCs w:val="32"/>
          <w:highlight w:val="none"/>
        </w:rPr>
        <w:t>卫生健康</w:t>
      </w:r>
      <w:r>
        <w:rPr>
          <w:rStyle w:val="16"/>
          <w:rFonts w:hint="default" w:ascii="Times New Roman" w:hAnsi="Times New Roman" w:eastAsia="仿宋_GB2312" w:cs="Times New Roman"/>
          <w:b w:val="0"/>
          <w:bCs w:val="0"/>
          <w:color w:val="auto"/>
          <w:sz w:val="32"/>
          <w:szCs w:val="32"/>
          <w:highlight w:val="none"/>
        </w:rPr>
        <w:t>（类）行政事业单位医疗（款）事业单位医疗（项）:支出决算为</w:t>
      </w:r>
      <w:r>
        <w:rPr>
          <w:rStyle w:val="16"/>
          <w:rFonts w:hint="default" w:ascii="Times New Roman" w:hAnsi="Times New Roman" w:eastAsia="仿宋_GB2312" w:cs="Times New Roman"/>
          <w:b w:val="0"/>
          <w:bCs w:val="0"/>
          <w:color w:val="auto"/>
          <w:sz w:val="32"/>
          <w:szCs w:val="32"/>
          <w:highlight w:val="none"/>
          <w:lang w:val="en-US" w:eastAsia="zh-CN"/>
        </w:rPr>
        <w:t>103.23</w:t>
      </w:r>
      <w:r>
        <w:rPr>
          <w:rStyle w:val="16"/>
          <w:rFonts w:hint="default" w:ascii="Times New Roman" w:hAnsi="Times New Roman" w:eastAsia="仿宋_GB2312" w:cs="Times New Roman"/>
          <w:b w:val="0"/>
          <w:bCs w:val="0"/>
          <w:color w:val="auto"/>
          <w:sz w:val="32"/>
          <w:szCs w:val="32"/>
          <w:highlight w:val="none"/>
        </w:rPr>
        <w:t>万元，完成预算</w:t>
      </w:r>
      <w:r>
        <w:rPr>
          <w:rStyle w:val="16"/>
          <w:rFonts w:hint="default" w:ascii="Times New Roman" w:hAnsi="Times New Roman" w:eastAsia="仿宋_GB2312" w:cs="Times New Roman"/>
          <w:b w:val="0"/>
          <w:bCs w:val="0"/>
          <w:color w:val="auto"/>
          <w:sz w:val="32"/>
          <w:szCs w:val="32"/>
          <w:highlight w:val="none"/>
          <w:lang w:val="en-US" w:eastAsia="zh-CN"/>
        </w:rPr>
        <w:t>100</w:t>
      </w:r>
      <w:r>
        <w:rPr>
          <w:rStyle w:val="16"/>
          <w:rFonts w:hint="default" w:ascii="Times New Roman" w:hAnsi="Times New Roman" w:eastAsia="仿宋_GB2312" w:cs="Times New Roman"/>
          <w:b w:val="0"/>
          <w:bCs w:val="0"/>
          <w:color w:val="auto"/>
          <w:sz w:val="32"/>
          <w:szCs w:val="32"/>
          <w:highlight w:val="none"/>
        </w:rPr>
        <w:t>%。</w:t>
      </w:r>
    </w:p>
    <w:p>
      <w:pPr>
        <w:keepNext w:val="0"/>
        <w:keepLines w:val="0"/>
        <w:pageBreakBefore w:val="0"/>
        <w:widowControl w:val="0"/>
        <w:kinsoku/>
        <w:wordWrap/>
        <w:overflowPunct/>
        <w:topLinePunct w:val="0"/>
        <w:autoSpaceDE/>
        <w:autoSpaceDN/>
        <w:bidi w:val="0"/>
        <w:adjustRightInd w:val="0"/>
        <w:snapToGrid/>
        <w:spacing w:line="570" w:lineRule="exact"/>
        <w:ind w:firstLine="640" w:firstLineChars="200"/>
        <w:textAlignment w:val="auto"/>
        <w:rPr>
          <w:rFonts w:hint="default" w:ascii="Times New Roman" w:hAnsi="Times New Roman" w:eastAsia="仿宋_GB2312" w:cs="Times New Roman"/>
          <w:b w:val="0"/>
          <w:bCs w:val="0"/>
          <w:color w:val="auto"/>
          <w:sz w:val="32"/>
          <w:szCs w:val="32"/>
          <w:highlight w:val="none"/>
        </w:rPr>
      </w:pPr>
      <w:r>
        <w:rPr>
          <w:rStyle w:val="16"/>
          <w:rFonts w:hint="default" w:ascii="Times New Roman" w:hAnsi="Times New Roman" w:eastAsia="仿宋_GB2312" w:cs="Times New Roman"/>
          <w:b w:val="0"/>
          <w:bCs w:val="0"/>
          <w:color w:val="auto"/>
          <w:sz w:val="32"/>
          <w:szCs w:val="32"/>
          <w:highlight w:val="none"/>
          <w:lang w:val="en-US" w:eastAsia="zh-CN"/>
        </w:rPr>
        <w:t>6</w:t>
      </w:r>
      <w:r>
        <w:rPr>
          <w:rStyle w:val="16"/>
          <w:rFonts w:hint="default" w:ascii="Times New Roman" w:hAnsi="Times New Roman" w:eastAsia="仿宋_GB2312" w:cs="Times New Roman"/>
          <w:b w:val="0"/>
          <w:bCs w:val="0"/>
          <w:color w:val="auto"/>
          <w:sz w:val="32"/>
          <w:szCs w:val="32"/>
          <w:highlight w:val="none"/>
        </w:rPr>
        <w:t>.</w:t>
      </w:r>
      <w:r>
        <w:rPr>
          <w:rFonts w:hint="default" w:ascii="Times New Roman" w:hAnsi="Times New Roman" w:eastAsia="仿宋_GB2312" w:cs="Times New Roman"/>
          <w:b w:val="0"/>
          <w:bCs w:val="0"/>
          <w:color w:val="auto"/>
          <w:sz w:val="32"/>
          <w:szCs w:val="32"/>
          <w:highlight w:val="none"/>
        </w:rPr>
        <w:t>资源勘探工业信息等支出</w:t>
      </w:r>
      <w:r>
        <w:rPr>
          <w:rStyle w:val="16"/>
          <w:rFonts w:hint="default" w:ascii="Times New Roman" w:hAnsi="Times New Roman" w:eastAsia="仿宋_GB2312" w:cs="Times New Roman"/>
          <w:b w:val="0"/>
          <w:bCs w:val="0"/>
          <w:color w:val="auto"/>
          <w:sz w:val="32"/>
          <w:szCs w:val="32"/>
          <w:highlight w:val="none"/>
        </w:rPr>
        <w:t>（类）制造业（款）其他制造业支出（项）:支出决算为</w:t>
      </w:r>
      <w:r>
        <w:rPr>
          <w:rStyle w:val="16"/>
          <w:rFonts w:hint="default" w:ascii="Times New Roman" w:hAnsi="Times New Roman" w:eastAsia="仿宋_GB2312" w:cs="Times New Roman"/>
          <w:b w:val="0"/>
          <w:bCs w:val="0"/>
          <w:color w:val="auto"/>
          <w:sz w:val="32"/>
          <w:szCs w:val="32"/>
          <w:highlight w:val="none"/>
          <w:lang w:val="en-US" w:eastAsia="zh-CN"/>
        </w:rPr>
        <w:t>1927.11</w:t>
      </w:r>
      <w:r>
        <w:rPr>
          <w:rStyle w:val="16"/>
          <w:rFonts w:hint="default" w:ascii="Times New Roman" w:hAnsi="Times New Roman" w:eastAsia="仿宋_GB2312" w:cs="Times New Roman"/>
          <w:b w:val="0"/>
          <w:bCs w:val="0"/>
          <w:color w:val="auto"/>
          <w:sz w:val="32"/>
          <w:szCs w:val="32"/>
          <w:highlight w:val="none"/>
        </w:rPr>
        <w:t>万元，完成预算</w:t>
      </w:r>
      <w:r>
        <w:rPr>
          <w:rStyle w:val="16"/>
          <w:rFonts w:hint="default" w:ascii="Times New Roman" w:hAnsi="Times New Roman" w:eastAsia="仿宋_GB2312" w:cs="Times New Roman"/>
          <w:b w:val="0"/>
          <w:bCs w:val="0"/>
          <w:color w:val="auto"/>
          <w:sz w:val="32"/>
          <w:szCs w:val="32"/>
          <w:highlight w:val="none"/>
          <w:lang w:val="en-US" w:eastAsia="zh-CN"/>
        </w:rPr>
        <w:t>99.9</w:t>
      </w:r>
      <w:r>
        <w:rPr>
          <w:rStyle w:val="16"/>
          <w:rFonts w:hint="default" w:ascii="Times New Roman" w:hAnsi="Times New Roman" w:eastAsia="仿宋_GB2312" w:cs="Times New Roman"/>
          <w:b w:val="0"/>
          <w:bCs w:val="0"/>
          <w:color w:val="auto"/>
          <w:sz w:val="32"/>
          <w:szCs w:val="32"/>
          <w:highlight w:val="none"/>
        </w:rPr>
        <w:t>%</w:t>
      </w:r>
      <w:r>
        <w:rPr>
          <w:rStyle w:val="16"/>
          <w:rFonts w:hint="default" w:ascii="Times New Roman" w:hAnsi="Times New Roman" w:eastAsia="仿宋_GB2312" w:cs="Times New Roman"/>
          <w:b w:val="0"/>
          <w:bCs w:val="0"/>
          <w:color w:val="auto"/>
          <w:sz w:val="32"/>
          <w:szCs w:val="32"/>
          <w:highlight w:val="none"/>
          <w:lang w:eastAsia="zh-CN"/>
        </w:rPr>
        <w:t>，</w:t>
      </w:r>
      <w:r>
        <w:rPr>
          <w:rStyle w:val="16"/>
          <w:rFonts w:hint="default" w:ascii="Times New Roman" w:hAnsi="Times New Roman" w:eastAsia="仿宋_GB2312" w:cs="Times New Roman"/>
          <w:b w:val="0"/>
          <w:bCs w:val="0"/>
          <w:color w:val="auto"/>
          <w:sz w:val="32"/>
          <w:szCs w:val="32"/>
          <w:highlight w:val="none"/>
        </w:rPr>
        <w:t>决算数小于预算数</w:t>
      </w:r>
      <w:r>
        <w:rPr>
          <w:rFonts w:hint="default" w:ascii="Times New Roman" w:hAnsi="Times New Roman" w:eastAsia="仿宋_GB2312" w:cs="Times New Roman"/>
          <w:b w:val="0"/>
          <w:bCs w:val="0"/>
          <w:color w:val="auto"/>
          <w:sz w:val="32"/>
          <w:szCs w:val="32"/>
          <w:highlight w:val="none"/>
        </w:rPr>
        <w:t>的主要原因是</w:t>
      </w:r>
      <w:r>
        <w:rPr>
          <w:rFonts w:hint="default" w:ascii="Times New Roman" w:hAnsi="Times New Roman" w:eastAsia="仿宋_GB2312" w:cs="Times New Roman"/>
          <w:b w:val="0"/>
          <w:bCs w:val="0"/>
          <w:color w:val="auto"/>
          <w:sz w:val="32"/>
          <w:szCs w:val="32"/>
          <w:highlight w:val="none"/>
          <w:lang w:val="en-US" w:eastAsia="zh-CN"/>
        </w:rPr>
        <w:t>政府采购的</w:t>
      </w:r>
      <w:r>
        <w:rPr>
          <w:rFonts w:hint="default" w:ascii="Times New Roman" w:hAnsi="Times New Roman" w:eastAsia="仿宋_GB2312" w:cs="Times New Roman"/>
          <w:color w:val="auto"/>
          <w:kern w:val="2"/>
          <w:sz w:val="32"/>
          <w:szCs w:val="32"/>
          <w:highlight w:val="none"/>
          <w:lang w:val="en-US" w:eastAsia="zh-CN" w:bidi="ar-SA"/>
        </w:rPr>
        <w:t>实际支出金额小于预算数。</w:t>
      </w:r>
    </w:p>
    <w:p>
      <w:pPr>
        <w:keepNext w:val="0"/>
        <w:keepLines w:val="0"/>
        <w:pageBreakBefore w:val="0"/>
        <w:widowControl w:val="0"/>
        <w:kinsoku/>
        <w:wordWrap/>
        <w:overflowPunct/>
        <w:topLinePunct w:val="0"/>
        <w:autoSpaceDE/>
        <w:bidi w:val="0"/>
        <w:adjustRightInd w:val="0"/>
        <w:snapToGrid/>
        <w:spacing w:line="570" w:lineRule="exact"/>
        <w:ind w:firstLine="640" w:firstLineChars="200"/>
        <w:textAlignment w:val="auto"/>
        <w:rPr>
          <w:rStyle w:val="16"/>
          <w:rFonts w:hint="default" w:ascii="Times New Roman" w:hAnsi="Times New Roman" w:eastAsia="仿宋_GB2312" w:cs="Times New Roman"/>
          <w:b w:val="0"/>
          <w:bCs w:val="0"/>
          <w:color w:val="auto"/>
          <w:sz w:val="32"/>
          <w:szCs w:val="32"/>
          <w:highlight w:val="none"/>
        </w:rPr>
      </w:pPr>
      <w:r>
        <w:rPr>
          <w:rStyle w:val="16"/>
          <w:rFonts w:hint="default" w:ascii="Times New Roman" w:hAnsi="Times New Roman" w:eastAsia="仿宋_GB2312" w:cs="Times New Roman"/>
          <w:b w:val="0"/>
          <w:bCs w:val="0"/>
          <w:color w:val="auto"/>
          <w:sz w:val="32"/>
          <w:szCs w:val="32"/>
          <w:highlight w:val="none"/>
          <w:lang w:val="en-US" w:eastAsia="zh-CN"/>
        </w:rPr>
        <w:t>7</w:t>
      </w:r>
      <w:r>
        <w:rPr>
          <w:rStyle w:val="16"/>
          <w:rFonts w:hint="default" w:ascii="Times New Roman" w:hAnsi="Times New Roman" w:eastAsia="仿宋_GB2312" w:cs="Times New Roman"/>
          <w:b w:val="0"/>
          <w:bCs w:val="0"/>
          <w:color w:val="auto"/>
          <w:sz w:val="32"/>
          <w:szCs w:val="32"/>
          <w:highlight w:val="none"/>
        </w:rPr>
        <w:t>.</w:t>
      </w:r>
      <w:r>
        <w:rPr>
          <w:rFonts w:hint="default" w:ascii="Times New Roman" w:hAnsi="Times New Roman" w:eastAsia="仿宋_GB2312" w:cs="Times New Roman"/>
          <w:b w:val="0"/>
          <w:bCs w:val="0"/>
          <w:color w:val="auto"/>
          <w:sz w:val="32"/>
          <w:szCs w:val="32"/>
          <w:highlight w:val="none"/>
        </w:rPr>
        <w:t>住房保障支出</w:t>
      </w:r>
      <w:r>
        <w:rPr>
          <w:rStyle w:val="16"/>
          <w:rFonts w:hint="default" w:ascii="Times New Roman" w:hAnsi="Times New Roman" w:eastAsia="仿宋_GB2312" w:cs="Times New Roman"/>
          <w:b w:val="0"/>
          <w:bCs w:val="0"/>
          <w:color w:val="auto"/>
          <w:sz w:val="32"/>
          <w:szCs w:val="32"/>
          <w:highlight w:val="none"/>
        </w:rPr>
        <w:t>（类）住房改革支出（款）住房公积金（项）:支出决算为</w:t>
      </w:r>
      <w:r>
        <w:rPr>
          <w:rFonts w:hint="default" w:ascii="Times New Roman" w:hAnsi="Times New Roman" w:eastAsia="仿宋_GB2312" w:cs="Times New Roman"/>
          <w:color w:val="auto"/>
          <w:kern w:val="2"/>
          <w:sz w:val="32"/>
          <w:szCs w:val="32"/>
          <w:highlight w:val="none"/>
          <w:lang w:val="en-US" w:eastAsia="zh-CN" w:bidi="ar-SA"/>
        </w:rPr>
        <w:t>123.2</w:t>
      </w:r>
      <w:r>
        <w:rPr>
          <w:rStyle w:val="16"/>
          <w:rFonts w:hint="default" w:ascii="Times New Roman" w:hAnsi="Times New Roman" w:eastAsia="仿宋_GB2312" w:cs="Times New Roman"/>
          <w:b w:val="0"/>
          <w:bCs w:val="0"/>
          <w:color w:val="auto"/>
          <w:sz w:val="32"/>
          <w:szCs w:val="32"/>
          <w:highlight w:val="none"/>
        </w:rPr>
        <w:t>万元，完成预算</w:t>
      </w:r>
      <w:r>
        <w:rPr>
          <w:rStyle w:val="16"/>
          <w:rFonts w:hint="default" w:ascii="Times New Roman" w:hAnsi="Times New Roman" w:eastAsia="仿宋_GB2312" w:cs="Times New Roman"/>
          <w:b w:val="0"/>
          <w:bCs w:val="0"/>
          <w:color w:val="auto"/>
          <w:sz w:val="32"/>
          <w:szCs w:val="32"/>
          <w:highlight w:val="none"/>
          <w:lang w:val="en-US" w:eastAsia="zh-CN"/>
        </w:rPr>
        <w:t>100</w:t>
      </w:r>
      <w:r>
        <w:rPr>
          <w:rStyle w:val="16"/>
          <w:rFonts w:hint="default" w:ascii="Times New Roman" w:hAnsi="Times New Roman" w:eastAsia="仿宋_GB2312" w:cs="Times New Roman"/>
          <w:b w:val="0"/>
          <w:bCs w:val="0"/>
          <w:color w:val="auto"/>
          <w:sz w:val="32"/>
          <w:szCs w:val="32"/>
          <w:highlight w:val="none"/>
        </w:rPr>
        <w:t>%。</w:t>
      </w:r>
    </w:p>
    <w:p>
      <w:pPr>
        <w:keepNext w:val="0"/>
        <w:keepLines w:val="0"/>
        <w:pageBreakBefore w:val="0"/>
        <w:widowControl w:val="0"/>
        <w:kinsoku/>
        <w:wordWrap/>
        <w:overflowPunct/>
        <w:topLinePunct w:val="0"/>
        <w:autoSpaceDE/>
        <w:bidi w:val="0"/>
        <w:adjustRightInd w:val="0"/>
        <w:snapToGrid/>
        <w:spacing w:line="570" w:lineRule="exact"/>
        <w:ind w:firstLine="640" w:firstLineChars="200"/>
        <w:textAlignment w:val="auto"/>
        <w:rPr>
          <w:rFonts w:hint="default" w:ascii="Times New Roman" w:hAnsi="Times New Roman" w:cs="Times New Roman"/>
        </w:rPr>
      </w:pPr>
      <w:r>
        <w:rPr>
          <w:rStyle w:val="16"/>
          <w:rFonts w:hint="default" w:ascii="Times New Roman" w:hAnsi="Times New Roman" w:eastAsia="仿宋_GB2312" w:cs="Times New Roman"/>
          <w:b w:val="0"/>
          <w:bCs w:val="0"/>
          <w:color w:val="auto"/>
          <w:sz w:val="32"/>
          <w:szCs w:val="32"/>
          <w:highlight w:val="none"/>
          <w:lang w:val="en-US" w:eastAsia="zh-CN"/>
        </w:rPr>
        <w:t>8</w:t>
      </w:r>
      <w:r>
        <w:rPr>
          <w:rStyle w:val="16"/>
          <w:rFonts w:hint="default" w:ascii="Times New Roman" w:hAnsi="Times New Roman" w:eastAsia="仿宋_GB2312" w:cs="Times New Roman"/>
          <w:b w:val="0"/>
          <w:bCs w:val="0"/>
          <w:color w:val="auto"/>
          <w:sz w:val="32"/>
          <w:szCs w:val="32"/>
          <w:highlight w:val="none"/>
        </w:rPr>
        <w:t>.</w:t>
      </w:r>
      <w:r>
        <w:rPr>
          <w:rFonts w:hint="default" w:ascii="Times New Roman" w:hAnsi="Times New Roman" w:eastAsia="仿宋_GB2312" w:cs="Times New Roman"/>
          <w:b w:val="0"/>
          <w:bCs w:val="0"/>
          <w:color w:val="auto"/>
          <w:sz w:val="32"/>
          <w:szCs w:val="32"/>
          <w:highlight w:val="none"/>
        </w:rPr>
        <w:t>住房保障支出</w:t>
      </w:r>
      <w:r>
        <w:rPr>
          <w:rStyle w:val="16"/>
          <w:rFonts w:hint="default" w:ascii="Times New Roman" w:hAnsi="Times New Roman" w:eastAsia="仿宋_GB2312" w:cs="Times New Roman"/>
          <w:b w:val="0"/>
          <w:bCs w:val="0"/>
          <w:color w:val="auto"/>
          <w:sz w:val="32"/>
          <w:szCs w:val="32"/>
          <w:highlight w:val="none"/>
        </w:rPr>
        <w:t>（类）住房改革支出（款）</w:t>
      </w:r>
      <w:r>
        <w:rPr>
          <w:rStyle w:val="16"/>
          <w:rFonts w:hint="default" w:ascii="Times New Roman" w:hAnsi="Times New Roman" w:eastAsia="仿宋_GB2312" w:cs="Times New Roman"/>
          <w:b w:val="0"/>
          <w:bCs w:val="0"/>
          <w:color w:val="auto"/>
          <w:sz w:val="32"/>
          <w:szCs w:val="32"/>
          <w:highlight w:val="none"/>
          <w:lang w:val="en-US" w:eastAsia="zh-CN"/>
        </w:rPr>
        <w:t>购房补贴</w:t>
      </w:r>
      <w:r>
        <w:rPr>
          <w:rStyle w:val="16"/>
          <w:rFonts w:hint="default" w:ascii="Times New Roman" w:hAnsi="Times New Roman" w:eastAsia="仿宋_GB2312" w:cs="Times New Roman"/>
          <w:b w:val="0"/>
          <w:bCs w:val="0"/>
          <w:color w:val="auto"/>
          <w:sz w:val="32"/>
          <w:szCs w:val="32"/>
          <w:highlight w:val="none"/>
        </w:rPr>
        <w:t>（项）:支出决算为</w:t>
      </w:r>
      <w:r>
        <w:rPr>
          <w:rFonts w:hint="default" w:ascii="Times New Roman" w:hAnsi="Times New Roman" w:eastAsia="仿宋_GB2312" w:cs="Times New Roman"/>
          <w:color w:val="auto"/>
          <w:kern w:val="2"/>
          <w:sz w:val="32"/>
          <w:szCs w:val="32"/>
          <w:highlight w:val="none"/>
          <w:lang w:val="en-US" w:eastAsia="zh-CN" w:bidi="ar-SA"/>
        </w:rPr>
        <w:t>165.54</w:t>
      </w:r>
      <w:r>
        <w:rPr>
          <w:rStyle w:val="16"/>
          <w:rFonts w:hint="default" w:ascii="Times New Roman" w:hAnsi="Times New Roman" w:eastAsia="仿宋_GB2312" w:cs="Times New Roman"/>
          <w:b w:val="0"/>
          <w:bCs w:val="0"/>
          <w:color w:val="auto"/>
          <w:sz w:val="32"/>
          <w:szCs w:val="32"/>
          <w:highlight w:val="none"/>
        </w:rPr>
        <w:t>万元，完成预算</w:t>
      </w:r>
      <w:r>
        <w:rPr>
          <w:rStyle w:val="16"/>
          <w:rFonts w:hint="default" w:ascii="Times New Roman" w:hAnsi="Times New Roman" w:eastAsia="仿宋_GB2312" w:cs="Times New Roman"/>
          <w:b w:val="0"/>
          <w:bCs w:val="0"/>
          <w:color w:val="auto"/>
          <w:sz w:val="32"/>
          <w:szCs w:val="32"/>
          <w:highlight w:val="none"/>
          <w:lang w:val="en-US" w:eastAsia="zh-CN"/>
        </w:rPr>
        <w:t>100</w:t>
      </w:r>
      <w:r>
        <w:rPr>
          <w:rStyle w:val="16"/>
          <w:rFonts w:hint="default" w:ascii="Times New Roman" w:hAnsi="Times New Roman" w:eastAsia="仿宋_GB2312" w:cs="Times New Roman"/>
          <w:b w:val="0"/>
          <w:bCs w:val="0"/>
          <w:color w:val="auto"/>
          <w:sz w:val="32"/>
          <w:szCs w:val="32"/>
          <w:highlight w:val="none"/>
        </w:rPr>
        <w:t>%。</w:t>
      </w:r>
    </w:p>
    <w:p>
      <w:pPr>
        <w:keepNext w:val="0"/>
        <w:keepLines w:val="0"/>
        <w:pageBreakBefore w:val="0"/>
        <w:widowControl w:val="0"/>
        <w:tabs>
          <w:tab w:val="right" w:pos="8306"/>
        </w:tabs>
        <w:kinsoku/>
        <w:wordWrap/>
        <w:overflowPunct/>
        <w:topLinePunct w:val="0"/>
        <w:autoSpaceDE/>
        <w:bidi w:val="0"/>
        <w:adjustRightInd w:val="0"/>
        <w:spacing w:line="570" w:lineRule="exact"/>
        <w:ind w:firstLine="640"/>
        <w:outlineLvl w:val="1"/>
        <w:rPr>
          <w:rFonts w:hint="default" w:ascii="Times New Roman" w:hAnsi="Times New Roman" w:eastAsia="黑体" w:cs="Times New Roman"/>
          <w:color w:val="auto"/>
          <w:sz w:val="32"/>
          <w:szCs w:val="32"/>
          <w:highlight w:val="none"/>
        </w:rPr>
      </w:pPr>
      <w:bookmarkStart w:id="48" w:name="_Toc15377214"/>
      <w:bookmarkStart w:id="49" w:name="_Toc15396608"/>
      <w:bookmarkStart w:id="50" w:name="_Toc16577"/>
    </w:p>
    <w:p>
      <w:pPr>
        <w:keepNext w:val="0"/>
        <w:keepLines w:val="0"/>
        <w:pageBreakBefore w:val="0"/>
        <w:widowControl w:val="0"/>
        <w:tabs>
          <w:tab w:val="right" w:pos="8306"/>
        </w:tabs>
        <w:kinsoku/>
        <w:wordWrap/>
        <w:overflowPunct/>
        <w:topLinePunct w:val="0"/>
        <w:autoSpaceDE/>
        <w:bidi w:val="0"/>
        <w:adjustRightInd w:val="0"/>
        <w:spacing w:line="570" w:lineRule="exact"/>
        <w:ind w:firstLine="640"/>
        <w:outlineLvl w:val="1"/>
        <w:rPr>
          <w:rStyle w:val="19"/>
          <w:rFonts w:hint="default" w:ascii="Times New Roman" w:hAnsi="Times New Roman" w:cs="Times New Roman"/>
          <w:color w:val="auto"/>
          <w:highlight w:val="none"/>
        </w:rPr>
      </w:pPr>
      <w:r>
        <w:rPr>
          <w:rFonts w:hint="default" w:ascii="Times New Roman" w:hAnsi="Times New Roman" w:eastAsia="黑体" w:cs="Times New Roman"/>
          <w:color w:val="auto"/>
          <w:sz w:val="32"/>
          <w:szCs w:val="32"/>
          <w:highlight w:val="none"/>
        </w:rPr>
        <w:t>六</w:t>
      </w:r>
      <w:r>
        <w:rPr>
          <w:rFonts w:hint="default" w:ascii="Times New Roman" w:hAnsi="Times New Roman" w:eastAsia="黑体" w:cs="Times New Roman"/>
          <w:b/>
          <w:color w:val="auto"/>
          <w:sz w:val="32"/>
          <w:szCs w:val="32"/>
          <w:highlight w:val="none"/>
        </w:rPr>
        <w:t>、一</w:t>
      </w:r>
      <w:r>
        <w:rPr>
          <w:rStyle w:val="19"/>
          <w:rFonts w:hint="default" w:ascii="Times New Roman" w:hAnsi="Times New Roman" w:eastAsia="黑体" w:cs="Times New Roman"/>
          <w:b w:val="0"/>
          <w:color w:val="auto"/>
          <w:highlight w:val="none"/>
        </w:rPr>
        <w:t>般公共预算财政拨款基本支出决算情况说明</w:t>
      </w:r>
      <w:bookmarkEnd w:id="48"/>
      <w:bookmarkEnd w:id="49"/>
      <w:bookmarkEnd w:id="50"/>
      <w:r>
        <w:rPr>
          <w:rStyle w:val="19"/>
          <w:rFonts w:hint="default" w:ascii="Times New Roman" w:hAnsi="Times New Roman" w:eastAsia="黑体" w:cs="Times New Roman"/>
          <w:b w:val="0"/>
          <w:color w:val="auto"/>
          <w:highlight w:val="none"/>
        </w:rPr>
        <w:tab/>
      </w:r>
    </w:p>
    <w:p>
      <w:pPr>
        <w:keepNext w:val="0"/>
        <w:keepLines w:val="0"/>
        <w:pageBreakBefore w:val="0"/>
        <w:widowControl w:val="0"/>
        <w:kinsoku/>
        <w:wordWrap/>
        <w:overflowPunct/>
        <w:topLinePunct w:val="0"/>
        <w:autoSpaceDE/>
        <w:bidi w:val="0"/>
        <w:adjustRightInd w:val="0"/>
        <w:spacing w:line="57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2024年度一般公共预算财政拨款基本支出</w:t>
      </w:r>
      <w:r>
        <w:rPr>
          <w:rFonts w:hint="default" w:ascii="Times New Roman" w:hAnsi="Times New Roman" w:eastAsia="仿宋_GB2312" w:cs="Times New Roman"/>
          <w:color w:val="auto"/>
          <w:sz w:val="32"/>
          <w:szCs w:val="32"/>
        </w:rPr>
        <w:t>2471.27</w:t>
      </w:r>
      <w:r>
        <w:rPr>
          <w:rFonts w:hint="default" w:ascii="Times New Roman" w:hAnsi="Times New Roman" w:eastAsia="仿宋_GB2312" w:cs="Times New Roman"/>
          <w:color w:val="auto"/>
          <w:kern w:val="2"/>
          <w:sz w:val="32"/>
          <w:szCs w:val="32"/>
          <w:highlight w:val="none"/>
          <w:lang w:val="en-US" w:eastAsia="zh-CN" w:bidi="ar-SA"/>
        </w:rPr>
        <w:t>万元，其中：</w:t>
      </w:r>
    </w:p>
    <w:p>
      <w:pPr>
        <w:keepNext w:val="0"/>
        <w:keepLines w:val="0"/>
        <w:pageBreakBefore w:val="0"/>
        <w:widowControl w:val="0"/>
        <w:kinsoku/>
        <w:wordWrap/>
        <w:overflowPunct/>
        <w:topLinePunct w:val="0"/>
        <w:autoSpaceDE/>
        <w:bidi w:val="0"/>
        <w:adjustRightInd w:val="0"/>
        <w:spacing w:line="57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人员经费</w:t>
      </w:r>
      <w:r>
        <w:rPr>
          <w:rFonts w:hint="default" w:ascii="Times New Roman" w:hAnsi="Times New Roman" w:eastAsia="仿宋_GB2312" w:cs="Times New Roman"/>
          <w:sz w:val="32"/>
          <w:szCs w:val="32"/>
        </w:rPr>
        <w:t>2285.49</w:t>
      </w:r>
      <w:r>
        <w:rPr>
          <w:rFonts w:hint="default" w:ascii="Times New Roman" w:hAnsi="Times New Roman" w:eastAsia="仿宋_GB2312" w:cs="Times New Roman"/>
          <w:color w:val="auto"/>
          <w:kern w:val="2"/>
          <w:sz w:val="32"/>
          <w:szCs w:val="32"/>
          <w:highlight w:val="none"/>
          <w:lang w:val="en-US" w:eastAsia="zh-CN" w:bidi="ar-SA"/>
        </w:rPr>
        <w:t>万元，主要包括：基本工资、津贴补贴、绩效工资、机关事业单位基本养老保险缴费、职业年金缴费、职工基本医疗保险缴费、其他社会保障缴费、住房公积金、对个人和家庭的补助、其他对个人和家庭的补助支出等。</w:t>
      </w:r>
    </w:p>
    <w:p>
      <w:pPr>
        <w:keepNext w:val="0"/>
        <w:keepLines w:val="0"/>
        <w:pageBreakBefore w:val="0"/>
        <w:widowControl w:val="0"/>
        <w:kinsoku/>
        <w:wordWrap/>
        <w:overflowPunct/>
        <w:topLinePunct w:val="0"/>
        <w:autoSpaceDE/>
        <w:bidi w:val="0"/>
        <w:adjustRightInd w:val="0"/>
        <w:spacing w:line="57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公用经费</w:t>
      </w:r>
      <w:r>
        <w:rPr>
          <w:rFonts w:hint="default" w:ascii="Times New Roman" w:hAnsi="Times New Roman" w:eastAsia="仿宋_GB2312" w:cs="Times New Roman"/>
          <w:sz w:val="32"/>
          <w:szCs w:val="32"/>
        </w:rPr>
        <w:t>185.79</w:t>
      </w:r>
      <w:r>
        <w:rPr>
          <w:rFonts w:hint="default" w:ascii="Times New Roman" w:hAnsi="Times New Roman" w:eastAsia="仿宋_GB2312" w:cs="Times New Roman"/>
          <w:color w:val="auto"/>
          <w:kern w:val="2"/>
          <w:sz w:val="32"/>
          <w:szCs w:val="32"/>
          <w:highlight w:val="none"/>
          <w:lang w:val="en-US" w:eastAsia="zh-CN" w:bidi="ar-SA"/>
        </w:rPr>
        <w:t>万元，主要包括：办公费、印刷费、咨询费、水费、电费、邮电费、物业管理费、差旅费、维修（护）费、租赁费、会议费、培训费、劳务费、工会经费、福利费、公务用车运行维护费、其他商品和服务支出等。</w:t>
      </w:r>
    </w:p>
    <w:p>
      <w:pPr>
        <w:keepNext w:val="0"/>
        <w:keepLines w:val="0"/>
        <w:pageBreakBefore w:val="0"/>
        <w:widowControl w:val="0"/>
        <w:kinsoku/>
        <w:wordWrap/>
        <w:overflowPunct/>
        <w:topLinePunct w:val="0"/>
        <w:autoSpaceDE/>
        <w:bidi w:val="0"/>
        <w:adjustRightInd w:val="0"/>
        <w:spacing w:line="570" w:lineRule="exact"/>
        <w:ind w:firstLine="640"/>
        <w:outlineLvl w:val="1"/>
        <w:rPr>
          <w:rFonts w:hint="default" w:ascii="Times New Roman" w:hAnsi="Times New Roman" w:eastAsia="黑体" w:cs="Times New Roman"/>
          <w:color w:val="auto"/>
          <w:sz w:val="32"/>
          <w:szCs w:val="32"/>
          <w:highlight w:val="none"/>
        </w:rPr>
      </w:pPr>
      <w:bookmarkStart w:id="51" w:name="_Toc15396609"/>
      <w:bookmarkStart w:id="52" w:name="_Toc7523"/>
      <w:bookmarkStart w:id="53" w:name="_Toc15377215"/>
    </w:p>
    <w:p>
      <w:pPr>
        <w:keepNext w:val="0"/>
        <w:keepLines w:val="0"/>
        <w:pageBreakBefore w:val="0"/>
        <w:widowControl w:val="0"/>
        <w:kinsoku/>
        <w:wordWrap/>
        <w:overflowPunct/>
        <w:topLinePunct w:val="0"/>
        <w:autoSpaceDE/>
        <w:bidi w:val="0"/>
        <w:adjustRightInd w:val="0"/>
        <w:spacing w:line="570" w:lineRule="exact"/>
        <w:ind w:firstLine="640"/>
        <w:outlineLvl w:val="1"/>
        <w:rPr>
          <w:rStyle w:val="19"/>
          <w:rFonts w:hint="default" w:ascii="Times New Roman" w:hAnsi="Times New Roman" w:eastAsia="黑体" w:cs="Times New Roman"/>
          <w:b w:val="0"/>
          <w:color w:val="auto"/>
          <w:highlight w:val="none"/>
        </w:rPr>
      </w:pPr>
      <w:r>
        <w:rPr>
          <w:rFonts w:hint="default" w:ascii="Times New Roman" w:hAnsi="Times New Roman" w:eastAsia="黑体" w:cs="Times New Roman"/>
          <w:color w:val="auto"/>
          <w:sz w:val="32"/>
          <w:szCs w:val="32"/>
          <w:highlight w:val="none"/>
        </w:rPr>
        <w:t>七、</w:t>
      </w:r>
      <w:r>
        <w:rPr>
          <w:rStyle w:val="19"/>
          <w:rFonts w:hint="default" w:ascii="Times New Roman" w:hAnsi="Times New Roman" w:eastAsia="黑体" w:cs="Times New Roman"/>
          <w:b w:val="0"/>
          <w:color w:val="auto"/>
          <w:highlight w:val="none"/>
        </w:rPr>
        <w:t>财政拨款</w:t>
      </w:r>
      <w:r>
        <w:rPr>
          <w:rStyle w:val="19"/>
          <w:rFonts w:hint="default" w:ascii="Times New Roman" w:hAnsi="Times New Roman" w:eastAsia="黑体" w:cs="Times New Roman"/>
          <w:color w:val="auto"/>
          <w:highlight w:val="none"/>
        </w:rPr>
        <w:t>“</w:t>
      </w:r>
      <w:r>
        <w:rPr>
          <w:rStyle w:val="19"/>
          <w:rFonts w:hint="default" w:ascii="Times New Roman" w:hAnsi="Times New Roman" w:eastAsia="黑体" w:cs="Times New Roman"/>
          <w:b w:val="0"/>
          <w:color w:val="auto"/>
          <w:highlight w:val="none"/>
        </w:rPr>
        <w:t>三公”经费支出决算情况说明</w:t>
      </w:r>
      <w:bookmarkEnd w:id="51"/>
      <w:bookmarkEnd w:id="52"/>
      <w:bookmarkEnd w:id="53"/>
    </w:p>
    <w:p>
      <w:pPr>
        <w:keepNext w:val="0"/>
        <w:keepLines w:val="0"/>
        <w:pageBreakBefore w:val="0"/>
        <w:widowControl w:val="0"/>
        <w:kinsoku/>
        <w:wordWrap/>
        <w:overflowPunct/>
        <w:topLinePunct w:val="0"/>
        <w:autoSpaceDE/>
        <w:bidi w:val="0"/>
        <w:adjustRightInd w:val="0"/>
        <w:spacing w:line="570" w:lineRule="exact"/>
        <w:ind w:firstLine="642" w:firstLineChars="200"/>
        <w:outlineLvl w:val="2"/>
        <w:rPr>
          <w:rFonts w:hint="default" w:ascii="Times New Roman" w:hAnsi="Times New Roman" w:eastAsia="楷体_GB2312" w:cs="Times New Roman"/>
          <w:b w:val="0"/>
          <w:bCs/>
          <w:color w:val="auto"/>
          <w:sz w:val="32"/>
          <w:szCs w:val="32"/>
          <w:highlight w:val="none"/>
        </w:rPr>
      </w:pPr>
      <w:bookmarkStart w:id="54" w:name="_Toc15377216"/>
      <w:bookmarkStart w:id="55" w:name="_Toc1562"/>
      <w:r>
        <w:rPr>
          <w:rFonts w:hint="eastAsia" w:ascii="楷体_GB2312" w:hAnsi="楷体_GB2312" w:eastAsia="楷体_GB2312" w:cs="楷体_GB2312"/>
          <w:b/>
          <w:bCs w:val="0"/>
          <w:color w:val="auto"/>
          <w:sz w:val="32"/>
          <w:szCs w:val="32"/>
          <w:highlight w:val="none"/>
        </w:rPr>
        <w:t>（一）“三公”经费财政拨款支出决算总体情况说明</w:t>
      </w:r>
      <w:bookmarkEnd w:id="54"/>
      <w:bookmarkEnd w:id="55"/>
    </w:p>
    <w:p>
      <w:pPr>
        <w:keepNext w:val="0"/>
        <w:keepLines w:val="0"/>
        <w:pageBreakBefore w:val="0"/>
        <w:widowControl w:val="0"/>
        <w:kinsoku/>
        <w:wordWrap/>
        <w:overflowPunct/>
        <w:topLinePunct w:val="0"/>
        <w:autoSpaceDE/>
        <w:autoSpaceDN/>
        <w:bidi w:val="0"/>
        <w:adjustRightInd w:val="0"/>
        <w:snapToGrid w:val="0"/>
        <w:spacing w:line="570" w:lineRule="exact"/>
        <w:ind w:firstLine="641"/>
        <w:textAlignment w:val="baseline"/>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2024年度“三公”经费财政拨款支出决算为</w:t>
      </w:r>
      <w:r>
        <w:rPr>
          <w:rFonts w:hint="default" w:ascii="Times New Roman" w:hAnsi="Times New Roman" w:eastAsia="仿宋_GB2312" w:cs="Times New Roman"/>
          <w:color w:val="auto"/>
          <w:sz w:val="32"/>
          <w:szCs w:val="32"/>
        </w:rPr>
        <w:t>47.81</w:t>
      </w:r>
      <w:r>
        <w:rPr>
          <w:rFonts w:hint="default" w:ascii="Times New Roman" w:hAnsi="Times New Roman" w:eastAsia="仿宋_GB2312" w:cs="Times New Roman"/>
          <w:color w:val="auto"/>
          <w:kern w:val="2"/>
          <w:sz w:val="32"/>
          <w:szCs w:val="32"/>
          <w:highlight w:val="none"/>
          <w:lang w:val="en-US" w:eastAsia="zh-CN" w:bidi="ar-SA"/>
        </w:rPr>
        <w:t>万元，完成预算</w:t>
      </w:r>
      <w:r>
        <w:rPr>
          <w:rFonts w:hint="default" w:ascii="Times New Roman" w:hAnsi="Times New Roman" w:eastAsia="仿宋_GB2312" w:cs="Times New Roman"/>
          <w:sz w:val="32"/>
          <w:szCs w:val="32"/>
        </w:rPr>
        <w:t>97.</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color w:val="auto"/>
          <w:kern w:val="2"/>
          <w:sz w:val="32"/>
          <w:szCs w:val="32"/>
          <w:highlight w:val="none"/>
          <w:lang w:val="en-US" w:eastAsia="zh-CN" w:bidi="ar-SA"/>
        </w:rPr>
        <w:t>%，较上年度增加24.01万元，增长100.9%。决算数小于预算数的主要原因是公务车实际购置金额小于预算数，公用用车运行维护费实际支出金额小于预算数。</w:t>
      </w:r>
    </w:p>
    <w:p>
      <w:pPr>
        <w:keepNext w:val="0"/>
        <w:keepLines w:val="0"/>
        <w:pageBreakBefore w:val="0"/>
        <w:widowControl w:val="0"/>
        <w:kinsoku/>
        <w:wordWrap/>
        <w:overflowPunct/>
        <w:topLinePunct w:val="0"/>
        <w:autoSpaceDE/>
        <w:bidi w:val="0"/>
        <w:adjustRightInd w:val="0"/>
        <w:spacing w:line="570" w:lineRule="exact"/>
        <w:ind w:firstLine="642" w:firstLineChars="200"/>
        <w:outlineLvl w:val="2"/>
        <w:rPr>
          <w:rFonts w:hint="default" w:ascii="Times New Roman" w:hAnsi="Times New Roman" w:eastAsia="楷体_GB2312" w:cs="Times New Roman"/>
          <w:b w:val="0"/>
          <w:bCs/>
          <w:color w:val="auto"/>
          <w:sz w:val="32"/>
          <w:szCs w:val="32"/>
          <w:highlight w:val="none"/>
        </w:rPr>
      </w:pPr>
      <w:bookmarkStart w:id="56" w:name="_Toc15377217"/>
      <w:bookmarkStart w:id="57" w:name="_Toc398"/>
      <w:r>
        <w:rPr>
          <w:rFonts w:hint="eastAsia" w:ascii="楷体_GB2312" w:hAnsi="楷体_GB2312" w:eastAsia="楷体_GB2312" w:cs="楷体_GB2312"/>
          <w:b/>
          <w:bCs w:val="0"/>
          <w:color w:val="auto"/>
          <w:sz w:val="32"/>
          <w:szCs w:val="32"/>
          <w:highlight w:val="none"/>
        </w:rPr>
        <w:t>（二）“三公”经费财政拨款支出决算具体情况说明</w:t>
      </w:r>
      <w:bookmarkEnd w:id="56"/>
      <w:bookmarkEnd w:id="57"/>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baseline"/>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楷体_GB2312" w:cs="Times New Roman"/>
          <w:color w:val="auto"/>
          <w:sz w:val="32"/>
          <w:szCs w:val="32"/>
          <w:highlight w:val="none"/>
          <w:lang w:val="en-US" w:eastAsia="zh-CN"/>
        </w:rPr>
        <w:drawing>
          <wp:anchor distT="0" distB="0" distL="114300" distR="114300" simplePos="0" relativeHeight="251663360" behindDoc="0" locked="0" layoutInCell="1" allowOverlap="1">
            <wp:simplePos x="0" y="0"/>
            <wp:positionH relativeFrom="column">
              <wp:posOffset>421005</wp:posOffset>
            </wp:positionH>
            <wp:positionV relativeFrom="paragraph">
              <wp:posOffset>1511300</wp:posOffset>
            </wp:positionV>
            <wp:extent cx="4592955" cy="2436495"/>
            <wp:effectExtent l="4445" t="5080" r="12700" b="15875"/>
            <wp:wrapTopAndBottom/>
            <wp:docPr id="11"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hint="default" w:ascii="Times New Roman" w:hAnsi="Times New Roman" w:eastAsia="仿宋_GB2312" w:cs="Times New Roman"/>
          <w:color w:val="auto"/>
          <w:kern w:val="2"/>
          <w:sz w:val="32"/>
          <w:szCs w:val="32"/>
          <w:highlight w:val="none"/>
          <w:lang w:val="en-US" w:eastAsia="zh-CN" w:bidi="ar-SA"/>
        </w:rPr>
        <w:t>2024年度“三公”经费财政拨款支出决算中，因公出国（境）费支出决算</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万元，占0%；公务用车购置及运行维护费支出决算</w:t>
      </w:r>
      <w:r>
        <w:rPr>
          <w:rFonts w:hint="default" w:ascii="Times New Roman" w:hAnsi="Times New Roman" w:eastAsia="仿宋_GB2312" w:cs="Times New Roman"/>
          <w:sz w:val="32"/>
          <w:szCs w:val="32"/>
        </w:rPr>
        <w:t>47.81</w:t>
      </w:r>
      <w:r>
        <w:rPr>
          <w:rFonts w:hint="default" w:ascii="Times New Roman" w:hAnsi="Times New Roman" w:eastAsia="仿宋_GB2312" w:cs="Times New Roman"/>
          <w:color w:val="auto"/>
          <w:kern w:val="2"/>
          <w:sz w:val="32"/>
          <w:szCs w:val="32"/>
          <w:highlight w:val="none"/>
          <w:lang w:val="en-US" w:eastAsia="zh-CN" w:bidi="ar-SA"/>
        </w:rPr>
        <w:t>万元，占100%；公务接待费支出决算</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万元，占0%。具体情况如下：</w:t>
      </w:r>
    </w:p>
    <w:p>
      <w:pPr>
        <w:keepNext w:val="0"/>
        <w:keepLines w:val="0"/>
        <w:pageBreakBefore w:val="0"/>
        <w:widowControl w:val="0"/>
        <w:kinsoku/>
        <w:wordWrap/>
        <w:overflowPunct/>
        <w:topLinePunct w:val="0"/>
        <w:autoSpaceDE/>
        <w:autoSpaceDN/>
        <w:bidi w:val="0"/>
        <w:adjustRightInd w:val="0"/>
        <w:snapToGrid w:val="0"/>
        <w:spacing w:line="570" w:lineRule="exact"/>
        <w:jc w:val="center"/>
        <w:textAlignment w:val="baseline"/>
        <w:rPr>
          <w:rFonts w:hint="default" w:ascii="Times New Roman" w:hAnsi="Times New Roman" w:eastAsia="楷体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lang w:val="en-US" w:eastAsia="zh-CN"/>
        </w:rPr>
        <w:t>图7：“三公”经费财政拨款支出结构</w:t>
      </w:r>
    </w:p>
    <w:p>
      <w:pPr>
        <w:keepNext w:val="0"/>
        <w:keepLines w:val="0"/>
        <w:pageBreakBefore w:val="0"/>
        <w:widowControl w:val="0"/>
        <w:kinsoku/>
        <w:wordWrap/>
        <w:overflowPunct/>
        <w:topLinePunct w:val="0"/>
        <w:autoSpaceDE/>
        <w:autoSpaceDN/>
        <w:bidi w:val="0"/>
        <w:adjustRightInd w:val="0"/>
        <w:snapToGrid/>
        <w:spacing w:line="570" w:lineRule="exact"/>
        <w:ind w:firstLine="64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b/>
          <w:bCs/>
          <w:color w:val="auto"/>
          <w:kern w:val="2"/>
          <w:sz w:val="32"/>
          <w:szCs w:val="32"/>
          <w:highlight w:val="none"/>
          <w:lang w:val="en-US" w:eastAsia="zh-CN" w:bidi="ar-SA"/>
        </w:rPr>
        <w:t>1.</w:t>
      </w:r>
      <w:r>
        <w:rPr>
          <w:rFonts w:hint="default" w:ascii="Times New Roman" w:hAnsi="Times New Roman" w:eastAsia="仿宋_GB2312" w:cs="Times New Roman"/>
          <w:b/>
          <w:color w:val="auto"/>
          <w:sz w:val="32"/>
          <w:szCs w:val="32"/>
          <w:highlight w:val="none"/>
        </w:rPr>
        <w:t>因公出国（境）经费支出</w:t>
      </w:r>
      <w:r>
        <w:rPr>
          <w:rFonts w:hint="default" w:ascii="Times New Roman" w:hAnsi="Times New Roman" w:eastAsia="仿宋_GB2312" w:cs="Times New Roman"/>
          <w:color w:val="auto"/>
          <w:sz w:val="32"/>
          <w:szCs w:val="32"/>
          <w:highlight w:val="none"/>
        </w:rPr>
        <w:t>0万元</w:t>
      </w:r>
      <w:r>
        <w:rPr>
          <w:rStyle w:val="16"/>
          <w:rFonts w:hint="default" w:ascii="Times New Roman" w:hAnsi="Times New Roman" w:eastAsia="仿宋_GB2312" w:cs="Times New Roman"/>
          <w:b w:val="0"/>
          <w:bCs/>
          <w:color w:val="auto"/>
          <w:sz w:val="32"/>
          <w:szCs w:val="32"/>
          <w:highlight w:val="none"/>
        </w:rPr>
        <w:t>。</w:t>
      </w:r>
      <w:r>
        <w:rPr>
          <w:rFonts w:hint="default" w:ascii="Times New Roman" w:hAnsi="Times New Roman" w:eastAsia="仿宋_GB2312" w:cs="Times New Roman"/>
          <w:color w:val="auto"/>
          <w:sz w:val="32"/>
          <w:szCs w:val="32"/>
          <w:highlight w:val="none"/>
        </w:rPr>
        <w:t>全年安排因公出国（境）团组0次，出国（境）0人。因公出国（境）支出决算</w:t>
      </w:r>
      <w:r>
        <w:rPr>
          <w:rFonts w:hint="default" w:ascii="Times New Roman" w:hAnsi="Times New Roman" w:eastAsia="仿宋_GB2312" w:cs="Times New Roman"/>
          <w:color w:val="auto"/>
          <w:sz w:val="32"/>
          <w:szCs w:val="32"/>
          <w:highlight w:val="none"/>
          <w:lang w:val="en-US" w:eastAsia="zh-CN"/>
        </w:rPr>
        <w:t>与2023年</w:t>
      </w:r>
      <w:r>
        <w:rPr>
          <w:rFonts w:hint="eastAsia" w:ascii="Times New Roman" w:hAnsi="Times New Roman" w:eastAsia="仿宋_GB2312" w:cs="Times New Roman"/>
          <w:color w:val="auto"/>
          <w:sz w:val="32"/>
          <w:szCs w:val="32"/>
          <w:highlight w:val="none"/>
          <w:lang w:val="en-US" w:eastAsia="zh-CN"/>
        </w:rPr>
        <w:t>度</w:t>
      </w:r>
      <w:r>
        <w:rPr>
          <w:rFonts w:hint="default" w:ascii="Times New Roman" w:hAnsi="Times New Roman" w:eastAsia="仿宋_GB2312" w:cs="Times New Roman"/>
          <w:color w:val="auto"/>
          <w:sz w:val="32"/>
          <w:szCs w:val="32"/>
          <w:highlight w:val="none"/>
          <w:lang w:val="en-US" w:eastAsia="zh-CN"/>
        </w:rPr>
        <w:t>决算</w:t>
      </w:r>
      <w:r>
        <w:rPr>
          <w:rFonts w:hint="eastAsia" w:ascii="Times New Roman" w:hAnsi="Times New Roman" w:eastAsia="仿宋_GB2312" w:cs="Times New Roman"/>
          <w:color w:val="auto"/>
          <w:sz w:val="32"/>
          <w:szCs w:val="32"/>
          <w:highlight w:val="none"/>
          <w:lang w:val="en-US" w:eastAsia="zh-CN"/>
        </w:rPr>
        <w:t>数</w:t>
      </w:r>
      <w:r>
        <w:rPr>
          <w:rFonts w:hint="default" w:ascii="Times New Roman" w:hAnsi="Times New Roman" w:eastAsia="仿宋_GB2312" w:cs="Times New Roman"/>
          <w:color w:val="auto"/>
          <w:sz w:val="32"/>
          <w:szCs w:val="32"/>
          <w:highlight w:val="none"/>
          <w:lang w:val="en-US" w:eastAsia="zh-CN"/>
        </w:rPr>
        <w:t>持平</w:t>
      </w:r>
      <w:r>
        <w:rPr>
          <w:rFonts w:hint="default" w:ascii="Times New Roman" w:hAnsi="Times New Roman" w:eastAsia="仿宋_GB2312" w:cs="Times New Roman"/>
          <w:color w:val="auto"/>
          <w:sz w:val="32"/>
          <w:szCs w:val="32"/>
          <w:highlight w:val="none"/>
          <w:lang w:eastAsia="zh-CN"/>
        </w:rPr>
        <w:t>。</w:t>
      </w:r>
    </w:p>
    <w:p>
      <w:pPr>
        <w:keepNext w:val="0"/>
        <w:keepLines w:val="0"/>
        <w:pageBreakBefore w:val="0"/>
        <w:widowControl w:val="0"/>
        <w:numPr>
          <w:ilvl w:val="0"/>
          <w:numId w:val="0"/>
        </w:numPr>
        <w:wordWrap/>
        <w:overflowPunct/>
        <w:topLinePunct w:val="0"/>
        <w:autoSpaceDE/>
        <w:autoSpaceDN/>
        <w:bidi w:val="0"/>
        <w:adjustRightInd w:val="0"/>
        <w:spacing w:line="570" w:lineRule="exact"/>
        <w:ind w:firstLine="642"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kern w:val="2"/>
          <w:sz w:val="32"/>
          <w:szCs w:val="32"/>
          <w:highlight w:val="none"/>
          <w:lang w:val="en-US" w:eastAsia="zh-CN" w:bidi="ar-SA"/>
        </w:rPr>
        <w:t>2.公务用车购置及运行维护费支出47.81万元，完成预算97.6%。</w:t>
      </w:r>
      <w:r>
        <w:rPr>
          <w:rFonts w:hint="default" w:ascii="Times New Roman" w:hAnsi="Times New Roman" w:eastAsia="仿宋_GB2312" w:cs="Times New Roman"/>
          <w:color w:val="auto"/>
          <w:kern w:val="2"/>
          <w:sz w:val="32"/>
          <w:szCs w:val="32"/>
          <w:highlight w:val="none"/>
          <w:lang w:val="en-US" w:eastAsia="zh-CN" w:bidi="ar-SA"/>
        </w:rPr>
        <w:t>公务用车购置及运行维护费支出决算比2023年度增加24.01万元，增长100.9%。主要原因</w:t>
      </w:r>
      <w:r>
        <w:rPr>
          <w:rFonts w:hint="default" w:ascii="Times New Roman" w:hAnsi="Times New Roman" w:eastAsia="仿宋_GB2312" w:cs="Times New Roman"/>
          <w:color w:val="auto"/>
          <w:sz w:val="32"/>
          <w:szCs w:val="32"/>
          <w:highlight w:val="none"/>
        </w:rPr>
        <w:t>是</w:t>
      </w:r>
      <w:r>
        <w:rPr>
          <w:rFonts w:hint="default" w:ascii="Times New Roman" w:hAnsi="Times New Roman" w:eastAsia="仿宋_GB2312" w:cs="Times New Roman"/>
          <w:color w:val="auto"/>
          <w:sz w:val="32"/>
          <w:szCs w:val="32"/>
          <w:highlight w:val="none"/>
          <w:lang w:val="en-US" w:eastAsia="zh-CN"/>
        </w:rPr>
        <w:t>本年度单位新购置公务车2辆，公务用车购置支出41.97万元</w:t>
      </w:r>
      <w:r>
        <w:rPr>
          <w:rFonts w:hint="default" w:ascii="Times New Roman" w:hAnsi="Times New Roman" w:eastAsia="仿宋_GB2312" w:cs="Times New Roman"/>
          <w:color w:val="auto"/>
          <w:sz w:val="32"/>
          <w:szCs w:val="32"/>
          <w:highlight w:val="none"/>
        </w:rPr>
        <w:t>。</w:t>
      </w:r>
    </w:p>
    <w:p>
      <w:pPr>
        <w:keepNext w:val="0"/>
        <w:keepLines w:val="0"/>
        <w:pageBreakBefore w:val="0"/>
        <w:widowControl w:val="0"/>
        <w:numPr>
          <w:ilvl w:val="0"/>
          <w:numId w:val="0"/>
        </w:numPr>
        <w:wordWrap/>
        <w:overflowPunct/>
        <w:topLinePunct w:val="0"/>
        <w:autoSpaceDE/>
        <w:autoSpaceDN/>
        <w:bidi w:val="0"/>
        <w:adjustRightInd w:val="0"/>
        <w:spacing w:line="570" w:lineRule="exact"/>
        <w:ind w:firstLine="640" w:firstLineChars="20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其中：公务用车购置支出</w:t>
      </w:r>
      <w:r>
        <w:rPr>
          <w:rFonts w:hint="default" w:ascii="Times New Roman" w:hAnsi="Times New Roman" w:eastAsia="仿宋_GB2312" w:cs="Times New Roman"/>
          <w:sz w:val="32"/>
          <w:szCs w:val="32"/>
        </w:rPr>
        <w:t>41.97</w:t>
      </w:r>
      <w:r>
        <w:rPr>
          <w:rFonts w:hint="default" w:ascii="Times New Roman" w:hAnsi="Times New Roman" w:eastAsia="仿宋_GB2312" w:cs="Times New Roman"/>
          <w:color w:val="auto"/>
          <w:kern w:val="2"/>
          <w:sz w:val="32"/>
          <w:szCs w:val="32"/>
          <w:highlight w:val="none"/>
          <w:lang w:val="en-US" w:eastAsia="zh-CN" w:bidi="ar-SA"/>
        </w:rPr>
        <w:t>万元。全年按规定更新购置公务用车2辆，其中：轿车1辆、金额17.5万元，载客汽车1辆、金额24.47万元，主要用于</w:t>
      </w:r>
      <w:r>
        <w:rPr>
          <w:rFonts w:hint="default" w:ascii="Times New Roman" w:hAnsi="Times New Roman" w:eastAsia="仿宋_GB2312" w:cs="Times New Roman"/>
          <w:color w:val="auto"/>
          <w:sz w:val="32"/>
          <w:szCs w:val="32"/>
          <w:highlight w:val="none"/>
          <w:lang w:val="en-US" w:eastAsia="zh-CN"/>
        </w:rPr>
        <w:t>开展单位日常公务活动</w:t>
      </w:r>
      <w:r>
        <w:rPr>
          <w:rFonts w:hint="default" w:ascii="Times New Roman" w:hAnsi="Times New Roman" w:eastAsia="仿宋_GB2312" w:cs="Times New Roman"/>
          <w:color w:val="auto"/>
          <w:kern w:val="2"/>
          <w:sz w:val="32"/>
          <w:szCs w:val="32"/>
          <w:highlight w:val="none"/>
          <w:lang w:val="en-US" w:eastAsia="zh-CN" w:bidi="ar-SA"/>
        </w:rPr>
        <w:t>。截至2024年12月31日，单位共有公务用车4辆，其中：轿车3辆、</w:t>
      </w:r>
      <w:r>
        <w:rPr>
          <w:rFonts w:hint="eastAsia" w:ascii="Times New Roman" w:hAnsi="Times New Roman" w:eastAsia="仿宋_GB2312" w:cs="Times New Roman"/>
          <w:color w:val="auto"/>
          <w:kern w:val="2"/>
          <w:sz w:val="32"/>
          <w:szCs w:val="32"/>
          <w:highlight w:val="none"/>
          <w:lang w:val="en-US" w:eastAsia="zh-CN" w:bidi="ar-SA"/>
        </w:rPr>
        <w:t>越野车0辆、</w:t>
      </w:r>
      <w:r>
        <w:rPr>
          <w:rFonts w:hint="default" w:ascii="Times New Roman" w:hAnsi="Times New Roman" w:eastAsia="仿宋_GB2312" w:cs="Times New Roman"/>
          <w:color w:val="auto"/>
          <w:kern w:val="2"/>
          <w:sz w:val="32"/>
          <w:szCs w:val="32"/>
          <w:highlight w:val="none"/>
          <w:lang w:val="en-US" w:eastAsia="zh-CN" w:bidi="ar-SA"/>
        </w:rPr>
        <w:t>载客汽车1辆。</w:t>
      </w:r>
    </w:p>
    <w:p>
      <w:pPr>
        <w:keepNext w:val="0"/>
        <w:keepLines w:val="0"/>
        <w:pageBreakBefore w:val="0"/>
        <w:widowControl w:val="0"/>
        <w:wordWrap/>
        <w:overflowPunct/>
        <w:topLinePunct w:val="0"/>
        <w:autoSpaceDE/>
        <w:autoSpaceDN/>
        <w:bidi w:val="0"/>
        <w:adjustRightInd w:val="0"/>
        <w:spacing w:line="57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公务用车运行维护费支出</w:t>
      </w:r>
      <w:r>
        <w:rPr>
          <w:rFonts w:hint="default" w:ascii="Times New Roman" w:hAnsi="Times New Roman" w:eastAsia="仿宋_GB2312" w:cs="Times New Roman"/>
          <w:sz w:val="32"/>
          <w:szCs w:val="32"/>
        </w:rPr>
        <w:t>5.84</w:t>
      </w:r>
      <w:r>
        <w:rPr>
          <w:rFonts w:hint="default" w:ascii="Times New Roman" w:hAnsi="Times New Roman" w:eastAsia="仿宋_GB2312" w:cs="Times New Roman"/>
          <w:color w:val="auto"/>
          <w:kern w:val="2"/>
          <w:sz w:val="32"/>
          <w:szCs w:val="32"/>
          <w:highlight w:val="none"/>
          <w:lang w:val="en-US" w:eastAsia="zh-CN" w:bidi="ar-SA"/>
        </w:rPr>
        <w:t>万元。主要用于</w:t>
      </w:r>
      <w:r>
        <w:rPr>
          <w:rFonts w:hint="default" w:ascii="Times New Roman" w:hAnsi="Times New Roman" w:eastAsia="仿宋_GB2312" w:cs="Times New Roman"/>
          <w:color w:val="auto"/>
          <w:sz w:val="32"/>
          <w:szCs w:val="32"/>
          <w:highlight w:val="none"/>
          <w:lang w:val="en-US" w:eastAsia="zh-CN"/>
        </w:rPr>
        <w:t>单位日常公务活动</w:t>
      </w:r>
      <w:r>
        <w:rPr>
          <w:rFonts w:hint="default" w:ascii="Times New Roman" w:hAnsi="Times New Roman" w:eastAsia="仿宋_GB2312" w:cs="Times New Roman"/>
          <w:color w:val="auto"/>
          <w:sz w:val="32"/>
          <w:szCs w:val="32"/>
          <w:highlight w:val="none"/>
        </w:rPr>
        <w:t>等</w:t>
      </w:r>
      <w:r>
        <w:rPr>
          <w:rFonts w:hint="default" w:ascii="Times New Roman" w:hAnsi="Times New Roman" w:eastAsia="仿宋_GB2312" w:cs="Times New Roman"/>
          <w:color w:val="auto"/>
          <w:kern w:val="2"/>
          <w:sz w:val="32"/>
          <w:szCs w:val="32"/>
          <w:highlight w:val="none"/>
          <w:lang w:val="en-US" w:eastAsia="zh-CN" w:bidi="ar-SA"/>
        </w:rPr>
        <w:t>所需的公务用车燃料费、维修费、过路过桥费、保险费等支出。</w:t>
      </w:r>
    </w:p>
    <w:p>
      <w:pPr>
        <w:keepNext w:val="0"/>
        <w:keepLines w:val="0"/>
        <w:pageBreakBefore w:val="0"/>
        <w:widowControl w:val="0"/>
        <w:kinsoku/>
        <w:wordWrap/>
        <w:overflowPunct/>
        <w:topLinePunct w:val="0"/>
        <w:autoSpaceDE/>
        <w:autoSpaceDN/>
        <w:bidi w:val="0"/>
        <w:adjustRightInd w:val="0"/>
        <w:snapToGrid/>
        <w:spacing w:line="570" w:lineRule="exact"/>
        <w:ind w:firstLine="64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kern w:val="2"/>
          <w:sz w:val="32"/>
          <w:szCs w:val="32"/>
          <w:highlight w:val="none"/>
          <w:lang w:val="en-US" w:eastAsia="zh-CN" w:bidi="ar-SA"/>
        </w:rPr>
        <w:t>3.</w:t>
      </w:r>
      <w:r>
        <w:rPr>
          <w:rFonts w:hint="default" w:ascii="Times New Roman" w:hAnsi="Times New Roman" w:eastAsia="仿宋_GB2312" w:cs="Times New Roman"/>
          <w:b/>
          <w:color w:val="auto"/>
          <w:sz w:val="32"/>
          <w:szCs w:val="32"/>
          <w:highlight w:val="none"/>
        </w:rPr>
        <w:t>公务接待费支出</w:t>
      </w:r>
      <w:r>
        <w:rPr>
          <w:rFonts w:hint="default" w:ascii="Times New Roman" w:hAnsi="Times New Roman" w:eastAsia="仿宋_GB2312" w:cs="Times New Roman"/>
          <w:b/>
          <w:bCs/>
          <w:color w:val="auto"/>
          <w:sz w:val="32"/>
          <w:szCs w:val="32"/>
          <w:highlight w:val="none"/>
        </w:rPr>
        <w:t>0万元</w:t>
      </w:r>
      <w:r>
        <w:rPr>
          <w:rStyle w:val="16"/>
          <w:rFonts w:hint="default" w:ascii="Times New Roman" w:hAnsi="Times New Roman" w:eastAsia="仿宋_GB2312" w:cs="Times New Roman"/>
          <w:b/>
          <w:bCs/>
          <w:color w:val="auto"/>
          <w:sz w:val="32"/>
          <w:szCs w:val="32"/>
          <w:highlight w:val="none"/>
        </w:rPr>
        <w:t>。</w:t>
      </w:r>
      <w:r>
        <w:rPr>
          <w:rFonts w:hint="default" w:ascii="Times New Roman" w:hAnsi="Times New Roman" w:eastAsia="仿宋_GB2312" w:cs="Times New Roman"/>
          <w:color w:val="auto"/>
          <w:sz w:val="32"/>
          <w:szCs w:val="32"/>
          <w:highlight w:val="none"/>
        </w:rPr>
        <w:t>公务接待费支出决算</w:t>
      </w:r>
      <w:r>
        <w:rPr>
          <w:rFonts w:hint="default" w:ascii="Times New Roman" w:hAnsi="Times New Roman" w:eastAsia="仿宋_GB2312" w:cs="Times New Roman"/>
          <w:color w:val="auto"/>
          <w:sz w:val="32"/>
          <w:szCs w:val="32"/>
          <w:highlight w:val="none"/>
          <w:lang w:val="en-US" w:eastAsia="zh-CN"/>
        </w:rPr>
        <w:t>与202</w:t>
      </w:r>
      <w:r>
        <w:rPr>
          <w:rFonts w:hint="eastAsia"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年</w:t>
      </w:r>
      <w:r>
        <w:rPr>
          <w:rFonts w:hint="eastAsia" w:ascii="Times New Roman" w:hAnsi="Times New Roman" w:eastAsia="仿宋_GB2312" w:cs="Times New Roman"/>
          <w:color w:val="auto"/>
          <w:sz w:val="32"/>
          <w:szCs w:val="32"/>
          <w:highlight w:val="none"/>
          <w:lang w:val="en-US" w:eastAsia="zh-CN"/>
        </w:rPr>
        <w:t>度</w:t>
      </w:r>
      <w:r>
        <w:rPr>
          <w:rFonts w:hint="default" w:ascii="Times New Roman" w:hAnsi="Times New Roman" w:eastAsia="仿宋_GB2312" w:cs="Times New Roman"/>
          <w:color w:val="auto"/>
          <w:sz w:val="32"/>
          <w:szCs w:val="32"/>
          <w:highlight w:val="none"/>
          <w:lang w:val="en-US" w:eastAsia="zh-CN"/>
        </w:rPr>
        <w:t>决算</w:t>
      </w:r>
      <w:r>
        <w:rPr>
          <w:rFonts w:hint="eastAsia" w:ascii="Times New Roman" w:hAnsi="Times New Roman" w:eastAsia="仿宋_GB2312" w:cs="Times New Roman"/>
          <w:color w:val="auto"/>
          <w:sz w:val="32"/>
          <w:szCs w:val="32"/>
          <w:highlight w:val="none"/>
          <w:lang w:val="en-US" w:eastAsia="zh-CN"/>
        </w:rPr>
        <w:t>数</w:t>
      </w:r>
      <w:r>
        <w:rPr>
          <w:rFonts w:hint="default" w:ascii="Times New Roman" w:hAnsi="Times New Roman" w:eastAsia="仿宋_GB2312" w:cs="Times New Roman"/>
          <w:color w:val="auto"/>
          <w:sz w:val="32"/>
          <w:szCs w:val="32"/>
          <w:highlight w:val="none"/>
          <w:lang w:val="en-US" w:eastAsia="zh-CN"/>
        </w:rPr>
        <w:t>持平</w:t>
      </w:r>
      <w:r>
        <w:rPr>
          <w:rFonts w:hint="default" w:ascii="Times New Roman" w:hAnsi="Times New Roman" w:eastAsia="仿宋_GB2312" w:cs="Times New Roman"/>
          <w:color w:val="auto"/>
          <w:sz w:val="32"/>
          <w:szCs w:val="32"/>
          <w:highlight w:val="none"/>
        </w:rPr>
        <w:t>。其中：</w:t>
      </w:r>
    </w:p>
    <w:p>
      <w:pPr>
        <w:keepNext w:val="0"/>
        <w:keepLines w:val="0"/>
        <w:pageBreakBefore w:val="0"/>
        <w:widowControl w:val="0"/>
        <w:kinsoku/>
        <w:wordWrap/>
        <w:overflowPunct/>
        <w:topLinePunct w:val="0"/>
        <w:autoSpaceDE/>
        <w:autoSpaceDN/>
        <w:bidi w:val="0"/>
        <w:adjustRightInd w:val="0"/>
        <w:snapToGrid/>
        <w:spacing w:line="570" w:lineRule="exact"/>
        <w:ind w:firstLine="640"/>
        <w:textAlignment w:val="auto"/>
        <w:rPr>
          <w:rFonts w:hint="default" w:ascii="Times New Roman" w:hAnsi="Times New Roman" w:eastAsia="仿宋_GB2312" w:cs="Times New Roman"/>
          <w:b w:val="0"/>
          <w:bCs/>
          <w:color w:val="auto"/>
          <w:sz w:val="32"/>
          <w:szCs w:val="32"/>
          <w:highlight w:val="none"/>
        </w:rPr>
      </w:pPr>
      <w:r>
        <w:rPr>
          <w:rFonts w:hint="default" w:ascii="Times New Roman" w:hAnsi="Times New Roman" w:eastAsia="仿宋_GB2312" w:cs="Times New Roman"/>
          <w:b w:val="0"/>
          <w:bCs/>
          <w:color w:val="auto"/>
          <w:sz w:val="32"/>
          <w:szCs w:val="32"/>
          <w:highlight w:val="none"/>
        </w:rPr>
        <w:t>国内公务接待支出0万元。</w:t>
      </w:r>
    </w:p>
    <w:p>
      <w:pPr>
        <w:keepNext w:val="0"/>
        <w:keepLines w:val="0"/>
        <w:pageBreakBefore w:val="0"/>
        <w:widowControl w:val="0"/>
        <w:kinsoku/>
        <w:wordWrap/>
        <w:overflowPunct/>
        <w:topLinePunct w:val="0"/>
        <w:autoSpaceDE/>
        <w:autoSpaceDN/>
        <w:bidi w:val="0"/>
        <w:adjustRightInd w:val="0"/>
        <w:snapToGrid/>
        <w:spacing w:line="57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b w:val="0"/>
          <w:bCs/>
          <w:color w:val="auto"/>
          <w:sz w:val="32"/>
          <w:szCs w:val="32"/>
          <w:highlight w:val="none"/>
        </w:rPr>
        <w:t>外事接待支出0万</w:t>
      </w:r>
      <w:r>
        <w:rPr>
          <w:rFonts w:hint="default" w:ascii="Times New Roman" w:hAnsi="Times New Roman" w:eastAsia="仿宋_GB2312" w:cs="Times New Roman"/>
          <w:color w:val="auto"/>
          <w:sz w:val="32"/>
          <w:szCs w:val="32"/>
          <w:highlight w:val="none"/>
        </w:rPr>
        <w:t>元。</w:t>
      </w:r>
      <w:bookmarkStart w:id="58" w:name="_Toc15377218"/>
      <w:bookmarkStart w:id="59" w:name="_Toc15396610"/>
    </w:p>
    <w:p>
      <w:pPr>
        <w:keepNext w:val="0"/>
        <w:keepLines w:val="0"/>
        <w:pageBreakBefore w:val="0"/>
        <w:widowControl w:val="0"/>
        <w:wordWrap/>
        <w:overflowPunct/>
        <w:topLinePunct w:val="0"/>
        <w:autoSpaceDE/>
        <w:autoSpaceDN/>
        <w:bidi w:val="0"/>
        <w:adjustRightInd w:val="0"/>
        <w:spacing w:line="570" w:lineRule="exact"/>
        <w:ind w:firstLine="640"/>
        <w:outlineLvl w:val="1"/>
        <w:rPr>
          <w:rFonts w:hint="default" w:ascii="Times New Roman" w:hAnsi="Times New Roman" w:eastAsia="黑体" w:cs="Times New Roman"/>
          <w:color w:val="auto"/>
          <w:sz w:val="32"/>
          <w:szCs w:val="32"/>
          <w:highlight w:val="none"/>
        </w:rPr>
      </w:pPr>
      <w:bookmarkStart w:id="60" w:name="_Toc6683"/>
    </w:p>
    <w:p>
      <w:pPr>
        <w:keepNext w:val="0"/>
        <w:keepLines w:val="0"/>
        <w:pageBreakBefore w:val="0"/>
        <w:widowControl w:val="0"/>
        <w:wordWrap/>
        <w:overflowPunct/>
        <w:topLinePunct w:val="0"/>
        <w:autoSpaceDE/>
        <w:autoSpaceDN/>
        <w:bidi w:val="0"/>
        <w:adjustRightInd w:val="0"/>
        <w:spacing w:line="570" w:lineRule="exact"/>
        <w:ind w:firstLine="640"/>
        <w:outlineLvl w:val="1"/>
        <w:rPr>
          <w:rStyle w:val="19"/>
          <w:rFonts w:hint="default" w:ascii="Times New Roman" w:hAnsi="Times New Roman" w:eastAsia="黑体" w:cs="Times New Roman"/>
          <w:color w:val="auto"/>
          <w:highlight w:val="none"/>
        </w:rPr>
      </w:pPr>
      <w:r>
        <w:rPr>
          <w:rFonts w:hint="default" w:ascii="Times New Roman" w:hAnsi="Times New Roman" w:eastAsia="黑体" w:cs="Times New Roman"/>
          <w:color w:val="auto"/>
          <w:sz w:val="32"/>
          <w:szCs w:val="32"/>
          <w:highlight w:val="none"/>
        </w:rPr>
        <w:t>八、</w:t>
      </w:r>
      <w:r>
        <w:rPr>
          <w:rStyle w:val="19"/>
          <w:rFonts w:hint="default" w:ascii="Times New Roman" w:hAnsi="Times New Roman" w:eastAsia="黑体" w:cs="Times New Roman"/>
          <w:b w:val="0"/>
          <w:color w:val="auto"/>
          <w:highlight w:val="none"/>
        </w:rPr>
        <w:t>政府性基金预算支出决算情况说明</w:t>
      </w:r>
      <w:bookmarkEnd w:id="58"/>
      <w:bookmarkEnd w:id="59"/>
      <w:bookmarkEnd w:id="60"/>
    </w:p>
    <w:p>
      <w:pPr>
        <w:keepNext w:val="0"/>
        <w:keepLines w:val="0"/>
        <w:pageBreakBefore w:val="0"/>
        <w:widowControl w:val="0"/>
        <w:wordWrap/>
        <w:overflowPunct/>
        <w:topLinePunct w:val="0"/>
        <w:autoSpaceDE/>
        <w:autoSpaceDN/>
        <w:bidi w:val="0"/>
        <w:adjustRightInd w:val="0"/>
        <w:spacing w:line="57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2024年度政府性基金预算财政拨款支出</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万元。</w:t>
      </w:r>
    </w:p>
    <w:p>
      <w:pPr>
        <w:keepNext w:val="0"/>
        <w:keepLines w:val="0"/>
        <w:pageBreakBefore w:val="0"/>
        <w:widowControl w:val="0"/>
        <w:numPr>
          <w:ilvl w:val="0"/>
          <w:numId w:val="0"/>
        </w:numPr>
        <w:wordWrap/>
        <w:overflowPunct/>
        <w:topLinePunct w:val="0"/>
        <w:autoSpaceDE/>
        <w:autoSpaceDN/>
        <w:bidi w:val="0"/>
        <w:adjustRightInd w:val="0"/>
        <w:spacing w:line="570" w:lineRule="exact"/>
        <w:ind w:left="630" w:leftChars="0"/>
        <w:outlineLvl w:val="1"/>
        <w:rPr>
          <w:rStyle w:val="19"/>
          <w:rFonts w:hint="default" w:ascii="Times New Roman" w:hAnsi="Times New Roman" w:eastAsia="黑体" w:cs="Times New Roman"/>
          <w:b w:val="0"/>
          <w:color w:val="auto"/>
          <w:highlight w:val="none"/>
          <w:lang w:eastAsia="zh-CN"/>
        </w:rPr>
      </w:pPr>
      <w:bookmarkStart w:id="61" w:name="_Toc15377219"/>
      <w:bookmarkStart w:id="62" w:name="_Toc15396611"/>
      <w:bookmarkStart w:id="63" w:name="_Toc27812"/>
    </w:p>
    <w:p>
      <w:pPr>
        <w:keepNext w:val="0"/>
        <w:keepLines w:val="0"/>
        <w:pageBreakBefore w:val="0"/>
        <w:widowControl w:val="0"/>
        <w:numPr>
          <w:ilvl w:val="0"/>
          <w:numId w:val="0"/>
        </w:numPr>
        <w:wordWrap/>
        <w:overflowPunct/>
        <w:topLinePunct w:val="0"/>
        <w:autoSpaceDE/>
        <w:autoSpaceDN/>
        <w:bidi w:val="0"/>
        <w:adjustRightInd w:val="0"/>
        <w:spacing w:line="570" w:lineRule="exact"/>
        <w:ind w:left="630" w:leftChars="0"/>
        <w:outlineLvl w:val="1"/>
        <w:rPr>
          <w:rStyle w:val="19"/>
          <w:rFonts w:hint="default" w:ascii="Times New Roman" w:hAnsi="Times New Roman" w:eastAsia="黑体" w:cs="Times New Roman"/>
          <w:b w:val="0"/>
          <w:color w:val="auto"/>
          <w:highlight w:val="none"/>
        </w:rPr>
      </w:pPr>
      <w:r>
        <w:rPr>
          <w:rStyle w:val="19"/>
          <w:rFonts w:hint="default" w:ascii="Times New Roman" w:hAnsi="Times New Roman" w:eastAsia="黑体" w:cs="Times New Roman"/>
          <w:b w:val="0"/>
          <w:color w:val="auto"/>
          <w:highlight w:val="none"/>
          <w:lang w:eastAsia="zh-CN"/>
        </w:rPr>
        <w:t>九、</w:t>
      </w:r>
      <w:r>
        <w:rPr>
          <w:rStyle w:val="19"/>
          <w:rFonts w:hint="default" w:ascii="Times New Roman" w:hAnsi="Times New Roman" w:eastAsia="黑体" w:cs="Times New Roman"/>
          <w:b w:val="0"/>
          <w:color w:val="auto"/>
          <w:highlight w:val="none"/>
        </w:rPr>
        <w:t>国有资本经营预算支出决算情况说明</w:t>
      </w:r>
      <w:bookmarkEnd w:id="61"/>
      <w:bookmarkEnd w:id="62"/>
      <w:bookmarkEnd w:id="63"/>
    </w:p>
    <w:p>
      <w:pPr>
        <w:keepNext w:val="0"/>
        <w:keepLines w:val="0"/>
        <w:pageBreakBefore w:val="0"/>
        <w:widowControl w:val="0"/>
        <w:wordWrap/>
        <w:overflowPunct/>
        <w:topLinePunct w:val="0"/>
        <w:autoSpaceDE/>
        <w:autoSpaceDN/>
        <w:bidi w:val="0"/>
        <w:adjustRightInd w:val="0"/>
        <w:spacing w:line="57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2024年度国有资本经营预算财政拨款支出</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万元。</w:t>
      </w:r>
    </w:p>
    <w:p>
      <w:pPr>
        <w:keepNext w:val="0"/>
        <w:keepLines w:val="0"/>
        <w:pageBreakBefore w:val="0"/>
        <w:widowControl w:val="0"/>
        <w:numPr>
          <w:ilvl w:val="0"/>
          <w:numId w:val="0"/>
        </w:numPr>
        <w:wordWrap/>
        <w:overflowPunct/>
        <w:topLinePunct w:val="0"/>
        <w:autoSpaceDE/>
        <w:autoSpaceDN/>
        <w:bidi w:val="0"/>
        <w:adjustRightInd w:val="0"/>
        <w:spacing w:line="570" w:lineRule="exact"/>
        <w:ind w:left="630" w:leftChars="0"/>
        <w:outlineLvl w:val="1"/>
        <w:rPr>
          <w:rStyle w:val="19"/>
          <w:rFonts w:hint="default" w:ascii="Times New Roman" w:hAnsi="Times New Roman" w:eastAsia="黑体" w:cs="Times New Roman"/>
          <w:b w:val="0"/>
          <w:color w:val="auto"/>
          <w:highlight w:val="none"/>
          <w:lang w:eastAsia="zh-CN"/>
        </w:rPr>
      </w:pPr>
      <w:bookmarkStart w:id="64" w:name="_Toc10665"/>
      <w:bookmarkStart w:id="65" w:name="_Toc15377221"/>
      <w:bookmarkStart w:id="66" w:name="_Toc15396612"/>
    </w:p>
    <w:p>
      <w:pPr>
        <w:keepNext w:val="0"/>
        <w:keepLines w:val="0"/>
        <w:pageBreakBefore w:val="0"/>
        <w:widowControl w:val="0"/>
        <w:numPr>
          <w:ilvl w:val="0"/>
          <w:numId w:val="0"/>
        </w:numPr>
        <w:wordWrap/>
        <w:overflowPunct/>
        <w:topLinePunct w:val="0"/>
        <w:autoSpaceDE/>
        <w:autoSpaceDN/>
        <w:bidi w:val="0"/>
        <w:adjustRightInd w:val="0"/>
        <w:spacing w:line="570" w:lineRule="exact"/>
        <w:ind w:left="630" w:leftChars="0"/>
        <w:outlineLvl w:val="1"/>
        <w:rPr>
          <w:rStyle w:val="19"/>
          <w:rFonts w:hint="default" w:ascii="Times New Roman" w:hAnsi="Times New Roman" w:eastAsia="黑体" w:cs="Times New Roman"/>
          <w:b w:val="0"/>
          <w:color w:val="auto"/>
          <w:highlight w:val="none"/>
        </w:rPr>
      </w:pPr>
      <w:r>
        <w:rPr>
          <w:rStyle w:val="19"/>
          <w:rFonts w:hint="default" w:ascii="Times New Roman" w:hAnsi="Times New Roman" w:eastAsia="黑体" w:cs="Times New Roman"/>
          <w:b w:val="0"/>
          <w:color w:val="auto"/>
          <w:highlight w:val="none"/>
          <w:lang w:eastAsia="zh-CN"/>
        </w:rPr>
        <w:t>十、</w:t>
      </w:r>
      <w:r>
        <w:rPr>
          <w:rStyle w:val="19"/>
          <w:rFonts w:hint="default" w:ascii="Times New Roman" w:hAnsi="Times New Roman" w:eastAsia="黑体" w:cs="Times New Roman"/>
          <w:b w:val="0"/>
          <w:color w:val="auto"/>
          <w:highlight w:val="none"/>
        </w:rPr>
        <w:t>其他重要事项的情况说明</w:t>
      </w:r>
      <w:bookmarkEnd w:id="64"/>
      <w:bookmarkEnd w:id="65"/>
      <w:bookmarkEnd w:id="66"/>
    </w:p>
    <w:p>
      <w:pPr>
        <w:keepNext w:val="0"/>
        <w:keepLines w:val="0"/>
        <w:pageBreakBefore w:val="0"/>
        <w:widowControl w:val="0"/>
        <w:wordWrap/>
        <w:overflowPunct/>
        <w:topLinePunct w:val="0"/>
        <w:autoSpaceDE/>
        <w:autoSpaceDN/>
        <w:bidi w:val="0"/>
        <w:adjustRightInd w:val="0"/>
        <w:spacing w:line="570" w:lineRule="exact"/>
        <w:ind w:firstLine="642" w:firstLineChars="200"/>
        <w:outlineLvl w:val="2"/>
        <w:rPr>
          <w:rFonts w:hint="default" w:ascii="Times New Roman" w:hAnsi="Times New Roman" w:eastAsia="楷体_GB2312" w:cs="Times New Roman"/>
          <w:b w:val="0"/>
          <w:bCs/>
          <w:color w:val="auto"/>
          <w:sz w:val="32"/>
          <w:szCs w:val="32"/>
          <w:highlight w:val="none"/>
        </w:rPr>
      </w:pPr>
      <w:bookmarkStart w:id="67" w:name="_Toc15377222"/>
      <w:bookmarkStart w:id="68" w:name="_Toc31023"/>
      <w:r>
        <w:rPr>
          <w:rFonts w:hint="default" w:ascii="Times New Roman" w:hAnsi="Times New Roman" w:eastAsia="楷体_GB2312" w:cs="Times New Roman"/>
          <w:b/>
          <w:bCs w:val="0"/>
          <w:color w:val="auto"/>
          <w:sz w:val="32"/>
          <w:szCs w:val="32"/>
          <w:highlight w:val="none"/>
        </w:rPr>
        <w:t>（一）机关运行经费支出情况</w:t>
      </w:r>
      <w:bookmarkEnd w:id="67"/>
      <w:bookmarkEnd w:id="68"/>
    </w:p>
    <w:p>
      <w:pPr>
        <w:keepNext w:val="0"/>
        <w:keepLines w:val="0"/>
        <w:pageBreakBefore w:val="0"/>
        <w:widowControl w:val="0"/>
        <w:wordWrap/>
        <w:overflowPunct/>
        <w:topLinePunct w:val="0"/>
        <w:autoSpaceDE/>
        <w:autoSpaceDN/>
        <w:bidi w:val="0"/>
        <w:adjustRightInd w:val="0"/>
        <w:spacing w:line="570" w:lineRule="exact"/>
        <w:ind w:firstLine="640"/>
        <w:rPr>
          <w:rFonts w:hint="default" w:ascii="Times New Roman" w:hAnsi="Times New Roman" w:eastAsia="仿宋_GB2312" w:cs="Times New Roman"/>
          <w:color w:val="auto"/>
          <w:sz w:val="32"/>
          <w:szCs w:val="32"/>
          <w:lang w:val="en-US" w:eastAsia="zh-CN"/>
        </w:rPr>
      </w:pPr>
      <w:bookmarkStart w:id="69" w:name="_Toc18830"/>
      <w:bookmarkStart w:id="70" w:name="_Toc15377223"/>
      <w:r>
        <w:rPr>
          <w:rFonts w:hint="default" w:ascii="Times New Roman" w:hAnsi="Times New Roman" w:eastAsia="仿宋_GB2312" w:cs="Times New Roman"/>
          <w:color w:val="auto"/>
          <w:sz w:val="32"/>
          <w:szCs w:val="32"/>
          <w:lang w:val="en-US" w:eastAsia="zh-CN"/>
        </w:rPr>
        <w:t>2024年度</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sz w:val="32"/>
          <w:szCs w:val="32"/>
        </w:rPr>
        <w:t>四川省工业和信息化研究院</w:t>
      </w:r>
      <w:r>
        <w:rPr>
          <w:rFonts w:hint="default" w:ascii="Times New Roman" w:hAnsi="Times New Roman" w:eastAsia="仿宋_GB2312" w:cs="Times New Roman"/>
          <w:color w:val="auto"/>
          <w:sz w:val="32"/>
          <w:szCs w:val="32"/>
          <w:lang w:val="en-US" w:eastAsia="zh-CN"/>
        </w:rPr>
        <w:t>机关运行经费支出</w:t>
      </w:r>
      <w:r>
        <w:rPr>
          <w:rFonts w:hint="eastAsia"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lang w:val="en-US" w:eastAsia="zh-CN"/>
        </w:rPr>
        <w:t>万元，与2023年度决算数持平。</w:t>
      </w:r>
    </w:p>
    <w:p>
      <w:pPr>
        <w:keepNext w:val="0"/>
        <w:keepLines w:val="0"/>
        <w:pageBreakBefore w:val="0"/>
        <w:widowControl w:val="0"/>
        <w:wordWrap/>
        <w:overflowPunct/>
        <w:topLinePunct w:val="0"/>
        <w:autoSpaceDE/>
        <w:autoSpaceDN/>
        <w:bidi w:val="0"/>
        <w:adjustRightInd w:val="0"/>
        <w:spacing w:line="570" w:lineRule="exact"/>
        <w:ind w:firstLine="642" w:firstLineChars="200"/>
        <w:outlineLvl w:val="2"/>
        <w:rPr>
          <w:rFonts w:hint="default" w:ascii="Times New Roman" w:hAnsi="Times New Roman" w:eastAsia="楷体_GB2312" w:cs="Times New Roman"/>
          <w:b w:val="0"/>
          <w:bCs/>
          <w:color w:val="auto"/>
          <w:sz w:val="32"/>
          <w:szCs w:val="32"/>
          <w:highlight w:val="none"/>
        </w:rPr>
      </w:pPr>
      <w:r>
        <w:rPr>
          <w:rFonts w:hint="default" w:ascii="Times New Roman" w:hAnsi="Times New Roman" w:eastAsia="楷体_GB2312" w:cs="Times New Roman"/>
          <w:b/>
          <w:bCs w:val="0"/>
          <w:color w:val="auto"/>
          <w:sz w:val="32"/>
          <w:szCs w:val="32"/>
          <w:highlight w:val="none"/>
        </w:rPr>
        <w:t>（二）政府采购支出情况</w:t>
      </w:r>
      <w:bookmarkEnd w:id="69"/>
      <w:bookmarkEnd w:id="70"/>
    </w:p>
    <w:p>
      <w:pPr>
        <w:keepNext w:val="0"/>
        <w:keepLines w:val="0"/>
        <w:pageBreakBefore w:val="0"/>
        <w:widowControl w:val="0"/>
        <w:wordWrap/>
        <w:overflowPunct/>
        <w:topLinePunct w:val="0"/>
        <w:autoSpaceDE/>
        <w:autoSpaceDN/>
        <w:bidi w:val="0"/>
        <w:adjustRightInd w:val="0"/>
        <w:spacing w:line="57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w:t>
      </w:r>
      <w:r>
        <w:rPr>
          <w:rFonts w:hint="default" w:ascii="Times New Roman" w:hAnsi="Times New Roman" w:eastAsia="仿宋_GB2312" w:cs="Times New Roman"/>
          <w:color w:val="auto"/>
          <w:sz w:val="32"/>
          <w:szCs w:val="32"/>
        </w:rPr>
        <w:t>四川省工业和信息化研究院</w:t>
      </w:r>
      <w:r>
        <w:rPr>
          <w:rFonts w:hint="default" w:ascii="Times New Roman" w:hAnsi="Times New Roman" w:eastAsia="仿宋_GB2312" w:cs="Times New Roman"/>
          <w:color w:val="auto"/>
          <w:kern w:val="2"/>
          <w:sz w:val="32"/>
          <w:szCs w:val="32"/>
          <w:highlight w:val="none"/>
          <w:lang w:val="en-US" w:eastAsia="zh-CN" w:bidi="ar-SA"/>
        </w:rPr>
        <w:t>政府采购支出总额</w:t>
      </w:r>
      <w:r>
        <w:rPr>
          <w:rFonts w:hint="default" w:ascii="Times New Roman" w:hAnsi="Times New Roman" w:eastAsia="仿宋_GB2312" w:cs="Times New Roman"/>
          <w:color w:val="auto"/>
          <w:sz w:val="32"/>
          <w:szCs w:val="32"/>
        </w:rPr>
        <w:t>59.08</w:t>
      </w:r>
      <w:r>
        <w:rPr>
          <w:rFonts w:hint="default" w:ascii="Times New Roman" w:hAnsi="Times New Roman" w:eastAsia="仿宋_GB2312" w:cs="Times New Roman"/>
          <w:color w:val="auto"/>
          <w:kern w:val="2"/>
          <w:sz w:val="32"/>
          <w:szCs w:val="32"/>
          <w:highlight w:val="none"/>
          <w:lang w:val="en-US" w:eastAsia="zh-CN" w:bidi="ar-SA"/>
        </w:rPr>
        <w:t>万元，其中：政府采购货物支出</w:t>
      </w:r>
      <w:r>
        <w:rPr>
          <w:rFonts w:hint="default" w:ascii="Times New Roman" w:hAnsi="Times New Roman" w:eastAsia="仿宋_GB2312" w:cs="Times New Roman"/>
          <w:color w:val="auto"/>
          <w:sz w:val="32"/>
          <w:szCs w:val="32"/>
        </w:rPr>
        <w:t>59.08</w:t>
      </w:r>
      <w:r>
        <w:rPr>
          <w:rFonts w:hint="default" w:ascii="Times New Roman" w:hAnsi="Times New Roman" w:eastAsia="仿宋_GB2312" w:cs="Times New Roman"/>
          <w:color w:val="auto"/>
          <w:kern w:val="2"/>
          <w:sz w:val="32"/>
          <w:szCs w:val="32"/>
          <w:highlight w:val="none"/>
          <w:lang w:val="en-US" w:eastAsia="zh-CN" w:bidi="ar-SA"/>
        </w:rPr>
        <w:t>万元、政府采购工程支出</w:t>
      </w:r>
      <w:r>
        <w:rPr>
          <w:rFonts w:hint="default" w:ascii="Times New Roman" w:hAnsi="Times New Roman" w:eastAsia="仿宋_GB2312" w:cs="Times New Roman"/>
          <w:color w:val="auto"/>
          <w:sz w:val="32"/>
          <w:szCs w:val="32"/>
        </w:rPr>
        <w:t>0</w:t>
      </w:r>
      <w:r>
        <w:rPr>
          <w:rFonts w:hint="default" w:ascii="Times New Roman" w:hAnsi="Times New Roman" w:eastAsia="仿宋_GB2312" w:cs="Times New Roman"/>
          <w:color w:val="auto"/>
          <w:kern w:val="2"/>
          <w:sz w:val="32"/>
          <w:szCs w:val="32"/>
          <w:highlight w:val="none"/>
          <w:lang w:val="en-US" w:eastAsia="zh-CN" w:bidi="ar-SA"/>
        </w:rPr>
        <w:t>万元、政府采购服务支出</w:t>
      </w:r>
      <w:r>
        <w:rPr>
          <w:rFonts w:hint="default" w:ascii="Times New Roman" w:hAnsi="Times New Roman" w:eastAsia="仿宋_GB2312" w:cs="Times New Roman"/>
          <w:color w:val="auto"/>
          <w:sz w:val="32"/>
          <w:szCs w:val="32"/>
        </w:rPr>
        <w:t>0</w:t>
      </w:r>
      <w:r>
        <w:rPr>
          <w:rFonts w:hint="default" w:ascii="Times New Roman" w:hAnsi="Times New Roman" w:eastAsia="仿宋_GB2312" w:cs="Times New Roman"/>
          <w:color w:val="auto"/>
          <w:kern w:val="2"/>
          <w:sz w:val="32"/>
          <w:szCs w:val="32"/>
          <w:highlight w:val="none"/>
          <w:lang w:val="en-US" w:eastAsia="zh-CN" w:bidi="ar-SA"/>
        </w:rPr>
        <w:t>万元。主要用于日常公务用车定点加油、维修保养、汽车保险和购买科研工作所需办公设备。授予中小企业合同金额</w:t>
      </w:r>
      <w:r>
        <w:rPr>
          <w:rFonts w:hint="default" w:ascii="Times New Roman" w:hAnsi="Times New Roman" w:eastAsia="仿宋_GB2312" w:cs="Times New Roman"/>
          <w:color w:val="auto"/>
          <w:sz w:val="32"/>
          <w:szCs w:val="32"/>
        </w:rPr>
        <w:t>55.24</w:t>
      </w:r>
      <w:r>
        <w:rPr>
          <w:rFonts w:hint="default" w:ascii="Times New Roman" w:hAnsi="Times New Roman" w:eastAsia="仿宋_GB2312" w:cs="Times New Roman"/>
          <w:color w:val="auto"/>
          <w:kern w:val="2"/>
          <w:sz w:val="32"/>
          <w:szCs w:val="32"/>
          <w:highlight w:val="none"/>
          <w:lang w:val="en-US" w:eastAsia="zh-CN" w:bidi="ar-SA"/>
        </w:rPr>
        <w:t>万元，占政府采购支出总额的</w:t>
      </w:r>
      <w:r>
        <w:rPr>
          <w:rFonts w:hint="default" w:ascii="Times New Roman" w:hAnsi="Times New Roman" w:eastAsia="仿宋_GB2312" w:cs="Times New Roman"/>
          <w:color w:val="auto"/>
          <w:sz w:val="32"/>
          <w:szCs w:val="32"/>
        </w:rPr>
        <w:t>93.</w:t>
      </w:r>
      <w:r>
        <w:rPr>
          <w:rFonts w:hint="default"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kern w:val="2"/>
          <w:sz w:val="32"/>
          <w:szCs w:val="32"/>
          <w:highlight w:val="none"/>
          <w:lang w:val="en-US" w:eastAsia="zh-CN" w:bidi="ar-SA"/>
        </w:rPr>
        <w:t>%，其中：授予小微企业合同金额</w:t>
      </w:r>
      <w:r>
        <w:rPr>
          <w:rFonts w:hint="default" w:ascii="Times New Roman" w:hAnsi="Times New Roman" w:eastAsia="仿宋_GB2312" w:cs="Times New Roman"/>
          <w:color w:val="auto"/>
          <w:sz w:val="32"/>
          <w:szCs w:val="32"/>
        </w:rPr>
        <w:t>13.27</w:t>
      </w:r>
      <w:r>
        <w:rPr>
          <w:rFonts w:hint="default" w:ascii="Times New Roman" w:hAnsi="Times New Roman" w:eastAsia="仿宋_GB2312" w:cs="Times New Roman"/>
          <w:color w:val="auto"/>
          <w:kern w:val="2"/>
          <w:sz w:val="32"/>
          <w:szCs w:val="32"/>
          <w:highlight w:val="none"/>
          <w:lang w:val="en-US" w:eastAsia="zh-CN" w:bidi="ar-SA"/>
        </w:rPr>
        <w:t>万元，占政府采购支出总额的</w:t>
      </w:r>
      <w:r>
        <w:rPr>
          <w:rFonts w:hint="default" w:ascii="Times New Roman" w:hAnsi="Times New Roman" w:eastAsia="仿宋_GB2312" w:cs="Times New Roman"/>
          <w:color w:val="auto"/>
          <w:sz w:val="32"/>
          <w:szCs w:val="32"/>
        </w:rPr>
        <w:t>22.</w:t>
      </w:r>
      <w:r>
        <w:rPr>
          <w:rFonts w:hint="default"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kern w:val="2"/>
          <w:sz w:val="32"/>
          <w:szCs w:val="32"/>
          <w:highlight w:val="none"/>
          <w:lang w:val="en-US" w:eastAsia="zh-CN" w:bidi="ar-SA"/>
        </w:rPr>
        <w:t>%。</w:t>
      </w:r>
    </w:p>
    <w:p>
      <w:pPr>
        <w:keepNext w:val="0"/>
        <w:keepLines w:val="0"/>
        <w:pageBreakBefore w:val="0"/>
        <w:widowControl w:val="0"/>
        <w:wordWrap/>
        <w:overflowPunct/>
        <w:topLinePunct w:val="0"/>
        <w:autoSpaceDE/>
        <w:autoSpaceDN/>
        <w:bidi w:val="0"/>
        <w:adjustRightInd w:val="0"/>
        <w:spacing w:line="570" w:lineRule="exact"/>
        <w:ind w:firstLine="642" w:firstLineChars="200"/>
        <w:outlineLvl w:val="2"/>
        <w:rPr>
          <w:rFonts w:hint="default" w:ascii="Times New Roman" w:hAnsi="Times New Roman" w:eastAsia="楷体_GB2312" w:cs="Times New Roman"/>
          <w:b/>
          <w:bCs w:val="0"/>
          <w:color w:val="auto"/>
          <w:sz w:val="32"/>
          <w:szCs w:val="32"/>
          <w:highlight w:val="none"/>
        </w:rPr>
      </w:pPr>
      <w:bookmarkStart w:id="71" w:name="_Toc15377224"/>
      <w:bookmarkStart w:id="72" w:name="_Toc25486"/>
      <w:r>
        <w:rPr>
          <w:rFonts w:hint="default" w:ascii="Times New Roman" w:hAnsi="Times New Roman" w:eastAsia="楷体_GB2312" w:cs="Times New Roman"/>
          <w:b/>
          <w:bCs w:val="0"/>
          <w:color w:val="auto"/>
          <w:sz w:val="32"/>
          <w:szCs w:val="32"/>
          <w:highlight w:val="none"/>
        </w:rPr>
        <w:t>（三）国有资产占有使用情况</w:t>
      </w:r>
      <w:bookmarkEnd w:id="71"/>
      <w:bookmarkEnd w:id="72"/>
    </w:p>
    <w:p>
      <w:pPr>
        <w:keepNext w:val="0"/>
        <w:keepLines w:val="0"/>
        <w:pageBreakBefore w:val="0"/>
        <w:widowControl w:val="0"/>
        <w:wordWrap/>
        <w:overflowPunct/>
        <w:topLinePunct w:val="0"/>
        <w:autoSpaceDE/>
        <w:autoSpaceDN/>
        <w:bidi w:val="0"/>
        <w:adjustRightInd w:val="0"/>
        <w:spacing w:line="57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截至2024年12月31日，</w:t>
      </w:r>
      <w:r>
        <w:rPr>
          <w:rFonts w:hint="default" w:ascii="Times New Roman" w:hAnsi="Times New Roman" w:eastAsia="仿宋_GB2312" w:cs="Times New Roman"/>
          <w:sz w:val="32"/>
          <w:szCs w:val="32"/>
        </w:rPr>
        <w:t>四川省工业和信息化研究院</w:t>
      </w:r>
      <w:r>
        <w:rPr>
          <w:rFonts w:hint="default" w:ascii="Times New Roman" w:hAnsi="Times New Roman" w:eastAsia="仿宋_GB2312" w:cs="Times New Roman"/>
          <w:color w:val="auto"/>
          <w:kern w:val="2"/>
          <w:sz w:val="32"/>
          <w:szCs w:val="32"/>
          <w:highlight w:val="none"/>
          <w:lang w:val="en-US" w:eastAsia="zh-CN" w:bidi="ar-SA"/>
        </w:rPr>
        <w:t>共有车辆</w:t>
      </w:r>
      <w:r>
        <w:rPr>
          <w:rFonts w:hint="default" w:ascii="Times New Roman" w:hAnsi="Times New Roman" w:eastAsia="仿宋_GB2312" w:cs="Times New Roman"/>
          <w:sz w:val="32"/>
          <w:szCs w:val="32"/>
        </w:rPr>
        <w:t>4</w:t>
      </w:r>
      <w:r>
        <w:rPr>
          <w:rFonts w:hint="default" w:ascii="Times New Roman" w:hAnsi="Times New Roman" w:eastAsia="仿宋_GB2312" w:cs="Times New Roman"/>
          <w:color w:val="auto"/>
          <w:kern w:val="2"/>
          <w:sz w:val="32"/>
          <w:szCs w:val="32"/>
          <w:highlight w:val="none"/>
          <w:lang w:val="en-US" w:eastAsia="zh-CN" w:bidi="ar-SA"/>
        </w:rPr>
        <w:t>辆，其中：主要负责人用车</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辆、机要通信用车</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辆、应急保障用车</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辆、其他用车</w:t>
      </w:r>
      <w:r>
        <w:rPr>
          <w:rFonts w:hint="default" w:ascii="Times New Roman" w:hAnsi="Times New Roman" w:eastAsia="仿宋_GB2312" w:cs="Times New Roman"/>
          <w:sz w:val="32"/>
          <w:szCs w:val="32"/>
        </w:rPr>
        <w:t>4</w:t>
      </w:r>
      <w:r>
        <w:rPr>
          <w:rFonts w:hint="default" w:ascii="Times New Roman" w:hAnsi="Times New Roman" w:eastAsia="仿宋_GB2312" w:cs="Times New Roman"/>
          <w:color w:val="auto"/>
          <w:kern w:val="2"/>
          <w:sz w:val="32"/>
          <w:szCs w:val="32"/>
          <w:highlight w:val="none"/>
          <w:lang w:val="en-US" w:eastAsia="zh-CN" w:bidi="ar-SA"/>
        </w:rPr>
        <w:t>辆，其他用车主要是用于</w:t>
      </w:r>
      <w:r>
        <w:rPr>
          <w:rFonts w:hint="default" w:ascii="Times New Roman" w:hAnsi="Times New Roman" w:eastAsia="仿宋_GB2312" w:cs="Times New Roman"/>
          <w:color w:val="auto"/>
          <w:sz w:val="32"/>
          <w:szCs w:val="32"/>
          <w:highlight w:val="none"/>
          <w:lang w:val="en-US" w:eastAsia="zh-CN"/>
        </w:rPr>
        <w:t>保障单位公务出行用车</w:t>
      </w:r>
      <w:r>
        <w:rPr>
          <w:rFonts w:hint="default" w:ascii="Times New Roman" w:hAnsi="Times New Roman" w:eastAsia="仿宋_GB2312" w:cs="Times New Roman"/>
          <w:color w:val="auto"/>
          <w:kern w:val="2"/>
          <w:sz w:val="32"/>
          <w:szCs w:val="32"/>
          <w:highlight w:val="none"/>
          <w:lang w:val="en-US" w:eastAsia="zh-CN" w:bidi="ar-SA"/>
        </w:rPr>
        <w:t>。单价100万元（含）以上设备（不含车辆）</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台（套）。</w:t>
      </w:r>
    </w:p>
    <w:p>
      <w:pPr>
        <w:keepNext w:val="0"/>
        <w:keepLines w:val="0"/>
        <w:pageBreakBefore w:val="0"/>
        <w:widowControl w:val="0"/>
        <w:wordWrap/>
        <w:overflowPunct/>
        <w:topLinePunct w:val="0"/>
        <w:autoSpaceDE/>
        <w:autoSpaceDN/>
        <w:bidi w:val="0"/>
        <w:adjustRightInd w:val="0"/>
        <w:spacing w:line="570" w:lineRule="exact"/>
        <w:ind w:firstLine="642" w:firstLineChars="200"/>
        <w:outlineLvl w:val="2"/>
        <w:rPr>
          <w:rFonts w:hint="default" w:ascii="Times New Roman" w:hAnsi="Times New Roman" w:eastAsia="楷体_GB2312" w:cs="Times New Roman"/>
          <w:b/>
          <w:bCs w:val="0"/>
          <w:color w:val="auto"/>
          <w:sz w:val="32"/>
          <w:szCs w:val="32"/>
          <w:highlight w:val="none"/>
        </w:rPr>
      </w:pPr>
      <w:bookmarkStart w:id="73" w:name="_Toc23656"/>
      <w:r>
        <w:rPr>
          <w:rFonts w:hint="default" w:ascii="Times New Roman" w:hAnsi="Times New Roman" w:eastAsia="楷体_GB2312" w:cs="Times New Roman"/>
          <w:b/>
          <w:bCs w:val="0"/>
          <w:color w:val="auto"/>
          <w:sz w:val="32"/>
          <w:szCs w:val="32"/>
          <w:highlight w:val="none"/>
        </w:rPr>
        <w:t>（四）预算绩效管理情况</w:t>
      </w:r>
      <w:bookmarkEnd w:id="73"/>
    </w:p>
    <w:p>
      <w:pPr>
        <w:keepNext w:val="0"/>
        <w:keepLines w:val="0"/>
        <w:pageBreakBefore w:val="0"/>
        <w:widowControl w:val="0"/>
        <w:wordWrap/>
        <w:overflowPunct/>
        <w:topLinePunct w:val="0"/>
        <w:autoSpaceDE/>
        <w:autoSpaceDN/>
        <w:bidi w:val="0"/>
        <w:adjustRightInd w:val="0"/>
        <w:spacing w:line="57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根据预算绩效管理要求，本单位在2024年度预算编制阶段，组织对</w:t>
      </w:r>
      <w:r>
        <w:rPr>
          <w:rFonts w:hint="default" w:ascii="Times New Roman" w:hAnsi="Times New Roman" w:eastAsia="仿宋_GB2312" w:cs="Times New Roman"/>
          <w:color w:val="auto"/>
          <w:sz w:val="32"/>
          <w:szCs w:val="32"/>
          <w:highlight w:val="none"/>
          <w:lang w:val="en-US" w:eastAsia="zh-CN"/>
        </w:rPr>
        <w:t>办公、附属用房基础设施改造</w:t>
      </w:r>
      <w:r>
        <w:rPr>
          <w:rFonts w:hint="default" w:ascii="Times New Roman" w:hAnsi="Times New Roman" w:eastAsia="仿宋_GB2312" w:cs="Times New Roman"/>
          <w:color w:val="auto"/>
          <w:sz w:val="32"/>
          <w:szCs w:val="32"/>
          <w:highlight w:val="none"/>
          <w:lang w:eastAsia="zh-CN"/>
        </w:rPr>
        <w:t>项目（项目名称）等</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kern w:val="2"/>
          <w:sz w:val="32"/>
          <w:szCs w:val="32"/>
          <w:highlight w:val="none"/>
          <w:lang w:val="en-US" w:eastAsia="zh-CN" w:bidi="ar-SA"/>
        </w:rPr>
        <w:t>个项目开展了预算事前绩效评估，</w:t>
      </w:r>
      <w:r>
        <w:rPr>
          <w:rFonts w:hint="default" w:ascii="Times New Roman" w:hAnsi="Times New Roman" w:eastAsia="仿宋_GB2312" w:cs="Times New Roman"/>
          <w:color w:val="auto"/>
          <w:sz w:val="32"/>
          <w:szCs w:val="32"/>
          <w:highlight w:val="none"/>
          <w:lang w:eastAsia="zh-CN"/>
        </w:rPr>
        <w:t>对</w:t>
      </w:r>
      <w:r>
        <w:rPr>
          <w:rFonts w:hint="default" w:ascii="Times New Roman" w:hAnsi="Times New Roman" w:eastAsia="仿宋_GB2312" w:cs="Times New Roman"/>
          <w:color w:val="auto"/>
          <w:sz w:val="32"/>
          <w:szCs w:val="32"/>
          <w:highlight w:val="none"/>
          <w:lang w:val="en-US" w:eastAsia="zh-CN"/>
        </w:rPr>
        <w:t>17</w:t>
      </w:r>
      <w:r>
        <w:rPr>
          <w:rFonts w:hint="default" w:ascii="Times New Roman" w:hAnsi="Times New Roman" w:eastAsia="仿宋_GB2312" w:cs="Times New Roman"/>
          <w:color w:val="auto"/>
          <w:sz w:val="32"/>
          <w:szCs w:val="32"/>
          <w:highlight w:val="none"/>
          <w:lang w:eastAsia="zh-CN"/>
        </w:rPr>
        <w:t>个项目编制了绩效目标，预算执行过程中，选取</w:t>
      </w:r>
      <w:r>
        <w:rPr>
          <w:rFonts w:hint="default" w:ascii="Times New Roman" w:hAnsi="Times New Roman" w:eastAsia="仿宋_GB2312" w:cs="Times New Roman"/>
          <w:color w:val="auto"/>
          <w:sz w:val="32"/>
          <w:szCs w:val="32"/>
          <w:highlight w:val="none"/>
          <w:lang w:val="en-US" w:eastAsia="zh-CN"/>
        </w:rPr>
        <w:t>17</w:t>
      </w:r>
      <w:r>
        <w:rPr>
          <w:rFonts w:hint="default" w:ascii="Times New Roman" w:hAnsi="Times New Roman" w:eastAsia="仿宋_GB2312" w:cs="Times New Roman"/>
          <w:color w:val="auto"/>
          <w:sz w:val="32"/>
          <w:szCs w:val="32"/>
          <w:highlight w:val="none"/>
          <w:lang w:eastAsia="zh-CN"/>
        </w:rPr>
        <w:t>个项目开展绩效监控，组织对</w:t>
      </w:r>
      <w:r>
        <w:rPr>
          <w:rFonts w:hint="default" w:ascii="Times New Roman" w:hAnsi="Times New Roman" w:eastAsia="仿宋_GB2312" w:cs="Times New Roman"/>
          <w:color w:val="auto"/>
          <w:sz w:val="32"/>
          <w:szCs w:val="32"/>
          <w:highlight w:val="none"/>
          <w:lang w:val="en-US" w:eastAsia="zh-CN"/>
        </w:rPr>
        <w:t>5个项目开展绩效自评，绩效自评表详见第四部分附件。</w:t>
      </w:r>
    </w:p>
    <w:p>
      <w:pPr>
        <w:pStyle w:val="5"/>
        <w:keepNext w:val="0"/>
        <w:keepLines w:val="0"/>
        <w:pageBreakBefore w:val="0"/>
        <w:widowControl w:val="0"/>
        <w:kinsoku w:val="0"/>
        <w:wordWrap/>
        <w:overflowPunct/>
        <w:topLinePunct w:val="0"/>
        <w:autoSpaceDE/>
        <w:autoSpaceDN/>
        <w:bidi w:val="0"/>
        <w:adjustRightInd w:val="0"/>
        <w:snapToGrid w:val="0"/>
        <w:spacing w:before="0" w:beforeLines="100" w:after="0" w:afterLines="100" w:line="570" w:lineRule="exact"/>
        <w:jc w:val="center"/>
        <w:textAlignment w:val="baseline"/>
        <w:rPr>
          <w:rFonts w:hint="default" w:ascii="Times New Roman" w:hAnsi="Times New Roman" w:eastAsia="方正小标宋简体" w:cs="Times New Roman"/>
          <w:b w:val="0"/>
          <w:color w:val="auto"/>
          <w:sz w:val="44"/>
          <w:highlight w:val="none"/>
        </w:rPr>
      </w:pPr>
      <w:bookmarkStart w:id="74" w:name="_Toc15396613"/>
      <w:bookmarkStart w:id="75" w:name="_Toc9401"/>
      <w:bookmarkStart w:id="76" w:name="_Toc15377225"/>
    </w:p>
    <w:p>
      <w:pPr>
        <w:pStyle w:val="5"/>
        <w:keepNext w:val="0"/>
        <w:keepLines w:val="0"/>
        <w:pageBreakBefore w:val="0"/>
        <w:widowControl w:val="0"/>
        <w:kinsoku w:val="0"/>
        <w:wordWrap/>
        <w:overflowPunct/>
        <w:topLinePunct w:val="0"/>
        <w:autoSpaceDE/>
        <w:autoSpaceDN/>
        <w:bidi w:val="0"/>
        <w:adjustRightInd w:val="0"/>
        <w:snapToGrid w:val="0"/>
        <w:spacing w:before="0" w:beforeLines="100" w:after="0" w:afterLines="100" w:line="570" w:lineRule="exact"/>
        <w:jc w:val="center"/>
        <w:textAlignment w:val="baseline"/>
        <w:rPr>
          <w:rFonts w:hint="default" w:ascii="Times New Roman" w:hAnsi="Times New Roman" w:eastAsia="方正小标宋简体" w:cs="Times New Roman"/>
          <w:b w:val="0"/>
          <w:color w:val="auto"/>
          <w:sz w:val="44"/>
          <w:highlight w:val="none"/>
        </w:rPr>
      </w:pPr>
    </w:p>
    <w:p>
      <w:pPr>
        <w:pStyle w:val="5"/>
        <w:keepNext w:val="0"/>
        <w:keepLines w:val="0"/>
        <w:pageBreakBefore w:val="0"/>
        <w:widowControl w:val="0"/>
        <w:kinsoku w:val="0"/>
        <w:wordWrap/>
        <w:overflowPunct/>
        <w:topLinePunct w:val="0"/>
        <w:autoSpaceDE/>
        <w:autoSpaceDN/>
        <w:bidi w:val="0"/>
        <w:adjustRightInd w:val="0"/>
        <w:snapToGrid w:val="0"/>
        <w:spacing w:before="0" w:beforeLines="100" w:after="0" w:afterLines="100" w:line="570" w:lineRule="exact"/>
        <w:jc w:val="center"/>
        <w:textAlignment w:val="baseline"/>
        <w:rPr>
          <w:rFonts w:hint="default" w:ascii="Times New Roman" w:hAnsi="Times New Roman" w:eastAsia="方正小标宋简体" w:cs="Times New Roman"/>
          <w:b w:val="0"/>
          <w:color w:val="auto"/>
          <w:sz w:val="44"/>
          <w:highlight w:val="none"/>
        </w:rPr>
      </w:pPr>
    </w:p>
    <w:p>
      <w:pPr>
        <w:pStyle w:val="5"/>
        <w:keepNext w:val="0"/>
        <w:keepLines w:val="0"/>
        <w:pageBreakBefore w:val="0"/>
        <w:widowControl w:val="0"/>
        <w:kinsoku w:val="0"/>
        <w:wordWrap/>
        <w:overflowPunct/>
        <w:topLinePunct w:val="0"/>
        <w:autoSpaceDE/>
        <w:autoSpaceDN/>
        <w:bidi w:val="0"/>
        <w:adjustRightInd w:val="0"/>
        <w:snapToGrid w:val="0"/>
        <w:spacing w:before="0" w:beforeLines="100" w:after="0" w:afterLines="100" w:line="570" w:lineRule="exact"/>
        <w:jc w:val="center"/>
        <w:textAlignment w:val="baseline"/>
        <w:rPr>
          <w:rFonts w:hint="default" w:ascii="Times New Roman" w:hAnsi="Times New Roman" w:eastAsia="方正小标宋简体" w:cs="Times New Roman"/>
          <w:b w:val="0"/>
          <w:color w:val="auto"/>
          <w:sz w:val="44"/>
          <w:highlight w:val="none"/>
        </w:rPr>
      </w:pPr>
    </w:p>
    <w:p>
      <w:pPr>
        <w:pStyle w:val="5"/>
        <w:keepNext w:val="0"/>
        <w:keepLines w:val="0"/>
        <w:pageBreakBefore w:val="0"/>
        <w:widowControl w:val="0"/>
        <w:kinsoku w:val="0"/>
        <w:wordWrap/>
        <w:overflowPunct/>
        <w:topLinePunct w:val="0"/>
        <w:autoSpaceDE/>
        <w:autoSpaceDN/>
        <w:bidi w:val="0"/>
        <w:adjustRightInd w:val="0"/>
        <w:snapToGrid w:val="0"/>
        <w:spacing w:before="0" w:beforeLines="100" w:after="0" w:afterLines="100" w:line="570" w:lineRule="exact"/>
        <w:jc w:val="center"/>
        <w:textAlignment w:val="baseline"/>
        <w:rPr>
          <w:rFonts w:hint="default" w:ascii="Times New Roman" w:hAnsi="Times New Roman" w:eastAsia="方正小标宋简体" w:cs="Times New Roman"/>
          <w:b w:val="0"/>
          <w:color w:val="auto"/>
          <w:sz w:val="44"/>
          <w:highlight w:val="none"/>
        </w:rPr>
      </w:pPr>
    </w:p>
    <w:p>
      <w:pPr>
        <w:pStyle w:val="5"/>
        <w:keepNext w:val="0"/>
        <w:keepLines w:val="0"/>
        <w:pageBreakBefore w:val="0"/>
        <w:widowControl w:val="0"/>
        <w:kinsoku w:val="0"/>
        <w:wordWrap/>
        <w:overflowPunct/>
        <w:topLinePunct w:val="0"/>
        <w:autoSpaceDE/>
        <w:autoSpaceDN/>
        <w:bidi w:val="0"/>
        <w:adjustRightInd w:val="0"/>
        <w:snapToGrid w:val="0"/>
        <w:spacing w:before="0" w:beforeLines="100" w:after="0" w:afterLines="100" w:line="570" w:lineRule="exact"/>
        <w:jc w:val="center"/>
        <w:textAlignment w:val="baseline"/>
        <w:rPr>
          <w:rFonts w:hint="default" w:ascii="Times New Roman" w:hAnsi="Times New Roman" w:eastAsia="方正小标宋简体" w:cs="Times New Roman"/>
          <w:b w:val="0"/>
          <w:color w:val="auto"/>
          <w:sz w:val="44"/>
          <w:highlight w:val="none"/>
        </w:rPr>
      </w:pPr>
    </w:p>
    <w:p>
      <w:pPr>
        <w:pStyle w:val="5"/>
        <w:keepNext w:val="0"/>
        <w:keepLines w:val="0"/>
        <w:pageBreakBefore w:val="0"/>
        <w:widowControl w:val="0"/>
        <w:kinsoku w:val="0"/>
        <w:wordWrap/>
        <w:overflowPunct/>
        <w:topLinePunct w:val="0"/>
        <w:autoSpaceDE/>
        <w:autoSpaceDN/>
        <w:bidi w:val="0"/>
        <w:adjustRightInd w:val="0"/>
        <w:snapToGrid w:val="0"/>
        <w:spacing w:before="0" w:beforeLines="100" w:after="0" w:afterLines="100" w:line="570" w:lineRule="exact"/>
        <w:jc w:val="center"/>
        <w:textAlignment w:val="baseline"/>
        <w:rPr>
          <w:rFonts w:hint="default" w:ascii="Times New Roman" w:hAnsi="Times New Roman" w:eastAsia="方正小标宋简体" w:cs="Times New Roman"/>
          <w:b w:val="0"/>
          <w:color w:val="auto"/>
          <w:sz w:val="44"/>
          <w:highlight w:val="none"/>
        </w:rPr>
      </w:pPr>
    </w:p>
    <w:p>
      <w:pPr>
        <w:pStyle w:val="5"/>
        <w:keepNext w:val="0"/>
        <w:keepLines w:val="0"/>
        <w:pageBreakBefore w:val="0"/>
        <w:widowControl w:val="0"/>
        <w:kinsoku w:val="0"/>
        <w:wordWrap/>
        <w:overflowPunct/>
        <w:topLinePunct w:val="0"/>
        <w:autoSpaceDE/>
        <w:autoSpaceDN/>
        <w:bidi w:val="0"/>
        <w:adjustRightInd w:val="0"/>
        <w:snapToGrid w:val="0"/>
        <w:spacing w:before="0" w:beforeLines="100" w:after="0" w:afterLines="100" w:line="570" w:lineRule="exact"/>
        <w:jc w:val="center"/>
        <w:textAlignment w:val="baseline"/>
        <w:rPr>
          <w:rFonts w:hint="default" w:ascii="Times New Roman" w:hAnsi="Times New Roman" w:eastAsia="方正小标宋简体" w:cs="Times New Roman"/>
          <w:b w:val="0"/>
          <w:color w:val="auto"/>
          <w:sz w:val="44"/>
          <w:highlight w:val="none"/>
        </w:rPr>
      </w:pPr>
    </w:p>
    <w:p>
      <w:pPr>
        <w:pStyle w:val="5"/>
        <w:keepNext w:val="0"/>
        <w:keepLines w:val="0"/>
        <w:pageBreakBefore w:val="0"/>
        <w:widowControl w:val="0"/>
        <w:kinsoku w:val="0"/>
        <w:wordWrap/>
        <w:overflowPunct/>
        <w:topLinePunct w:val="0"/>
        <w:autoSpaceDE/>
        <w:autoSpaceDN/>
        <w:bidi w:val="0"/>
        <w:adjustRightInd w:val="0"/>
        <w:snapToGrid w:val="0"/>
        <w:spacing w:before="0" w:beforeLines="100" w:after="0" w:afterLines="100" w:line="570" w:lineRule="exact"/>
        <w:jc w:val="center"/>
        <w:textAlignment w:val="baseline"/>
        <w:rPr>
          <w:rFonts w:hint="default" w:ascii="Times New Roman" w:hAnsi="Times New Roman" w:eastAsia="方正小标宋简体" w:cs="Times New Roman"/>
          <w:b w:val="0"/>
          <w:color w:val="auto"/>
          <w:sz w:val="44"/>
          <w:highlight w:val="none"/>
        </w:rPr>
      </w:pPr>
    </w:p>
    <w:p>
      <w:pPr>
        <w:pStyle w:val="5"/>
        <w:keepNext w:val="0"/>
        <w:keepLines w:val="0"/>
        <w:pageBreakBefore w:val="0"/>
        <w:widowControl w:val="0"/>
        <w:kinsoku w:val="0"/>
        <w:wordWrap/>
        <w:overflowPunct/>
        <w:topLinePunct w:val="0"/>
        <w:autoSpaceDE/>
        <w:autoSpaceDN/>
        <w:bidi w:val="0"/>
        <w:adjustRightInd w:val="0"/>
        <w:snapToGrid w:val="0"/>
        <w:spacing w:before="0" w:beforeLines="100" w:after="0" w:afterLines="100" w:line="570" w:lineRule="exact"/>
        <w:jc w:val="center"/>
        <w:textAlignment w:val="baseline"/>
        <w:rPr>
          <w:rFonts w:hint="default" w:ascii="Times New Roman" w:hAnsi="Times New Roman" w:eastAsia="方正小标宋简体" w:cs="Times New Roman"/>
          <w:b w:val="0"/>
          <w:color w:val="auto"/>
          <w:sz w:val="44"/>
          <w:highlight w:val="none"/>
        </w:rPr>
      </w:pPr>
    </w:p>
    <w:p>
      <w:pPr>
        <w:pStyle w:val="5"/>
        <w:keepNext w:val="0"/>
        <w:keepLines w:val="0"/>
        <w:pageBreakBefore w:val="0"/>
        <w:widowControl w:val="0"/>
        <w:kinsoku w:val="0"/>
        <w:wordWrap/>
        <w:overflowPunct/>
        <w:topLinePunct w:val="0"/>
        <w:autoSpaceDE/>
        <w:autoSpaceDN/>
        <w:bidi w:val="0"/>
        <w:adjustRightInd w:val="0"/>
        <w:snapToGrid w:val="0"/>
        <w:spacing w:before="0" w:beforeLines="100" w:after="0" w:afterLines="100" w:line="570" w:lineRule="exact"/>
        <w:jc w:val="center"/>
        <w:textAlignment w:val="baseline"/>
        <w:rPr>
          <w:rFonts w:hint="default" w:ascii="Times New Roman" w:hAnsi="Times New Roman" w:eastAsia="方正小标宋简体" w:cs="Times New Roman"/>
          <w:b w:val="0"/>
          <w:color w:val="auto"/>
          <w:sz w:val="44"/>
          <w:highlight w:val="none"/>
        </w:rPr>
      </w:pPr>
    </w:p>
    <w:p>
      <w:pPr>
        <w:pStyle w:val="5"/>
        <w:keepNext w:val="0"/>
        <w:keepLines w:val="0"/>
        <w:pageBreakBefore w:val="0"/>
        <w:widowControl w:val="0"/>
        <w:kinsoku w:val="0"/>
        <w:wordWrap/>
        <w:overflowPunct/>
        <w:topLinePunct w:val="0"/>
        <w:autoSpaceDE/>
        <w:autoSpaceDN/>
        <w:bidi w:val="0"/>
        <w:adjustRightInd w:val="0"/>
        <w:snapToGrid w:val="0"/>
        <w:spacing w:before="0" w:beforeLines="100" w:after="0" w:afterLines="100" w:line="570" w:lineRule="exact"/>
        <w:jc w:val="center"/>
        <w:textAlignment w:val="baseline"/>
        <w:rPr>
          <w:rFonts w:hint="default" w:ascii="Times New Roman" w:hAnsi="Times New Roman" w:eastAsia="方正小标宋简体" w:cs="Times New Roman"/>
          <w:b w:val="0"/>
          <w:color w:val="auto"/>
          <w:sz w:val="44"/>
          <w:highlight w:val="none"/>
        </w:rPr>
      </w:pPr>
      <w:r>
        <w:rPr>
          <w:rFonts w:hint="default" w:ascii="Times New Roman" w:hAnsi="Times New Roman" w:eastAsia="方正小标宋简体" w:cs="Times New Roman"/>
          <w:b w:val="0"/>
          <w:color w:val="auto"/>
          <w:sz w:val="44"/>
          <w:highlight w:val="none"/>
        </w:rPr>
        <w:t>第</w:t>
      </w:r>
      <w:r>
        <w:rPr>
          <w:rFonts w:hint="default" w:ascii="Times New Roman" w:hAnsi="Times New Roman" w:eastAsia="方正小标宋简体" w:cs="Times New Roman"/>
          <w:b w:val="0"/>
          <w:color w:val="auto"/>
          <w:sz w:val="44"/>
          <w:highlight w:val="none"/>
          <w:lang w:eastAsia="zh-CN"/>
        </w:rPr>
        <w:t>三</w:t>
      </w:r>
      <w:r>
        <w:rPr>
          <w:rFonts w:hint="default" w:ascii="Times New Roman" w:hAnsi="Times New Roman" w:eastAsia="方正小标宋简体" w:cs="Times New Roman"/>
          <w:b w:val="0"/>
          <w:color w:val="auto"/>
          <w:sz w:val="44"/>
          <w:highlight w:val="none"/>
        </w:rPr>
        <w:t>部分</w:t>
      </w:r>
      <w:r>
        <w:rPr>
          <w:rFonts w:hint="default" w:ascii="Times New Roman" w:hAnsi="Times New Roman" w:eastAsia="方正小标宋简体" w:cs="Times New Roman"/>
          <w:b w:val="0"/>
          <w:color w:val="auto"/>
          <w:sz w:val="44"/>
          <w:highlight w:val="none"/>
          <w:lang w:val="en-US" w:eastAsia="zh-CN"/>
        </w:rPr>
        <w:t xml:space="preserve">  </w:t>
      </w:r>
      <w:r>
        <w:rPr>
          <w:rFonts w:hint="default" w:ascii="Times New Roman" w:hAnsi="Times New Roman" w:eastAsia="方正小标宋简体" w:cs="Times New Roman"/>
          <w:b w:val="0"/>
          <w:color w:val="auto"/>
          <w:sz w:val="44"/>
          <w:highlight w:val="none"/>
        </w:rPr>
        <w:t>名词解释</w:t>
      </w:r>
      <w:bookmarkEnd w:id="74"/>
      <w:bookmarkEnd w:id="75"/>
      <w:bookmarkEnd w:id="76"/>
    </w:p>
    <w:p>
      <w:pPr>
        <w:keepNext w:val="0"/>
        <w:keepLines w:val="0"/>
        <w:pageBreakBefore w:val="0"/>
        <w:widowControl w:val="0"/>
        <w:kinsoku/>
        <w:wordWrap/>
        <w:overflowPunct/>
        <w:topLinePunct w:val="0"/>
        <w:autoSpaceDE/>
        <w:autoSpaceDN/>
        <w:bidi w:val="0"/>
        <w:adjustRightInd w:val="0"/>
        <w:snapToGrid/>
        <w:spacing w:line="570" w:lineRule="exact"/>
        <w:ind w:firstLine="640" w:firstLineChars="200"/>
        <w:textAlignment w:val="auto"/>
        <w:rPr>
          <w:rFonts w:hint="default" w:ascii="Times New Roman" w:hAnsi="Times New Roman" w:eastAsia="仿宋_GB2312" w:cs="Times New Roman"/>
          <w:sz w:val="32"/>
          <w:szCs w:val="32"/>
        </w:rPr>
      </w:pPr>
      <w:bookmarkStart w:id="77" w:name="_Toc15377226"/>
      <w:r>
        <w:rPr>
          <w:rFonts w:hint="default" w:ascii="Times New Roman" w:hAnsi="Times New Roman" w:eastAsia="仿宋_GB2312" w:cs="Times New Roman"/>
          <w:sz w:val="32"/>
          <w:szCs w:val="32"/>
        </w:rPr>
        <w:t>1.财政拨款收入：指单位从同级财政部门取得的财政预算资金。</w:t>
      </w:r>
    </w:p>
    <w:p>
      <w:pPr>
        <w:pStyle w:val="21"/>
        <w:keepNext w:val="0"/>
        <w:keepLines w:val="0"/>
        <w:pageBreakBefore w:val="0"/>
        <w:widowControl w:val="0"/>
        <w:kinsoku/>
        <w:wordWrap/>
        <w:overflowPunct/>
        <w:topLinePunct w:val="0"/>
        <w:autoSpaceDE/>
        <w:autoSpaceDN/>
        <w:bidi w:val="0"/>
        <w:adjustRightInd w:val="0"/>
        <w:snapToGrid/>
        <w:spacing w:line="57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使用非财政拨款结余</w:t>
      </w:r>
      <w:r>
        <w:rPr>
          <w:rFonts w:hint="default" w:ascii="Times New Roman" w:hAnsi="Times New Roman" w:eastAsia="仿宋_GB2312" w:cs="Times New Roman"/>
          <w:color w:val="auto"/>
          <w:sz w:val="32"/>
          <w:szCs w:val="32"/>
          <w:highlight w:val="none"/>
        </w:rPr>
        <w:t>：指事业单位</w:t>
      </w:r>
      <w:r>
        <w:rPr>
          <w:rFonts w:hint="default" w:ascii="Times New Roman" w:hAnsi="Times New Roman" w:eastAsia="仿宋_GB2312" w:cs="Times New Roman"/>
          <w:color w:val="auto"/>
          <w:sz w:val="32"/>
          <w:szCs w:val="32"/>
          <w:highlight w:val="none"/>
          <w:lang w:eastAsia="zh-CN"/>
        </w:rPr>
        <w:t>使用以前年度积累的非财政拨款结余弥补当年收支差额的金额。</w:t>
      </w:r>
    </w:p>
    <w:p>
      <w:pPr>
        <w:keepNext w:val="0"/>
        <w:keepLines w:val="0"/>
        <w:pageBreakBefore w:val="0"/>
        <w:widowControl w:val="0"/>
        <w:kinsoku/>
        <w:wordWrap/>
        <w:overflowPunct/>
        <w:topLinePunct w:val="0"/>
        <w:autoSpaceDE/>
        <w:autoSpaceDN/>
        <w:bidi w:val="0"/>
        <w:adjustRightInd w:val="0"/>
        <w:snapToGrid/>
        <w:spacing w:line="57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.科学技术（类）其他科学技术支出（款）其他科学技术支出（项）：指用于科学技术</w:t>
      </w:r>
      <w:r>
        <w:rPr>
          <w:rFonts w:hint="default" w:ascii="Times New Roman" w:hAnsi="Times New Roman" w:eastAsia="仿宋_GB2312" w:cs="Times New Roman"/>
          <w:color w:val="auto"/>
          <w:sz w:val="32"/>
          <w:szCs w:val="32"/>
          <w:highlight w:val="none"/>
          <w:lang w:val="en-US" w:eastAsia="zh-CN"/>
        </w:rPr>
        <w:t>研究</w:t>
      </w:r>
      <w:r>
        <w:rPr>
          <w:rFonts w:hint="default" w:ascii="Times New Roman" w:hAnsi="Times New Roman" w:eastAsia="仿宋_GB2312" w:cs="Times New Roman"/>
          <w:color w:val="auto"/>
          <w:sz w:val="32"/>
          <w:szCs w:val="32"/>
          <w:highlight w:val="none"/>
        </w:rPr>
        <w:t>方面的支出。</w:t>
      </w:r>
    </w:p>
    <w:p>
      <w:pPr>
        <w:keepNext w:val="0"/>
        <w:keepLines w:val="0"/>
        <w:pageBreakBefore w:val="0"/>
        <w:widowControl w:val="0"/>
        <w:kinsoku/>
        <w:wordWrap/>
        <w:overflowPunct/>
        <w:topLinePunct w:val="0"/>
        <w:autoSpaceDE/>
        <w:autoSpaceDN/>
        <w:bidi w:val="0"/>
        <w:adjustRightInd w:val="0"/>
        <w:snapToGrid/>
        <w:spacing w:line="570" w:lineRule="exact"/>
        <w:ind w:firstLine="640" w:firstLineChars="200"/>
        <w:textAlignment w:val="auto"/>
        <w:rPr>
          <w:rFonts w:hint="default" w:ascii="Times New Roman" w:hAnsi="Times New Roman" w:eastAsia="仿宋_GB2312" w:cs="Times New Roman"/>
          <w:color w:val="auto"/>
          <w:kern w:val="0"/>
          <w:sz w:val="32"/>
          <w:szCs w:val="32"/>
          <w:highlight w:val="none"/>
          <w:lang w:val="en-US" w:eastAsia="zh-CN" w:bidi="ar-SA"/>
        </w:rPr>
      </w:pP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kern w:val="0"/>
          <w:sz w:val="32"/>
          <w:szCs w:val="32"/>
          <w:highlight w:val="none"/>
          <w:lang w:val="en-US" w:eastAsia="zh-CN" w:bidi="ar-SA"/>
        </w:rPr>
        <w:t>.社会保障和就业（类）行政事业单位养老支出（款）事业单位离退休（项）:指事业单位开支的离退休经费。</w:t>
      </w:r>
    </w:p>
    <w:p>
      <w:pPr>
        <w:keepNext w:val="0"/>
        <w:keepLines w:val="0"/>
        <w:pageBreakBefore w:val="0"/>
        <w:widowControl w:val="0"/>
        <w:kinsoku/>
        <w:wordWrap/>
        <w:overflowPunct/>
        <w:topLinePunct w:val="0"/>
        <w:autoSpaceDE/>
        <w:autoSpaceDN/>
        <w:bidi w:val="0"/>
        <w:adjustRightInd w:val="0"/>
        <w:snapToGrid/>
        <w:spacing w:line="570" w:lineRule="exact"/>
        <w:ind w:firstLine="640" w:firstLineChars="200"/>
        <w:textAlignment w:val="auto"/>
        <w:rPr>
          <w:rFonts w:hint="default" w:ascii="Times New Roman" w:hAnsi="Times New Roman" w:eastAsia="仿宋_GB2312" w:cs="Times New Roman"/>
          <w:color w:val="auto"/>
          <w:kern w:val="0"/>
          <w:sz w:val="32"/>
          <w:szCs w:val="32"/>
          <w:highlight w:val="none"/>
          <w:lang w:val="en-US" w:eastAsia="zh-CN" w:bidi="ar-SA"/>
        </w:rPr>
      </w:pPr>
      <w:r>
        <w:rPr>
          <w:rFonts w:hint="default" w:ascii="Times New Roman" w:hAnsi="Times New Roman" w:eastAsia="仿宋_GB2312" w:cs="Times New Roman"/>
          <w:color w:val="auto"/>
          <w:kern w:val="0"/>
          <w:sz w:val="32"/>
          <w:szCs w:val="32"/>
          <w:highlight w:val="none"/>
          <w:lang w:val="en-US" w:eastAsia="zh-CN" w:bidi="ar-SA"/>
        </w:rPr>
        <w:t>5.社会保障和就业（类）行政事业单位养老支出（款）机关事业单位基本养老保险缴费支出（项）:指机关事业单位实施养老保险制度由单位缴纳的基本养老保险费支出。</w:t>
      </w:r>
    </w:p>
    <w:p>
      <w:pPr>
        <w:keepNext w:val="0"/>
        <w:keepLines w:val="0"/>
        <w:pageBreakBefore w:val="0"/>
        <w:widowControl w:val="0"/>
        <w:kinsoku/>
        <w:wordWrap/>
        <w:overflowPunct/>
        <w:topLinePunct w:val="0"/>
        <w:autoSpaceDE/>
        <w:autoSpaceDN/>
        <w:bidi w:val="0"/>
        <w:adjustRightInd w:val="0"/>
        <w:snapToGrid/>
        <w:spacing w:line="570" w:lineRule="exact"/>
        <w:ind w:firstLine="640" w:firstLineChars="200"/>
        <w:textAlignment w:val="auto"/>
        <w:rPr>
          <w:rFonts w:hint="default" w:ascii="Times New Roman" w:hAnsi="Times New Roman" w:eastAsia="仿宋_GB2312" w:cs="Times New Roman"/>
          <w:color w:val="auto"/>
          <w:kern w:val="0"/>
          <w:sz w:val="32"/>
          <w:szCs w:val="32"/>
          <w:highlight w:val="none"/>
          <w:lang w:val="en-US" w:eastAsia="zh-CN" w:bidi="ar-SA"/>
        </w:rPr>
      </w:pPr>
      <w:r>
        <w:rPr>
          <w:rFonts w:hint="default" w:ascii="Times New Roman" w:hAnsi="Times New Roman" w:eastAsia="仿宋_GB2312" w:cs="Times New Roman"/>
          <w:color w:val="auto"/>
          <w:kern w:val="0"/>
          <w:sz w:val="32"/>
          <w:szCs w:val="32"/>
          <w:highlight w:val="none"/>
          <w:lang w:val="en-US" w:eastAsia="zh-CN" w:bidi="ar-SA"/>
        </w:rPr>
        <w:t>6.社会保障和就业（类）行政事业单位养老支出（款）机关事业单位职业年金缴费支出（项）:指机关事业单位实施养老保险制度由单位实际缴纳的职业年金支出。</w:t>
      </w:r>
    </w:p>
    <w:p>
      <w:pPr>
        <w:keepNext w:val="0"/>
        <w:keepLines w:val="0"/>
        <w:pageBreakBefore w:val="0"/>
        <w:widowControl w:val="0"/>
        <w:kinsoku/>
        <w:wordWrap/>
        <w:overflowPunct/>
        <w:topLinePunct w:val="0"/>
        <w:autoSpaceDE/>
        <w:autoSpaceDN/>
        <w:bidi w:val="0"/>
        <w:adjustRightInd w:val="0"/>
        <w:snapToGrid/>
        <w:spacing w:line="570" w:lineRule="exact"/>
        <w:ind w:firstLine="640" w:firstLineChars="200"/>
        <w:textAlignment w:val="auto"/>
        <w:rPr>
          <w:rFonts w:hint="default" w:ascii="Times New Roman" w:hAnsi="Times New Roman" w:eastAsia="仿宋_GB2312" w:cs="Times New Roman"/>
          <w:color w:val="auto"/>
          <w:kern w:val="0"/>
          <w:sz w:val="32"/>
          <w:szCs w:val="32"/>
          <w:highlight w:val="none"/>
          <w:lang w:val="en-US" w:eastAsia="zh-CN" w:bidi="ar-SA"/>
        </w:rPr>
      </w:pPr>
      <w:r>
        <w:rPr>
          <w:rFonts w:hint="default" w:ascii="Times New Roman" w:hAnsi="Times New Roman" w:eastAsia="仿宋_GB2312" w:cs="Times New Roman"/>
          <w:color w:val="auto"/>
          <w:kern w:val="0"/>
          <w:sz w:val="32"/>
          <w:szCs w:val="32"/>
          <w:highlight w:val="none"/>
          <w:lang w:val="en-US" w:eastAsia="zh-CN" w:bidi="ar-SA"/>
        </w:rPr>
        <w:t>7.卫生健康（类）行政事业单位医疗（款）事业单位医疗（项）:指事业单位基本医疗保险缴费经费。</w:t>
      </w:r>
    </w:p>
    <w:p>
      <w:pPr>
        <w:keepNext w:val="0"/>
        <w:keepLines w:val="0"/>
        <w:pageBreakBefore w:val="0"/>
        <w:widowControl w:val="0"/>
        <w:suppressLineNumbers w:val="0"/>
        <w:kinsoku/>
        <w:wordWrap/>
        <w:overflowPunct/>
        <w:topLinePunct w:val="0"/>
        <w:autoSpaceDE/>
        <w:autoSpaceDN/>
        <w:bidi w:val="0"/>
        <w:adjustRightInd w:val="0"/>
        <w:snapToGrid/>
        <w:spacing w:line="570" w:lineRule="exact"/>
        <w:ind w:firstLine="640" w:firstLineChars="200"/>
        <w:jc w:val="left"/>
        <w:textAlignment w:val="auto"/>
        <w:rPr>
          <w:rFonts w:hint="default" w:ascii="Times New Roman" w:hAnsi="Times New Roman" w:eastAsia="仿宋_GB2312" w:cs="Times New Roman"/>
          <w:color w:val="auto"/>
          <w:kern w:val="0"/>
          <w:sz w:val="32"/>
          <w:szCs w:val="32"/>
          <w:highlight w:val="none"/>
          <w:lang w:val="en-US" w:eastAsia="zh-CN" w:bidi="ar-SA"/>
        </w:rPr>
      </w:pPr>
      <w:r>
        <w:rPr>
          <w:rFonts w:hint="default" w:ascii="Times New Roman" w:hAnsi="Times New Roman" w:eastAsia="仿宋_GB2312" w:cs="Times New Roman"/>
          <w:color w:val="auto"/>
          <w:kern w:val="0"/>
          <w:sz w:val="32"/>
          <w:szCs w:val="32"/>
          <w:highlight w:val="none"/>
          <w:lang w:val="en-US" w:eastAsia="zh-CN" w:bidi="ar-SA"/>
        </w:rPr>
        <w:t>8.资源勘探工业信息等支出（类）制造业（款）行政运行（项）:用于资源勘探、制造业、建筑业、工业信息等方面支出。</w:t>
      </w:r>
    </w:p>
    <w:p>
      <w:pPr>
        <w:keepNext w:val="0"/>
        <w:keepLines w:val="0"/>
        <w:pageBreakBefore w:val="0"/>
        <w:widowControl w:val="0"/>
        <w:suppressLineNumbers w:val="0"/>
        <w:kinsoku/>
        <w:wordWrap/>
        <w:overflowPunct/>
        <w:topLinePunct w:val="0"/>
        <w:autoSpaceDE/>
        <w:autoSpaceDN/>
        <w:bidi w:val="0"/>
        <w:adjustRightInd w:val="0"/>
        <w:snapToGrid/>
        <w:spacing w:line="570" w:lineRule="exact"/>
        <w:ind w:firstLine="640" w:firstLineChars="200"/>
        <w:jc w:val="left"/>
        <w:textAlignment w:val="auto"/>
        <w:rPr>
          <w:rFonts w:hint="default" w:ascii="Times New Roman" w:hAnsi="Times New Roman" w:eastAsia="仿宋_GB2312" w:cs="Times New Roman"/>
          <w:color w:val="auto"/>
          <w:kern w:val="0"/>
          <w:sz w:val="32"/>
          <w:szCs w:val="32"/>
          <w:highlight w:val="none"/>
          <w:lang w:val="en-US" w:eastAsia="zh-CN" w:bidi="ar-SA"/>
        </w:rPr>
      </w:pPr>
      <w:r>
        <w:rPr>
          <w:rFonts w:hint="default" w:ascii="Times New Roman" w:hAnsi="Times New Roman" w:eastAsia="仿宋_GB2312" w:cs="Times New Roman"/>
          <w:color w:val="auto"/>
          <w:kern w:val="0"/>
          <w:sz w:val="32"/>
          <w:szCs w:val="32"/>
          <w:highlight w:val="none"/>
          <w:lang w:val="en-US" w:eastAsia="zh-CN" w:bidi="ar-SA"/>
        </w:rPr>
        <w:t>9.资源勘探工业信息等支出（类）制造业（款）其他制造业支出（项）:用于资源勘探、制造业、建筑业、工业信息等方面支出。</w:t>
      </w:r>
    </w:p>
    <w:p>
      <w:pPr>
        <w:keepNext w:val="0"/>
        <w:keepLines w:val="0"/>
        <w:pageBreakBefore w:val="0"/>
        <w:widowControl w:val="0"/>
        <w:wordWrap/>
        <w:overflowPunct/>
        <w:topLinePunct w:val="0"/>
        <w:autoSpaceDE/>
        <w:autoSpaceDN/>
        <w:bidi w:val="0"/>
        <w:adjustRightInd w:val="0"/>
        <w:spacing w:line="570" w:lineRule="exact"/>
        <w:ind w:firstLine="640" w:firstLineChars="200"/>
        <w:rPr>
          <w:rFonts w:hint="default" w:ascii="Times New Roman" w:hAnsi="Times New Roman" w:eastAsia="仿宋_GB2312" w:cs="Times New Roman"/>
          <w:color w:val="auto"/>
          <w:kern w:val="0"/>
          <w:sz w:val="32"/>
          <w:szCs w:val="32"/>
          <w:highlight w:val="none"/>
          <w:lang w:val="en-US" w:eastAsia="zh-CN" w:bidi="ar-SA"/>
        </w:rPr>
      </w:pPr>
      <w:r>
        <w:rPr>
          <w:rFonts w:hint="default" w:ascii="Times New Roman" w:hAnsi="Times New Roman" w:eastAsia="仿宋_GB2312" w:cs="Times New Roman"/>
          <w:color w:val="auto"/>
          <w:kern w:val="0"/>
          <w:sz w:val="32"/>
          <w:szCs w:val="32"/>
          <w:highlight w:val="none"/>
          <w:lang w:val="en-US" w:eastAsia="zh-CN" w:bidi="ar-SA"/>
        </w:rPr>
        <w:t>10.住房保障支出（类）住房改革支出（款）住房公积金（项）:指行政事业单位按人力资源和社会保障部、财政部规定的基本工资和津贴补贴以及规定比例为职工缴纳的住房公积金。</w:t>
      </w:r>
    </w:p>
    <w:p>
      <w:pPr>
        <w:keepNext w:val="0"/>
        <w:keepLines w:val="0"/>
        <w:pageBreakBefore w:val="0"/>
        <w:widowControl w:val="0"/>
        <w:wordWrap/>
        <w:overflowPunct/>
        <w:topLinePunct w:val="0"/>
        <w:autoSpaceDE/>
        <w:autoSpaceDN/>
        <w:bidi w:val="0"/>
        <w:adjustRightInd w:val="0"/>
        <w:spacing w:line="570" w:lineRule="exact"/>
        <w:ind w:firstLine="640" w:firstLineChars="200"/>
        <w:rPr>
          <w:rFonts w:hint="default" w:ascii="Times New Roman" w:hAnsi="Times New Roman" w:eastAsia="仿宋_GB2312" w:cs="Times New Roman"/>
          <w:color w:val="auto"/>
          <w:kern w:val="0"/>
          <w:sz w:val="32"/>
          <w:szCs w:val="32"/>
          <w:highlight w:val="none"/>
          <w:lang w:val="en-US" w:eastAsia="zh-CN" w:bidi="ar-SA"/>
        </w:rPr>
      </w:pPr>
      <w:r>
        <w:rPr>
          <w:rFonts w:hint="default" w:ascii="Times New Roman" w:hAnsi="Times New Roman" w:eastAsia="仿宋_GB2312" w:cs="Times New Roman"/>
          <w:color w:val="auto"/>
          <w:kern w:val="0"/>
          <w:sz w:val="32"/>
          <w:szCs w:val="32"/>
          <w:highlight w:val="none"/>
          <w:lang w:val="en-US" w:eastAsia="zh-CN" w:bidi="ar-SA"/>
        </w:rPr>
        <w:t>11.基本支出：指为保障机构正常运转、完成日常工作任务而发生的人员支出和公用支出。</w:t>
      </w:r>
    </w:p>
    <w:p>
      <w:pPr>
        <w:keepNext w:val="0"/>
        <w:keepLines w:val="0"/>
        <w:pageBreakBefore w:val="0"/>
        <w:widowControl w:val="0"/>
        <w:wordWrap/>
        <w:overflowPunct/>
        <w:topLinePunct w:val="0"/>
        <w:autoSpaceDE/>
        <w:autoSpaceDN/>
        <w:bidi w:val="0"/>
        <w:adjustRightInd w:val="0"/>
        <w:spacing w:line="570" w:lineRule="exact"/>
        <w:ind w:firstLine="640" w:firstLineChars="200"/>
        <w:rPr>
          <w:rFonts w:hint="default" w:ascii="Times New Roman" w:hAnsi="Times New Roman" w:eastAsia="仿宋_GB2312" w:cs="Times New Roman"/>
          <w:color w:val="auto"/>
          <w:kern w:val="0"/>
          <w:sz w:val="32"/>
          <w:szCs w:val="32"/>
          <w:highlight w:val="none"/>
          <w:lang w:val="en-US" w:eastAsia="zh-CN" w:bidi="ar-SA"/>
        </w:rPr>
      </w:pPr>
      <w:r>
        <w:rPr>
          <w:rFonts w:hint="default" w:ascii="Times New Roman" w:hAnsi="Times New Roman" w:eastAsia="仿宋_GB2312" w:cs="Times New Roman"/>
          <w:color w:val="auto"/>
          <w:kern w:val="0"/>
          <w:sz w:val="32"/>
          <w:szCs w:val="32"/>
          <w:highlight w:val="none"/>
          <w:lang w:val="en-US" w:eastAsia="zh-CN" w:bidi="ar-SA"/>
        </w:rPr>
        <w:t>12.项目支出：指在基本支出之外为完成特定行政任务和事业发展目标所发生的支出。</w:t>
      </w:r>
    </w:p>
    <w:p>
      <w:pPr>
        <w:pStyle w:val="21"/>
        <w:keepNext w:val="0"/>
        <w:keepLines w:val="0"/>
        <w:pageBreakBefore w:val="0"/>
        <w:widowControl w:val="0"/>
        <w:wordWrap/>
        <w:overflowPunct/>
        <w:topLinePunct w:val="0"/>
        <w:autoSpaceDE/>
        <w:autoSpaceDN/>
        <w:bidi w:val="0"/>
        <w:adjustRightInd w:val="0"/>
        <w:spacing w:line="570" w:lineRule="exact"/>
        <w:ind w:firstLine="640" w:firstLineChars="200"/>
        <w:rPr>
          <w:rFonts w:hint="default" w:ascii="Times New Roman" w:hAnsi="Times New Roman" w:eastAsia="仿宋_GB2312" w:cs="Times New Roman"/>
          <w:color w:val="auto"/>
          <w:kern w:val="0"/>
          <w:sz w:val="32"/>
          <w:szCs w:val="32"/>
          <w:highlight w:val="none"/>
          <w:lang w:val="en-US" w:eastAsia="zh-CN" w:bidi="ar-SA"/>
        </w:rPr>
      </w:pPr>
      <w:r>
        <w:rPr>
          <w:rFonts w:hint="default" w:ascii="Times New Roman" w:hAnsi="Times New Roman" w:eastAsia="仿宋_GB2312" w:cs="Times New Roman"/>
          <w:color w:val="auto"/>
          <w:kern w:val="0"/>
          <w:sz w:val="32"/>
          <w:szCs w:val="32"/>
          <w:highlight w:val="none"/>
          <w:lang w:val="en-US" w:eastAsia="zh-CN" w:bidi="ar-SA"/>
        </w:rPr>
        <w:t>13.“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5"/>
        <w:keepNext w:val="0"/>
        <w:keepLines w:val="0"/>
        <w:pageBreakBefore w:val="0"/>
        <w:widowControl w:val="0"/>
        <w:kinsoku w:val="0"/>
        <w:wordWrap/>
        <w:overflowPunct/>
        <w:topLinePunct w:val="0"/>
        <w:autoSpaceDE w:val="0"/>
        <w:autoSpaceDN w:val="0"/>
        <w:bidi w:val="0"/>
        <w:adjustRightInd w:val="0"/>
        <w:snapToGrid w:val="0"/>
        <w:spacing w:before="0" w:after="0" w:line="570" w:lineRule="exact"/>
        <w:jc w:val="center"/>
        <w:textAlignment w:val="baseline"/>
        <w:rPr>
          <w:rFonts w:hint="default" w:ascii="Times New Roman" w:hAnsi="Times New Roman" w:eastAsia="方正小标宋简体" w:cs="Times New Roman"/>
          <w:b w:val="0"/>
          <w:color w:val="auto"/>
          <w:sz w:val="44"/>
          <w:highlight w:val="none"/>
          <w:lang w:eastAsia="zh-CN"/>
        </w:rPr>
      </w:pPr>
      <w:r>
        <w:rPr>
          <w:rFonts w:hint="default" w:ascii="Times New Roman" w:hAnsi="Times New Roman" w:eastAsia="仿宋_GB2312" w:cs="Times New Roman"/>
          <w:color w:val="auto"/>
          <w:kern w:val="2"/>
          <w:sz w:val="32"/>
          <w:szCs w:val="32"/>
          <w:highlight w:val="none"/>
          <w:lang w:val="en-US" w:eastAsia="zh-CN" w:bidi="ar-SA"/>
        </w:rPr>
        <w:br w:type="page"/>
      </w:r>
      <w:bookmarkStart w:id="78" w:name="_Toc23770"/>
      <w:bookmarkStart w:id="79" w:name="_Toc15396614"/>
      <w:r>
        <w:rPr>
          <w:rFonts w:hint="default" w:ascii="Times New Roman" w:hAnsi="Times New Roman" w:eastAsia="方正小标宋简体" w:cs="Times New Roman"/>
          <w:b w:val="0"/>
          <w:color w:val="auto"/>
          <w:sz w:val="44"/>
          <w:highlight w:val="none"/>
        </w:rPr>
        <w:t>第四部分</w:t>
      </w:r>
      <w:r>
        <w:rPr>
          <w:rFonts w:hint="default" w:ascii="Times New Roman" w:hAnsi="Times New Roman" w:eastAsia="方正小标宋简体" w:cs="Times New Roman"/>
          <w:b w:val="0"/>
          <w:color w:val="auto"/>
          <w:sz w:val="44"/>
          <w:highlight w:val="none"/>
          <w:lang w:val="en-US" w:eastAsia="zh-CN"/>
        </w:rPr>
        <w:t xml:space="preserve"> </w:t>
      </w:r>
      <w:r>
        <w:rPr>
          <w:rFonts w:hint="default" w:ascii="Times New Roman" w:hAnsi="Times New Roman" w:eastAsia="方正小标宋简体" w:cs="Times New Roman"/>
          <w:b w:val="0"/>
          <w:color w:val="auto"/>
          <w:sz w:val="44"/>
          <w:highlight w:val="none"/>
        </w:rPr>
        <w:t xml:space="preserve"> 附件</w:t>
      </w:r>
      <w:bookmarkEnd w:id="78"/>
      <w:bookmarkEnd w:id="79"/>
    </w:p>
    <w:tbl>
      <w:tblPr>
        <w:tblStyle w:val="14"/>
        <w:tblW w:w="516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32" w:type="dxa"/>
          <w:left w:w="64" w:type="dxa"/>
          <w:bottom w:w="32" w:type="dxa"/>
          <w:right w:w="64" w:type="dxa"/>
        </w:tblCellMar>
      </w:tblPr>
      <w:tblGrid>
        <w:gridCol w:w="582"/>
        <w:gridCol w:w="933"/>
        <w:gridCol w:w="858"/>
        <w:gridCol w:w="1713"/>
        <w:gridCol w:w="546"/>
        <w:gridCol w:w="134"/>
        <w:gridCol w:w="472"/>
        <w:gridCol w:w="545"/>
        <w:gridCol w:w="728"/>
        <w:gridCol w:w="515"/>
        <w:gridCol w:w="485"/>
        <w:gridCol w:w="17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黑体" w:cs="Times New Roman"/>
                <w:b/>
                <w:bCs/>
                <w:i w:val="0"/>
                <w:iCs w:val="0"/>
                <w:color w:val="000000"/>
                <w:sz w:val="30"/>
                <w:szCs w:val="30"/>
                <w:u w:val="none"/>
              </w:rPr>
            </w:pPr>
            <w:r>
              <w:rPr>
                <w:rFonts w:hint="default" w:ascii="Times New Roman" w:hAnsi="Times New Roman" w:eastAsia="黑体" w:cs="Times New Roman"/>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484" w:hRule="atLeast"/>
          <w:jc w:val="center"/>
        </w:trPr>
        <w:tc>
          <w:tcPr>
            <w:tcW w:w="8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项目名称</w:t>
            </w:r>
          </w:p>
        </w:tc>
        <w:tc>
          <w:tcPr>
            <w:tcW w:w="418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51000023T000008783872-新型工业化理论及实践研究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534" w:hRule="atLeast"/>
          <w:jc w:val="center"/>
        </w:trPr>
        <w:tc>
          <w:tcPr>
            <w:tcW w:w="8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主管部门</w:t>
            </w:r>
          </w:p>
        </w:tc>
        <w:tc>
          <w:tcPr>
            <w:tcW w:w="175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四川省经济和信息化厅部门</w:t>
            </w:r>
          </w:p>
        </w:tc>
        <w:tc>
          <w:tcPr>
            <w:tcW w:w="941" w:type="pct"/>
            <w:gridSpan w:val="3"/>
            <w:tcBorders>
              <w:top w:val="nil"/>
              <w:left w:val="nil"/>
              <w:bottom w:val="nil"/>
              <w:right w:val="nil"/>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黑体" w:cs="Times New Roman"/>
                <w:i w:val="0"/>
                <w:iCs w:val="0"/>
                <w:color w:val="000000"/>
                <w:sz w:val="18"/>
                <w:szCs w:val="18"/>
                <w:u w:val="none"/>
              </w:rPr>
            </w:pPr>
            <w:r>
              <w:rPr>
                <w:rFonts w:hint="default" w:ascii="Times New Roman" w:hAnsi="Times New Roman" w:eastAsia="黑体" w:cs="Times New Roman"/>
                <w:i w:val="0"/>
                <w:iCs w:val="0"/>
                <w:color w:val="000000"/>
                <w:kern w:val="0"/>
                <w:sz w:val="18"/>
                <w:szCs w:val="18"/>
                <w:u w:val="none"/>
                <w:lang w:val="en-US" w:eastAsia="zh-CN" w:bidi="ar"/>
              </w:rPr>
              <w:t>实施单位 （盖章）</w:t>
            </w:r>
          </w:p>
        </w:tc>
        <w:tc>
          <w:tcPr>
            <w:tcW w:w="148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四川省工业和信息化研究院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514" w:hRule="atLeast"/>
          <w:jc w:val="center"/>
        </w:trPr>
        <w:tc>
          <w:tcPr>
            <w:tcW w:w="3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项目基本情况</w:t>
            </w:r>
          </w:p>
        </w:tc>
        <w:tc>
          <w:tcPr>
            <w:tcW w:w="5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1.项目年度目标完成情况</w:t>
            </w:r>
          </w:p>
        </w:tc>
        <w:tc>
          <w:tcPr>
            <w:tcW w:w="230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项目年度目标</w:t>
            </w:r>
          </w:p>
        </w:tc>
        <w:tc>
          <w:tcPr>
            <w:tcW w:w="188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黑体" w:cs="Times New Roman"/>
                <w:i w:val="0"/>
                <w:iCs w:val="0"/>
                <w:color w:val="000000"/>
                <w:sz w:val="18"/>
                <w:szCs w:val="18"/>
                <w:u w:val="none"/>
              </w:rPr>
            </w:pPr>
            <w:r>
              <w:rPr>
                <w:rFonts w:hint="default" w:ascii="Times New Roman" w:hAnsi="Times New Roman" w:eastAsia="黑体" w:cs="Times New Roman"/>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1041" w:hRule="atLeast"/>
          <w:jc w:val="center"/>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default" w:ascii="Times New Roman" w:hAnsi="Times New Roman" w:eastAsia="宋体" w:cs="Times New Roman"/>
                <w:i w:val="0"/>
                <w:iCs w:val="0"/>
                <w:color w:val="000000"/>
                <w:sz w:val="18"/>
                <w:szCs w:val="18"/>
                <w:u w:val="none"/>
              </w:rPr>
            </w:pPr>
          </w:p>
        </w:tc>
        <w:tc>
          <w:tcPr>
            <w:tcW w:w="5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default" w:ascii="Times New Roman" w:hAnsi="Times New Roman" w:eastAsia="宋体" w:cs="Times New Roman"/>
                <w:i w:val="0"/>
                <w:iCs w:val="0"/>
                <w:color w:val="000000"/>
                <w:sz w:val="18"/>
                <w:szCs w:val="18"/>
                <w:u w:val="none"/>
              </w:rPr>
            </w:pPr>
          </w:p>
        </w:tc>
        <w:tc>
          <w:tcPr>
            <w:tcW w:w="230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1.智库成果编辑汇编；2.化工及建材产业技术改造综合诊断开展；3.《四川省钛产业发展分析及建议》课题研究；4.《新时期新型工业化的特色内涵特征及其对四川省发展工作的启示》课题研究</w:t>
            </w:r>
          </w:p>
        </w:tc>
        <w:tc>
          <w:tcPr>
            <w:tcW w:w="188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已编制汇编本一本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default" w:ascii="Times New Roman" w:hAnsi="Times New Roman" w:eastAsia="宋体" w:cs="Times New Roman"/>
                <w:i w:val="0"/>
                <w:iCs w:val="0"/>
                <w:color w:val="000000"/>
                <w:sz w:val="18"/>
                <w:szCs w:val="18"/>
                <w:u w:val="none"/>
              </w:rPr>
            </w:pP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2.项目实施内容及过程概述</w:t>
            </w:r>
          </w:p>
        </w:tc>
        <w:tc>
          <w:tcPr>
            <w:tcW w:w="418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12月前与基本科研业务费项目共同通过结题评审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预算执行情况（10分）</w:t>
            </w: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年度预算数（万元）</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年初预算</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调整后预算数</w:t>
            </w:r>
          </w:p>
        </w:tc>
        <w:tc>
          <w:tcPr>
            <w:tcW w:w="91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预算执行数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预算执行率</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权重</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得分</w:t>
            </w:r>
          </w:p>
        </w:tc>
        <w:tc>
          <w:tcPr>
            <w:tcW w:w="9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宋体" w:cs="Times New Roman"/>
                <w:i w:val="0"/>
                <w:iCs w:val="0"/>
                <w:color w:val="000000"/>
                <w:sz w:val="18"/>
                <w:szCs w:val="18"/>
                <w:u w:val="none"/>
              </w:rPr>
            </w:pP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总额</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5.45</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5.45</w:t>
            </w:r>
          </w:p>
        </w:tc>
        <w:tc>
          <w:tcPr>
            <w:tcW w:w="91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5.45</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100.00%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9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黑体" w:cs="Times New Roman"/>
                <w:i/>
                <w:iCs/>
                <w:color w:val="000000"/>
                <w:sz w:val="18"/>
                <w:szCs w:val="18"/>
                <w:u w:val="none"/>
              </w:rPr>
            </w:pPr>
            <w:r>
              <w:rPr>
                <w:rFonts w:hint="default" w:ascii="Times New Roman" w:hAnsi="Times New Roman" w:eastAsia="黑体" w:cs="Times New Roman"/>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宋体" w:cs="Times New Roman"/>
                <w:i w:val="0"/>
                <w:iCs w:val="0"/>
                <w:color w:val="000000"/>
                <w:sz w:val="18"/>
                <w:szCs w:val="18"/>
                <w:u w:val="none"/>
              </w:rPr>
            </w:pP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其中：财政资金</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5.45</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5.45</w:t>
            </w:r>
          </w:p>
        </w:tc>
        <w:tc>
          <w:tcPr>
            <w:tcW w:w="91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5.45</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100.00%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9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default" w:ascii="Times New Roman" w:hAnsi="Times New Roman" w:eastAsia="黑体" w:cs="Times New Roman"/>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宋体" w:cs="Times New Roman"/>
                <w:i w:val="0"/>
                <w:iCs w:val="0"/>
                <w:color w:val="000000"/>
                <w:sz w:val="18"/>
                <w:szCs w:val="18"/>
                <w:u w:val="none"/>
              </w:rPr>
            </w:pP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财政专户管理资金</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91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9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default" w:ascii="Times New Roman" w:hAnsi="Times New Roman" w:eastAsia="黑体" w:cs="Times New Roman"/>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宋体" w:cs="Times New Roman"/>
                <w:i w:val="0"/>
                <w:iCs w:val="0"/>
                <w:color w:val="000000"/>
                <w:sz w:val="18"/>
                <w:szCs w:val="18"/>
                <w:u w:val="none"/>
              </w:rPr>
            </w:pP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单位资金</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91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9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default" w:ascii="Times New Roman" w:hAnsi="Times New Roman" w:eastAsia="黑体" w:cs="Times New Roman"/>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564" w:hRule="atLeast"/>
          <w:jc w:val="center"/>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宋体" w:cs="Times New Roman"/>
                <w:i w:val="0"/>
                <w:iCs w:val="0"/>
                <w:color w:val="000000"/>
                <w:sz w:val="18"/>
                <w:szCs w:val="18"/>
                <w:u w:val="none"/>
              </w:rPr>
            </w:pP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其他资金</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微软雅黑" w:cs="Times New Roman"/>
                <w:i/>
                <w:iCs/>
                <w:color w:val="000000"/>
                <w:sz w:val="16"/>
                <w:szCs w:val="16"/>
                <w:u w:val="none"/>
              </w:rPr>
            </w:pP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微软雅黑" w:cs="Times New Roman"/>
                <w:i/>
                <w:iCs/>
                <w:color w:val="000000"/>
                <w:sz w:val="16"/>
                <w:szCs w:val="16"/>
                <w:u w:val="none"/>
              </w:rPr>
            </w:pPr>
          </w:p>
        </w:tc>
        <w:tc>
          <w:tcPr>
            <w:tcW w:w="91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微软雅黑" w:cs="Times New Roman"/>
                <w:i/>
                <w:iCs/>
                <w:color w:val="000000"/>
                <w:sz w:val="16"/>
                <w:szCs w:val="16"/>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微软雅黑" w:cs="Times New Roman"/>
                <w:i/>
                <w:iCs/>
                <w:color w:val="000000"/>
                <w:sz w:val="16"/>
                <w:szCs w:val="16"/>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9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default" w:ascii="Times New Roman" w:hAnsi="Times New Roman" w:eastAsia="黑体" w:cs="Times New Roman"/>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绩效指标（90分）</w:t>
            </w: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一级指标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二级指标</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三级指标</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指标性质</w:t>
            </w:r>
          </w:p>
        </w:tc>
        <w:tc>
          <w:tcPr>
            <w:tcW w:w="3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指标值</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度量单位</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完成值</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权重</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得分</w:t>
            </w:r>
          </w:p>
        </w:tc>
        <w:tc>
          <w:tcPr>
            <w:tcW w:w="9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宋体" w:cs="Times New Roman"/>
                <w:i w:val="0"/>
                <w:iCs w:val="0"/>
                <w:color w:val="000000"/>
                <w:sz w:val="18"/>
                <w:szCs w:val="18"/>
                <w:u w:val="none"/>
              </w:rPr>
            </w:pP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产出指标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数量指标</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汇编本1套</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3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套</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微软雅黑" w:cs="Times New Roman"/>
                <w:i/>
                <w:iCs/>
                <w:color w:val="000000"/>
                <w:sz w:val="16"/>
                <w:szCs w:val="16"/>
                <w:u w:val="none"/>
              </w:rPr>
            </w:pPr>
            <w:r>
              <w:rPr>
                <w:rFonts w:hint="default" w:ascii="Times New Roman" w:hAnsi="Times New Roman" w:eastAsia="微软雅黑" w:cs="Times New Roman"/>
                <w:i/>
                <w:iCs/>
                <w:color w:val="000000"/>
                <w:kern w:val="0"/>
                <w:sz w:val="16"/>
                <w:szCs w:val="16"/>
                <w:u w:val="none"/>
                <w:lang w:val="en-US" w:eastAsia="zh-CN" w:bidi="ar"/>
              </w:rPr>
              <w:t>1</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50</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50</w:t>
            </w:r>
          </w:p>
        </w:tc>
        <w:tc>
          <w:tcPr>
            <w:tcW w:w="947"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微软雅黑" w:cs="Times New Roman"/>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宋体" w:cs="Times New Roman"/>
                <w:i w:val="0"/>
                <w:iCs w:val="0"/>
                <w:color w:val="000000"/>
                <w:sz w:val="18"/>
                <w:szCs w:val="18"/>
                <w:u w:val="none"/>
              </w:rPr>
            </w:pP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效益指标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社会效益指标</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成果验收合格率</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3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微软雅黑" w:cs="Times New Roman"/>
                <w:i/>
                <w:iCs/>
                <w:color w:val="000000"/>
                <w:sz w:val="16"/>
                <w:szCs w:val="16"/>
                <w:u w:val="none"/>
              </w:rPr>
            </w:pPr>
            <w:r>
              <w:rPr>
                <w:rFonts w:hint="default" w:ascii="Times New Roman" w:hAnsi="Times New Roman" w:eastAsia="微软雅黑" w:cs="Times New Roman"/>
                <w:i/>
                <w:iCs/>
                <w:color w:val="000000"/>
                <w:kern w:val="0"/>
                <w:sz w:val="16"/>
                <w:szCs w:val="16"/>
                <w:u w:val="none"/>
                <w:lang w:val="en-US" w:eastAsia="zh-CN" w:bidi="ar"/>
              </w:rPr>
              <w:t>100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40</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40</w:t>
            </w:r>
          </w:p>
        </w:tc>
        <w:tc>
          <w:tcPr>
            <w:tcW w:w="947"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微软雅黑" w:cs="Times New Roman"/>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1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合计</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w:t>
            </w:r>
          </w:p>
        </w:tc>
        <w:tc>
          <w:tcPr>
            <w:tcW w:w="947"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评价结论</w:t>
            </w:r>
          </w:p>
        </w:tc>
        <w:tc>
          <w:tcPr>
            <w:tcW w:w="4686"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微软雅黑" w:cs="Times New Roman"/>
                <w:i/>
                <w:iCs/>
                <w:color w:val="000000"/>
                <w:sz w:val="16"/>
                <w:szCs w:val="16"/>
                <w:u w:val="none"/>
              </w:rPr>
            </w:pPr>
            <w:r>
              <w:rPr>
                <w:rFonts w:hint="default" w:ascii="Times New Roman" w:hAnsi="Times New Roman" w:eastAsia="微软雅黑" w:cs="Times New Roman"/>
                <w:i/>
                <w:iCs/>
                <w:color w:val="000000"/>
                <w:kern w:val="0"/>
                <w:sz w:val="16"/>
                <w:szCs w:val="16"/>
                <w:u w:val="none"/>
                <w:lang w:val="en-US" w:eastAsia="zh-CN" w:bidi="ar"/>
              </w:rPr>
              <w:t>已完成项目绩效目标。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存在问题</w:t>
            </w:r>
          </w:p>
        </w:tc>
        <w:tc>
          <w:tcPr>
            <w:tcW w:w="4686"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微软雅黑" w:cs="Times New Roman"/>
                <w:i/>
                <w:iCs/>
                <w:color w:val="000000"/>
                <w:sz w:val="16"/>
                <w:szCs w:val="16"/>
                <w:u w:val="none"/>
              </w:rPr>
            </w:pPr>
            <w:r>
              <w:rPr>
                <w:rFonts w:hint="default" w:ascii="Times New Roman" w:hAnsi="Times New Roman" w:eastAsia="微软雅黑" w:cs="Times New Roman"/>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改进措施</w:t>
            </w:r>
          </w:p>
        </w:tc>
        <w:tc>
          <w:tcPr>
            <w:tcW w:w="4686"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微软雅黑" w:cs="Times New Roman"/>
                <w:i/>
                <w:iCs/>
                <w:color w:val="000000"/>
                <w:sz w:val="16"/>
                <w:szCs w:val="16"/>
                <w:u w:val="none"/>
              </w:rPr>
            </w:pPr>
            <w:r>
              <w:rPr>
                <w:rFonts w:hint="default" w:ascii="Times New Roman" w:hAnsi="Times New Roman" w:eastAsia="微软雅黑" w:cs="Times New Roman"/>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49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黑体" w:cs="Times New Roman"/>
                <w:i w:val="0"/>
                <w:iCs w:val="0"/>
                <w:color w:val="000000"/>
                <w:sz w:val="18"/>
                <w:szCs w:val="18"/>
                <w:u w:val="none"/>
              </w:rPr>
            </w:pPr>
            <w:r>
              <w:rPr>
                <w:rFonts w:hint="default" w:ascii="Times New Roman" w:hAnsi="Times New Roman" w:eastAsia="黑体" w:cs="Times New Roman"/>
                <w:i w:val="0"/>
                <w:iCs w:val="0"/>
                <w:color w:val="000000"/>
                <w:kern w:val="0"/>
                <w:sz w:val="18"/>
                <w:szCs w:val="18"/>
                <w:u w:val="none"/>
                <w:lang w:val="en-US" w:eastAsia="zh-CN" w:bidi="ar"/>
              </w:rPr>
              <w:t>项目负责人：张允玲</w:t>
            </w:r>
          </w:p>
        </w:tc>
        <w:tc>
          <w:tcPr>
            <w:tcW w:w="250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黑体" w:cs="Times New Roman"/>
                <w:i w:val="0"/>
                <w:iCs w:val="0"/>
                <w:color w:val="000000"/>
                <w:sz w:val="18"/>
                <w:szCs w:val="18"/>
                <w:u w:val="none"/>
              </w:rPr>
            </w:pPr>
            <w:r>
              <w:rPr>
                <w:rFonts w:hint="default" w:ascii="Times New Roman" w:hAnsi="Times New Roman" w:eastAsia="黑体" w:cs="Times New Roman"/>
                <w:i w:val="0"/>
                <w:iCs w:val="0"/>
                <w:color w:val="000000"/>
                <w:kern w:val="0"/>
                <w:sz w:val="18"/>
                <w:szCs w:val="18"/>
                <w:u w:val="none"/>
                <w:lang w:val="en-US" w:eastAsia="zh-CN" w:bidi="ar"/>
              </w:rPr>
              <w:t>财务负责人：卢萍</w:t>
            </w:r>
          </w:p>
        </w:tc>
      </w:tr>
    </w:tbl>
    <w:p>
      <w:pPr>
        <w:keepNext w:val="0"/>
        <w:keepLines w:val="0"/>
        <w:widowControl/>
        <w:suppressLineNumbers w:val="0"/>
        <w:snapToGrid w:val="0"/>
        <w:jc w:val="center"/>
        <w:textAlignment w:val="center"/>
        <w:rPr>
          <w:rFonts w:hint="default" w:ascii="Times New Roman" w:hAnsi="Times New Roman" w:eastAsia="黑体" w:cs="Times New Roman"/>
          <w:b/>
          <w:bCs/>
          <w:i w:val="0"/>
          <w:iCs w:val="0"/>
          <w:color w:val="000000"/>
          <w:kern w:val="0"/>
          <w:sz w:val="30"/>
          <w:szCs w:val="30"/>
          <w:u w:val="none"/>
          <w:lang w:val="en-US" w:eastAsia="zh-CN" w:bidi="ar"/>
        </w:rPr>
      </w:pPr>
      <w:r>
        <w:rPr>
          <w:rFonts w:hint="default" w:ascii="Times New Roman" w:hAnsi="Times New Roman" w:eastAsia="黑体" w:cs="Times New Roman"/>
          <w:b/>
          <w:bCs/>
          <w:i w:val="0"/>
          <w:iCs w:val="0"/>
          <w:color w:val="000000"/>
          <w:kern w:val="0"/>
          <w:sz w:val="30"/>
          <w:szCs w:val="30"/>
          <w:u w:val="none"/>
          <w:lang w:val="en-US" w:eastAsia="zh-CN" w:bidi="ar"/>
        </w:rPr>
        <w:br w:type="page"/>
      </w:r>
    </w:p>
    <w:tbl>
      <w:tblPr>
        <w:tblStyle w:val="14"/>
        <w:tblW w:w="516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32" w:type="dxa"/>
          <w:left w:w="64" w:type="dxa"/>
          <w:bottom w:w="32" w:type="dxa"/>
          <w:right w:w="64" w:type="dxa"/>
        </w:tblCellMar>
      </w:tblPr>
      <w:tblGrid>
        <w:gridCol w:w="582"/>
        <w:gridCol w:w="933"/>
        <w:gridCol w:w="858"/>
        <w:gridCol w:w="1713"/>
        <w:gridCol w:w="546"/>
        <w:gridCol w:w="143"/>
        <w:gridCol w:w="363"/>
        <w:gridCol w:w="516"/>
        <w:gridCol w:w="129"/>
        <w:gridCol w:w="568"/>
        <w:gridCol w:w="160"/>
        <w:gridCol w:w="385"/>
        <w:gridCol w:w="130"/>
        <w:gridCol w:w="485"/>
        <w:gridCol w:w="17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黑体" w:cs="Times New Roman"/>
                <w:b/>
                <w:bCs/>
                <w:i w:val="0"/>
                <w:iCs w:val="0"/>
                <w:color w:val="000000"/>
                <w:sz w:val="30"/>
                <w:szCs w:val="30"/>
                <w:u w:val="none"/>
              </w:rPr>
            </w:pPr>
            <w:r>
              <w:rPr>
                <w:rFonts w:hint="default" w:ascii="Times New Roman" w:hAnsi="Times New Roman" w:eastAsia="黑体" w:cs="Times New Roman"/>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378" w:hRule="atLeast"/>
          <w:jc w:val="center"/>
        </w:trPr>
        <w:tc>
          <w:tcPr>
            <w:tcW w:w="8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项目名称</w:t>
            </w:r>
          </w:p>
        </w:tc>
        <w:tc>
          <w:tcPr>
            <w:tcW w:w="4182" w:type="pct"/>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51000024T000012019048-2024办公、附属用房基础设施改造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主管部门</w:t>
            </w:r>
          </w:p>
        </w:tc>
        <w:tc>
          <w:tcPr>
            <w:tcW w:w="175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四川省经济和信息化厅部门</w:t>
            </w:r>
          </w:p>
        </w:tc>
        <w:tc>
          <w:tcPr>
            <w:tcW w:w="936" w:type="pct"/>
            <w:gridSpan w:val="5"/>
            <w:tcBorders>
              <w:top w:val="nil"/>
              <w:left w:val="nil"/>
              <w:bottom w:val="nil"/>
              <w:right w:val="nil"/>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黑体" w:cs="Times New Roman"/>
                <w:i w:val="0"/>
                <w:iCs w:val="0"/>
                <w:color w:val="000000"/>
                <w:sz w:val="18"/>
                <w:szCs w:val="18"/>
                <w:u w:val="none"/>
              </w:rPr>
            </w:pPr>
            <w:r>
              <w:rPr>
                <w:rFonts w:hint="default" w:ascii="Times New Roman" w:hAnsi="Times New Roman" w:eastAsia="黑体" w:cs="Times New Roman"/>
                <w:i w:val="0"/>
                <w:iCs w:val="0"/>
                <w:color w:val="000000"/>
                <w:kern w:val="0"/>
                <w:sz w:val="18"/>
                <w:szCs w:val="18"/>
                <w:u w:val="none"/>
                <w:lang w:val="en-US" w:eastAsia="zh-CN" w:bidi="ar"/>
              </w:rPr>
              <w:t>实施单位 （盖章）</w:t>
            </w:r>
          </w:p>
        </w:tc>
        <w:tc>
          <w:tcPr>
            <w:tcW w:w="148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四川省工业和信息化研究院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项目基本情况</w:t>
            </w:r>
          </w:p>
        </w:tc>
        <w:tc>
          <w:tcPr>
            <w:tcW w:w="5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20" w:lineRule="exact"/>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1.项目年度目标完成情况</w:t>
            </w:r>
          </w:p>
        </w:tc>
        <w:tc>
          <w:tcPr>
            <w:tcW w:w="230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2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项目年度目标</w:t>
            </w:r>
          </w:p>
        </w:tc>
        <w:tc>
          <w:tcPr>
            <w:tcW w:w="188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20" w:lineRule="exact"/>
              <w:jc w:val="center"/>
              <w:textAlignment w:val="center"/>
              <w:rPr>
                <w:rFonts w:hint="default" w:ascii="Times New Roman" w:hAnsi="Times New Roman" w:eastAsia="黑体" w:cs="Times New Roman"/>
                <w:i w:val="0"/>
                <w:iCs w:val="0"/>
                <w:color w:val="000000"/>
                <w:sz w:val="18"/>
                <w:szCs w:val="18"/>
                <w:u w:val="none"/>
              </w:rPr>
            </w:pPr>
            <w:r>
              <w:rPr>
                <w:rFonts w:hint="default" w:ascii="Times New Roman" w:hAnsi="Times New Roman" w:eastAsia="黑体" w:cs="Times New Roman"/>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200" w:lineRule="exact"/>
              <w:rPr>
                <w:rFonts w:hint="default" w:ascii="Times New Roman" w:hAnsi="Times New Roman" w:eastAsia="宋体" w:cs="Times New Roman"/>
                <w:i w:val="0"/>
                <w:iCs w:val="0"/>
                <w:color w:val="000000"/>
                <w:sz w:val="18"/>
                <w:szCs w:val="18"/>
                <w:u w:val="none"/>
              </w:rPr>
            </w:pPr>
          </w:p>
        </w:tc>
        <w:tc>
          <w:tcPr>
            <w:tcW w:w="5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220" w:lineRule="exact"/>
              <w:rPr>
                <w:rFonts w:hint="default" w:ascii="Times New Roman" w:hAnsi="Times New Roman" w:eastAsia="宋体" w:cs="Times New Roman"/>
                <w:i w:val="0"/>
                <w:iCs w:val="0"/>
                <w:color w:val="000000"/>
                <w:sz w:val="18"/>
                <w:szCs w:val="18"/>
                <w:u w:val="none"/>
              </w:rPr>
            </w:pPr>
          </w:p>
        </w:tc>
        <w:tc>
          <w:tcPr>
            <w:tcW w:w="230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20" w:lineRule="exact"/>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对科研用房进行基础设施改造，及时改善科研工作条件，有助于科研工作安全、顺利开展</w:t>
            </w:r>
          </w:p>
        </w:tc>
        <w:tc>
          <w:tcPr>
            <w:tcW w:w="188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20" w:lineRule="exact"/>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已按照任务书所列目标，完成对信产大厦科研用房内部基础设施改造，拆除老旧基础设施，更新吊顶、墙地面，更换电路、灯具等，消除安全隐患；对漏水屋面进行防水改造，有效消除漏水浸水隐患；完成空调基础设施的购置安装，有效改善科研工作环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200" w:lineRule="exact"/>
              <w:rPr>
                <w:rFonts w:hint="default" w:ascii="Times New Roman" w:hAnsi="Times New Roman" w:eastAsia="宋体" w:cs="Times New Roman"/>
                <w:i w:val="0"/>
                <w:iCs w:val="0"/>
                <w:color w:val="000000"/>
                <w:sz w:val="18"/>
                <w:szCs w:val="18"/>
                <w:u w:val="none"/>
              </w:rPr>
            </w:pP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20" w:lineRule="exact"/>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2.项目实施内容及过程概述</w:t>
            </w:r>
          </w:p>
        </w:tc>
        <w:tc>
          <w:tcPr>
            <w:tcW w:w="4182" w:type="pct"/>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20" w:lineRule="exact"/>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项目完成对信产大厦科研用房内部基础设施改造，完成空调基础设施的购置安装。修缮项目于2024年10月采用委托第三方代理招标方式，通过公开发布采购公告，采用竞争性磋商方式2024年11月确定供应商并公告公示，并于2024年11月与施工方签订合同并开工，12月竣工并通过验收、竣工结算审计等工作。空调基础额设施改造更新项目于2024年10月进入政府采购流程，采用框架协议合同授予方式更新6台空调，于12月收货验收并安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预算执行情况（10分）</w:t>
            </w: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both"/>
              <w:textAlignment w:val="center"/>
              <w:rPr>
                <w:rFonts w:hint="default" w:ascii="Times New Roman" w:hAnsi="Times New Roman" w:eastAsia="宋体" w:cs="Times New Roman"/>
                <w:i w:val="0"/>
                <w:iCs w:val="0"/>
                <w:color w:val="000000"/>
                <w:sz w:val="18"/>
                <w:szCs w:val="18"/>
                <w:u w:val="none"/>
                <w:lang w:val="en-US"/>
              </w:rPr>
            </w:pPr>
            <w:r>
              <w:rPr>
                <w:rFonts w:hint="default" w:ascii="Times New Roman" w:hAnsi="Times New Roman" w:eastAsia="宋体" w:cs="Times New Roman"/>
                <w:i w:val="0"/>
                <w:iCs w:val="0"/>
                <w:color w:val="000000"/>
                <w:spacing w:val="-11"/>
                <w:kern w:val="0"/>
                <w:sz w:val="18"/>
                <w:szCs w:val="18"/>
                <w:u w:val="none"/>
                <w:lang w:val="en-US" w:eastAsia="zh-CN" w:bidi="ar"/>
              </w:rPr>
              <w:t>年度预算数(万元)</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年初预算</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调整后预算数</w:t>
            </w:r>
          </w:p>
        </w:tc>
        <w:tc>
          <w:tcPr>
            <w:tcW w:w="91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预算执行数</w:t>
            </w:r>
          </w:p>
        </w:tc>
        <w:tc>
          <w:tcPr>
            <w:tcW w:w="39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预算执行率</w:t>
            </w:r>
          </w:p>
        </w:tc>
        <w:tc>
          <w:tcPr>
            <w:tcW w:w="2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权重</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得分</w:t>
            </w:r>
          </w:p>
        </w:tc>
        <w:tc>
          <w:tcPr>
            <w:tcW w:w="9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200" w:lineRule="exact"/>
              <w:jc w:val="center"/>
              <w:rPr>
                <w:rFonts w:hint="default" w:ascii="Times New Roman" w:hAnsi="Times New Roman" w:eastAsia="宋体" w:cs="Times New Roman"/>
                <w:i w:val="0"/>
                <w:iCs w:val="0"/>
                <w:color w:val="000000"/>
                <w:sz w:val="18"/>
                <w:szCs w:val="18"/>
                <w:u w:val="none"/>
              </w:rPr>
            </w:pP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总额</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36.00</w:t>
            </w:r>
          </w:p>
        </w:tc>
        <w:tc>
          <w:tcPr>
            <w:tcW w:w="91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35.65</w:t>
            </w:r>
          </w:p>
        </w:tc>
        <w:tc>
          <w:tcPr>
            <w:tcW w:w="39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99.03%</w:t>
            </w:r>
          </w:p>
        </w:tc>
        <w:tc>
          <w:tcPr>
            <w:tcW w:w="2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9.9</w:t>
            </w:r>
          </w:p>
        </w:tc>
        <w:tc>
          <w:tcPr>
            <w:tcW w:w="9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left"/>
              <w:textAlignment w:val="center"/>
              <w:rPr>
                <w:rFonts w:hint="default" w:ascii="Times New Roman" w:hAnsi="Times New Roman" w:eastAsia="黑体" w:cs="Times New Roman"/>
                <w:i/>
                <w:iCs/>
                <w:color w:val="000000"/>
                <w:sz w:val="18"/>
                <w:szCs w:val="18"/>
                <w:u w:val="none"/>
              </w:rPr>
            </w:pPr>
            <w:r>
              <w:rPr>
                <w:rFonts w:hint="default" w:ascii="Times New Roman" w:hAnsi="Times New Roman" w:eastAsia="黑体" w:cs="Times New Roman"/>
                <w:b w:val="0"/>
                <w:bCs w:val="0"/>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200" w:lineRule="exact"/>
              <w:jc w:val="center"/>
              <w:rPr>
                <w:rFonts w:hint="default" w:ascii="Times New Roman" w:hAnsi="Times New Roman" w:eastAsia="宋体" w:cs="Times New Roman"/>
                <w:i w:val="0"/>
                <w:iCs w:val="0"/>
                <w:color w:val="000000"/>
                <w:sz w:val="18"/>
                <w:szCs w:val="18"/>
                <w:u w:val="none"/>
              </w:rPr>
            </w:pP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其中：财政资金</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36.00</w:t>
            </w:r>
          </w:p>
        </w:tc>
        <w:tc>
          <w:tcPr>
            <w:tcW w:w="91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35.65</w:t>
            </w:r>
          </w:p>
        </w:tc>
        <w:tc>
          <w:tcPr>
            <w:tcW w:w="39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99.03%</w:t>
            </w:r>
          </w:p>
        </w:tc>
        <w:tc>
          <w:tcPr>
            <w:tcW w:w="2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9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200" w:lineRule="exact"/>
              <w:rPr>
                <w:rFonts w:hint="default" w:ascii="Times New Roman" w:hAnsi="Times New Roman" w:eastAsia="黑体" w:cs="Times New Roman"/>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200" w:lineRule="exact"/>
              <w:jc w:val="center"/>
              <w:rPr>
                <w:rFonts w:hint="default" w:ascii="Times New Roman" w:hAnsi="Times New Roman" w:eastAsia="宋体" w:cs="Times New Roman"/>
                <w:i w:val="0"/>
                <w:iCs w:val="0"/>
                <w:color w:val="000000"/>
                <w:sz w:val="18"/>
                <w:szCs w:val="18"/>
                <w:u w:val="none"/>
              </w:rPr>
            </w:pP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财政专户管理资金</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91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39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2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9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200" w:lineRule="exact"/>
              <w:rPr>
                <w:rFonts w:hint="default" w:ascii="Times New Roman" w:hAnsi="Times New Roman" w:eastAsia="黑体" w:cs="Times New Roman"/>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200" w:lineRule="exact"/>
              <w:jc w:val="center"/>
              <w:rPr>
                <w:rFonts w:hint="default" w:ascii="Times New Roman" w:hAnsi="Times New Roman" w:eastAsia="宋体" w:cs="Times New Roman"/>
                <w:i w:val="0"/>
                <w:iCs w:val="0"/>
                <w:color w:val="000000"/>
                <w:sz w:val="18"/>
                <w:szCs w:val="18"/>
                <w:u w:val="none"/>
              </w:rPr>
            </w:pP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单位资金</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91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39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2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9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200" w:lineRule="exact"/>
              <w:rPr>
                <w:rFonts w:hint="default" w:ascii="Times New Roman" w:hAnsi="Times New Roman" w:eastAsia="黑体" w:cs="Times New Roman"/>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200" w:lineRule="exact"/>
              <w:jc w:val="center"/>
              <w:rPr>
                <w:rFonts w:hint="default" w:ascii="Times New Roman" w:hAnsi="Times New Roman" w:eastAsia="宋体" w:cs="Times New Roman"/>
                <w:i w:val="0"/>
                <w:iCs w:val="0"/>
                <w:color w:val="000000"/>
                <w:sz w:val="18"/>
                <w:szCs w:val="18"/>
                <w:u w:val="none"/>
              </w:rPr>
            </w:pP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其他资金</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200" w:lineRule="exact"/>
              <w:jc w:val="center"/>
              <w:rPr>
                <w:rFonts w:hint="default" w:ascii="Times New Roman" w:hAnsi="Times New Roman" w:eastAsia="微软雅黑" w:cs="Times New Roman"/>
                <w:i/>
                <w:iCs/>
                <w:color w:val="000000"/>
                <w:sz w:val="16"/>
                <w:szCs w:val="16"/>
                <w:u w:val="none"/>
              </w:rPr>
            </w:pP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200" w:lineRule="exact"/>
              <w:jc w:val="center"/>
              <w:rPr>
                <w:rFonts w:hint="default" w:ascii="Times New Roman" w:hAnsi="Times New Roman" w:eastAsia="微软雅黑" w:cs="Times New Roman"/>
                <w:i/>
                <w:iCs/>
                <w:color w:val="000000"/>
                <w:sz w:val="16"/>
                <w:szCs w:val="16"/>
                <w:u w:val="none"/>
              </w:rPr>
            </w:pPr>
          </w:p>
        </w:tc>
        <w:tc>
          <w:tcPr>
            <w:tcW w:w="91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200" w:lineRule="exact"/>
              <w:jc w:val="center"/>
              <w:rPr>
                <w:rFonts w:hint="default" w:ascii="Times New Roman" w:hAnsi="Times New Roman" w:eastAsia="微软雅黑" w:cs="Times New Roman"/>
                <w:i/>
                <w:iCs/>
                <w:color w:val="000000"/>
                <w:sz w:val="16"/>
                <w:szCs w:val="16"/>
                <w:u w:val="none"/>
              </w:rPr>
            </w:pPr>
          </w:p>
        </w:tc>
        <w:tc>
          <w:tcPr>
            <w:tcW w:w="39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200" w:lineRule="exact"/>
              <w:jc w:val="center"/>
              <w:rPr>
                <w:rFonts w:hint="default" w:ascii="Times New Roman" w:hAnsi="Times New Roman" w:eastAsia="微软雅黑" w:cs="Times New Roman"/>
                <w:i/>
                <w:iCs/>
                <w:color w:val="000000"/>
                <w:sz w:val="16"/>
                <w:szCs w:val="16"/>
                <w:u w:val="none"/>
              </w:rPr>
            </w:pPr>
          </w:p>
        </w:tc>
        <w:tc>
          <w:tcPr>
            <w:tcW w:w="2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9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200" w:lineRule="exact"/>
              <w:rPr>
                <w:rFonts w:hint="default" w:ascii="Times New Roman" w:hAnsi="Times New Roman" w:eastAsia="黑体" w:cs="Times New Roman"/>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绩效指标（90分）</w:t>
            </w: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一级指标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二级指标</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三级指标</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指标性质</w:t>
            </w:r>
          </w:p>
        </w:tc>
        <w:tc>
          <w:tcPr>
            <w:tcW w:w="2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指标值</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度量单位</w:t>
            </w:r>
          </w:p>
        </w:tc>
        <w:tc>
          <w:tcPr>
            <w:tcW w:w="3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完成值</w:t>
            </w:r>
          </w:p>
        </w:tc>
        <w:tc>
          <w:tcPr>
            <w:tcW w:w="2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权重</w:t>
            </w:r>
          </w:p>
        </w:tc>
        <w:tc>
          <w:tcPr>
            <w:tcW w:w="3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得分</w:t>
            </w:r>
          </w:p>
        </w:tc>
        <w:tc>
          <w:tcPr>
            <w:tcW w:w="9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200" w:lineRule="exact"/>
              <w:jc w:val="center"/>
              <w:rPr>
                <w:rFonts w:hint="default" w:ascii="Times New Roman" w:hAnsi="Times New Roman" w:eastAsia="宋体" w:cs="Times New Roman"/>
                <w:i w:val="0"/>
                <w:iCs w:val="0"/>
                <w:color w:val="000000"/>
                <w:sz w:val="18"/>
                <w:szCs w:val="18"/>
                <w:u w:val="none"/>
              </w:rPr>
            </w:pPr>
          </w:p>
        </w:tc>
        <w:tc>
          <w:tcPr>
            <w:tcW w:w="5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产出指标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数量指标</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有效消除老旧基础设施带来的安全隐患的比例</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2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3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微软雅黑" w:cs="Times New Roman"/>
                <w:i/>
                <w:iCs/>
                <w:color w:val="000000"/>
                <w:sz w:val="16"/>
                <w:szCs w:val="16"/>
                <w:u w:val="none"/>
              </w:rPr>
            </w:pPr>
            <w:r>
              <w:rPr>
                <w:rFonts w:hint="default" w:ascii="Times New Roman" w:hAnsi="Times New Roman" w:eastAsia="微软雅黑" w:cs="Times New Roman"/>
                <w:i/>
                <w:iCs/>
                <w:color w:val="000000"/>
                <w:kern w:val="0"/>
                <w:sz w:val="16"/>
                <w:szCs w:val="16"/>
                <w:u w:val="none"/>
                <w:lang w:val="en-US" w:eastAsia="zh-CN" w:bidi="ar"/>
              </w:rPr>
              <w:t>100</w:t>
            </w:r>
          </w:p>
        </w:tc>
        <w:tc>
          <w:tcPr>
            <w:tcW w:w="2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3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9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200" w:lineRule="exact"/>
              <w:jc w:val="center"/>
              <w:rPr>
                <w:rFonts w:hint="default" w:ascii="Times New Roman" w:hAnsi="Times New Roman" w:eastAsia="微软雅黑" w:cs="Times New Roman"/>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200" w:lineRule="exact"/>
              <w:jc w:val="center"/>
              <w:rPr>
                <w:rFonts w:hint="default" w:ascii="Times New Roman" w:hAnsi="Times New Roman" w:eastAsia="宋体" w:cs="Times New Roman"/>
                <w:i w:val="0"/>
                <w:iCs w:val="0"/>
                <w:color w:val="000000"/>
                <w:sz w:val="18"/>
                <w:szCs w:val="18"/>
                <w:u w:val="none"/>
              </w:rPr>
            </w:pPr>
          </w:p>
        </w:tc>
        <w:tc>
          <w:tcPr>
            <w:tcW w:w="5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200" w:lineRule="exact"/>
              <w:jc w:val="center"/>
              <w:rPr>
                <w:rFonts w:hint="default" w:ascii="Times New Roman" w:hAnsi="Times New Roman" w:eastAsia="宋体" w:cs="Times New Roman"/>
                <w:i w:val="0"/>
                <w:iCs w:val="0"/>
                <w:color w:val="000000"/>
                <w:sz w:val="18"/>
                <w:szCs w:val="18"/>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质量指标</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改造验收合格率</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2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3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微软雅黑" w:cs="Times New Roman"/>
                <w:i/>
                <w:iCs/>
                <w:color w:val="000000"/>
                <w:sz w:val="16"/>
                <w:szCs w:val="16"/>
                <w:u w:val="none"/>
              </w:rPr>
            </w:pPr>
            <w:r>
              <w:rPr>
                <w:rFonts w:hint="default" w:ascii="Times New Roman" w:hAnsi="Times New Roman" w:eastAsia="微软雅黑" w:cs="Times New Roman"/>
                <w:i/>
                <w:iCs/>
                <w:color w:val="000000"/>
                <w:kern w:val="0"/>
                <w:sz w:val="16"/>
                <w:szCs w:val="16"/>
                <w:u w:val="none"/>
                <w:lang w:val="en-US" w:eastAsia="zh-CN" w:bidi="ar"/>
              </w:rPr>
              <w:t>100</w:t>
            </w:r>
          </w:p>
        </w:tc>
        <w:tc>
          <w:tcPr>
            <w:tcW w:w="2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w:t>
            </w:r>
          </w:p>
        </w:tc>
        <w:tc>
          <w:tcPr>
            <w:tcW w:w="3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w:t>
            </w:r>
          </w:p>
        </w:tc>
        <w:tc>
          <w:tcPr>
            <w:tcW w:w="9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200" w:lineRule="exact"/>
              <w:jc w:val="center"/>
              <w:rPr>
                <w:rFonts w:hint="default" w:ascii="Times New Roman" w:hAnsi="Times New Roman" w:eastAsia="微软雅黑" w:cs="Times New Roman"/>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200" w:lineRule="exact"/>
              <w:jc w:val="center"/>
              <w:rPr>
                <w:rFonts w:hint="default" w:ascii="Times New Roman" w:hAnsi="Times New Roman" w:eastAsia="宋体" w:cs="Times New Roman"/>
                <w:i w:val="0"/>
                <w:iCs w:val="0"/>
                <w:color w:val="000000"/>
                <w:sz w:val="18"/>
                <w:szCs w:val="18"/>
                <w:u w:val="none"/>
              </w:rPr>
            </w:pPr>
          </w:p>
        </w:tc>
        <w:tc>
          <w:tcPr>
            <w:tcW w:w="5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200" w:lineRule="exact"/>
              <w:jc w:val="center"/>
              <w:rPr>
                <w:rFonts w:hint="default" w:ascii="Times New Roman" w:hAnsi="Times New Roman" w:eastAsia="宋体" w:cs="Times New Roman"/>
                <w:i w:val="0"/>
                <w:iCs w:val="0"/>
                <w:color w:val="000000"/>
                <w:sz w:val="18"/>
                <w:szCs w:val="18"/>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时效指标</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在2024年12月前完成对科研办公区基础设施改造</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2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90</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3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微软雅黑" w:cs="Times New Roman"/>
                <w:i/>
                <w:iCs/>
                <w:color w:val="000000"/>
                <w:sz w:val="16"/>
                <w:szCs w:val="16"/>
                <w:u w:val="none"/>
              </w:rPr>
            </w:pPr>
            <w:r>
              <w:rPr>
                <w:rFonts w:hint="default" w:ascii="Times New Roman" w:hAnsi="Times New Roman" w:eastAsia="微软雅黑" w:cs="Times New Roman"/>
                <w:i/>
                <w:iCs/>
                <w:color w:val="000000"/>
                <w:kern w:val="0"/>
                <w:sz w:val="16"/>
                <w:szCs w:val="16"/>
                <w:u w:val="none"/>
                <w:lang w:val="en-US" w:eastAsia="zh-CN" w:bidi="ar"/>
              </w:rPr>
              <w:t>90</w:t>
            </w:r>
          </w:p>
        </w:tc>
        <w:tc>
          <w:tcPr>
            <w:tcW w:w="2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w:t>
            </w:r>
          </w:p>
        </w:tc>
        <w:tc>
          <w:tcPr>
            <w:tcW w:w="3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w:t>
            </w:r>
          </w:p>
        </w:tc>
        <w:tc>
          <w:tcPr>
            <w:tcW w:w="9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200" w:lineRule="exact"/>
              <w:jc w:val="center"/>
              <w:rPr>
                <w:rFonts w:hint="default" w:ascii="Times New Roman" w:hAnsi="Times New Roman" w:eastAsia="微软雅黑" w:cs="Times New Roman"/>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200" w:lineRule="exact"/>
              <w:jc w:val="center"/>
              <w:rPr>
                <w:rFonts w:hint="default" w:ascii="Times New Roman" w:hAnsi="Times New Roman" w:eastAsia="宋体" w:cs="Times New Roman"/>
                <w:i w:val="0"/>
                <w:iCs w:val="0"/>
                <w:color w:val="000000"/>
                <w:sz w:val="18"/>
                <w:szCs w:val="18"/>
                <w:u w:val="none"/>
              </w:rPr>
            </w:pP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效益指标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社会效益指标</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对科研办公区基础设施进行改造，消除安全隐患，改善科研办公条件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定性</w:t>
            </w:r>
          </w:p>
        </w:tc>
        <w:tc>
          <w:tcPr>
            <w:tcW w:w="2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良</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200" w:lineRule="exact"/>
              <w:jc w:val="center"/>
              <w:rPr>
                <w:rFonts w:hint="default" w:ascii="Times New Roman" w:hAnsi="Times New Roman" w:eastAsia="宋体" w:cs="Times New Roman"/>
                <w:i w:val="0"/>
                <w:iCs w:val="0"/>
                <w:color w:val="000000"/>
                <w:sz w:val="18"/>
                <w:szCs w:val="18"/>
                <w:u w:val="none"/>
              </w:rPr>
            </w:pPr>
          </w:p>
        </w:tc>
        <w:tc>
          <w:tcPr>
            <w:tcW w:w="3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微软雅黑" w:cs="Times New Roman"/>
                <w:i/>
                <w:iCs/>
                <w:color w:val="000000"/>
                <w:sz w:val="16"/>
                <w:szCs w:val="16"/>
                <w:u w:val="none"/>
              </w:rPr>
            </w:pPr>
            <w:r>
              <w:rPr>
                <w:rFonts w:hint="default" w:ascii="Times New Roman" w:hAnsi="Times New Roman" w:eastAsia="微软雅黑" w:cs="Times New Roman"/>
                <w:i/>
                <w:iCs/>
                <w:color w:val="000000"/>
                <w:kern w:val="0"/>
                <w:sz w:val="16"/>
                <w:szCs w:val="16"/>
                <w:u w:val="none"/>
                <w:lang w:val="en-US" w:eastAsia="zh-CN" w:bidi="ar"/>
              </w:rPr>
              <w:t>良</w:t>
            </w:r>
          </w:p>
        </w:tc>
        <w:tc>
          <w:tcPr>
            <w:tcW w:w="2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30</w:t>
            </w:r>
          </w:p>
        </w:tc>
        <w:tc>
          <w:tcPr>
            <w:tcW w:w="3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30</w:t>
            </w:r>
          </w:p>
        </w:tc>
        <w:tc>
          <w:tcPr>
            <w:tcW w:w="9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200" w:lineRule="exact"/>
              <w:jc w:val="center"/>
              <w:rPr>
                <w:rFonts w:hint="default" w:ascii="Times New Roman" w:hAnsi="Times New Roman" w:eastAsia="微软雅黑" w:cs="Times New Roman"/>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200" w:lineRule="exact"/>
              <w:jc w:val="center"/>
              <w:rPr>
                <w:rFonts w:hint="default" w:ascii="Times New Roman" w:hAnsi="Times New Roman" w:eastAsia="宋体" w:cs="Times New Roman"/>
                <w:i w:val="0"/>
                <w:iCs w:val="0"/>
                <w:color w:val="000000"/>
                <w:sz w:val="18"/>
                <w:szCs w:val="18"/>
                <w:u w:val="none"/>
              </w:rPr>
            </w:pP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满意度指标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满意度指标</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科研人员对科研办公区改造满意程度</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定性</w:t>
            </w:r>
          </w:p>
        </w:tc>
        <w:tc>
          <w:tcPr>
            <w:tcW w:w="2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良</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200" w:lineRule="exact"/>
              <w:jc w:val="center"/>
              <w:rPr>
                <w:rFonts w:hint="default" w:ascii="Times New Roman" w:hAnsi="Times New Roman" w:eastAsia="宋体" w:cs="Times New Roman"/>
                <w:i w:val="0"/>
                <w:iCs w:val="0"/>
                <w:color w:val="000000"/>
                <w:sz w:val="18"/>
                <w:szCs w:val="18"/>
                <w:u w:val="none"/>
              </w:rPr>
            </w:pPr>
          </w:p>
        </w:tc>
        <w:tc>
          <w:tcPr>
            <w:tcW w:w="3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微软雅黑" w:cs="Times New Roman"/>
                <w:i/>
                <w:iCs/>
                <w:color w:val="000000"/>
                <w:sz w:val="16"/>
                <w:szCs w:val="16"/>
                <w:u w:val="none"/>
              </w:rPr>
            </w:pPr>
            <w:r>
              <w:rPr>
                <w:rFonts w:hint="default" w:ascii="Times New Roman" w:hAnsi="Times New Roman" w:eastAsia="微软雅黑" w:cs="Times New Roman"/>
                <w:i/>
                <w:iCs/>
                <w:color w:val="000000"/>
                <w:kern w:val="0"/>
                <w:sz w:val="16"/>
                <w:szCs w:val="16"/>
                <w:u w:val="none"/>
                <w:lang w:val="en-US" w:eastAsia="zh-CN" w:bidi="ar"/>
              </w:rPr>
              <w:t>良</w:t>
            </w:r>
          </w:p>
        </w:tc>
        <w:tc>
          <w:tcPr>
            <w:tcW w:w="2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3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9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200" w:lineRule="exact"/>
              <w:jc w:val="center"/>
              <w:rPr>
                <w:rFonts w:hint="default" w:ascii="Times New Roman" w:hAnsi="Times New Roman" w:eastAsia="微软雅黑" w:cs="Times New Roman"/>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42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合计</w:t>
            </w:r>
          </w:p>
        </w:tc>
        <w:tc>
          <w:tcPr>
            <w:tcW w:w="2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w:t>
            </w:r>
          </w:p>
        </w:tc>
        <w:tc>
          <w:tcPr>
            <w:tcW w:w="3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99.9</w:t>
            </w:r>
          </w:p>
        </w:tc>
        <w:tc>
          <w:tcPr>
            <w:tcW w:w="9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200" w:lineRule="exac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评价结论</w:t>
            </w:r>
          </w:p>
        </w:tc>
        <w:tc>
          <w:tcPr>
            <w:tcW w:w="4686"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both"/>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项目已按照任务书所列目标，完成对信产大厦科研用房内部基础设施改造，拆除老旧基础设施，更新吊顶、墙地面，更换电路、灯具等，消除安全隐患；对漏水屋面进行防水改造，有效消除漏水浸水隐患；完成空调基础设施的购置安装，有效改善科研工作环境，有益于提高科研人员办公效率，可有效节约每年维修开支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存在问题</w:t>
            </w:r>
          </w:p>
        </w:tc>
        <w:tc>
          <w:tcPr>
            <w:tcW w:w="4686"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left"/>
              <w:textAlignment w:val="center"/>
              <w:rPr>
                <w:rFonts w:hint="default" w:ascii="Times New Roman" w:hAnsi="Times New Roman" w:eastAsia="微软雅黑" w:cs="Times New Roman"/>
                <w:i/>
                <w:iCs/>
                <w:color w:val="000000"/>
                <w:sz w:val="16"/>
                <w:szCs w:val="16"/>
                <w:u w:val="none"/>
              </w:rPr>
            </w:pPr>
            <w:r>
              <w:rPr>
                <w:rFonts w:hint="default" w:ascii="Times New Roman" w:hAnsi="Times New Roman" w:eastAsia="微软雅黑" w:cs="Times New Roman"/>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改进措施</w:t>
            </w:r>
          </w:p>
        </w:tc>
        <w:tc>
          <w:tcPr>
            <w:tcW w:w="4686"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left"/>
              <w:textAlignment w:val="center"/>
              <w:rPr>
                <w:rFonts w:hint="default" w:ascii="Times New Roman" w:hAnsi="Times New Roman" w:eastAsia="微软雅黑" w:cs="Times New Roman"/>
                <w:i/>
                <w:iCs/>
                <w:color w:val="000000"/>
                <w:sz w:val="16"/>
                <w:szCs w:val="16"/>
                <w:u w:val="none"/>
              </w:rPr>
            </w:pPr>
            <w:r>
              <w:rPr>
                <w:rFonts w:hint="default" w:ascii="Times New Roman" w:hAnsi="Times New Roman" w:eastAsia="微软雅黑" w:cs="Times New Roman"/>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49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黑体" w:cs="Times New Roman"/>
                <w:i w:val="0"/>
                <w:iCs w:val="0"/>
                <w:color w:val="000000"/>
                <w:sz w:val="18"/>
                <w:szCs w:val="18"/>
                <w:u w:val="none"/>
              </w:rPr>
            </w:pPr>
            <w:r>
              <w:rPr>
                <w:rFonts w:hint="default" w:ascii="Times New Roman" w:hAnsi="Times New Roman" w:eastAsia="黑体" w:cs="Times New Roman"/>
                <w:i w:val="0"/>
                <w:iCs w:val="0"/>
                <w:color w:val="000000"/>
                <w:kern w:val="0"/>
                <w:sz w:val="18"/>
                <w:szCs w:val="18"/>
                <w:u w:val="none"/>
                <w:lang w:val="en-US" w:eastAsia="zh-CN" w:bidi="ar"/>
              </w:rPr>
              <w:t>项目负责人：刘志利</w:t>
            </w:r>
          </w:p>
        </w:tc>
        <w:tc>
          <w:tcPr>
            <w:tcW w:w="250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黑体" w:cs="Times New Roman"/>
                <w:i w:val="0"/>
                <w:iCs w:val="0"/>
                <w:color w:val="000000"/>
                <w:sz w:val="18"/>
                <w:szCs w:val="18"/>
                <w:u w:val="none"/>
              </w:rPr>
            </w:pPr>
            <w:r>
              <w:rPr>
                <w:rFonts w:hint="default" w:ascii="Times New Roman" w:hAnsi="Times New Roman" w:eastAsia="黑体" w:cs="Times New Roman"/>
                <w:i w:val="0"/>
                <w:iCs w:val="0"/>
                <w:color w:val="000000"/>
                <w:kern w:val="0"/>
                <w:sz w:val="18"/>
                <w:szCs w:val="18"/>
                <w:u w:val="none"/>
                <w:lang w:val="en-US" w:eastAsia="zh-CN" w:bidi="ar"/>
              </w:rPr>
              <w:t>财务负责人：卢萍</w:t>
            </w:r>
          </w:p>
        </w:tc>
      </w:tr>
    </w:tbl>
    <w:p>
      <w:pPr>
        <w:keepNext w:val="0"/>
        <w:keepLines w:val="0"/>
        <w:widowControl/>
        <w:suppressLineNumbers w:val="0"/>
        <w:snapToGrid w:val="0"/>
        <w:jc w:val="center"/>
        <w:textAlignment w:val="center"/>
        <w:rPr>
          <w:rFonts w:hint="default" w:ascii="Times New Roman" w:hAnsi="Times New Roman" w:eastAsia="黑体" w:cs="Times New Roman"/>
          <w:b/>
          <w:bCs/>
          <w:i w:val="0"/>
          <w:iCs w:val="0"/>
          <w:color w:val="000000"/>
          <w:kern w:val="0"/>
          <w:sz w:val="30"/>
          <w:szCs w:val="30"/>
          <w:u w:val="none"/>
          <w:lang w:val="en-US" w:eastAsia="zh-CN" w:bidi="ar"/>
        </w:rPr>
      </w:pPr>
      <w:r>
        <w:rPr>
          <w:rFonts w:hint="default" w:ascii="Times New Roman" w:hAnsi="Times New Roman" w:eastAsia="黑体" w:cs="Times New Roman"/>
          <w:b/>
          <w:bCs/>
          <w:i w:val="0"/>
          <w:iCs w:val="0"/>
          <w:color w:val="000000"/>
          <w:kern w:val="0"/>
          <w:sz w:val="30"/>
          <w:szCs w:val="30"/>
          <w:u w:val="none"/>
          <w:lang w:val="en-US" w:eastAsia="zh-CN" w:bidi="ar"/>
        </w:rPr>
        <w:br w:type="page"/>
      </w:r>
    </w:p>
    <w:tbl>
      <w:tblPr>
        <w:tblStyle w:val="14"/>
        <w:tblW w:w="5152"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32" w:type="dxa"/>
          <w:left w:w="64" w:type="dxa"/>
          <w:bottom w:w="32" w:type="dxa"/>
          <w:right w:w="64" w:type="dxa"/>
        </w:tblCellMar>
      </w:tblPr>
      <w:tblGrid>
        <w:gridCol w:w="578"/>
        <w:gridCol w:w="930"/>
        <w:gridCol w:w="854"/>
        <w:gridCol w:w="1706"/>
        <w:gridCol w:w="542"/>
        <w:gridCol w:w="602"/>
        <w:gridCol w:w="549"/>
        <w:gridCol w:w="723"/>
        <w:gridCol w:w="511"/>
        <w:gridCol w:w="480"/>
        <w:gridCol w:w="17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358"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黑体" w:cs="Times New Roman"/>
                <w:b/>
                <w:bCs/>
                <w:i w:val="0"/>
                <w:iCs w:val="0"/>
                <w:color w:val="000000"/>
                <w:sz w:val="30"/>
                <w:szCs w:val="30"/>
                <w:u w:val="none"/>
              </w:rPr>
            </w:pPr>
            <w:r>
              <w:rPr>
                <w:rFonts w:hint="default" w:ascii="Times New Roman" w:hAnsi="Times New Roman" w:eastAsia="黑体" w:cs="Times New Roman"/>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281" w:hRule="atLeast"/>
          <w:jc w:val="center"/>
        </w:trPr>
        <w:tc>
          <w:tcPr>
            <w:tcW w:w="8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项目名称</w:t>
            </w:r>
          </w:p>
        </w:tc>
        <w:tc>
          <w:tcPr>
            <w:tcW w:w="418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51000024T000012019831-2024年基本科研业务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554" w:hRule="atLeast"/>
          <w:jc w:val="center"/>
        </w:trPr>
        <w:tc>
          <w:tcPr>
            <w:tcW w:w="8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主管部门</w:t>
            </w:r>
          </w:p>
        </w:tc>
        <w:tc>
          <w:tcPr>
            <w:tcW w:w="230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四川省经济和信息化厅部门</w:t>
            </w:r>
          </w:p>
        </w:tc>
        <w:tc>
          <w:tcPr>
            <w:tcW w:w="391" w:type="pct"/>
            <w:tcBorders>
              <w:top w:val="nil"/>
              <w:left w:val="nil"/>
              <w:bottom w:val="nil"/>
              <w:right w:val="nil"/>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黑体" w:cs="Times New Roman"/>
                <w:i w:val="0"/>
                <w:iCs w:val="0"/>
                <w:color w:val="000000"/>
                <w:sz w:val="18"/>
                <w:szCs w:val="18"/>
                <w:u w:val="none"/>
              </w:rPr>
            </w:pPr>
            <w:r>
              <w:rPr>
                <w:rFonts w:hint="default" w:ascii="Times New Roman" w:hAnsi="Times New Roman" w:eastAsia="黑体" w:cs="Times New Roman"/>
                <w:i w:val="0"/>
                <w:iCs w:val="0"/>
                <w:color w:val="000000"/>
                <w:kern w:val="0"/>
                <w:sz w:val="18"/>
                <w:szCs w:val="18"/>
                <w:u w:val="none"/>
                <w:lang w:val="en-US" w:eastAsia="zh-CN" w:bidi="ar"/>
              </w:rPr>
              <w:t>实施单位 （盖章）</w:t>
            </w:r>
          </w:p>
        </w:tc>
        <w:tc>
          <w:tcPr>
            <w:tcW w:w="149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四川省工业和信息化研究院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281" w:hRule="atLeast"/>
          <w:jc w:val="center"/>
        </w:trPr>
        <w:tc>
          <w:tcPr>
            <w:tcW w:w="31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项目基本情况</w:t>
            </w:r>
          </w:p>
        </w:tc>
        <w:tc>
          <w:tcPr>
            <w:tcW w:w="5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1.项目年度目标完成情况</w:t>
            </w:r>
          </w:p>
        </w:tc>
        <w:tc>
          <w:tcPr>
            <w:tcW w:w="230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项目年度目标</w:t>
            </w:r>
          </w:p>
        </w:tc>
        <w:tc>
          <w:tcPr>
            <w:tcW w:w="188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黑体" w:cs="Times New Roman"/>
                <w:i w:val="0"/>
                <w:iCs w:val="0"/>
                <w:color w:val="000000"/>
                <w:sz w:val="18"/>
                <w:szCs w:val="18"/>
                <w:u w:val="none"/>
              </w:rPr>
            </w:pPr>
            <w:r>
              <w:rPr>
                <w:rFonts w:hint="default" w:ascii="Times New Roman" w:hAnsi="Times New Roman" w:eastAsia="黑体" w:cs="Times New Roman"/>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554" w:hRule="atLeast"/>
          <w:jc w:val="center"/>
        </w:trPr>
        <w:tc>
          <w:tcPr>
            <w:tcW w:w="3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default" w:ascii="Times New Roman" w:hAnsi="Times New Roman" w:eastAsia="宋体" w:cs="Times New Roman"/>
                <w:i w:val="0"/>
                <w:iCs w:val="0"/>
                <w:color w:val="000000"/>
                <w:sz w:val="18"/>
                <w:szCs w:val="18"/>
                <w:u w:val="none"/>
              </w:rPr>
            </w:pPr>
          </w:p>
        </w:tc>
        <w:tc>
          <w:tcPr>
            <w:tcW w:w="5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default" w:ascii="Times New Roman" w:hAnsi="Times New Roman" w:eastAsia="宋体" w:cs="Times New Roman"/>
                <w:i w:val="0"/>
                <w:iCs w:val="0"/>
                <w:color w:val="000000"/>
                <w:sz w:val="18"/>
                <w:szCs w:val="18"/>
                <w:u w:val="none"/>
              </w:rPr>
            </w:pPr>
          </w:p>
        </w:tc>
        <w:tc>
          <w:tcPr>
            <w:tcW w:w="230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已立项14个课题，按时完成14个课题，至少形成14篇研究报告，公开发表至少2篇，经费执行率达到90%，结题验收通过率达到100%。</w:t>
            </w:r>
          </w:p>
        </w:tc>
        <w:tc>
          <w:tcPr>
            <w:tcW w:w="188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已完成14个课题，全部通过结题评审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554" w:hRule="atLeast"/>
          <w:jc w:val="center"/>
        </w:trPr>
        <w:tc>
          <w:tcPr>
            <w:tcW w:w="3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default" w:ascii="Times New Roman" w:hAnsi="Times New Roman" w:eastAsia="宋体" w:cs="Times New Roman"/>
                <w:i w:val="0"/>
                <w:iCs w:val="0"/>
                <w:color w:val="000000"/>
                <w:sz w:val="18"/>
                <w:szCs w:val="18"/>
                <w:u w:val="none"/>
              </w:rPr>
            </w:pP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2.项目实施内容及过程概述</w:t>
            </w:r>
          </w:p>
        </w:tc>
        <w:tc>
          <w:tcPr>
            <w:tcW w:w="418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2024年3月经专家评审后批立项14个课题，10月进行中期评估，12月组织统一结题评审，验收通过率100%。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554" w:hRule="atLeast"/>
          <w:jc w:val="center"/>
        </w:trPr>
        <w:tc>
          <w:tcPr>
            <w:tcW w:w="31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预算执行情况（10分）</w:t>
            </w: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年度预算数（万元）</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年初预算</w:t>
            </w:r>
          </w:p>
        </w:tc>
        <w:tc>
          <w:tcPr>
            <w:tcW w:w="9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调整后预算数</w:t>
            </w:r>
          </w:p>
        </w:tc>
        <w:tc>
          <w:tcPr>
            <w:tcW w:w="91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预算执行数</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预算执行率</w:t>
            </w: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权重</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得分</w:t>
            </w:r>
          </w:p>
        </w:tc>
        <w:tc>
          <w:tcPr>
            <w:tcW w:w="9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281" w:hRule="atLeast"/>
          <w:jc w:val="center"/>
        </w:trPr>
        <w:tc>
          <w:tcPr>
            <w:tcW w:w="3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宋体" w:cs="Times New Roman"/>
                <w:i w:val="0"/>
                <w:iCs w:val="0"/>
                <w:color w:val="000000"/>
                <w:sz w:val="18"/>
                <w:szCs w:val="18"/>
                <w:u w:val="none"/>
              </w:rPr>
            </w:pP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总额</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9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46.00</w:t>
            </w:r>
          </w:p>
        </w:tc>
        <w:tc>
          <w:tcPr>
            <w:tcW w:w="91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27.93</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60.72%</w:t>
            </w: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w:t>
            </w:r>
          </w:p>
        </w:tc>
        <w:tc>
          <w:tcPr>
            <w:tcW w:w="9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黑体" w:cs="Times New Roman"/>
                <w:i/>
                <w:iCs/>
                <w:color w:val="000000"/>
                <w:sz w:val="18"/>
                <w:szCs w:val="18"/>
                <w:u w:val="none"/>
              </w:rPr>
            </w:pPr>
            <w:r>
              <w:rPr>
                <w:rFonts w:hint="default" w:ascii="Times New Roman" w:hAnsi="Times New Roman" w:eastAsia="黑体" w:cs="Times New Roman"/>
                <w:i/>
                <w:iCs/>
                <w:color w:val="000000"/>
                <w:kern w:val="0"/>
                <w:sz w:val="18"/>
                <w:szCs w:val="18"/>
                <w:u w:val="none"/>
                <w:lang w:val="en-US" w:eastAsia="zh-CN" w:bidi="ar"/>
              </w:rPr>
              <w:t>预算资金下达较晚，各项目组差旅调研计划有更改，没有及时使用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396" w:hRule="atLeast"/>
          <w:jc w:val="center"/>
        </w:trPr>
        <w:tc>
          <w:tcPr>
            <w:tcW w:w="3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宋体" w:cs="Times New Roman"/>
                <w:i w:val="0"/>
                <w:iCs w:val="0"/>
                <w:color w:val="000000"/>
                <w:sz w:val="18"/>
                <w:szCs w:val="18"/>
                <w:u w:val="none"/>
              </w:rPr>
            </w:pP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其中：财政资金</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9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46.00</w:t>
            </w:r>
          </w:p>
        </w:tc>
        <w:tc>
          <w:tcPr>
            <w:tcW w:w="91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27.93</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60.72%</w:t>
            </w: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9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default" w:ascii="Times New Roman" w:hAnsi="Times New Roman" w:eastAsia="黑体" w:cs="Times New Roman"/>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396" w:hRule="atLeast"/>
          <w:jc w:val="center"/>
        </w:trPr>
        <w:tc>
          <w:tcPr>
            <w:tcW w:w="3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宋体" w:cs="Times New Roman"/>
                <w:i w:val="0"/>
                <w:iCs w:val="0"/>
                <w:color w:val="000000"/>
                <w:sz w:val="18"/>
                <w:szCs w:val="18"/>
                <w:u w:val="none"/>
              </w:rPr>
            </w:pP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财政专户管理资金</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9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91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9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default" w:ascii="Times New Roman" w:hAnsi="Times New Roman" w:eastAsia="黑体" w:cs="Times New Roman"/>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281" w:hRule="atLeast"/>
          <w:jc w:val="center"/>
        </w:trPr>
        <w:tc>
          <w:tcPr>
            <w:tcW w:w="3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宋体" w:cs="Times New Roman"/>
                <w:i w:val="0"/>
                <w:iCs w:val="0"/>
                <w:color w:val="000000"/>
                <w:sz w:val="18"/>
                <w:szCs w:val="18"/>
                <w:u w:val="none"/>
              </w:rPr>
            </w:pP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单位资金</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9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91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9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default" w:ascii="Times New Roman" w:hAnsi="Times New Roman" w:eastAsia="黑体" w:cs="Times New Roman"/>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301" w:hRule="atLeast"/>
          <w:jc w:val="center"/>
        </w:trPr>
        <w:tc>
          <w:tcPr>
            <w:tcW w:w="3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宋体" w:cs="Times New Roman"/>
                <w:i w:val="0"/>
                <w:iCs w:val="0"/>
                <w:color w:val="000000"/>
                <w:sz w:val="18"/>
                <w:szCs w:val="18"/>
                <w:u w:val="none"/>
              </w:rPr>
            </w:pP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其他资金</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微软雅黑" w:cs="Times New Roman"/>
                <w:i/>
                <w:iCs/>
                <w:color w:val="000000"/>
                <w:sz w:val="16"/>
                <w:szCs w:val="16"/>
                <w:u w:val="none"/>
              </w:rPr>
            </w:pPr>
          </w:p>
        </w:tc>
        <w:tc>
          <w:tcPr>
            <w:tcW w:w="923"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微软雅黑" w:cs="Times New Roman"/>
                <w:i/>
                <w:iCs/>
                <w:color w:val="000000"/>
                <w:sz w:val="16"/>
                <w:szCs w:val="16"/>
                <w:u w:val="none"/>
              </w:rPr>
            </w:pPr>
          </w:p>
        </w:tc>
        <w:tc>
          <w:tcPr>
            <w:tcW w:w="91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微软雅黑" w:cs="Times New Roman"/>
                <w:i/>
                <w:iCs/>
                <w:color w:val="000000"/>
                <w:sz w:val="16"/>
                <w:szCs w:val="16"/>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微软雅黑" w:cs="Times New Roman"/>
                <w:i/>
                <w:iCs/>
                <w:color w:val="000000"/>
                <w:sz w:val="16"/>
                <w:szCs w:val="16"/>
                <w:u w:val="none"/>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9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default" w:ascii="Times New Roman" w:hAnsi="Times New Roman" w:eastAsia="黑体" w:cs="Times New Roman"/>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396" w:hRule="atLeast"/>
          <w:jc w:val="center"/>
        </w:trPr>
        <w:tc>
          <w:tcPr>
            <w:tcW w:w="31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绩效指标（90分）</w:t>
            </w: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一级指标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二级指标</w:t>
            </w:r>
          </w:p>
        </w:tc>
        <w:tc>
          <w:tcPr>
            <w:tcW w:w="9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三级指标</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指标性质</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指标值</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度量单位</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完成值</w:t>
            </w: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权重</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得分</w:t>
            </w:r>
          </w:p>
        </w:tc>
        <w:tc>
          <w:tcPr>
            <w:tcW w:w="9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396" w:hRule="atLeast"/>
          <w:jc w:val="center"/>
        </w:trPr>
        <w:tc>
          <w:tcPr>
            <w:tcW w:w="3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宋体" w:cs="Times New Roman"/>
                <w:i w:val="0"/>
                <w:iCs w:val="0"/>
                <w:color w:val="000000"/>
                <w:sz w:val="18"/>
                <w:szCs w:val="18"/>
                <w:u w:val="none"/>
              </w:rPr>
            </w:pPr>
          </w:p>
        </w:tc>
        <w:tc>
          <w:tcPr>
            <w:tcW w:w="5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产出指标</w:t>
            </w:r>
          </w:p>
        </w:tc>
        <w:tc>
          <w:tcPr>
            <w:tcW w:w="4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数量指标</w:t>
            </w:r>
          </w:p>
        </w:tc>
        <w:tc>
          <w:tcPr>
            <w:tcW w:w="9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完成课题数</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14</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篇（部）</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微软雅黑" w:cs="Times New Roman"/>
                <w:i/>
                <w:iCs/>
                <w:color w:val="000000"/>
                <w:sz w:val="16"/>
                <w:szCs w:val="16"/>
                <w:u w:val="none"/>
              </w:rPr>
            </w:pPr>
            <w:r>
              <w:rPr>
                <w:rFonts w:hint="default" w:ascii="Times New Roman" w:hAnsi="Times New Roman" w:eastAsia="微软雅黑" w:cs="Times New Roman"/>
                <w:i/>
                <w:iCs/>
                <w:color w:val="000000"/>
                <w:kern w:val="0"/>
                <w:sz w:val="16"/>
                <w:szCs w:val="16"/>
                <w:u w:val="none"/>
                <w:lang w:val="en-US" w:eastAsia="zh-CN" w:bidi="ar"/>
              </w:rPr>
              <w:t>14</w:t>
            </w: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95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微软雅黑" w:cs="Times New Roman"/>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396" w:hRule="atLeast"/>
          <w:jc w:val="center"/>
        </w:trPr>
        <w:tc>
          <w:tcPr>
            <w:tcW w:w="3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宋体" w:cs="Times New Roman"/>
                <w:i w:val="0"/>
                <w:iCs w:val="0"/>
                <w:color w:val="000000"/>
                <w:sz w:val="18"/>
                <w:szCs w:val="18"/>
                <w:u w:val="none"/>
              </w:rPr>
            </w:pPr>
          </w:p>
        </w:tc>
        <w:tc>
          <w:tcPr>
            <w:tcW w:w="5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宋体" w:cs="Times New Roman"/>
                <w:i w:val="0"/>
                <w:iCs w:val="0"/>
                <w:color w:val="000000"/>
                <w:sz w:val="18"/>
                <w:szCs w:val="18"/>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宋体" w:cs="Times New Roman"/>
                <w:i w:val="0"/>
                <w:iCs w:val="0"/>
                <w:color w:val="000000"/>
                <w:sz w:val="18"/>
                <w:szCs w:val="18"/>
                <w:u w:val="none"/>
              </w:rPr>
            </w:pPr>
          </w:p>
        </w:tc>
        <w:tc>
          <w:tcPr>
            <w:tcW w:w="9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结题报告数量</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14</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篇（部）</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微软雅黑" w:cs="Times New Roman"/>
                <w:i/>
                <w:iCs/>
                <w:color w:val="000000"/>
                <w:sz w:val="16"/>
                <w:szCs w:val="16"/>
                <w:u w:val="none"/>
              </w:rPr>
            </w:pPr>
            <w:r>
              <w:rPr>
                <w:rFonts w:hint="default" w:ascii="Times New Roman" w:hAnsi="Times New Roman" w:eastAsia="微软雅黑" w:cs="Times New Roman"/>
                <w:i/>
                <w:iCs/>
                <w:color w:val="000000"/>
                <w:kern w:val="0"/>
                <w:sz w:val="16"/>
                <w:szCs w:val="16"/>
                <w:u w:val="none"/>
                <w:lang w:val="en-US" w:eastAsia="zh-CN" w:bidi="ar"/>
              </w:rPr>
              <w:t>14</w:t>
            </w: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95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微软雅黑" w:cs="Times New Roman"/>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396" w:hRule="atLeast"/>
          <w:jc w:val="center"/>
        </w:trPr>
        <w:tc>
          <w:tcPr>
            <w:tcW w:w="3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宋体" w:cs="Times New Roman"/>
                <w:i w:val="0"/>
                <w:iCs w:val="0"/>
                <w:color w:val="000000"/>
                <w:sz w:val="18"/>
                <w:szCs w:val="18"/>
                <w:u w:val="none"/>
              </w:rPr>
            </w:pPr>
          </w:p>
        </w:tc>
        <w:tc>
          <w:tcPr>
            <w:tcW w:w="5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宋体" w:cs="Times New Roman"/>
                <w:i w:val="0"/>
                <w:iCs w:val="0"/>
                <w:color w:val="000000"/>
                <w:sz w:val="18"/>
                <w:szCs w:val="18"/>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宋体" w:cs="Times New Roman"/>
                <w:i w:val="0"/>
                <w:iCs w:val="0"/>
                <w:color w:val="000000"/>
                <w:sz w:val="18"/>
                <w:szCs w:val="18"/>
                <w:u w:val="none"/>
              </w:rPr>
            </w:pPr>
          </w:p>
        </w:tc>
        <w:tc>
          <w:tcPr>
            <w:tcW w:w="9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研究报告公开发表</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篇（部）</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微软雅黑" w:cs="Times New Roman"/>
                <w:i/>
                <w:iCs/>
                <w:color w:val="000000"/>
                <w:sz w:val="16"/>
                <w:szCs w:val="16"/>
                <w:u w:val="none"/>
              </w:rPr>
            </w:pPr>
            <w:r>
              <w:rPr>
                <w:rFonts w:hint="default" w:ascii="Times New Roman" w:hAnsi="Times New Roman" w:eastAsia="微软雅黑" w:cs="Times New Roman"/>
                <w:i/>
                <w:iCs/>
                <w:color w:val="000000"/>
                <w:kern w:val="0"/>
                <w:sz w:val="16"/>
                <w:szCs w:val="16"/>
                <w:u w:val="none"/>
                <w:lang w:val="en-US" w:eastAsia="zh-CN" w:bidi="ar"/>
              </w:rPr>
              <w:t>7</w:t>
            </w: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95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微软雅黑" w:cs="Times New Roman"/>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301" w:hRule="atLeast"/>
          <w:jc w:val="center"/>
        </w:trPr>
        <w:tc>
          <w:tcPr>
            <w:tcW w:w="3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宋体" w:cs="Times New Roman"/>
                <w:i w:val="0"/>
                <w:iCs w:val="0"/>
                <w:color w:val="000000"/>
                <w:sz w:val="18"/>
                <w:szCs w:val="18"/>
                <w:u w:val="none"/>
              </w:rPr>
            </w:pPr>
          </w:p>
        </w:tc>
        <w:tc>
          <w:tcPr>
            <w:tcW w:w="5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宋体" w:cs="Times New Roman"/>
                <w:i w:val="0"/>
                <w:iCs w:val="0"/>
                <w:color w:val="000000"/>
                <w:sz w:val="18"/>
                <w:szCs w:val="18"/>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质量指标</w:t>
            </w:r>
          </w:p>
        </w:tc>
        <w:tc>
          <w:tcPr>
            <w:tcW w:w="9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结题验收通过率</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微软雅黑" w:cs="Times New Roman"/>
                <w:i/>
                <w:iCs/>
                <w:color w:val="000000"/>
                <w:sz w:val="16"/>
                <w:szCs w:val="16"/>
                <w:u w:val="none"/>
              </w:rPr>
            </w:pPr>
            <w:r>
              <w:rPr>
                <w:rFonts w:hint="default" w:ascii="Times New Roman" w:hAnsi="Times New Roman" w:eastAsia="微软雅黑" w:cs="Times New Roman"/>
                <w:i/>
                <w:iCs/>
                <w:color w:val="000000"/>
                <w:kern w:val="0"/>
                <w:sz w:val="16"/>
                <w:szCs w:val="16"/>
                <w:u w:val="none"/>
                <w:lang w:val="en-US" w:eastAsia="zh-CN" w:bidi="ar"/>
              </w:rPr>
              <w:t>100</w:t>
            </w: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95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微软雅黑" w:cs="Times New Roman"/>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396" w:hRule="atLeast"/>
          <w:jc w:val="center"/>
        </w:trPr>
        <w:tc>
          <w:tcPr>
            <w:tcW w:w="3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宋体" w:cs="Times New Roman"/>
                <w:i w:val="0"/>
                <w:iCs w:val="0"/>
                <w:color w:val="000000"/>
                <w:sz w:val="18"/>
                <w:szCs w:val="18"/>
                <w:u w:val="none"/>
              </w:rPr>
            </w:pPr>
          </w:p>
        </w:tc>
        <w:tc>
          <w:tcPr>
            <w:tcW w:w="5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宋体" w:cs="Times New Roman"/>
                <w:i w:val="0"/>
                <w:iCs w:val="0"/>
                <w:color w:val="000000"/>
                <w:sz w:val="18"/>
                <w:szCs w:val="18"/>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时效指标</w:t>
            </w:r>
          </w:p>
        </w:tc>
        <w:tc>
          <w:tcPr>
            <w:tcW w:w="9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研究课题按时结题率</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微软雅黑" w:cs="Times New Roman"/>
                <w:i/>
                <w:iCs/>
                <w:color w:val="000000"/>
                <w:sz w:val="16"/>
                <w:szCs w:val="16"/>
                <w:u w:val="none"/>
              </w:rPr>
            </w:pPr>
            <w:r>
              <w:rPr>
                <w:rFonts w:hint="default" w:ascii="Times New Roman" w:hAnsi="Times New Roman" w:eastAsia="微软雅黑" w:cs="Times New Roman"/>
                <w:i/>
                <w:iCs/>
                <w:color w:val="000000"/>
                <w:kern w:val="0"/>
                <w:sz w:val="16"/>
                <w:szCs w:val="16"/>
                <w:u w:val="none"/>
                <w:lang w:val="en-US" w:eastAsia="zh-CN" w:bidi="ar"/>
              </w:rPr>
              <w:t>100</w:t>
            </w: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95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微软雅黑" w:cs="Times New Roman"/>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396" w:hRule="atLeast"/>
          <w:jc w:val="center"/>
        </w:trPr>
        <w:tc>
          <w:tcPr>
            <w:tcW w:w="3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宋体" w:cs="Times New Roman"/>
                <w:i w:val="0"/>
                <w:iCs w:val="0"/>
                <w:color w:val="000000"/>
                <w:sz w:val="18"/>
                <w:szCs w:val="18"/>
                <w:u w:val="none"/>
              </w:rPr>
            </w:pP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效益指标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社会效益指标</w:t>
            </w:r>
          </w:p>
        </w:tc>
        <w:tc>
          <w:tcPr>
            <w:tcW w:w="9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培养年轻科研人员</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50</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人次</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微软雅黑" w:cs="Times New Roman"/>
                <w:i/>
                <w:iCs/>
                <w:color w:val="000000"/>
                <w:sz w:val="16"/>
                <w:szCs w:val="16"/>
                <w:u w:val="none"/>
              </w:rPr>
            </w:pPr>
            <w:r>
              <w:rPr>
                <w:rFonts w:hint="default" w:ascii="Times New Roman" w:hAnsi="Times New Roman" w:eastAsia="微软雅黑" w:cs="Times New Roman"/>
                <w:i/>
                <w:iCs/>
                <w:color w:val="000000"/>
                <w:kern w:val="0"/>
                <w:sz w:val="16"/>
                <w:szCs w:val="16"/>
                <w:u w:val="none"/>
                <w:lang w:val="en-US" w:eastAsia="zh-CN" w:bidi="ar"/>
              </w:rPr>
              <w:t>50</w:t>
            </w: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40</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40</w:t>
            </w:r>
          </w:p>
        </w:tc>
        <w:tc>
          <w:tcPr>
            <w:tcW w:w="95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微软雅黑" w:cs="Times New Roman"/>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281" w:hRule="atLeast"/>
          <w:jc w:val="center"/>
        </w:trPr>
        <w:tc>
          <w:tcPr>
            <w:tcW w:w="350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合计</w:t>
            </w: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96</w:t>
            </w:r>
          </w:p>
        </w:tc>
        <w:tc>
          <w:tcPr>
            <w:tcW w:w="95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396" w:hRule="atLeast"/>
          <w:jc w:val="center"/>
        </w:trPr>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评价结论</w:t>
            </w:r>
          </w:p>
        </w:tc>
        <w:tc>
          <w:tcPr>
            <w:tcW w:w="468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微软雅黑" w:cs="Times New Roman"/>
                <w:i/>
                <w:iCs/>
                <w:color w:val="000000"/>
                <w:sz w:val="16"/>
                <w:szCs w:val="16"/>
                <w:u w:val="none"/>
              </w:rPr>
            </w:pPr>
            <w:r>
              <w:rPr>
                <w:rFonts w:hint="default" w:ascii="Times New Roman" w:hAnsi="Times New Roman" w:eastAsia="微软雅黑" w:cs="Times New Roman"/>
                <w:i/>
                <w:iCs/>
                <w:color w:val="000000"/>
                <w:kern w:val="0"/>
                <w:sz w:val="16"/>
                <w:szCs w:val="16"/>
                <w:u w:val="none"/>
                <w:lang w:val="en-US" w:eastAsia="zh-CN" w:bidi="ar"/>
              </w:rPr>
              <w:t>已完成项目目标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396" w:hRule="atLeast"/>
          <w:jc w:val="center"/>
        </w:trPr>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存在问题</w:t>
            </w:r>
          </w:p>
        </w:tc>
        <w:tc>
          <w:tcPr>
            <w:tcW w:w="468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微软雅黑" w:cs="Times New Roman"/>
                <w:i/>
                <w:iCs/>
                <w:color w:val="000000"/>
                <w:sz w:val="16"/>
                <w:szCs w:val="16"/>
                <w:u w:val="none"/>
              </w:rPr>
            </w:pPr>
            <w:r>
              <w:rPr>
                <w:rFonts w:hint="default" w:ascii="Times New Roman" w:hAnsi="Times New Roman" w:eastAsia="微软雅黑" w:cs="Times New Roman"/>
                <w:i/>
                <w:iCs/>
                <w:color w:val="000000"/>
                <w:kern w:val="0"/>
                <w:sz w:val="16"/>
                <w:szCs w:val="16"/>
                <w:u w:val="none"/>
                <w:lang w:val="en-US" w:eastAsia="zh-CN" w:bidi="ar"/>
              </w:rPr>
              <w:t>资金执行进度较慢，执行率较低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396" w:hRule="atLeast"/>
          <w:jc w:val="center"/>
        </w:trPr>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改进措施</w:t>
            </w:r>
          </w:p>
        </w:tc>
        <w:tc>
          <w:tcPr>
            <w:tcW w:w="468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微软雅黑" w:cs="Times New Roman"/>
                <w:i/>
                <w:iCs/>
                <w:color w:val="000000"/>
                <w:sz w:val="16"/>
                <w:szCs w:val="16"/>
                <w:u w:val="none"/>
              </w:rPr>
            </w:pPr>
            <w:r>
              <w:rPr>
                <w:rFonts w:hint="default" w:ascii="Times New Roman" w:hAnsi="Times New Roman" w:eastAsia="微软雅黑" w:cs="Times New Roman"/>
                <w:i/>
                <w:iCs/>
                <w:color w:val="000000"/>
                <w:kern w:val="0"/>
                <w:sz w:val="16"/>
                <w:szCs w:val="16"/>
                <w:u w:val="none"/>
                <w:lang w:val="en-US" w:eastAsia="zh-CN" w:bidi="ar"/>
              </w:rPr>
              <w:t>应加强资金使用方面的管理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303" w:hRule="atLeast"/>
          <w:jc w:val="center"/>
        </w:trPr>
        <w:tc>
          <w:tcPr>
            <w:tcW w:w="249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黑体" w:cs="Times New Roman"/>
                <w:i w:val="0"/>
                <w:iCs w:val="0"/>
                <w:color w:val="000000"/>
                <w:sz w:val="18"/>
                <w:szCs w:val="18"/>
                <w:u w:val="none"/>
              </w:rPr>
            </w:pPr>
            <w:r>
              <w:rPr>
                <w:rFonts w:hint="default" w:ascii="Times New Roman" w:hAnsi="Times New Roman" w:eastAsia="黑体" w:cs="Times New Roman"/>
                <w:i w:val="0"/>
                <w:iCs w:val="0"/>
                <w:color w:val="000000"/>
                <w:kern w:val="0"/>
                <w:sz w:val="18"/>
                <w:szCs w:val="18"/>
                <w:u w:val="none"/>
                <w:lang w:val="en-US" w:eastAsia="zh-CN" w:bidi="ar"/>
              </w:rPr>
              <w:t>项目负责人：张允玲</w:t>
            </w:r>
          </w:p>
        </w:tc>
        <w:tc>
          <w:tcPr>
            <w:tcW w:w="250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黑体" w:cs="Times New Roman"/>
                <w:i w:val="0"/>
                <w:iCs w:val="0"/>
                <w:color w:val="000000"/>
                <w:sz w:val="18"/>
                <w:szCs w:val="18"/>
                <w:u w:val="none"/>
              </w:rPr>
            </w:pPr>
            <w:r>
              <w:rPr>
                <w:rFonts w:hint="default" w:ascii="Times New Roman" w:hAnsi="Times New Roman" w:eastAsia="黑体" w:cs="Times New Roman"/>
                <w:i w:val="0"/>
                <w:iCs w:val="0"/>
                <w:color w:val="000000"/>
                <w:kern w:val="0"/>
                <w:sz w:val="18"/>
                <w:szCs w:val="18"/>
                <w:u w:val="none"/>
                <w:lang w:val="en-US" w:eastAsia="zh-CN" w:bidi="ar"/>
              </w:rPr>
              <w:t>财务负责人：卢萍</w:t>
            </w:r>
          </w:p>
        </w:tc>
      </w:tr>
    </w:tbl>
    <w:p>
      <w:pPr>
        <w:keepNext w:val="0"/>
        <w:keepLines w:val="0"/>
        <w:widowControl/>
        <w:suppressLineNumbers w:val="0"/>
        <w:snapToGrid w:val="0"/>
        <w:jc w:val="center"/>
        <w:textAlignment w:val="center"/>
        <w:rPr>
          <w:rFonts w:hint="default" w:ascii="Times New Roman" w:hAnsi="Times New Roman" w:eastAsia="黑体" w:cs="Times New Roman"/>
          <w:b/>
          <w:bCs/>
          <w:i w:val="0"/>
          <w:iCs w:val="0"/>
          <w:color w:val="000000"/>
          <w:kern w:val="0"/>
          <w:sz w:val="30"/>
          <w:szCs w:val="30"/>
          <w:u w:val="none"/>
          <w:lang w:val="en-US" w:eastAsia="zh-CN" w:bidi="ar"/>
        </w:rPr>
      </w:pPr>
      <w:r>
        <w:rPr>
          <w:rFonts w:hint="default" w:ascii="Times New Roman" w:hAnsi="Times New Roman" w:eastAsia="黑体" w:cs="Times New Roman"/>
          <w:b/>
          <w:bCs/>
          <w:i w:val="0"/>
          <w:iCs w:val="0"/>
          <w:color w:val="000000"/>
          <w:kern w:val="0"/>
          <w:sz w:val="30"/>
          <w:szCs w:val="30"/>
          <w:u w:val="none"/>
          <w:lang w:val="en-US" w:eastAsia="zh-CN" w:bidi="ar"/>
        </w:rPr>
        <w:br w:type="page"/>
      </w:r>
    </w:p>
    <w:tbl>
      <w:tblPr>
        <w:tblStyle w:val="14"/>
        <w:tblW w:w="520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32" w:type="dxa"/>
          <w:left w:w="64" w:type="dxa"/>
          <w:bottom w:w="32" w:type="dxa"/>
          <w:right w:w="64" w:type="dxa"/>
        </w:tblCellMar>
      </w:tblPr>
      <w:tblGrid>
        <w:gridCol w:w="582"/>
        <w:gridCol w:w="933"/>
        <w:gridCol w:w="858"/>
        <w:gridCol w:w="1713"/>
        <w:gridCol w:w="546"/>
        <w:gridCol w:w="158"/>
        <w:gridCol w:w="448"/>
        <w:gridCol w:w="545"/>
        <w:gridCol w:w="728"/>
        <w:gridCol w:w="515"/>
        <w:gridCol w:w="590"/>
        <w:gridCol w:w="17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黑体" w:cs="Times New Roman"/>
                <w:b/>
                <w:bCs/>
                <w:i w:val="0"/>
                <w:iCs w:val="0"/>
                <w:color w:val="000000"/>
                <w:sz w:val="30"/>
                <w:szCs w:val="30"/>
                <w:u w:val="none"/>
              </w:rPr>
            </w:pPr>
            <w:r>
              <w:rPr>
                <w:rFonts w:hint="default" w:ascii="Times New Roman" w:hAnsi="Times New Roman" w:eastAsia="黑体" w:cs="Times New Roman"/>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8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项目名称</w:t>
            </w:r>
          </w:p>
        </w:tc>
        <w:tc>
          <w:tcPr>
            <w:tcW w:w="418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51000024T000012043745-2024年信息网络设备购置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主管部门</w:t>
            </w:r>
          </w:p>
        </w:tc>
        <w:tc>
          <w:tcPr>
            <w:tcW w:w="17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四川省经济和信息化厅部门</w:t>
            </w:r>
          </w:p>
        </w:tc>
        <w:tc>
          <w:tcPr>
            <w:tcW w:w="921" w:type="pct"/>
            <w:gridSpan w:val="3"/>
            <w:tcBorders>
              <w:top w:val="nil"/>
              <w:left w:val="nil"/>
              <w:bottom w:val="nil"/>
              <w:right w:val="nil"/>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黑体" w:cs="Times New Roman"/>
                <w:i w:val="0"/>
                <w:iCs w:val="0"/>
                <w:color w:val="000000"/>
                <w:sz w:val="18"/>
                <w:szCs w:val="18"/>
                <w:u w:val="none"/>
              </w:rPr>
            </w:pPr>
            <w:r>
              <w:rPr>
                <w:rFonts w:hint="default" w:ascii="Times New Roman" w:hAnsi="Times New Roman" w:eastAsia="黑体" w:cs="Times New Roman"/>
                <w:i w:val="0"/>
                <w:iCs w:val="0"/>
                <w:color w:val="000000"/>
                <w:kern w:val="0"/>
                <w:sz w:val="18"/>
                <w:szCs w:val="18"/>
                <w:u w:val="none"/>
                <w:lang w:val="en-US" w:eastAsia="zh-CN" w:bidi="ar"/>
              </w:rPr>
              <w:t>实施单位 （盖章）</w:t>
            </w:r>
          </w:p>
        </w:tc>
        <w:tc>
          <w:tcPr>
            <w:tcW w:w="15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四川省工业和信息化研究院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项目基本情况</w:t>
            </w:r>
          </w:p>
        </w:tc>
        <w:tc>
          <w:tcPr>
            <w:tcW w:w="4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1.项目年度目标完成情况</w:t>
            </w:r>
          </w:p>
        </w:tc>
        <w:tc>
          <w:tcPr>
            <w:tcW w:w="228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项目年度目标</w:t>
            </w:r>
          </w:p>
        </w:tc>
        <w:tc>
          <w:tcPr>
            <w:tcW w:w="190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黑体" w:cs="Times New Roman"/>
                <w:i w:val="0"/>
                <w:iCs w:val="0"/>
                <w:color w:val="000000"/>
                <w:sz w:val="18"/>
                <w:szCs w:val="18"/>
                <w:u w:val="none"/>
              </w:rPr>
            </w:pPr>
            <w:r>
              <w:rPr>
                <w:rFonts w:hint="default" w:ascii="Times New Roman" w:hAnsi="Times New Roman" w:eastAsia="黑体" w:cs="Times New Roman"/>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default" w:ascii="Times New Roman" w:hAnsi="Times New Roman" w:eastAsia="宋体" w:cs="Times New Roman"/>
                <w:i w:val="0"/>
                <w:iCs w:val="0"/>
                <w:color w:val="000000"/>
                <w:sz w:val="18"/>
                <w:szCs w:val="18"/>
                <w:u w:val="none"/>
              </w:rPr>
            </w:pPr>
          </w:p>
        </w:tc>
        <w:tc>
          <w:tcPr>
            <w:tcW w:w="4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default" w:ascii="Times New Roman" w:hAnsi="Times New Roman" w:eastAsia="宋体" w:cs="Times New Roman"/>
                <w:i w:val="0"/>
                <w:iCs w:val="0"/>
                <w:color w:val="000000"/>
                <w:sz w:val="18"/>
                <w:szCs w:val="18"/>
                <w:u w:val="none"/>
              </w:rPr>
            </w:pPr>
          </w:p>
        </w:tc>
        <w:tc>
          <w:tcPr>
            <w:tcW w:w="228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通过相关科研工作硬件设施的购买使用，有益于业务基础调研工作开展，可有效缩短课题研究周期，提高科研工作效率。</w:t>
            </w:r>
          </w:p>
        </w:tc>
        <w:tc>
          <w:tcPr>
            <w:tcW w:w="190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已按照任务书目标购置17台台式计算机、5台多功能一体机、10台智能办公本，完成一批老旧科研工作设备更换，有效提高工作效率，缩短课题研究周期，有益于工作开展。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default" w:ascii="Times New Roman" w:hAnsi="Times New Roman" w:eastAsia="宋体" w:cs="Times New Roman"/>
                <w:i w:val="0"/>
                <w:iCs w:val="0"/>
                <w:color w:val="000000"/>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2.项目实施内容及过程概述</w:t>
            </w:r>
          </w:p>
        </w:tc>
        <w:tc>
          <w:tcPr>
            <w:tcW w:w="418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严格按照政府采购相关要求和规定，采用框架协议合同授予方式完成17台台式计算机、5台多功能一体机、1台便携式计算机政府采购工作，按照单位内部采购管理办法完成智能办公本采购，均已收货进行验收并支付货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预算执行情况（10分）</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jc w:val="center"/>
              <w:textAlignment w:val="center"/>
              <w:rPr>
                <w:rFonts w:hint="default" w:ascii="Times New Roman" w:hAnsi="Times New Roman" w:eastAsia="宋体" w:cs="Times New Roman"/>
                <w:i w:val="0"/>
                <w:iCs w:val="0"/>
                <w:color w:val="000000"/>
                <w:sz w:val="18"/>
                <w:szCs w:val="18"/>
                <w:u w:val="none"/>
                <w:lang w:val="en-US"/>
              </w:rPr>
            </w:pPr>
            <w:r>
              <w:rPr>
                <w:rFonts w:hint="default" w:ascii="Times New Roman" w:hAnsi="Times New Roman" w:eastAsia="宋体" w:cs="Times New Roman"/>
                <w:i w:val="0"/>
                <w:iCs w:val="0"/>
                <w:color w:val="000000"/>
                <w:kern w:val="0"/>
                <w:sz w:val="18"/>
                <w:szCs w:val="18"/>
                <w:u w:val="none"/>
                <w:lang w:val="en-US" w:eastAsia="zh-CN" w:bidi="ar"/>
              </w:rPr>
              <w:t>年度预算数(万元)</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年初预算</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调整后预算数</w:t>
            </w:r>
          </w:p>
        </w:tc>
        <w:tc>
          <w:tcPr>
            <w:tcW w:w="9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预算执行数</w:t>
            </w: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预算执行率</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权重</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得分</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宋体" w:cs="Times New Roman"/>
                <w:i w:val="0"/>
                <w:iCs w:val="0"/>
                <w:color w:val="000000"/>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总额</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16.00</w:t>
            </w:r>
          </w:p>
        </w:tc>
        <w:tc>
          <w:tcPr>
            <w:tcW w:w="9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15.94</w:t>
            </w: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99.61%</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9.9</w:t>
            </w:r>
          </w:p>
        </w:tc>
        <w:tc>
          <w:tcPr>
            <w:tcW w:w="9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黑体" w:cs="Times New Roman"/>
                <w:i/>
                <w:iCs/>
                <w:color w:val="000000"/>
                <w:sz w:val="18"/>
                <w:szCs w:val="18"/>
                <w:u w:val="none"/>
              </w:rPr>
            </w:pPr>
            <w:r>
              <w:rPr>
                <w:rFonts w:hint="default" w:ascii="Times New Roman" w:hAnsi="Times New Roman" w:eastAsia="黑体" w:cs="Times New Roman"/>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宋体" w:cs="Times New Roman"/>
                <w:i w:val="0"/>
                <w:iCs w:val="0"/>
                <w:color w:val="000000"/>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其中：财政资金</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16.00</w:t>
            </w:r>
          </w:p>
        </w:tc>
        <w:tc>
          <w:tcPr>
            <w:tcW w:w="9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15.94</w:t>
            </w: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99.61%</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9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default" w:ascii="Times New Roman" w:hAnsi="Times New Roman" w:eastAsia="黑体" w:cs="Times New Roman"/>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宋体" w:cs="Times New Roman"/>
                <w:i w:val="0"/>
                <w:iCs w:val="0"/>
                <w:color w:val="000000"/>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财政专户管理资金</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9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9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default" w:ascii="Times New Roman" w:hAnsi="Times New Roman" w:eastAsia="黑体" w:cs="Times New Roman"/>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宋体" w:cs="Times New Roman"/>
                <w:i w:val="0"/>
                <w:iCs w:val="0"/>
                <w:color w:val="000000"/>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单位资金</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9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9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default" w:ascii="Times New Roman" w:hAnsi="Times New Roman" w:eastAsia="黑体" w:cs="Times New Roman"/>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宋体" w:cs="Times New Roman"/>
                <w:i w:val="0"/>
                <w:iCs w:val="0"/>
                <w:color w:val="000000"/>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其他资金</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微软雅黑" w:cs="Times New Roman"/>
                <w:i/>
                <w:iCs/>
                <w:color w:val="000000"/>
                <w:sz w:val="16"/>
                <w:szCs w:val="16"/>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微软雅黑" w:cs="Times New Roman"/>
                <w:i/>
                <w:iCs/>
                <w:color w:val="000000"/>
                <w:sz w:val="16"/>
                <w:szCs w:val="16"/>
                <w:u w:val="none"/>
              </w:rPr>
            </w:pPr>
          </w:p>
        </w:tc>
        <w:tc>
          <w:tcPr>
            <w:tcW w:w="9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微软雅黑" w:cs="Times New Roman"/>
                <w:i/>
                <w:iCs/>
                <w:color w:val="000000"/>
                <w:sz w:val="16"/>
                <w:szCs w:val="16"/>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微软雅黑" w:cs="Times New Roman"/>
                <w:i/>
                <w:iCs/>
                <w:color w:val="000000"/>
                <w:sz w:val="16"/>
                <w:szCs w:val="16"/>
                <w:u w:val="none"/>
              </w:rPr>
            </w:pP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9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default" w:ascii="Times New Roman" w:hAnsi="Times New Roman" w:eastAsia="黑体" w:cs="Times New Roman"/>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绩效指标（90分）</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一级指标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二级指标</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三级指标</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指标性质</w:t>
            </w:r>
          </w:p>
        </w:tc>
        <w:tc>
          <w:tcPr>
            <w:tcW w:w="3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指标值</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度量单位</w:t>
            </w: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完成值</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权重</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得分</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宋体" w:cs="Times New Roman"/>
                <w:i w:val="0"/>
                <w:iCs w:val="0"/>
                <w:color w:val="000000"/>
                <w:sz w:val="18"/>
                <w:szCs w:val="18"/>
                <w:u w:val="none"/>
              </w:rPr>
            </w:pPr>
          </w:p>
        </w:tc>
        <w:tc>
          <w:tcPr>
            <w:tcW w:w="4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产出指标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数量指标</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购买17台台式计算机、5台多功能一体机、9台智能办公本、1台便携式计算机</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3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台</w:t>
            </w: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微软雅黑" w:cs="Times New Roman"/>
                <w:i/>
                <w:iCs/>
                <w:color w:val="000000"/>
                <w:sz w:val="16"/>
                <w:szCs w:val="16"/>
                <w:u w:val="none"/>
              </w:rPr>
            </w:pPr>
            <w:r>
              <w:rPr>
                <w:rFonts w:hint="default" w:ascii="Times New Roman" w:hAnsi="Times New Roman" w:eastAsia="微软雅黑" w:cs="Times New Roman"/>
                <w:i/>
                <w:iCs/>
                <w:color w:val="000000"/>
                <w:kern w:val="0"/>
                <w:sz w:val="16"/>
                <w:szCs w:val="16"/>
                <w:u w:val="none"/>
                <w:lang w:val="en-US" w:eastAsia="zh-CN" w:bidi="ar"/>
              </w:rPr>
              <w:t>32</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30</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30</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微软雅黑" w:cs="Times New Roman"/>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宋体" w:cs="Times New Roman"/>
                <w:i w:val="0"/>
                <w:iCs w:val="0"/>
                <w:color w:val="000000"/>
                <w:sz w:val="18"/>
                <w:szCs w:val="18"/>
                <w:u w:val="none"/>
              </w:rPr>
            </w:pPr>
          </w:p>
        </w:tc>
        <w:tc>
          <w:tcPr>
            <w:tcW w:w="4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宋体" w:cs="Times New Roman"/>
                <w:i w:val="0"/>
                <w:iCs w:val="0"/>
                <w:color w:val="000000"/>
                <w:sz w:val="18"/>
                <w:szCs w:val="18"/>
                <w:u w:val="none"/>
              </w:rPr>
            </w:pP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质量指标</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设备故障率</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3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微软雅黑" w:cs="Times New Roman"/>
                <w:i/>
                <w:iCs/>
                <w:color w:val="000000"/>
                <w:sz w:val="16"/>
                <w:szCs w:val="16"/>
                <w:u w:val="none"/>
              </w:rPr>
            </w:pPr>
            <w:r>
              <w:rPr>
                <w:rFonts w:hint="default" w:ascii="Times New Roman" w:hAnsi="Times New Roman" w:eastAsia="微软雅黑" w:cs="Times New Roman"/>
                <w:i/>
                <w:iCs/>
                <w:color w:val="000000"/>
                <w:kern w:val="0"/>
                <w:sz w:val="16"/>
                <w:szCs w:val="16"/>
                <w:u w:val="none"/>
                <w:lang w:val="en-US" w:eastAsia="zh-CN" w:bidi="ar"/>
              </w:rPr>
              <w:t>0</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微软雅黑" w:cs="Times New Roman"/>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宋体" w:cs="Times New Roman"/>
                <w:i w:val="0"/>
                <w:iCs w:val="0"/>
                <w:color w:val="000000"/>
                <w:sz w:val="18"/>
                <w:szCs w:val="18"/>
                <w:u w:val="none"/>
              </w:rPr>
            </w:pPr>
          </w:p>
        </w:tc>
        <w:tc>
          <w:tcPr>
            <w:tcW w:w="4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宋体" w:cs="Times New Roman"/>
                <w:i w:val="0"/>
                <w:iCs w:val="0"/>
                <w:color w:val="000000"/>
                <w:sz w:val="18"/>
                <w:szCs w:val="18"/>
                <w:u w:val="none"/>
              </w:rPr>
            </w:pP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时效指标</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采购按时完成率</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3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微软雅黑" w:cs="Times New Roman"/>
                <w:i/>
                <w:iCs/>
                <w:color w:val="000000"/>
                <w:sz w:val="16"/>
                <w:szCs w:val="16"/>
                <w:u w:val="none"/>
              </w:rPr>
            </w:pPr>
            <w:r>
              <w:rPr>
                <w:rFonts w:hint="default" w:ascii="Times New Roman" w:hAnsi="Times New Roman" w:eastAsia="微软雅黑" w:cs="Times New Roman"/>
                <w:i/>
                <w:iCs/>
                <w:color w:val="000000"/>
                <w:kern w:val="0"/>
                <w:sz w:val="16"/>
                <w:szCs w:val="16"/>
                <w:u w:val="none"/>
                <w:lang w:val="en-US" w:eastAsia="zh-CN" w:bidi="ar"/>
              </w:rPr>
              <w:t>100</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微软雅黑" w:cs="Times New Roman"/>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宋体" w:cs="Times New Roman"/>
                <w:i w:val="0"/>
                <w:iCs w:val="0"/>
                <w:color w:val="000000"/>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效益指标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经济效益指标</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使用新购办公设备、加快科研工作效率</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定性</w:t>
            </w:r>
          </w:p>
        </w:tc>
        <w:tc>
          <w:tcPr>
            <w:tcW w:w="3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良</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宋体" w:cs="Times New Roman"/>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微软雅黑" w:cs="Times New Roman"/>
                <w:i/>
                <w:iCs/>
                <w:color w:val="000000"/>
                <w:sz w:val="16"/>
                <w:szCs w:val="16"/>
                <w:u w:val="none"/>
              </w:rPr>
            </w:pPr>
            <w:r>
              <w:rPr>
                <w:rFonts w:hint="default" w:ascii="Times New Roman" w:hAnsi="Times New Roman" w:eastAsia="微软雅黑" w:cs="Times New Roman"/>
                <w:i/>
                <w:iCs/>
                <w:color w:val="000000"/>
                <w:kern w:val="0"/>
                <w:sz w:val="16"/>
                <w:szCs w:val="16"/>
                <w:u w:val="none"/>
                <w:lang w:val="en-US" w:eastAsia="zh-CN" w:bidi="ar"/>
              </w:rPr>
              <w:t>良</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30</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30</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微软雅黑" w:cs="Times New Roman"/>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宋体" w:cs="Times New Roman"/>
                <w:i w:val="0"/>
                <w:iCs w:val="0"/>
                <w:color w:val="000000"/>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满意度指标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满意度指标</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科研工作人员对新购买办公设备满意程度</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定性</w:t>
            </w:r>
          </w:p>
        </w:tc>
        <w:tc>
          <w:tcPr>
            <w:tcW w:w="3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良</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宋体" w:cs="Times New Roman"/>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微软雅黑" w:cs="Times New Roman"/>
                <w:i/>
                <w:iCs/>
                <w:color w:val="000000"/>
                <w:sz w:val="16"/>
                <w:szCs w:val="16"/>
                <w:u w:val="none"/>
              </w:rPr>
            </w:pPr>
            <w:r>
              <w:rPr>
                <w:rFonts w:hint="default" w:ascii="Times New Roman" w:hAnsi="Times New Roman" w:eastAsia="微软雅黑" w:cs="Times New Roman"/>
                <w:i/>
                <w:iCs/>
                <w:color w:val="000000"/>
                <w:kern w:val="0"/>
                <w:sz w:val="16"/>
                <w:szCs w:val="16"/>
                <w:u w:val="none"/>
                <w:lang w:val="en-US" w:eastAsia="zh-CN" w:bidi="ar"/>
              </w:rPr>
              <w:t>良</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Times New Roman" w:hAnsi="Times New Roman" w:eastAsia="微软雅黑" w:cs="Times New Roman"/>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484"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合计</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99.9</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评价结论</w:t>
            </w:r>
          </w:p>
        </w:tc>
        <w:tc>
          <w:tcPr>
            <w:tcW w:w="4688"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已按照任务书目标购置17台台式计算机、5台多功能一体机、1台便携式计算机、9台智能办公本，新设备的购入使用，有效提高科研工作数据处理和文档打印速度，缩短课题研究周期，减少人力和时间成本，有效整体提升科研工作经济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存在问题</w:t>
            </w:r>
          </w:p>
        </w:tc>
        <w:tc>
          <w:tcPr>
            <w:tcW w:w="4688"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微软雅黑" w:cs="Times New Roman"/>
                <w:i/>
                <w:iCs/>
                <w:color w:val="000000"/>
                <w:sz w:val="16"/>
                <w:szCs w:val="16"/>
                <w:u w:val="none"/>
              </w:rPr>
            </w:pPr>
            <w:r>
              <w:rPr>
                <w:rFonts w:hint="default" w:ascii="Times New Roman" w:hAnsi="Times New Roman" w:eastAsia="微软雅黑" w:cs="Times New Roman"/>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改进措施</w:t>
            </w:r>
          </w:p>
        </w:tc>
        <w:tc>
          <w:tcPr>
            <w:tcW w:w="4688"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微软雅黑" w:cs="Times New Roman"/>
                <w:i/>
                <w:iCs/>
                <w:color w:val="000000"/>
                <w:sz w:val="16"/>
                <w:szCs w:val="16"/>
                <w:u w:val="none"/>
              </w:rPr>
            </w:pPr>
            <w:r>
              <w:rPr>
                <w:rFonts w:hint="default" w:ascii="Times New Roman" w:hAnsi="Times New Roman" w:eastAsia="微软雅黑" w:cs="Times New Roman"/>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47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黑体" w:cs="Times New Roman"/>
                <w:i w:val="0"/>
                <w:iCs w:val="0"/>
                <w:color w:val="000000"/>
                <w:sz w:val="18"/>
                <w:szCs w:val="18"/>
                <w:u w:val="none"/>
              </w:rPr>
            </w:pPr>
            <w:r>
              <w:rPr>
                <w:rFonts w:hint="default" w:ascii="Times New Roman" w:hAnsi="Times New Roman" w:eastAsia="黑体" w:cs="Times New Roman"/>
                <w:i w:val="0"/>
                <w:iCs w:val="0"/>
                <w:color w:val="000000"/>
                <w:kern w:val="0"/>
                <w:sz w:val="18"/>
                <w:szCs w:val="18"/>
                <w:u w:val="none"/>
                <w:lang w:val="en-US" w:eastAsia="zh-CN" w:bidi="ar"/>
              </w:rPr>
              <w:t>项目负责人：刘志利</w:t>
            </w:r>
          </w:p>
        </w:tc>
        <w:tc>
          <w:tcPr>
            <w:tcW w:w="252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Times New Roman" w:hAnsi="Times New Roman" w:eastAsia="黑体" w:cs="Times New Roman"/>
                <w:i w:val="0"/>
                <w:iCs w:val="0"/>
                <w:color w:val="000000"/>
                <w:sz w:val="18"/>
                <w:szCs w:val="18"/>
                <w:u w:val="none"/>
              </w:rPr>
            </w:pPr>
            <w:r>
              <w:rPr>
                <w:rFonts w:hint="default" w:ascii="Times New Roman" w:hAnsi="Times New Roman" w:eastAsia="黑体" w:cs="Times New Roman"/>
                <w:i w:val="0"/>
                <w:iCs w:val="0"/>
                <w:color w:val="000000"/>
                <w:kern w:val="0"/>
                <w:sz w:val="18"/>
                <w:szCs w:val="18"/>
                <w:u w:val="none"/>
                <w:lang w:val="en-US" w:eastAsia="zh-CN" w:bidi="ar"/>
              </w:rPr>
              <w:t>财务负责人：卢萍</w:t>
            </w:r>
          </w:p>
        </w:tc>
      </w:tr>
    </w:tbl>
    <w:p>
      <w:pPr>
        <w:keepNext w:val="0"/>
        <w:keepLines w:val="0"/>
        <w:widowControl/>
        <w:suppressLineNumbers w:val="0"/>
        <w:snapToGrid w:val="0"/>
        <w:jc w:val="center"/>
        <w:textAlignment w:val="center"/>
        <w:rPr>
          <w:rFonts w:hint="default" w:ascii="Times New Roman" w:hAnsi="Times New Roman" w:eastAsia="黑体" w:cs="Times New Roman"/>
          <w:b/>
          <w:bCs/>
          <w:i w:val="0"/>
          <w:iCs w:val="0"/>
          <w:color w:val="000000"/>
          <w:kern w:val="0"/>
          <w:sz w:val="30"/>
          <w:szCs w:val="30"/>
          <w:u w:val="none"/>
          <w:lang w:val="en-US" w:eastAsia="zh-CN" w:bidi="ar"/>
        </w:rPr>
      </w:pPr>
      <w:r>
        <w:rPr>
          <w:rFonts w:hint="default" w:ascii="Times New Roman" w:hAnsi="Times New Roman" w:eastAsia="黑体" w:cs="Times New Roman"/>
          <w:b/>
          <w:bCs/>
          <w:i w:val="0"/>
          <w:iCs w:val="0"/>
          <w:color w:val="000000"/>
          <w:kern w:val="0"/>
          <w:sz w:val="30"/>
          <w:szCs w:val="30"/>
          <w:u w:val="none"/>
          <w:lang w:val="en-US" w:eastAsia="zh-CN" w:bidi="ar"/>
        </w:rPr>
        <w:br w:type="page"/>
      </w:r>
    </w:p>
    <w:p>
      <w:pPr>
        <w:pStyle w:val="5"/>
        <w:keepNext/>
        <w:keepLines/>
        <w:pageBreakBefore w:val="0"/>
        <w:widowControl/>
        <w:kinsoku w:val="0"/>
        <w:wordWrap/>
        <w:overflowPunct/>
        <w:topLinePunct w:val="0"/>
        <w:autoSpaceDE w:val="0"/>
        <w:autoSpaceDN w:val="0"/>
        <w:bidi w:val="0"/>
        <w:adjustRightInd w:val="0"/>
        <w:snapToGrid w:val="0"/>
        <w:spacing w:before="0" w:after="0" w:line="600" w:lineRule="exact"/>
        <w:jc w:val="center"/>
        <w:textAlignment w:val="baseline"/>
        <w:rPr>
          <w:rFonts w:hint="default" w:ascii="Times New Roman" w:hAnsi="Times New Roman" w:eastAsia="方正小标宋简体" w:cs="Times New Roman"/>
          <w:b w:val="0"/>
          <w:color w:val="auto"/>
          <w:sz w:val="44"/>
          <w:highlight w:val="none"/>
        </w:rPr>
      </w:pPr>
      <w:bookmarkStart w:id="80" w:name="_Toc22094"/>
      <w:bookmarkStart w:id="81" w:name="_Toc15396618"/>
      <w:r>
        <w:rPr>
          <w:rFonts w:hint="default" w:ascii="Times New Roman" w:hAnsi="Times New Roman" w:eastAsia="方正小标宋简体" w:cs="Times New Roman"/>
          <w:b w:val="0"/>
          <w:color w:val="auto"/>
          <w:sz w:val="44"/>
          <w:highlight w:val="none"/>
        </w:rPr>
        <w:t>第五部分</w:t>
      </w:r>
      <w:r>
        <w:rPr>
          <w:rFonts w:hint="default" w:ascii="Times New Roman" w:hAnsi="Times New Roman" w:eastAsia="方正小标宋简体" w:cs="Times New Roman"/>
          <w:b w:val="0"/>
          <w:color w:val="auto"/>
          <w:sz w:val="44"/>
          <w:highlight w:val="none"/>
          <w:lang w:val="en-US" w:eastAsia="zh-CN"/>
        </w:rPr>
        <w:t xml:space="preserve">  </w:t>
      </w:r>
      <w:r>
        <w:rPr>
          <w:rFonts w:hint="default" w:ascii="Times New Roman" w:hAnsi="Times New Roman" w:eastAsia="方正小标宋简体" w:cs="Times New Roman"/>
          <w:b w:val="0"/>
          <w:color w:val="auto"/>
          <w:sz w:val="44"/>
          <w:highlight w:val="none"/>
        </w:rPr>
        <w:t xml:space="preserve"> 附表</w:t>
      </w:r>
      <w:bookmarkEnd w:id="77"/>
      <w:bookmarkEnd w:id="80"/>
      <w:bookmarkEnd w:id="81"/>
      <w:bookmarkStart w:id="82" w:name="_Toc15396619"/>
    </w:p>
    <w:p>
      <w:pPr>
        <w:pStyle w:val="12"/>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p>
    <w:p>
      <w:pPr>
        <w:pStyle w:val="12"/>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一、收入支出决算总表</w:t>
      </w:r>
      <w:bookmarkEnd w:id="82"/>
    </w:p>
    <w:p>
      <w:pPr>
        <w:pStyle w:val="12"/>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bookmarkStart w:id="83" w:name="_Toc15396620"/>
      <w:r>
        <w:rPr>
          <w:rFonts w:hint="default" w:ascii="Times New Roman" w:hAnsi="Times New Roman" w:eastAsia="仿宋_GB2312" w:cs="Times New Roman"/>
          <w:color w:val="auto"/>
          <w:sz w:val="32"/>
          <w:szCs w:val="32"/>
          <w:highlight w:val="none"/>
        </w:rPr>
        <w:t>二、收入决算表</w:t>
      </w:r>
      <w:bookmarkEnd w:id="83"/>
    </w:p>
    <w:p>
      <w:pPr>
        <w:pStyle w:val="12"/>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bookmarkStart w:id="84" w:name="_Toc15396621"/>
      <w:r>
        <w:rPr>
          <w:rFonts w:hint="default" w:ascii="Times New Roman" w:hAnsi="Times New Roman" w:eastAsia="仿宋_GB2312" w:cs="Times New Roman"/>
          <w:color w:val="auto"/>
          <w:sz w:val="32"/>
          <w:szCs w:val="32"/>
          <w:highlight w:val="none"/>
        </w:rPr>
        <w:t>三、支出决算表</w:t>
      </w:r>
      <w:bookmarkEnd w:id="84"/>
    </w:p>
    <w:p>
      <w:pPr>
        <w:pStyle w:val="12"/>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bookmarkStart w:id="85" w:name="_Toc15396622"/>
      <w:r>
        <w:rPr>
          <w:rFonts w:hint="default" w:ascii="Times New Roman" w:hAnsi="Times New Roman" w:eastAsia="仿宋_GB2312" w:cs="Times New Roman"/>
          <w:color w:val="auto"/>
          <w:sz w:val="32"/>
          <w:szCs w:val="32"/>
          <w:highlight w:val="none"/>
        </w:rPr>
        <w:t>四、财政拨款收入支出决算总表</w:t>
      </w:r>
      <w:bookmarkEnd w:id="85"/>
    </w:p>
    <w:p>
      <w:pPr>
        <w:pStyle w:val="12"/>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bookmarkStart w:id="86" w:name="_Toc15396623"/>
      <w:r>
        <w:rPr>
          <w:rFonts w:hint="default" w:ascii="Times New Roman" w:hAnsi="Times New Roman" w:eastAsia="仿宋_GB2312" w:cs="Times New Roman"/>
          <w:color w:val="auto"/>
          <w:sz w:val="32"/>
          <w:szCs w:val="32"/>
          <w:highlight w:val="none"/>
        </w:rPr>
        <w:t>五、财政拨款支出决算明细表</w:t>
      </w:r>
      <w:bookmarkEnd w:id="86"/>
      <w:bookmarkStart w:id="87" w:name="_Toc15396624"/>
    </w:p>
    <w:p>
      <w:pPr>
        <w:pStyle w:val="12"/>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六、一般公共预算财政拨款支出决算表</w:t>
      </w:r>
      <w:bookmarkEnd w:id="87"/>
    </w:p>
    <w:p>
      <w:pPr>
        <w:pStyle w:val="12"/>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bookmarkStart w:id="88" w:name="_Toc15396625"/>
      <w:r>
        <w:rPr>
          <w:rFonts w:hint="default" w:ascii="Times New Roman" w:hAnsi="Times New Roman" w:eastAsia="仿宋_GB2312" w:cs="Times New Roman"/>
          <w:color w:val="auto"/>
          <w:sz w:val="32"/>
          <w:szCs w:val="32"/>
          <w:highlight w:val="none"/>
        </w:rPr>
        <w:t>七、一般公共预算财政拨款支出决算明细表</w:t>
      </w:r>
      <w:bookmarkEnd w:id="88"/>
    </w:p>
    <w:p>
      <w:pPr>
        <w:pStyle w:val="12"/>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bookmarkStart w:id="89" w:name="_Toc15396626"/>
      <w:r>
        <w:rPr>
          <w:rFonts w:hint="default" w:ascii="Times New Roman" w:hAnsi="Times New Roman" w:eastAsia="仿宋_GB2312" w:cs="Times New Roman"/>
          <w:color w:val="auto"/>
          <w:sz w:val="32"/>
          <w:szCs w:val="32"/>
          <w:highlight w:val="none"/>
        </w:rPr>
        <w:t>八、一般公共预算财政拨款基本支出决算表</w:t>
      </w:r>
      <w:bookmarkEnd w:id="89"/>
    </w:p>
    <w:p>
      <w:pPr>
        <w:pStyle w:val="12"/>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bookmarkStart w:id="90" w:name="_Toc15396627"/>
      <w:r>
        <w:rPr>
          <w:rFonts w:hint="default" w:ascii="Times New Roman" w:hAnsi="Times New Roman" w:eastAsia="仿宋_GB2312" w:cs="Times New Roman"/>
          <w:color w:val="auto"/>
          <w:sz w:val="32"/>
          <w:szCs w:val="32"/>
          <w:highlight w:val="none"/>
        </w:rPr>
        <w:t>九、一般公共预算财政拨款项目支出决算表</w:t>
      </w:r>
      <w:bookmarkEnd w:id="90"/>
    </w:p>
    <w:p>
      <w:pPr>
        <w:pStyle w:val="12"/>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bookmarkStart w:id="91" w:name="_Toc15396628"/>
      <w:r>
        <w:rPr>
          <w:rFonts w:hint="default" w:ascii="Times New Roman" w:hAnsi="Times New Roman" w:eastAsia="仿宋_GB2312" w:cs="Times New Roman"/>
          <w:color w:val="auto"/>
          <w:sz w:val="32"/>
          <w:szCs w:val="32"/>
          <w:highlight w:val="none"/>
        </w:rPr>
        <w:t>十、</w:t>
      </w:r>
      <w:bookmarkEnd w:id="91"/>
      <w:r>
        <w:rPr>
          <w:rFonts w:hint="default" w:ascii="Times New Roman" w:hAnsi="Times New Roman" w:eastAsia="仿宋_GB2312" w:cs="Times New Roman"/>
          <w:color w:val="auto"/>
          <w:sz w:val="32"/>
          <w:szCs w:val="32"/>
          <w:highlight w:val="none"/>
        </w:rPr>
        <w:t>政府性基金预算财政拨款收入支出决算表</w:t>
      </w:r>
    </w:p>
    <w:p>
      <w:pPr>
        <w:pStyle w:val="12"/>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bookmarkStart w:id="92" w:name="_Toc15396629"/>
      <w:r>
        <w:rPr>
          <w:rFonts w:hint="default" w:ascii="Times New Roman" w:hAnsi="Times New Roman" w:eastAsia="仿宋_GB2312" w:cs="Times New Roman"/>
          <w:color w:val="auto"/>
          <w:sz w:val="32"/>
          <w:szCs w:val="32"/>
          <w:highlight w:val="none"/>
        </w:rPr>
        <w:t>十一、</w:t>
      </w:r>
      <w:bookmarkEnd w:id="92"/>
      <w:r>
        <w:rPr>
          <w:rFonts w:hint="default" w:ascii="Times New Roman" w:hAnsi="Times New Roman" w:eastAsia="仿宋_GB2312" w:cs="Times New Roman"/>
          <w:color w:val="auto"/>
          <w:sz w:val="32"/>
          <w:szCs w:val="32"/>
          <w:highlight w:val="none"/>
        </w:rPr>
        <w:t>国有资本经营预算</w:t>
      </w:r>
      <w:r>
        <w:rPr>
          <w:rFonts w:hint="default" w:ascii="Times New Roman" w:hAnsi="Times New Roman" w:eastAsia="仿宋_GB2312" w:cs="Times New Roman"/>
          <w:color w:val="auto"/>
          <w:sz w:val="32"/>
          <w:szCs w:val="32"/>
          <w:highlight w:val="none"/>
          <w:lang w:eastAsia="zh-CN"/>
        </w:rPr>
        <w:t>财政拨款收入</w:t>
      </w:r>
      <w:r>
        <w:rPr>
          <w:rFonts w:hint="default" w:ascii="Times New Roman" w:hAnsi="Times New Roman" w:eastAsia="仿宋_GB2312" w:cs="Times New Roman"/>
          <w:color w:val="auto"/>
          <w:sz w:val="32"/>
          <w:szCs w:val="32"/>
          <w:highlight w:val="none"/>
        </w:rPr>
        <w:t>支出决算表</w:t>
      </w:r>
    </w:p>
    <w:p>
      <w:pPr>
        <w:pStyle w:val="12"/>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bookmarkStart w:id="93" w:name="_Toc15396630"/>
      <w:r>
        <w:rPr>
          <w:rFonts w:hint="default" w:ascii="Times New Roman" w:hAnsi="Times New Roman" w:eastAsia="仿宋_GB2312" w:cs="Times New Roman"/>
          <w:color w:val="auto"/>
          <w:sz w:val="32"/>
          <w:szCs w:val="32"/>
          <w:highlight w:val="none"/>
        </w:rPr>
        <w:t>十二、</w:t>
      </w:r>
      <w:bookmarkEnd w:id="93"/>
      <w:r>
        <w:rPr>
          <w:rFonts w:hint="default" w:ascii="Times New Roman" w:hAnsi="Times New Roman" w:eastAsia="仿宋_GB2312" w:cs="Times New Roman"/>
          <w:color w:val="auto"/>
          <w:sz w:val="32"/>
          <w:szCs w:val="32"/>
          <w:highlight w:val="none"/>
          <w:lang w:eastAsia="zh-CN"/>
        </w:rPr>
        <w:t>国有资本经营预算财政拨款支出决算表</w:t>
      </w:r>
    </w:p>
    <w:p>
      <w:pPr>
        <w:pStyle w:val="12"/>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lang w:eastAsia="zh-CN"/>
        </w:rPr>
      </w:pPr>
      <w:bookmarkStart w:id="94" w:name="_Toc15396631"/>
      <w:r>
        <w:rPr>
          <w:rFonts w:hint="default" w:ascii="Times New Roman" w:hAnsi="Times New Roman" w:eastAsia="仿宋_GB2312" w:cs="Times New Roman"/>
          <w:color w:val="auto"/>
          <w:sz w:val="32"/>
          <w:szCs w:val="32"/>
          <w:highlight w:val="none"/>
        </w:rPr>
        <w:t>十三、</w:t>
      </w:r>
      <w:bookmarkEnd w:id="94"/>
      <w:r>
        <w:rPr>
          <w:rFonts w:hint="default" w:ascii="Times New Roman" w:hAnsi="Times New Roman" w:eastAsia="仿宋_GB2312" w:cs="Times New Roman"/>
          <w:color w:val="auto"/>
          <w:sz w:val="32"/>
          <w:szCs w:val="32"/>
          <w:highlight w:val="none"/>
          <w:lang w:eastAsia="zh-CN"/>
        </w:rPr>
        <w:t>财政拨款“三公”经费支出决算表</w:t>
      </w:r>
    </w:p>
    <w:p>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Times New Roman" w:hAnsi="Times New Roman" w:cs="Times New Roman"/>
          <w:spacing w:val="45"/>
          <w:w w:val="106"/>
        </w:rPr>
      </w:pPr>
    </w:p>
    <w:sectPr>
      <w:footerReference r:id="rId5" w:type="default"/>
      <w:pgSz w:w="11900" w:h="16820"/>
      <w:pgMar w:top="2098" w:right="1474" w:bottom="1984" w:left="1587" w:header="0" w:footer="1587" w:gutter="0"/>
      <w:pgNumType w:fmt="decimal"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方正小标宋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t xml:space="preserve">— </w:t>
                          </w:r>
                          <w:r>
                            <w:fldChar w:fldCharType="begin"/>
                          </w:r>
                          <w:r>
                            <w:instrText xml:space="preserve"> PAGE  \* MERGEFORMAT </w:instrText>
                          </w:r>
                          <w:r>
                            <w:fldChar w:fldCharType="separate"/>
                          </w:r>
                          <w:r>
                            <w:t>4</w:t>
                          </w:r>
                          <w:r>
                            <w:fldChar w:fldCharType="end"/>
                          </w:r>
                          <w: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9"/>
                    </w:pPr>
                    <w:r>
                      <w:t xml:space="preserve">— </w:t>
                    </w:r>
                    <w:r>
                      <w:fldChar w:fldCharType="begin"/>
                    </w:r>
                    <w:r>
                      <w:instrText xml:space="preserve"> PAGE  \* MERGEFORMAT </w:instrText>
                    </w:r>
                    <w:r>
                      <w:fldChar w:fldCharType="separate"/>
                    </w:r>
                    <w:r>
                      <w:t>4</w:t>
                    </w:r>
                    <w:r>
                      <w:fldChar w:fldCharType="end"/>
                    </w:r>
                    <w: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FAF2B4"/>
    <w:multiLevelType w:val="singleLevel"/>
    <w:tmpl w:val="98FAF2B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true"/>
  <w:embedTrueTypeFonts/>
  <w:saveSubsetFonts/>
  <w:bordersDoNotSurroundHeader w:val="false"/>
  <w:bordersDoNotSurroundFooter w:val="false"/>
  <w:documentProtection w:enforcement="0"/>
  <w:defaultTabStop w:val="498"/>
  <w:displayHorizontalDrawingGridEvery w:val="1"/>
  <w:displayVerticalDrawingGridEvery w:val="1"/>
  <w:noPunctuationKerning w:val="true"/>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911161C"/>
    <w:rsid w:val="0AEC40B6"/>
    <w:rsid w:val="0BBF090C"/>
    <w:rsid w:val="0E795140"/>
    <w:rsid w:val="110B45B5"/>
    <w:rsid w:val="153C1812"/>
    <w:rsid w:val="1A360B8D"/>
    <w:rsid w:val="1C3358A8"/>
    <w:rsid w:val="20275024"/>
    <w:rsid w:val="23BE47C8"/>
    <w:rsid w:val="262E652A"/>
    <w:rsid w:val="27F14607"/>
    <w:rsid w:val="284C7702"/>
    <w:rsid w:val="2D9C5202"/>
    <w:rsid w:val="2FBF2E9A"/>
    <w:rsid w:val="309F12AF"/>
    <w:rsid w:val="35B53880"/>
    <w:rsid w:val="36EE26AB"/>
    <w:rsid w:val="3DFBE2AE"/>
    <w:rsid w:val="439E2B2C"/>
    <w:rsid w:val="44547417"/>
    <w:rsid w:val="48973411"/>
    <w:rsid w:val="4A695FF9"/>
    <w:rsid w:val="4AB820A2"/>
    <w:rsid w:val="4D7136D0"/>
    <w:rsid w:val="4F1456D4"/>
    <w:rsid w:val="51FF3BDA"/>
    <w:rsid w:val="54D21536"/>
    <w:rsid w:val="56E36785"/>
    <w:rsid w:val="58EF3255"/>
    <w:rsid w:val="5DE33574"/>
    <w:rsid w:val="5E3F4CE7"/>
    <w:rsid w:val="5F7BBA2A"/>
    <w:rsid w:val="5FF48555"/>
    <w:rsid w:val="60FD7B58"/>
    <w:rsid w:val="636FA0B1"/>
    <w:rsid w:val="65247AA1"/>
    <w:rsid w:val="65D62AC1"/>
    <w:rsid w:val="6E730F40"/>
    <w:rsid w:val="71C15DA2"/>
    <w:rsid w:val="72345E6D"/>
    <w:rsid w:val="7AB820A0"/>
    <w:rsid w:val="7AF74256"/>
    <w:rsid w:val="7B937742"/>
    <w:rsid w:val="7ED473F8"/>
    <w:rsid w:val="7F779D4D"/>
    <w:rsid w:val="9FDD7DEA"/>
    <w:rsid w:val="B7FF56C0"/>
    <w:rsid w:val="BBFFFEB9"/>
    <w:rsid w:val="BD6F21CB"/>
    <w:rsid w:val="C7FB63B6"/>
    <w:rsid w:val="E5F88311"/>
    <w:rsid w:val="E77EC73C"/>
    <w:rsid w:val="E7D9E9D5"/>
    <w:rsid w:val="EFEDF830"/>
    <w:rsid w:val="F74BC3F4"/>
    <w:rsid w:val="FCBF79F5"/>
    <w:rsid w:val="FD7B07EE"/>
    <w:rsid w:val="FEDFB683"/>
    <w:rsid w:val="FF37341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qFormat="1" w:unhideWhenUsed="0" w:uiPriority="99"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5">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1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unhideWhenUsed/>
    <w:qFormat/>
    <w:uiPriority w:val="99"/>
    <w:pPr>
      <w:ind w:firstLine="420" w:firstLineChars="200"/>
    </w:pPr>
  </w:style>
  <w:style w:type="paragraph" w:styleId="4">
    <w:name w:val="Body Text Indent"/>
    <w:basedOn w:val="1"/>
    <w:next w:val="3"/>
    <w:qFormat/>
    <w:uiPriority w:val="0"/>
    <w:pPr>
      <w:spacing w:after="120"/>
      <w:ind w:leftChars="200"/>
    </w:pPr>
    <w:rPr>
      <w:rFonts w:ascii="仿宋_GB2312"/>
      <w:szCs w:val="32"/>
    </w:rPr>
  </w:style>
  <w:style w:type="paragraph" w:styleId="7">
    <w:name w:val="Body Text"/>
    <w:basedOn w:val="1"/>
    <w:semiHidden/>
    <w:qFormat/>
    <w:uiPriority w:val="0"/>
    <w:rPr>
      <w:rFonts w:ascii="仿宋" w:hAnsi="仿宋" w:eastAsia="仿宋" w:cs="仿宋"/>
      <w:sz w:val="31"/>
      <w:szCs w:val="31"/>
      <w:lang w:val="en-US" w:eastAsia="en-US" w:bidi="ar-SA"/>
    </w:rPr>
  </w:style>
  <w:style w:type="paragraph" w:styleId="8">
    <w:name w:val="toc 3"/>
    <w:basedOn w:val="1"/>
    <w:next w:val="1"/>
    <w:qFormat/>
    <w:uiPriority w:val="0"/>
    <w:pPr>
      <w:ind w:left="840" w:leftChars="4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paragraph" w:styleId="13">
    <w:name w:val="Normal (Web)"/>
    <w:basedOn w:val="1"/>
    <w:qFormat/>
    <w:uiPriority w:val="0"/>
    <w:rPr>
      <w:sz w:val="24"/>
    </w:rPr>
  </w:style>
  <w:style w:type="character" w:styleId="16">
    <w:name w:val="Strong"/>
    <w:basedOn w:val="15"/>
    <w:qFormat/>
    <w:uiPriority w:val="99"/>
    <w:rPr>
      <w:b/>
    </w:rPr>
  </w:style>
  <w:style w:type="table" w:customStyle="1" w:styleId="17">
    <w:name w:val="Table Normal"/>
    <w:semiHidden/>
    <w:unhideWhenUsed/>
    <w:qFormat/>
    <w:uiPriority w:val="0"/>
    <w:tblPr>
      <w:tblCellMar>
        <w:top w:w="0" w:type="dxa"/>
        <w:left w:w="0" w:type="dxa"/>
        <w:bottom w:w="0" w:type="dxa"/>
        <w:right w:w="0" w:type="dxa"/>
      </w:tblCellMar>
    </w:tblPr>
  </w:style>
  <w:style w:type="character" w:customStyle="1" w:styleId="18">
    <w:name w:val="标题 1 Char"/>
    <w:basedOn w:val="15"/>
    <w:link w:val="5"/>
    <w:qFormat/>
    <w:uiPriority w:val="9"/>
    <w:rPr>
      <w:b/>
      <w:bCs/>
      <w:kern w:val="44"/>
      <w:sz w:val="44"/>
      <w:szCs w:val="44"/>
    </w:rPr>
  </w:style>
  <w:style w:type="character" w:customStyle="1" w:styleId="19">
    <w:name w:val="标题 2 Char"/>
    <w:basedOn w:val="15"/>
    <w:link w:val="6"/>
    <w:qFormat/>
    <w:uiPriority w:val="9"/>
    <w:rPr>
      <w:rFonts w:asciiTheme="majorHAnsi" w:hAnsiTheme="majorHAnsi" w:eastAsiaTheme="majorEastAsia" w:cstheme="majorBidi"/>
      <w:b/>
      <w:bCs/>
      <w:sz w:val="32"/>
      <w:szCs w:val="32"/>
    </w:rPr>
  </w:style>
  <w:style w:type="paragraph" w:styleId="20">
    <w:name w:val="List Paragraph"/>
    <w:basedOn w:val="1"/>
    <w:qFormat/>
    <w:uiPriority w:val="34"/>
    <w:pPr>
      <w:ind w:firstLine="420" w:firstLineChars="200"/>
    </w:pPr>
  </w:style>
  <w:style w:type="paragraph" w:customStyle="1" w:styleId="21">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7.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MT\Desktop\&#34920;&#26684;.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C:\Users\MT\Desktop\&#34920;&#26684;.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MT\Desktop\&#34920;&#26684;.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C:\Users\MT\Desktop\&#34920;&#26684;.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C:\Users\MT\Desktop\&#34920;&#26684;.xlsx"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file:///C:\Users\MT\Desktop\&#34920;&#26684;.xlsx"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C:\Users\MT\Desktop\&#34920;&#2668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收入、支出决算总计变动情况图</a:t>
            </a:r>
          </a:p>
        </c:rich>
      </c:tx>
      <c:layout/>
      <c:overlay val="false"/>
      <c:spPr>
        <a:noFill/>
        <a:ln>
          <a:noFill/>
        </a:ln>
        <a:effectLst/>
      </c:spPr>
    </c:title>
    <c:autoTitleDeleted val="false"/>
    <c:plotArea>
      <c:layout/>
      <c:barChart>
        <c:barDir val="col"/>
        <c:grouping val="clustered"/>
        <c:varyColors val="false"/>
        <c:ser>
          <c:idx val="0"/>
          <c:order val="0"/>
          <c:spPr>
            <a:solidFill>
              <a:schemeClr val="accent1"/>
            </a:solidFill>
            <a:ln>
              <a:noFill/>
            </a:ln>
            <a:effectLst/>
          </c:spPr>
          <c:invertIfNegative val="false"/>
          <c:dLbls>
            <c:delete val="true"/>
          </c:dLbls>
          <c:cat>
            <c:strRef>
              <c:f>[表格.xlsx]Sheet1!$A$1:$A$2</c:f>
              <c:strCache>
                <c:ptCount val="2"/>
                <c:pt idx="0">
                  <c:v>2024年</c:v>
                </c:pt>
                <c:pt idx="1">
                  <c:v>2025年</c:v>
                </c:pt>
              </c:strCache>
            </c:strRef>
          </c:cat>
          <c:val>
            <c:numRef>
              <c:f>[表格.xlsx]Sheet1!$B$1:$B$2</c:f>
              <c:numCache>
                <c:formatCode>General</c:formatCode>
                <c:ptCount val="2"/>
                <c:pt idx="0">
                  <c:v>2334.13</c:v>
                </c:pt>
                <c:pt idx="1">
                  <c:v>2676.11</c:v>
                </c:pt>
              </c:numCache>
            </c:numRef>
          </c:val>
        </c:ser>
        <c:dLbls>
          <c:showLegendKey val="false"/>
          <c:showVal val="false"/>
          <c:showCatName val="false"/>
          <c:showSerName val="false"/>
          <c:showPercent val="false"/>
          <c:showBubbleSize val="false"/>
        </c:dLbls>
        <c:gapWidth val="246"/>
        <c:overlap val="-28"/>
        <c:axId val="478764430"/>
        <c:axId val="155448639"/>
      </c:barChart>
      <c:catAx>
        <c:axId val="478764430"/>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55448639"/>
        <c:crosses val="autoZero"/>
        <c:auto val="true"/>
        <c:lblAlgn val="ctr"/>
        <c:lblOffset val="100"/>
        <c:noMultiLvlLbl val="false"/>
      </c:catAx>
      <c:valAx>
        <c:axId val="155448639"/>
        <c:scaling>
          <c:orientation val="minMax"/>
        </c:scaling>
        <c:delete val="false"/>
        <c:axPos val="l"/>
        <c:majorGridlines>
          <c:spPr>
            <a:ln w="9525" cap="flat" cmpd="sng" algn="ctr">
              <a:solidFill>
                <a:schemeClr val="lt1">
                  <a:lumMod val="90200"/>
                </a:schemeClr>
              </a:solidFill>
              <a:round/>
            </a:ln>
            <a:effectLst/>
          </c:spPr>
        </c:majorGridlines>
        <c:title>
          <c:tx>
            <c:rich>
              <a:bodyPr rot="-5400000" spcFirstLastPara="0" vertOverflow="ellipsis" vert="horz" wrap="square" anchor="ctr" anchorCtr="true"/>
              <a:lstStyle/>
              <a:p>
                <a:pPr defTabSz="914400">
                  <a:defRPr lang="zh-CN" sz="1000" b="0" i="0" u="none" strike="noStrike" kern="1200" baseline="0">
                    <a:solidFill>
                      <a:schemeClr val="tx1">
                        <a:lumMod val="65000"/>
                        <a:lumOff val="35000"/>
                      </a:schemeClr>
                    </a:solidFill>
                    <a:latin typeface="+mn-lt"/>
                    <a:ea typeface="+mn-ea"/>
                    <a:cs typeface="+mn-cs"/>
                  </a:defRPr>
                </a:pPr>
                <a:r>
                  <a:t>万元</a:t>
                </a:r>
              </a:p>
            </c:rich>
          </c:tx>
          <c:layout/>
          <c:overlay val="false"/>
          <c:spPr>
            <a:noFill/>
            <a:ln>
              <a:noFill/>
            </a:ln>
            <a:effectLst/>
          </c:spPr>
        </c:title>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478764430"/>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收入决算结构图</a:t>
            </a:r>
          </a:p>
        </c:rich>
      </c:tx>
      <c:layout/>
      <c:overlay val="false"/>
      <c:spPr>
        <a:noFill/>
        <a:ln>
          <a:noFill/>
        </a:ln>
        <a:effectLst/>
      </c:spPr>
    </c:title>
    <c:autoTitleDeleted val="false"/>
    <c:plotArea>
      <c:layout/>
      <c:pieChart>
        <c:varyColors val="true"/>
        <c:ser>
          <c:idx val="0"/>
          <c:order val="0"/>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Pt>
            <c:idx val="3"/>
            <c:bubble3D val="false"/>
            <c:spPr>
              <a:solidFill>
                <a:schemeClr val="accent4"/>
              </a:solidFill>
              <a:ln>
                <a:solidFill>
                  <a:schemeClr val="bg1"/>
                </a:solidFill>
              </a:ln>
              <a:effectLst/>
            </c:spPr>
          </c:dPt>
          <c:dPt>
            <c:idx val="4"/>
            <c:bubble3D val="false"/>
            <c:spPr>
              <a:solidFill>
                <a:schemeClr val="accent5"/>
              </a:solidFill>
              <a:ln>
                <a:solidFill>
                  <a:schemeClr val="bg1"/>
                </a:solidFill>
              </a:ln>
              <a:effectLst/>
            </c:spPr>
          </c:dPt>
          <c:dPt>
            <c:idx val="5"/>
            <c:bubble3D val="false"/>
            <c:spPr>
              <a:solidFill>
                <a:schemeClr val="accent6"/>
              </a:solidFill>
              <a:ln>
                <a:solidFill>
                  <a:schemeClr val="bg1"/>
                </a:solidFill>
              </a:ln>
              <a:effectLst/>
            </c:spPr>
          </c:dPt>
          <c:dPt>
            <c:idx val="6"/>
            <c:bubble3D val="false"/>
            <c:spPr>
              <a:solidFill>
                <a:schemeClr val="accent1">
                  <a:lumMod val="60000"/>
                </a:schemeClr>
              </a:solidFill>
              <a:ln>
                <a:solidFill>
                  <a:schemeClr val="bg1"/>
                </a:solidFill>
              </a:ln>
              <a:effectLst/>
            </c:spPr>
          </c:dPt>
          <c:dPt>
            <c:idx val="7"/>
            <c:bubble3D val="false"/>
            <c:spPr>
              <a:solidFill>
                <a:schemeClr val="accent2">
                  <a:lumMod val="60000"/>
                </a:schemeClr>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[表格.xlsx]Sheet2!$A$13:$A$20</c:f>
              <c:strCache>
                <c:ptCount val="8"/>
                <c:pt idx="0">
                  <c:v>一般公共预算财政拨款收入</c:v>
                </c:pt>
                <c:pt idx="1">
                  <c:v>政府性基金预算财政拨款收入</c:v>
                </c:pt>
                <c:pt idx="2">
                  <c:v>国有资本经营预算财政拨款收入</c:v>
                </c:pt>
                <c:pt idx="3">
                  <c:v>上级补助收入</c:v>
                </c:pt>
                <c:pt idx="4">
                  <c:v>事业收入</c:v>
                </c:pt>
                <c:pt idx="5">
                  <c:v>经营收入</c:v>
                </c:pt>
                <c:pt idx="6">
                  <c:v>附属单位上缴收入</c:v>
                </c:pt>
                <c:pt idx="7">
                  <c:v>其他收入</c:v>
                </c:pt>
              </c:strCache>
            </c:strRef>
          </c:cat>
          <c:val>
            <c:numRef>
              <c:f>[表格.xlsx]Sheet2!$B$13:$B$20</c:f>
              <c:numCache>
                <c:formatCode>General</c:formatCode>
                <c:ptCount val="8"/>
                <c:pt idx="0">
                  <c:v>2670.65</c:v>
                </c:pt>
                <c:pt idx="1">
                  <c:v>0</c:v>
                </c:pt>
                <c:pt idx="2">
                  <c:v>0</c:v>
                </c:pt>
                <c:pt idx="3">
                  <c:v>0</c:v>
                </c:pt>
                <c:pt idx="4">
                  <c:v>0</c:v>
                </c:pt>
                <c:pt idx="5">
                  <c:v>0</c:v>
                </c:pt>
                <c:pt idx="6">
                  <c:v>0</c:v>
                </c:pt>
                <c:pt idx="7">
                  <c:v>0</c:v>
                </c:pt>
              </c:numCache>
            </c:numRef>
          </c:val>
        </c:ser>
        <c:ser>
          <c:idx val="1"/>
          <c:order val="1"/>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Pt>
            <c:idx val="3"/>
            <c:bubble3D val="false"/>
            <c:spPr>
              <a:solidFill>
                <a:schemeClr val="accent4"/>
              </a:solidFill>
              <a:ln>
                <a:solidFill>
                  <a:schemeClr val="bg1"/>
                </a:solidFill>
              </a:ln>
              <a:effectLst/>
            </c:spPr>
          </c:dPt>
          <c:dPt>
            <c:idx val="4"/>
            <c:bubble3D val="false"/>
            <c:spPr>
              <a:solidFill>
                <a:schemeClr val="accent5"/>
              </a:solidFill>
              <a:ln>
                <a:solidFill>
                  <a:schemeClr val="bg1"/>
                </a:solidFill>
              </a:ln>
              <a:effectLst/>
            </c:spPr>
          </c:dPt>
          <c:dPt>
            <c:idx val="5"/>
            <c:bubble3D val="false"/>
            <c:spPr>
              <a:solidFill>
                <a:schemeClr val="accent6"/>
              </a:solidFill>
              <a:ln>
                <a:solidFill>
                  <a:schemeClr val="bg1"/>
                </a:solidFill>
              </a:ln>
              <a:effectLst/>
            </c:spPr>
          </c:dPt>
          <c:dPt>
            <c:idx val="6"/>
            <c:bubble3D val="false"/>
            <c:spPr>
              <a:solidFill>
                <a:schemeClr val="accent1">
                  <a:lumMod val="60000"/>
                </a:schemeClr>
              </a:solidFill>
              <a:ln>
                <a:solidFill>
                  <a:schemeClr val="bg1"/>
                </a:solidFill>
              </a:ln>
              <a:effectLst/>
            </c:spPr>
          </c:dPt>
          <c:dPt>
            <c:idx val="7"/>
            <c:bubble3D val="false"/>
            <c:spPr>
              <a:solidFill>
                <a:schemeClr val="accent2">
                  <a:lumMod val="60000"/>
                </a:schemeClr>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[表格.xlsx]Sheet2!$A$13:$A$20</c:f>
              <c:strCache>
                <c:ptCount val="8"/>
                <c:pt idx="0">
                  <c:v>一般公共预算财政拨款收入</c:v>
                </c:pt>
                <c:pt idx="1">
                  <c:v>政府性基金预算财政拨款收入</c:v>
                </c:pt>
                <c:pt idx="2">
                  <c:v>国有资本经营预算财政拨款收入</c:v>
                </c:pt>
                <c:pt idx="3">
                  <c:v>上级补助收入</c:v>
                </c:pt>
                <c:pt idx="4">
                  <c:v>事业收入</c:v>
                </c:pt>
                <c:pt idx="5">
                  <c:v>经营收入</c:v>
                </c:pt>
                <c:pt idx="6">
                  <c:v>附属单位上缴收入</c:v>
                </c:pt>
                <c:pt idx="7">
                  <c:v>其他收入</c:v>
                </c:pt>
              </c:strCache>
            </c:strRef>
          </c:cat>
          <c:val>
            <c:numRef>
              <c:f>[表格.xlsx]Sheet2!$C$13:$C$20</c:f>
              <c:numCache>
                <c:formatCode>0%</c:formatCode>
                <c:ptCount val="8"/>
                <c:pt idx="0">
                  <c:v>1</c:v>
                </c:pt>
                <c:pt idx="1">
                  <c:v>0</c:v>
                </c:pt>
                <c:pt idx="2">
                  <c:v>0</c:v>
                </c:pt>
                <c:pt idx="3">
                  <c:v>0</c:v>
                </c:pt>
                <c:pt idx="4">
                  <c:v>0</c:v>
                </c:pt>
                <c:pt idx="5">
                  <c:v>0</c:v>
                </c:pt>
                <c:pt idx="6">
                  <c:v>0</c:v>
                </c:pt>
                <c:pt idx="7">
                  <c:v>0</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收入决算结构图</a:t>
            </a:r>
          </a:p>
        </c:rich>
      </c:tx>
      <c:layout/>
      <c:overlay val="false"/>
      <c:spPr>
        <a:noFill/>
        <a:ln>
          <a:noFill/>
        </a:ln>
        <a:effectLst/>
      </c:spPr>
    </c:title>
    <c:autoTitleDeleted val="false"/>
    <c:plotArea>
      <c:layout>
        <c:manualLayout>
          <c:layoutTarget val="inner"/>
          <c:xMode val="edge"/>
          <c:yMode val="edge"/>
          <c:x val="0.418593894542091"/>
          <c:y val="0.451840833023429"/>
          <c:w val="0.16571957182503"/>
          <c:h val="0.466344365935292"/>
        </c:manualLayout>
      </c:layout>
      <c:pieChart>
        <c:varyColors val="true"/>
        <c:ser>
          <c:idx val="0"/>
          <c:order val="0"/>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Pt>
            <c:idx val="3"/>
            <c:bubble3D val="false"/>
            <c:spPr>
              <a:solidFill>
                <a:schemeClr val="accent4"/>
              </a:solidFill>
              <a:ln>
                <a:solidFill>
                  <a:schemeClr val="bg1"/>
                </a:solidFill>
              </a:ln>
              <a:effectLst/>
            </c:spPr>
          </c:dPt>
          <c:dPt>
            <c:idx val="4"/>
            <c:bubble3D val="false"/>
            <c:spPr>
              <a:solidFill>
                <a:schemeClr val="accent5"/>
              </a:solidFill>
              <a:ln>
                <a:solidFill>
                  <a:schemeClr val="bg1"/>
                </a:solidFill>
              </a:ln>
              <a:effectLst/>
            </c:spPr>
          </c:dPt>
          <c:dLbls>
            <c:dLbl>
              <c:idx val="2"/>
              <c:layout>
                <c:manualLayout>
                  <c:x val="0.0725516751217865"/>
                  <c:y val="0.024165117143118"/>
                </c:manualLayout>
              </c:layout>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dLbl>
              <c:idx val="3"/>
              <c:layout>
                <c:manualLayout>
                  <c:x val="0.10506125619751"/>
                  <c:y val="0.0554034957225155"/>
                </c:manualLayout>
              </c:layout>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dLbl>
              <c:idx val="4"/>
              <c:layout>
                <c:manualLayout>
                  <c:x val="0.0393813302030604"/>
                  <c:y val="-0.0100483451105079"/>
                </c:manualLayout>
              </c:layout>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[表格.xlsx]Sheet2!$A$13:$A$17</c:f>
              <c:strCache>
                <c:ptCount val="5"/>
                <c:pt idx="0">
                  <c:v>基本支出</c:v>
                </c:pt>
                <c:pt idx="1">
                  <c:v>项目支出</c:v>
                </c:pt>
                <c:pt idx="2">
                  <c:v>上缴上级支出</c:v>
                </c:pt>
                <c:pt idx="3">
                  <c:v>经营支出</c:v>
                </c:pt>
                <c:pt idx="4">
                  <c:v>对附属单位补助支出</c:v>
                </c:pt>
              </c:strCache>
            </c:strRef>
          </c:cat>
          <c:val>
            <c:numRef>
              <c:f>[表格.xlsx]Sheet2!$B$13:$B$17</c:f>
              <c:numCache>
                <c:formatCode>General</c:formatCode>
                <c:ptCount val="5"/>
                <c:pt idx="0">
                  <c:v>2471.27</c:v>
                </c:pt>
                <c:pt idx="1">
                  <c:v>186.76</c:v>
                </c:pt>
                <c:pt idx="2">
                  <c:v>0</c:v>
                </c:pt>
                <c:pt idx="3">
                  <c:v>0</c:v>
                </c:pt>
                <c:pt idx="4">
                  <c:v>0</c:v>
                </c:pt>
              </c:numCache>
            </c:numRef>
          </c:val>
        </c:ser>
        <c:ser>
          <c:idx val="1"/>
          <c:order val="1"/>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Pt>
            <c:idx val="3"/>
            <c:bubble3D val="false"/>
            <c:spPr>
              <a:solidFill>
                <a:schemeClr val="accent4"/>
              </a:solidFill>
              <a:ln>
                <a:solidFill>
                  <a:schemeClr val="bg1"/>
                </a:solidFill>
              </a:ln>
              <a:effectLst/>
            </c:spPr>
          </c:dPt>
          <c:dPt>
            <c:idx val="4"/>
            <c:bubble3D val="false"/>
            <c:spPr>
              <a:solidFill>
                <a:schemeClr val="accent5"/>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[表格.xlsx]Sheet2!$A$13:$A$17</c:f>
              <c:strCache>
                <c:ptCount val="5"/>
                <c:pt idx="0">
                  <c:v>基本支出</c:v>
                </c:pt>
                <c:pt idx="1">
                  <c:v>项目支出</c:v>
                </c:pt>
                <c:pt idx="2">
                  <c:v>上缴上级支出</c:v>
                </c:pt>
                <c:pt idx="3">
                  <c:v>经营支出</c:v>
                </c:pt>
                <c:pt idx="4">
                  <c:v>对附属单位补助支出</c:v>
                </c:pt>
              </c:strCache>
            </c:strRef>
          </c:cat>
          <c:val>
            <c:numRef>
              <c:f>[表格.xlsx]Sheet2!$C$13:$C$17</c:f>
              <c:numCache>
                <c:formatCode>0%</c:formatCode>
                <c:ptCount val="5"/>
                <c:pt idx="0">
                  <c:v>0.93</c:v>
                </c:pt>
                <c:pt idx="1">
                  <c:v>0.07</c:v>
                </c:pt>
                <c:pt idx="2">
                  <c:v>0</c:v>
                </c:pt>
                <c:pt idx="3">
                  <c:v>0</c:v>
                </c:pt>
                <c:pt idx="4">
                  <c:v>0</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t"/>
      <c:layout>
        <c:manualLayout>
          <c:xMode val="edge"/>
          <c:yMode val="edge"/>
          <c:x val="0.0946874587022598"/>
          <c:y val="0.211974711788769"/>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财政拨款收、支决算总计变动情况</a:t>
            </a:r>
          </a:p>
          <a:p>
            <a:pPr defTabSz="914400">
              <a:defRPr lang="zh-CN" sz="1400" b="1" i="0" u="none" strike="noStrike" kern="1200" baseline="0">
                <a:solidFill>
                  <a:schemeClr val="tx1">
                    <a:lumMod val="75000"/>
                    <a:lumOff val="25000"/>
                  </a:schemeClr>
                </a:solidFill>
                <a:latin typeface="+mn-lt"/>
                <a:ea typeface="+mn-ea"/>
                <a:cs typeface="+mn-cs"/>
              </a:defRPr>
            </a:pPr>
          </a:p>
        </c:rich>
      </c:tx>
      <c:layout/>
      <c:overlay val="false"/>
      <c:spPr>
        <a:noFill/>
        <a:ln>
          <a:noFill/>
        </a:ln>
        <a:effectLst/>
      </c:spPr>
    </c:title>
    <c:autoTitleDeleted val="false"/>
    <c:plotArea>
      <c:layout/>
      <c:barChart>
        <c:barDir val="col"/>
        <c:grouping val="clustered"/>
        <c:varyColors val="false"/>
        <c:ser>
          <c:idx val="0"/>
          <c:order val="0"/>
          <c:spPr>
            <a:solidFill>
              <a:schemeClr val="accent1"/>
            </a:solidFill>
            <a:ln>
              <a:noFill/>
            </a:ln>
            <a:effectLst/>
          </c:spPr>
          <c:invertIfNegative val="false"/>
          <c:dLbls>
            <c:delete val="true"/>
          </c:dLbls>
          <c:cat>
            <c:strRef>
              <c:f>[表格.xlsx]Sheet1!$A$1:$A$2</c:f>
              <c:strCache>
                <c:ptCount val="2"/>
                <c:pt idx="0">
                  <c:v>2024年</c:v>
                </c:pt>
                <c:pt idx="1">
                  <c:v>2025年</c:v>
                </c:pt>
              </c:strCache>
            </c:strRef>
          </c:cat>
          <c:val>
            <c:numRef>
              <c:f>[表格.xlsx]Sheet1!$B$1:$B$2</c:f>
              <c:numCache>
                <c:formatCode>General</c:formatCode>
                <c:ptCount val="2"/>
                <c:pt idx="0">
                  <c:v>2334.13</c:v>
                </c:pt>
                <c:pt idx="1">
                  <c:v>2676.11</c:v>
                </c:pt>
              </c:numCache>
            </c:numRef>
          </c:val>
        </c:ser>
        <c:dLbls>
          <c:showLegendKey val="false"/>
          <c:showVal val="false"/>
          <c:showCatName val="false"/>
          <c:showSerName val="false"/>
          <c:showPercent val="false"/>
          <c:showBubbleSize val="false"/>
        </c:dLbls>
        <c:gapWidth val="246"/>
        <c:overlap val="-28"/>
        <c:axId val="478764430"/>
        <c:axId val="155448639"/>
      </c:barChart>
      <c:catAx>
        <c:axId val="478764430"/>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55448639"/>
        <c:crosses val="autoZero"/>
        <c:auto val="true"/>
        <c:lblAlgn val="ctr"/>
        <c:lblOffset val="100"/>
        <c:noMultiLvlLbl val="false"/>
      </c:catAx>
      <c:valAx>
        <c:axId val="155448639"/>
        <c:scaling>
          <c:orientation val="minMax"/>
        </c:scaling>
        <c:delete val="false"/>
        <c:axPos val="l"/>
        <c:majorGridlines>
          <c:spPr>
            <a:ln w="9525" cap="flat" cmpd="sng" algn="ctr">
              <a:solidFill>
                <a:schemeClr val="lt1">
                  <a:lumMod val="90200"/>
                </a:schemeClr>
              </a:solidFill>
              <a:round/>
            </a:ln>
            <a:effectLst/>
          </c:spPr>
        </c:majorGridlines>
        <c:title>
          <c:tx>
            <c:rich>
              <a:bodyPr rot="-5400000" spcFirstLastPara="0" vertOverflow="ellipsis" vert="horz" wrap="square" anchor="ctr" anchorCtr="true"/>
              <a:lstStyle/>
              <a:p>
                <a:pPr defTabSz="914400">
                  <a:defRPr lang="zh-CN" sz="1000" b="0" i="0" u="none" strike="noStrike" kern="1200" baseline="0">
                    <a:solidFill>
                      <a:schemeClr val="tx1">
                        <a:lumMod val="65000"/>
                        <a:lumOff val="35000"/>
                      </a:schemeClr>
                    </a:solidFill>
                    <a:latin typeface="+mn-lt"/>
                    <a:ea typeface="+mn-ea"/>
                    <a:cs typeface="+mn-cs"/>
                  </a:defRPr>
                </a:pPr>
                <a:r>
                  <a:t>万元</a:t>
                </a:r>
              </a:p>
            </c:rich>
          </c:tx>
          <c:layout/>
          <c:overlay val="false"/>
          <c:spPr>
            <a:noFill/>
            <a:ln>
              <a:noFill/>
            </a:ln>
            <a:effectLst/>
          </c:spPr>
        </c:title>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478764430"/>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一般公共预算财政拨款支出决算变动情况</a:t>
            </a:r>
          </a:p>
        </c:rich>
      </c:tx>
      <c:layout/>
      <c:overlay val="false"/>
      <c:spPr>
        <a:noFill/>
        <a:ln>
          <a:noFill/>
        </a:ln>
        <a:effectLst/>
      </c:spPr>
    </c:title>
    <c:autoTitleDeleted val="false"/>
    <c:plotArea>
      <c:layout/>
      <c:barChart>
        <c:barDir val="col"/>
        <c:grouping val="clustered"/>
        <c:varyColors val="false"/>
        <c:ser>
          <c:idx val="0"/>
          <c:order val="0"/>
          <c:spPr>
            <a:solidFill>
              <a:schemeClr val="accent1"/>
            </a:solidFill>
            <a:ln>
              <a:noFill/>
            </a:ln>
            <a:effectLst/>
          </c:spPr>
          <c:invertIfNegative val="false"/>
          <c:dLbls>
            <c:delete val="true"/>
          </c:dLbls>
          <c:cat>
            <c:strRef>
              <c:f>[表格.xlsx]Sheet1!$A$1:$A$2</c:f>
              <c:strCache>
                <c:ptCount val="2"/>
                <c:pt idx="0">
                  <c:v>2024年</c:v>
                </c:pt>
                <c:pt idx="1">
                  <c:v>2025年</c:v>
                </c:pt>
              </c:strCache>
            </c:strRef>
          </c:cat>
          <c:val>
            <c:numRef>
              <c:f>[表格.xlsx]Sheet1!$B$1:$B$2</c:f>
              <c:numCache>
                <c:formatCode>General</c:formatCode>
                <c:ptCount val="2"/>
                <c:pt idx="0">
                  <c:v>2334.13</c:v>
                </c:pt>
                <c:pt idx="1">
                  <c:v>2658.04</c:v>
                </c:pt>
              </c:numCache>
            </c:numRef>
          </c:val>
        </c:ser>
        <c:dLbls>
          <c:showLegendKey val="false"/>
          <c:showVal val="false"/>
          <c:showCatName val="false"/>
          <c:showSerName val="false"/>
          <c:showPercent val="false"/>
          <c:showBubbleSize val="false"/>
        </c:dLbls>
        <c:gapWidth val="246"/>
        <c:overlap val="-28"/>
        <c:axId val="478764430"/>
        <c:axId val="155448639"/>
      </c:barChart>
      <c:catAx>
        <c:axId val="478764430"/>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55448639"/>
        <c:crosses val="autoZero"/>
        <c:auto val="true"/>
        <c:lblAlgn val="ctr"/>
        <c:lblOffset val="100"/>
        <c:noMultiLvlLbl val="false"/>
      </c:catAx>
      <c:valAx>
        <c:axId val="155448639"/>
        <c:scaling>
          <c:orientation val="minMax"/>
        </c:scaling>
        <c:delete val="false"/>
        <c:axPos val="l"/>
        <c:majorGridlines>
          <c:spPr>
            <a:ln w="9525" cap="flat" cmpd="sng" algn="ctr">
              <a:solidFill>
                <a:schemeClr val="lt1">
                  <a:lumMod val="90200"/>
                </a:schemeClr>
              </a:solidFill>
              <a:round/>
            </a:ln>
            <a:effectLst/>
          </c:spPr>
        </c:majorGridlines>
        <c:title>
          <c:tx>
            <c:rich>
              <a:bodyPr rot="-5400000" spcFirstLastPara="0" vertOverflow="ellipsis" vert="horz" wrap="square" anchor="ctr" anchorCtr="true"/>
              <a:lstStyle/>
              <a:p>
                <a:pPr defTabSz="914400">
                  <a:defRPr lang="zh-CN" sz="1000" b="0" i="0" u="none" strike="noStrike" kern="1200" baseline="0">
                    <a:solidFill>
                      <a:schemeClr val="tx1">
                        <a:lumMod val="65000"/>
                        <a:lumOff val="35000"/>
                      </a:schemeClr>
                    </a:solidFill>
                    <a:latin typeface="+mn-lt"/>
                    <a:ea typeface="+mn-ea"/>
                    <a:cs typeface="+mn-cs"/>
                  </a:defRPr>
                </a:pPr>
                <a:r>
                  <a:t>万元</a:t>
                </a:r>
              </a:p>
            </c:rich>
          </c:tx>
          <c:layout/>
          <c:overlay val="false"/>
          <c:spPr>
            <a:noFill/>
            <a:ln>
              <a:noFill/>
            </a:ln>
            <a:effectLst/>
          </c:spPr>
        </c:title>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478764430"/>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一般公共预算财政拨款支出决算结构</a:t>
            </a:r>
          </a:p>
        </c:rich>
      </c:tx>
      <c:layout/>
      <c:overlay val="false"/>
      <c:spPr>
        <a:noFill/>
        <a:ln>
          <a:noFill/>
        </a:ln>
        <a:effectLst/>
      </c:spPr>
    </c:title>
    <c:autoTitleDeleted val="false"/>
    <c:plotArea>
      <c:layout/>
      <c:pieChart>
        <c:varyColors val="true"/>
        <c:ser>
          <c:idx val="0"/>
          <c:order val="0"/>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Pt>
            <c:idx val="3"/>
            <c:bubble3D val="false"/>
            <c:spPr>
              <a:solidFill>
                <a:schemeClr val="accent4"/>
              </a:solidFill>
              <a:ln>
                <a:solidFill>
                  <a:schemeClr val="bg1"/>
                </a:solidFill>
              </a:ln>
              <a:effectLst/>
            </c:spPr>
          </c:dPt>
          <c:dPt>
            <c:idx val="4"/>
            <c:bubble3D val="false"/>
            <c:spPr>
              <a:solidFill>
                <a:schemeClr val="accent5"/>
              </a:solidFill>
              <a:ln>
                <a:solidFill>
                  <a:schemeClr val="bg1"/>
                </a:solidFill>
              </a:ln>
              <a:effectLst/>
            </c:spPr>
          </c:dPt>
          <c:dPt>
            <c:idx val="5"/>
            <c:bubble3D val="false"/>
            <c:spPr>
              <a:solidFill>
                <a:schemeClr val="accent6"/>
              </a:solidFill>
              <a:ln>
                <a:solidFill>
                  <a:schemeClr val="bg1"/>
                </a:solidFill>
              </a:ln>
              <a:effectLst/>
            </c:spPr>
          </c:dPt>
          <c:dPt>
            <c:idx val="6"/>
            <c:bubble3D val="false"/>
            <c:spPr>
              <a:solidFill>
                <a:schemeClr val="accent1">
                  <a:lumMod val="60000"/>
                </a:schemeClr>
              </a:solidFill>
              <a:ln>
                <a:solidFill>
                  <a:schemeClr val="bg1"/>
                </a:solidFill>
              </a:ln>
              <a:effectLst/>
            </c:spPr>
          </c:dPt>
          <c:dPt>
            <c:idx val="7"/>
            <c:bubble3D val="false"/>
            <c:spPr>
              <a:solidFill>
                <a:schemeClr val="accent2">
                  <a:lumMod val="60000"/>
                </a:schemeClr>
              </a:solidFill>
              <a:ln>
                <a:solidFill>
                  <a:schemeClr val="bg1"/>
                </a:solidFill>
              </a:ln>
              <a:effectLst/>
            </c:spPr>
          </c:dPt>
          <c:dLbls>
            <c:dLbl>
              <c:idx val="0"/>
              <c:layout>
                <c:manualLayout>
                  <c:x val="0.0396246863257589"/>
                  <c:y val="-0.00956077155520384"/>
                </c:manualLayout>
              </c:layout>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dLbl>
              <c:idx val="1"/>
              <c:layout>
                <c:manualLayout>
                  <c:x val="0.0749316102571821"/>
                  <c:y val="0.0192557281873117"/>
                </c:manualLayout>
              </c:layout>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dLbl>
              <c:idx val="2"/>
              <c:layout>
                <c:manualLayout>
                  <c:x val="-0.00663478511836813"/>
                  <c:y val="0.093532444558892"/>
                </c:manualLayout>
              </c:layout>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dLbl>
              <c:idx val="3"/>
              <c:layout>
                <c:manualLayout>
                  <c:x val="0.0499849988752981"/>
                  <c:y val="0.048092925842479"/>
                </c:manualLayout>
              </c:layout>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[表格.xlsx]Sheet2!$A$13:$A$20</c:f>
              <c:strCache>
                <c:ptCount val="8"/>
                <c:pt idx="0">
                  <c:v>一般公共服务支出</c:v>
                </c:pt>
                <c:pt idx="1">
                  <c:v>教育支出</c:v>
                </c:pt>
                <c:pt idx="2">
                  <c:v>科学技术支出</c:v>
                </c:pt>
                <c:pt idx="3">
                  <c:v>文化旅游体育与传媒支出</c:v>
                </c:pt>
                <c:pt idx="4">
                  <c:v>社会保障和就业支出</c:v>
                </c:pt>
                <c:pt idx="5">
                  <c:v>卫生健康支出</c:v>
                </c:pt>
                <c:pt idx="6">
                  <c:v>住房保障支出</c:v>
                </c:pt>
                <c:pt idx="7">
                  <c:v>资源勘探工业信息等支出</c:v>
                </c:pt>
              </c:strCache>
            </c:strRef>
          </c:cat>
          <c:val>
            <c:numRef>
              <c:f>[表格.xlsx]Sheet2!$B$13:$B$20</c:f>
              <c:numCache>
                <c:formatCode>General</c:formatCode>
                <c:ptCount val="8"/>
                <c:pt idx="0">
                  <c:v>0</c:v>
                </c:pt>
                <c:pt idx="1">
                  <c:v>3</c:v>
                </c:pt>
                <c:pt idx="2">
                  <c:v>84.97</c:v>
                </c:pt>
                <c:pt idx="3">
                  <c:v>0</c:v>
                </c:pt>
                <c:pt idx="4">
                  <c:v>250.99</c:v>
                </c:pt>
                <c:pt idx="5">
                  <c:v>103.23</c:v>
                </c:pt>
                <c:pt idx="6">
                  <c:v>288.74</c:v>
                </c:pt>
                <c:pt idx="7">
                  <c:v>1927.11</c:v>
                </c:pt>
              </c:numCache>
            </c:numRef>
          </c:val>
        </c:ser>
        <c:ser>
          <c:idx val="1"/>
          <c:order val="1"/>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Pt>
            <c:idx val="3"/>
            <c:bubble3D val="false"/>
            <c:spPr>
              <a:solidFill>
                <a:schemeClr val="accent4"/>
              </a:solidFill>
              <a:ln>
                <a:solidFill>
                  <a:schemeClr val="bg1"/>
                </a:solidFill>
              </a:ln>
              <a:effectLst/>
            </c:spPr>
          </c:dPt>
          <c:dPt>
            <c:idx val="4"/>
            <c:bubble3D val="false"/>
            <c:spPr>
              <a:solidFill>
                <a:schemeClr val="accent5"/>
              </a:solidFill>
              <a:ln>
                <a:solidFill>
                  <a:schemeClr val="bg1"/>
                </a:solidFill>
              </a:ln>
              <a:effectLst/>
            </c:spPr>
          </c:dPt>
          <c:dPt>
            <c:idx val="5"/>
            <c:bubble3D val="false"/>
            <c:spPr>
              <a:solidFill>
                <a:schemeClr val="accent6"/>
              </a:solidFill>
              <a:ln>
                <a:solidFill>
                  <a:schemeClr val="bg1"/>
                </a:solidFill>
              </a:ln>
              <a:effectLst/>
            </c:spPr>
          </c:dPt>
          <c:dPt>
            <c:idx val="6"/>
            <c:bubble3D val="false"/>
            <c:spPr>
              <a:solidFill>
                <a:schemeClr val="accent1">
                  <a:lumMod val="60000"/>
                </a:schemeClr>
              </a:solidFill>
              <a:ln>
                <a:solidFill>
                  <a:schemeClr val="bg1"/>
                </a:solidFill>
              </a:ln>
              <a:effectLst/>
            </c:spPr>
          </c:dPt>
          <c:dPt>
            <c:idx val="7"/>
            <c:bubble3D val="false"/>
            <c:spPr>
              <a:solidFill>
                <a:schemeClr val="accent2">
                  <a:lumMod val="60000"/>
                </a:schemeClr>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[表格.xlsx]Sheet2!$A$13:$A$20</c:f>
              <c:strCache>
                <c:ptCount val="8"/>
                <c:pt idx="0">
                  <c:v>一般公共服务支出</c:v>
                </c:pt>
                <c:pt idx="1">
                  <c:v>教育支出</c:v>
                </c:pt>
                <c:pt idx="2">
                  <c:v>科学技术支出</c:v>
                </c:pt>
                <c:pt idx="3">
                  <c:v>文化旅游体育与传媒支出</c:v>
                </c:pt>
                <c:pt idx="4">
                  <c:v>社会保障和就业支出</c:v>
                </c:pt>
                <c:pt idx="5">
                  <c:v>卫生健康支出</c:v>
                </c:pt>
                <c:pt idx="6">
                  <c:v>住房保障支出</c:v>
                </c:pt>
                <c:pt idx="7">
                  <c:v>资源勘探工业信息等支出</c:v>
                </c:pt>
              </c:strCache>
            </c:strRef>
          </c:cat>
          <c:val>
            <c:numRef>
              <c:f>[表格.xlsx]Sheet2!$C$13:$C$20</c:f>
              <c:numCache>
                <c:formatCode>0%</c:formatCode>
                <c:ptCount val="8"/>
                <c:pt idx="0">
                  <c:v>0</c:v>
                </c:pt>
                <c:pt idx="1" c:formatCode="0.00%">
                  <c:v>0.001</c:v>
                </c:pt>
                <c:pt idx="2" c:formatCode="0.00%">
                  <c:v>0.032</c:v>
                </c:pt>
                <c:pt idx="3">
                  <c:v>0</c:v>
                </c:pt>
                <c:pt idx="4" c:formatCode="0.00%">
                  <c:v>0.094</c:v>
                </c:pt>
                <c:pt idx="5" c:formatCode="0.00%">
                  <c:v>0.039</c:v>
                </c:pt>
                <c:pt idx="6" c:formatCode="0.00%">
                  <c:v>0.109</c:v>
                </c:pt>
                <c:pt idx="7" c:formatCode="0.00%">
                  <c:v>0.725</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“三公”经费财政拨款支出结构</a:t>
            </a:r>
          </a:p>
        </c:rich>
      </c:tx>
      <c:layout/>
      <c:overlay val="false"/>
      <c:spPr>
        <a:noFill/>
        <a:ln>
          <a:noFill/>
        </a:ln>
        <a:effectLst/>
      </c:spPr>
    </c:title>
    <c:autoTitleDeleted val="false"/>
    <c:plotArea>
      <c:layout/>
      <c:pieChart>
        <c:varyColors val="true"/>
        <c:ser>
          <c:idx val="0"/>
          <c:order val="0"/>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Pt>
            <c:idx val="3"/>
            <c:bubble3D val="false"/>
            <c:spPr>
              <a:solidFill>
                <a:schemeClr val="accent4"/>
              </a:solidFill>
              <a:ln>
                <a:solidFill>
                  <a:schemeClr val="bg1"/>
                </a:solidFill>
              </a:ln>
              <a:effectLst/>
            </c:spPr>
          </c:dPt>
          <c:dPt>
            <c:idx val="4"/>
            <c:bubble3D val="false"/>
            <c:spPr>
              <a:solidFill>
                <a:schemeClr val="accent5"/>
              </a:solidFill>
              <a:ln>
                <a:solidFill>
                  <a:schemeClr val="bg1"/>
                </a:solidFill>
              </a:ln>
              <a:effectLst/>
            </c:spPr>
          </c:dPt>
          <c:dPt>
            <c:idx val="5"/>
            <c:bubble3D val="false"/>
            <c:spPr>
              <a:solidFill>
                <a:schemeClr val="accent6"/>
              </a:solidFill>
              <a:ln>
                <a:solidFill>
                  <a:schemeClr val="bg1"/>
                </a:solidFill>
              </a:ln>
              <a:effectLst/>
            </c:spPr>
          </c:dPt>
          <c:dPt>
            <c:idx val="6"/>
            <c:bubble3D val="false"/>
            <c:spPr>
              <a:solidFill>
                <a:schemeClr val="accent1">
                  <a:lumMod val="60000"/>
                </a:schemeClr>
              </a:solidFill>
              <a:ln>
                <a:solidFill>
                  <a:schemeClr val="bg1"/>
                </a:solidFill>
              </a:ln>
              <a:effectLst/>
            </c:spPr>
          </c:dPt>
          <c:dPt>
            <c:idx val="7"/>
            <c:bubble3D val="false"/>
            <c:spPr>
              <a:solidFill>
                <a:schemeClr val="accent2">
                  <a:lumMod val="60000"/>
                </a:schemeClr>
              </a:solidFill>
              <a:ln>
                <a:solidFill>
                  <a:schemeClr val="bg1"/>
                </a:solidFill>
              </a:ln>
              <a:effectLst/>
            </c:spPr>
          </c:dPt>
          <c:dLbls>
            <c:dLbl>
              <c:idx val="0"/>
              <c:layout>
                <c:manualLayout>
                  <c:x val="0.0505875710173452"/>
                  <c:y val="0.0120520567041501"/>
                </c:manualLayout>
              </c:layout>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dLbl>
              <c:idx val="1"/>
              <c:layout>
                <c:manualLayout>
                  <c:x val="0.00122932522218013"/>
                  <c:y val="-0.0915640250987684"/>
                </c:manualLayout>
              </c:layout>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dLbl>
              <c:idx val="2"/>
              <c:layout>
                <c:manualLayout>
                  <c:x val="-0.0559017247564609"/>
                  <c:y val="0.0117290515772513"/>
                </c:manualLayout>
              </c:layout>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dLbl>
              <c:idx val="3"/>
              <c:layout>
                <c:manualLayout>
                  <c:x val="0.0499849988752981"/>
                  <c:y val="0.048092925842479"/>
                </c:manualLayout>
              </c:layout>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[表格.xlsx]Sheet2!$A$13:$A$20</c:f>
              <c:strCache>
                <c:ptCount val="8"/>
                <c:pt idx="0">
                  <c:v>因公出国（境）费支出</c:v>
                </c:pt>
                <c:pt idx="1">
                  <c:v>公务用车购置及运行维护费支出</c:v>
                </c:pt>
                <c:pt idx="2">
                  <c:v>公务接待费支出</c:v>
                </c:pt>
              </c:strCache>
            </c:strRef>
          </c:cat>
          <c:val>
            <c:numRef>
              <c:f>[表格.xlsx]Sheet2!$B$13:$B$20</c:f>
              <c:numCache>
                <c:formatCode>General</c:formatCode>
                <c:ptCount val="8"/>
                <c:pt idx="0">
                  <c:v>0</c:v>
                </c:pt>
                <c:pt idx="1">
                  <c:v>47.81</c:v>
                </c:pt>
                <c:pt idx="2">
                  <c:v>0</c:v>
                </c:pt>
              </c:numCache>
            </c:numRef>
          </c:val>
        </c:ser>
        <c:ser>
          <c:idx val="1"/>
          <c:order val="1"/>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Pt>
            <c:idx val="3"/>
            <c:bubble3D val="false"/>
            <c:spPr>
              <a:solidFill>
                <a:schemeClr val="accent4"/>
              </a:solidFill>
              <a:ln>
                <a:solidFill>
                  <a:schemeClr val="bg1"/>
                </a:solidFill>
              </a:ln>
              <a:effectLst/>
            </c:spPr>
          </c:dPt>
          <c:dPt>
            <c:idx val="4"/>
            <c:bubble3D val="false"/>
            <c:spPr>
              <a:solidFill>
                <a:schemeClr val="accent5"/>
              </a:solidFill>
              <a:ln>
                <a:solidFill>
                  <a:schemeClr val="bg1"/>
                </a:solidFill>
              </a:ln>
              <a:effectLst/>
            </c:spPr>
          </c:dPt>
          <c:dPt>
            <c:idx val="5"/>
            <c:bubble3D val="false"/>
            <c:spPr>
              <a:solidFill>
                <a:schemeClr val="accent6"/>
              </a:solidFill>
              <a:ln>
                <a:solidFill>
                  <a:schemeClr val="bg1"/>
                </a:solidFill>
              </a:ln>
              <a:effectLst/>
            </c:spPr>
          </c:dPt>
          <c:dPt>
            <c:idx val="6"/>
            <c:bubble3D val="false"/>
            <c:spPr>
              <a:solidFill>
                <a:schemeClr val="accent1">
                  <a:lumMod val="60000"/>
                </a:schemeClr>
              </a:solidFill>
              <a:ln>
                <a:solidFill>
                  <a:schemeClr val="bg1"/>
                </a:solidFill>
              </a:ln>
              <a:effectLst/>
            </c:spPr>
          </c:dPt>
          <c:dPt>
            <c:idx val="7"/>
            <c:bubble3D val="false"/>
            <c:spPr>
              <a:solidFill>
                <a:schemeClr val="accent2">
                  <a:lumMod val="60000"/>
                </a:schemeClr>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[表格.xlsx]Sheet2!$A$13:$A$20</c:f>
              <c:strCache>
                <c:ptCount val="8"/>
                <c:pt idx="0">
                  <c:v>因公出国（境）费支出</c:v>
                </c:pt>
                <c:pt idx="1">
                  <c:v>公务用车购置及运行维护费支出</c:v>
                </c:pt>
                <c:pt idx="2">
                  <c:v>公务接待费支出</c:v>
                </c:pt>
              </c:strCache>
            </c:strRef>
          </c:cat>
          <c:val>
            <c:numRef>
              <c:f>[表格.xlsx]Sheet2!$C$13:$C$20</c:f>
              <c:numCache>
                <c:formatCode>0%</c:formatCode>
                <c:ptCount val="8"/>
                <c:pt idx="0">
                  <c:v>0</c:v>
                </c:pt>
                <c:pt idx="1" c:formatCode="0.00%">
                  <c:v>1</c:v>
                </c:pt>
                <c:pt idx="2">
                  <c:v>0</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t"/>
      <c:legendEntry>
        <c:idx val="3"/>
        <c:delete val="true"/>
      </c:legendEntry>
      <c:legendEntry>
        <c:idx val="4"/>
        <c:delete val="true"/>
      </c:legendEntry>
      <c:legendEntry>
        <c:idx val="5"/>
        <c:delete val="true"/>
      </c:legendEntry>
      <c:legendEntry>
        <c:idx val="6"/>
        <c:delete val="true"/>
      </c:legendEntry>
      <c:legendEntry>
        <c:idx val="7"/>
        <c:delete val="true"/>
      </c:legendEntry>
      <c:layout>
        <c:manualLayout>
          <c:xMode val="edge"/>
          <c:yMode val="edge"/>
          <c:x val="0.0811649716021662"/>
          <c:y val="0.139437601673251"/>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21</Pages>
  <Words>7787</Words>
  <Characters>8771</Characters>
  <TotalTime>18</TotalTime>
  <ScaleCrop>false</ScaleCrop>
  <LinksUpToDate>false</LinksUpToDate>
  <CharactersWithSpaces>8819</CharactersWithSpaces>
  <Application>WPS Office_11.8.2.9793_F1E327BC-269C-435d-A152-05C5408002CA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2025-08-27T22:45:00Z</dcterms:created>
  <dc:creator>MT</dc:creator>
  <cp:lastModifiedBy>user</cp:lastModifiedBy>
  <dcterms:modified xsi:type="dcterms:W3CDTF">2025-09-10T15:05:12Z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2025-08-26T14:45:14Z</vt:filetime>
  </property>
  <property fmtid="{D5CDD505-2E9C-101B-9397-08002B2CF9AE}" pid="4" name="UsrData">
    <vt:lpwstr>68ad57f9ea88aa001f0d4022wl</vt:lpwstr>
  </property>
  <property fmtid="{D5CDD505-2E9C-101B-9397-08002B2CF9AE}" pid="5" name="KSOTemplateDocerSaveRecord">
    <vt:lpwstr>eyJoZGlkIjoiYzc2YjM4NjA2MTQ2YWM0MmE1MGE1MDEyMWI5MWI5NWIiLCJ1c2VySWQiOiIzMjk5MDM1NjYifQ==</vt:lpwstr>
  </property>
  <property fmtid="{D5CDD505-2E9C-101B-9397-08002B2CF9AE}" pid="6" name="KSOProductBuildVer">
    <vt:lpwstr>2052-11.8.2.9793</vt:lpwstr>
  </property>
  <property fmtid="{D5CDD505-2E9C-101B-9397-08002B2CF9AE}" pid="7" name="ICV">
    <vt:lpwstr>A0E2CE4BE6D34105AED2879DF03EFD59_13</vt:lpwstr>
  </property>
</Properties>
</file>