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highlight w:val="none"/>
        </w:rPr>
      </w:pPr>
      <w:bookmarkStart w:id="0" w:name="_Toc15377193"/>
      <w:bookmarkStart w:id="1" w:name="_Toc15396597"/>
      <w:bookmarkStart w:id="2" w:name="_Toc15377425"/>
      <w:bookmarkStart w:id="3" w:name="_Toc15396475"/>
      <w:bookmarkStart w:id="4" w:name="_Toc15378441"/>
      <w:bookmarkStart w:id="5" w:name="_Toc15306267"/>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8"/>
        <w:jc w:val="center"/>
        <w:rPr>
          <w:rFonts w:hint="eastAsia" w:ascii="Times New Roman" w:eastAsia="方正小标宋简体" w:cs="Times New Roman"/>
          <w:color w:val="auto"/>
          <w:kern w:val="2"/>
          <w:sz w:val="44"/>
          <w:szCs w:val="44"/>
          <w:highlight w:val="none"/>
          <w:lang w:val="en-US" w:eastAsia="zh-CN" w:bidi="ar-SA"/>
        </w:rPr>
      </w:pPr>
      <w:bookmarkStart w:id="6" w:name="_Toc15396598"/>
      <w:bookmarkStart w:id="7" w:name="_Toc15377194"/>
      <w:bookmarkStart w:id="8" w:name="_Toc15377426"/>
      <w:bookmarkStart w:id="9" w:name="_Toc15396476"/>
      <w:bookmarkStart w:id="10" w:name="_Toc15378442"/>
      <w:r>
        <w:rPr>
          <w:rFonts w:hint="eastAsia" w:ascii="Times New Roman" w:hAnsi="Times New Roman" w:eastAsia="方正小标宋简体" w:cs="Times New Roman"/>
          <w:b/>
          <w:bCs/>
          <w:color w:val="auto"/>
          <w:kern w:val="2"/>
          <w:sz w:val="44"/>
          <w:szCs w:val="44"/>
          <w:highlight w:val="none"/>
          <w:lang w:val="en-US" w:eastAsia="zh-CN" w:bidi="ar-SA"/>
        </w:rPr>
        <w:t>2024年度</w:t>
      </w:r>
      <w:r>
        <w:rPr>
          <w:rFonts w:hint="eastAsia" w:ascii="Times New Roman" w:hAnsi="Times New Roman" w:eastAsia="方正小标宋简体" w:cs="Times New Roman"/>
          <w:color w:val="auto"/>
          <w:kern w:val="2"/>
          <w:sz w:val="44"/>
          <w:szCs w:val="44"/>
          <w:highlight w:val="none"/>
          <w:lang w:val="en-US" w:eastAsia="zh-CN" w:bidi="ar-SA"/>
        </w:rPr>
        <w:t>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工业环境监测研究院</w:t>
      </w:r>
    </w:p>
    <w:p>
      <w:pPr>
        <w:pStyle w:val="8"/>
        <w:jc w:val="center"/>
        <w:rPr>
          <w:rFonts w:hint="eastAsia" w:ascii="Times New Roman" w:hAnsi="Times New Roman" w:eastAsia="方正小标宋简体" w:cs="Times New Roman"/>
          <w:b/>
          <w:bCs/>
          <w:color w:val="auto"/>
          <w:kern w:val="2"/>
          <w:sz w:val="44"/>
          <w:szCs w:val="44"/>
          <w:highlight w:val="none"/>
          <w:lang w:val="en-US" w:eastAsia="zh-CN" w:bidi="ar-SA"/>
        </w:rPr>
      </w:pPr>
      <w:r>
        <w:rPr>
          <w:rFonts w:hint="eastAsia" w:ascii="Times New Roman" w:eastAsia="方正小标宋简体" w:cs="Times New Roman"/>
          <w:b/>
          <w:bCs/>
          <w:color w:val="auto"/>
          <w:kern w:val="2"/>
          <w:sz w:val="44"/>
          <w:szCs w:val="44"/>
          <w:highlight w:val="none"/>
          <w:lang w:val="en-US" w:eastAsia="zh-CN" w:bidi="ar-SA"/>
        </w:rPr>
        <w:t>单位</w:t>
      </w:r>
      <w:r>
        <w:rPr>
          <w:rFonts w:hint="eastAsia" w:ascii="Times New Roman" w:hAnsi="Times New Roman" w:eastAsia="方正小标宋简体" w:cs="Times New Roman"/>
          <w:b/>
          <w:bCs/>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hint="eastAsia" w:ascii="Times New Roman" w:hAnsi="Times New Roman"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 xml:space="preserve">第一部分 </w:t>
      </w:r>
      <w:r>
        <w:rPr>
          <w:rFonts w:hint="eastAsia" w:ascii="Times New Roman" w:hAnsi="Times New Roman" w:eastAsia="黑体" w:cs="黑体"/>
          <w:color w:val="auto"/>
          <w:sz w:val="32"/>
          <w:szCs w:val="32"/>
          <w:highlight w:val="none"/>
          <w:lang w:val="en-US" w:eastAsia="zh-CN"/>
        </w:rPr>
        <w:t>单位</w:t>
      </w:r>
      <w:r>
        <w:rPr>
          <w:rFonts w:hint="eastAsia" w:ascii="Times New Roman" w:hAnsi="Times New Roman" w:eastAsia="黑体" w:cs="黑体"/>
          <w:color w:val="auto"/>
          <w:sz w:val="32"/>
          <w:szCs w:val="32"/>
          <w:highlight w:val="none"/>
        </w:rPr>
        <w:t>概况</w:t>
      </w:r>
      <w:r>
        <w:rPr>
          <w:rFonts w:hint="eastAsia" w:ascii="Times New Roman" w:hAnsi="Times New Roman" w:eastAsia="黑体" w:cs="黑体"/>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lang w:eastAsia="zh-CN"/>
        </w:rPr>
        <w:t>…………………………………………3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w:t>
      </w:r>
      <w:r>
        <w:rPr>
          <w:rFonts w:hint="eastAsia" w:eastAsia="仿宋_GB2312" w:cs="仿宋_GB2312"/>
          <w:color w:val="auto"/>
          <w:sz w:val="32"/>
          <w:szCs w:val="32"/>
          <w:highlight w:val="none"/>
          <w:lang w:val="en-US" w:eastAsia="zh-CN"/>
        </w:rPr>
        <w:t>主要</w:t>
      </w:r>
      <w:r>
        <w:rPr>
          <w:rFonts w:hint="eastAsia" w:ascii="Times New Roman" w:hAnsi="Times New Roman" w:eastAsia="仿宋_GB2312" w:cs="仿宋_GB2312"/>
          <w:color w:val="auto"/>
          <w:sz w:val="32"/>
          <w:szCs w:val="32"/>
          <w:highlight w:val="none"/>
          <w:lang w:eastAsia="zh-CN"/>
        </w:rPr>
        <w:t>职责……………………………………………3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二、机构设置</w:t>
      </w:r>
      <w:r>
        <w:rPr>
          <w:rFonts w:hint="eastAsia" w:ascii="Times New Roman" w:hAnsi="Times New Roman" w:eastAsia="仿宋_GB2312" w:cs="仿宋_GB2312"/>
          <w:color w:val="auto"/>
          <w:sz w:val="32"/>
          <w:szCs w:val="32"/>
          <w:highlight w:val="none"/>
          <w:lang w:eastAsia="zh-CN"/>
        </w:rPr>
        <w:t>……………………………………………3</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2024年度单位</w:t>
      </w:r>
      <w:r>
        <w:rPr>
          <w:rFonts w:hint="eastAsia" w:ascii="Times New Roman" w:hAnsi="Times New Roman" w:eastAsia="黑体" w:cs="黑体"/>
          <w:color w:val="auto"/>
          <w:sz w:val="32"/>
          <w:szCs w:val="32"/>
          <w:highlight w:val="none"/>
        </w:rPr>
        <w:t>决算情况说明</w:t>
      </w:r>
      <w:r>
        <w:rPr>
          <w:rFonts w:hint="eastAsia" w:ascii="Times New Roman" w:hAnsi="Times New Roman" w:eastAsia="黑体" w:cs="黑体"/>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一、收入支出决算总体情况说明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5</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6</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6</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9</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10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11</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11</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12</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lang w:eastAsia="zh-CN"/>
        </w:rPr>
        <w:t>3</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17</w:t>
      </w:r>
      <w:bookmarkStart w:id="67" w:name="_GoBack"/>
      <w:bookmarkEnd w:id="67"/>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FFFFFF" w:themeColor="background1"/>
          <w:sz w:val="32"/>
          <w:szCs w:val="32"/>
          <w:highlight w:val="none"/>
          <w:lang w:val="en-US" w:eastAsia="zh-CN"/>
          <w14:textFill>
            <w14:solidFill>
              <w14:schemeClr w14:val="bg1"/>
            </w14:solidFill>
          </w14:textFill>
        </w:rPr>
        <w:t>.</w:t>
      </w:r>
      <w:r>
        <w:rPr>
          <w:rFonts w:hint="eastAsia" w:ascii="Times New Roman" w:hAnsi="Times New Roman" w:eastAsia="仿宋_GB2312" w:cs="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36</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96599"/>
      <w:bookmarkStart w:id="13" w:name="_Toc15377196"/>
      <w:r>
        <w:rPr>
          <w:rFonts w:hint="eastAsia" w:ascii="Times New Roman" w:hAnsi="Times New Roman" w:eastAsia="仿宋_GB2312" w:cs="仿宋_GB2312"/>
          <w:b/>
          <w:color w:val="auto"/>
          <w:sz w:val="32"/>
          <w:szCs w:val="32"/>
          <w:highlight w:val="none"/>
        </w:rPr>
        <w:br w:type="page"/>
      </w:r>
    </w:p>
    <w:p>
      <w:pPr>
        <w:pStyle w:val="5"/>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eastAsia="方正小标宋简体" w:cs="方正小标宋简体"/>
          <w:b w:val="0"/>
          <w:bCs w:val="0"/>
          <w:color w:val="auto"/>
          <w:highlight w:val="none"/>
          <w:lang w:val="en-US" w:eastAsia="zh-CN"/>
        </w:rPr>
        <w:t>单位</w:t>
      </w:r>
      <w:r>
        <w:rPr>
          <w:rStyle w:val="28"/>
          <w:rFonts w:hint="eastAsia" w:ascii="Times New Roman" w:hAnsi="Times New Roman" w:eastAsia="方正小标宋简体" w:cs="方正小标宋简体"/>
          <w:b w:val="0"/>
          <w:bCs w:val="0"/>
          <w:color w:val="auto"/>
          <w:highlight w:val="none"/>
        </w:rPr>
        <w:t>概况</w:t>
      </w:r>
      <w:bookmarkEnd w:id="12"/>
      <w:bookmarkEnd w:id="13"/>
    </w:p>
    <w:p>
      <w:pPr>
        <w:widowControl/>
        <w:jc w:val="left"/>
        <w:rPr>
          <w:rFonts w:ascii="Times New Roman" w:hAnsi="Times New Roman" w:eastAsia="黑体"/>
          <w:color w:val="auto"/>
          <w:sz w:val="32"/>
          <w:szCs w:val="32"/>
          <w:highlight w:val="none"/>
        </w:rPr>
      </w:pPr>
    </w:p>
    <w:p>
      <w:pPr>
        <w:pStyle w:val="6"/>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val="en-US" w:eastAsia="zh-CN"/>
        </w:rPr>
        <w:t>主要</w:t>
      </w:r>
      <w:r>
        <w:rPr>
          <w:rFonts w:hint="eastAsia" w:ascii="Times New Roman" w:hAnsi="Times New Roman" w:eastAsia="黑体"/>
          <w:b w:val="0"/>
          <w:color w:val="auto"/>
          <w:highlight w:val="none"/>
          <w:lang w:eastAsia="zh-CN"/>
        </w:rPr>
        <w:t>职责</w:t>
      </w:r>
    </w:p>
    <w:p>
      <w:pPr>
        <w:ind w:firstLine="800" w:firstLineChars="250"/>
        <w:rPr>
          <w:rFonts w:hint="eastAsia"/>
          <w:lang w:eastAsia="zh-CN"/>
        </w:rPr>
      </w:pPr>
      <w:r>
        <w:rPr>
          <w:rFonts w:hint="eastAsia" w:eastAsia="仿宋_GB2312" w:cs="仿宋_GB2312"/>
          <w:color w:val="auto"/>
          <w:sz w:val="32"/>
          <w:szCs w:val="32"/>
          <w:highlight w:val="none"/>
          <w:lang w:val="en" w:eastAsia="zh-CN"/>
        </w:rPr>
        <w:t>我院为省属公益二类事业单位，主要开展环境影响评价、节能评估、工业环境监测、污染治理、工程技术与设计服务、技术推广服务、工业节能技术的科学研究及咨询培训工作，承担工业环境监测、咨询、设计、治理和冶金、有色等工业产品的质量检验、检测工作。</w:t>
      </w:r>
    </w:p>
    <w:p>
      <w:pPr>
        <w:pStyle w:val="6"/>
        <w:rPr>
          <w:rStyle w:val="29"/>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4"/>
      <w:bookmarkEnd w:id="15"/>
    </w:p>
    <w:p>
      <w:pPr>
        <w:ind w:firstLine="800" w:firstLineChars="250"/>
        <w:rPr>
          <w:rFonts w:hint="eastAsia" w:ascii="Times New Roman" w:hAnsi="Times New Roman" w:eastAsia="仿宋_GB2312" w:cs="仿宋_GB2312"/>
          <w:color w:val="auto"/>
          <w:sz w:val="32"/>
          <w:szCs w:val="32"/>
          <w:highlight w:val="yellow"/>
        </w:rPr>
      </w:pPr>
      <w:r>
        <w:rPr>
          <w:rFonts w:hint="eastAsia" w:ascii="Times New Roman" w:hAnsi="Times New Roman" w:eastAsia="仿宋_GB2312" w:cs="仿宋_GB2312"/>
          <w:color w:val="auto"/>
          <w:sz w:val="32"/>
          <w:szCs w:val="32"/>
          <w:highlight w:val="none"/>
        </w:rPr>
        <w:t>我院由1</w:t>
      </w:r>
      <w:r>
        <w:rPr>
          <w:rFonts w:hint="eastAsia" w:eastAsia="仿宋_GB2312"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rPr>
        <w:t>个内设室所组成，分别是：党委办公室、院办公室、院纪检、总工办、财务科、业务部、环境监测所、节能所、冶金质检所（四川省冶金产品质量监督检验站）、环境影响评价一所、环境影响评价二所、环境影响评价</w:t>
      </w:r>
      <w:r>
        <w:rPr>
          <w:rFonts w:hint="eastAsia" w:eastAsia="仿宋_GB2312" w:cs="仿宋_GB2312"/>
          <w:color w:val="auto"/>
          <w:sz w:val="32"/>
          <w:szCs w:val="32"/>
          <w:highlight w:val="none"/>
          <w:lang w:val="en-US" w:eastAsia="zh-CN"/>
        </w:rPr>
        <w:t>三</w:t>
      </w:r>
      <w:r>
        <w:rPr>
          <w:rFonts w:hint="eastAsia" w:ascii="Times New Roman" w:hAnsi="Times New Roman" w:eastAsia="仿宋_GB2312" w:cs="仿宋_GB2312"/>
          <w:color w:val="auto"/>
          <w:sz w:val="32"/>
          <w:szCs w:val="32"/>
          <w:highlight w:val="none"/>
        </w:rPr>
        <w:t>所工程治理所、应对气候变化中心</w:t>
      </w:r>
      <w:r>
        <w:rPr>
          <w:rFonts w:hint="eastAsia"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质量控制技术中心</w:t>
      </w:r>
      <w:r>
        <w:rPr>
          <w:rFonts w:hint="eastAsia" w:ascii="Times New Roman" w:hAnsi="Times New Roman" w:eastAsia="仿宋_GB2312" w:cs="仿宋_GB2312"/>
          <w:color w:val="auto"/>
          <w:sz w:val="32"/>
          <w:szCs w:val="32"/>
          <w:highlight w:val="none"/>
        </w:rPr>
        <w:t>。</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5"/>
        <w:jc w:val="center"/>
        <w:rPr>
          <w:rFonts w:hint="eastAsia" w:ascii="Times New Roman" w:hAnsi="Times New Roman" w:eastAsia="方正小标宋简体" w:cs="方正小标宋简体"/>
          <w:b w:val="0"/>
          <w:color w:val="auto"/>
          <w:highlight w:val="none"/>
        </w:rPr>
      </w:pPr>
      <w:bookmarkStart w:id="16" w:name="_Toc15396602"/>
      <w:bookmarkStart w:id="17"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16"/>
      <w:bookmarkEnd w:id="17"/>
    </w:p>
    <w:p>
      <w:pPr>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8"/>
      <w:bookmarkEnd w:id="19"/>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eastAsia="仿宋_GB2312" w:cs="仿宋_GB2312"/>
          <w:color w:val="auto"/>
          <w:sz w:val="32"/>
          <w:szCs w:val="32"/>
          <w:highlight w:val="none"/>
          <w:lang w:val="en-US" w:eastAsia="zh-CN"/>
        </w:rPr>
        <w:t>7117.68</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902.46</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14.5</w:t>
      </w:r>
      <w:r>
        <w:rPr>
          <w:rFonts w:hint="eastAsia" w:ascii="Times New Roman" w:hAnsi="Times New Roman" w:eastAsia="仿宋_GB2312" w:cs="仿宋_GB2312"/>
          <w:color w:val="auto"/>
          <w:sz w:val="32"/>
          <w:szCs w:val="32"/>
          <w:highlight w:val="none"/>
        </w:rPr>
        <w:t>%。主要变动原因是我院节能及绿色制造项目、环境影响评价项目及环评环保咨询项目、双碳项目业务量增加，业务项目回款比去年增加</w:t>
      </w:r>
      <w:r>
        <w:rPr>
          <w:rFonts w:hint="eastAsia" w:eastAsia="仿宋_GB2312" w:cs="仿宋_GB2312"/>
          <w:color w:val="auto"/>
          <w:sz w:val="32"/>
          <w:szCs w:val="32"/>
          <w:highlight w:val="none"/>
          <w:lang w:eastAsia="zh-CN"/>
        </w:rPr>
        <w:t>，对应的支出</w:t>
      </w:r>
      <w:r>
        <w:rPr>
          <w:rFonts w:hint="eastAsia" w:eastAsia="仿宋_GB2312" w:cs="仿宋_GB2312"/>
          <w:color w:val="auto"/>
          <w:sz w:val="32"/>
          <w:szCs w:val="32"/>
          <w:highlight w:val="none"/>
          <w:lang w:val="en-US" w:eastAsia="zh-CN"/>
        </w:rPr>
        <w:t>也</w:t>
      </w:r>
      <w:r>
        <w:rPr>
          <w:rFonts w:hint="eastAsia" w:eastAsia="仿宋_GB2312" w:cs="仿宋_GB2312"/>
          <w:color w:val="auto"/>
          <w:sz w:val="32"/>
          <w:szCs w:val="32"/>
          <w:highlight w:val="none"/>
          <w:lang w:eastAsia="zh-CN"/>
        </w:rPr>
        <w:t>增加</w:t>
      </w:r>
      <w:r>
        <w:rPr>
          <w:rFonts w:hint="eastAsia" w:ascii="Times New Roman" w:hAnsi="Times New Roman" w:eastAsia="仿宋_GB2312" w:cs="仿宋_GB2312"/>
          <w:color w:val="auto"/>
          <w:sz w:val="32"/>
          <w:szCs w:val="32"/>
          <w:highlight w:val="none"/>
        </w:rPr>
        <w:t>。同时，一些传统项目，如工业产品质量检验检测、工程治理等在2024年仍需密切跟踪服务，努力拓展市场。</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59264" behindDoc="1" locked="0" layoutInCell="1" allowOverlap="1">
            <wp:simplePos x="0" y="0"/>
            <wp:positionH relativeFrom="column">
              <wp:posOffset>499745</wp:posOffset>
            </wp:positionH>
            <wp:positionV relativeFrom="paragraph">
              <wp:posOffset>71755</wp:posOffset>
            </wp:positionV>
            <wp:extent cx="4408805" cy="1892935"/>
            <wp:effectExtent l="4445" t="5080" r="6350" b="6985"/>
            <wp:wrapThrough wrapText="bothSides">
              <wp:wrapPolygon>
                <wp:start x="-22" y="-58"/>
                <wp:lineTo x="-22" y="21462"/>
                <wp:lineTo x="21538" y="21462"/>
                <wp:lineTo x="21538" y="-58"/>
                <wp:lineTo x="-22" y="-58"/>
              </wp:wrapPolygon>
            </wp:wrapThrough>
            <wp:docPr id="2" name="图表 2"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2024年度本年收入合计</w:t>
      </w:r>
      <w:r>
        <w:rPr>
          <w:rFonts w:hint="eastAsia" w:eastAsia="仿宋_GB2312" w:cs="仿宋_GB2312"/>
          <w:color w:val="auto"/>
          <w:sz w:val="32"/>
          <w:szCs w:val="32"/>
          <w:highlight w:val="none"/>
          <w:lang w:val="en-US" w:eastAsia="zh-CN"/>
        </w:rPr>
        <w:t>7117.68</w:t>
      </w:r>
      <w:r>
        <w:rPr>
          <w:rFonts w:hint="eastAsia" w:ascii="Times New Roman" w:hAnsi="Times New Roman" w:eastAsia="仿宋_GB2312" w:cs="仿宋_GB2312"/>
          <w:color w:val="auto"/>
          <w:sz w:val="32"/>
          <w:szCs w:val="32"/>
          <w:highlight w:val="none"/>
          <w:lang w:eastAsia="zh-CN"/>
        </w:rPr>
        <w:t>万元，其中：一般公共预算财政拨款收入</w:t>
      </w:r>
      <w:r>
        <w:rPr>
          <w:rFonts w:hint="eastAsia" w:eastAsia="仿宋_GB2312" w:cs="仿宋_GB2312"/>
          <w:color w:val="auto"/>
          <w:sz w:val="32"/>
          <w:szCs w:val="32"/>
          <w:highlight w:val="none"/>
          <w:lang w:val="en-US" w:eastAsia="zh-CN"/>
        </w:rPr>
        <w:t>507.8</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7.1</w:t>
      </w:r>
      <w:r>
        <w:rPr>
          <w:rFonts w:hint="eastAsia" w:ascii="Times New Roman" w:hAnsi="Times New Roman" w:eastAsia="仿宋_GB2312" w:cs="仿宋_GB2312"/>
          <w:color w:val="auto"/>
          <w:sz w:val="32"/>
          <w:szCs w:val="32"/>
          <w:highlight w:val="none"/>
          <w:lang w:eastAsia="zh-CN"/>
        </w:rPr>
        <w:t>%；事业收入</w:t>
      </w:r>
      <w:r>
        <w:rPr>
          <w:rFonts w:hint="eastAsia" w:eastAsia="仿宋_GB2312" w:cs="仿宋_GB2312"/>
          <w:color w:val="auto"/>
          <w:sz w:val="32"/>
          <w:szCs w:val="32"/>
          <w:highlight w:val="none"/>
          <w:lang w:val="en-US" w:eastAsia="zh-CN"/>
        </w:rPr>
        <w:t>6604.75</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92.8</w:t>
      </w:r>
      <w:r>
        <w:rPr>
          <w:rFonts w:hint="eastAsia" w:ascii="Times New Roman" w:hAnsi="Times New Roman" w:eastAsia="仿宋_GB2312" w:cs="仿宋_GB2312"/>
          <w:color w:val="auto"/>
          <w:sz w:val="32"/>
          <w:szCs w:val="32"/>
          <w:highlight w:val="none"/>
          <w:lang w:eastAsia="zh-CN"/>
        </w:rPr>
        <w:t>%；其他收入</w:t>
      </w:r>
      <w:r>
        <w:rPr>
          <w:rFonts w:hint="eastAsia" w:eastAsia="仿宋_GB2312" w:cs="仿宋_GB2312"/>
          <w:color w:val="auto"/>
          <w:sz w:val="32"/>
          <w:szCs w:val="32"/>
          <w:highlight w:val="none"/>
          <w:lang w:val="en-US" w:eastAsia="zh-CN"/>
        </w:rPr>
        <w:t>5.12</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0.1</w:t>
      </w:r>
      <w:r>
        <w:rPr>
          <w:rFonts w:hint="eastAsia" w:ascii="Times New Roman" w:hAnsi="Times New Roman" w:eastAsia="仿宋_GB2312" w:cs="仿宋_GB2312"/>
          <w:color w:val="auto"/>
          <w:sz w:val="32"/>
          <w:szCs w:val="32"/>
          <w:highlight w:val="none"/>
          <w:lang w:eastAsia="zh-CN"/>
        </w:rPr>
        <w:t>%。</w:t>
      </w:r>
    </w:p>
    <w:p>
      <w:pP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5240" b="17145"/>
            <wp:docPr id="3" name="图表 3"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2" w:name="_Toc15396605"/>
      <w:bookmarkStart w:id="23"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2"/>
      <w:bookmarkEnd w:id="23"/>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2024年度本年支出合计</w:t>
      </w:r>
      <w:r>
        <w:rPr>
          <w:rFonts w:hint="eastAsia" w:eastAsia="仿宋_GB2312" w:cs="仿宋_GB2312"/>
          <w:color w:val="auto"/>
          <w:sz w:val="32"/>
          <w:szCs w:val="32"/>
          <w:highlight w:val="none"/>
          <w:lang w:val="en-US" w:eastAsia="zh-CN"/>
        </w:rPr>
        <w:t>6675.77</w:t>
      </w:r>
      <w:r>
        <w:rPr>
          <w:rFonts w:hint="eastAsia" w:ascii="Times New Roman" w:hAnsi="Times New Roman" w:eastAsia="仿宋_GB2312" w:cs="仿宋_GB2312"/>
          <w:color w:val="auto"/>
          <w:sz w:val="32"/>
          <w:szCs w:val="32"/>
          <w:highlight w:val="none"/>
          <w:lang w:eastAsia="zh-CN"/>
        </w:rPr>
        <w:t>万元，其中：基本支出</w:t>
      </w:r>
      <w:r>
        <w:rPr>
          <w:rFonts w:hint="eastAsia" w:eastAsia="仿宋_GB2312" w:cs="仿宋_GB2312"/>
          <w:color w:val="auto"/>
          <w:sz w:val="32"/>
          <w:szCs w:val="32"/>
          <w:highlight w:val="none"/>
          <w:lang w:val="en-US" w:eastAsia="zh-CN"/>
        </w:rPr>
        <w:t>4232.28</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63.4</w:t>
      </w:r>
      <w:r>
        <w:rPr>
          <w:rFonts w:hint="eastAsia" w:ascii="Times New Roman" w:hAnsi="Times New Roman" w:eastAsia="仿宋_GB2312" w:cs="仿宋_GB2312"/>
          <w:color w:val="auto"/>
          <w:sz w:val="32"/>
          <w:szCs w:val="32"/>
          <w:highlight w:val="none"/>
          <w:lang w:eastAsia="zh-CN"/>
        </w:rPr>
        <w:t>%；项目支出</w:t>
      </w:r>
      <w:r>
        <w:rPr>
          <w:rFonts w:hint="eastAsia" w:eastAsia="仿宋_GB2312" w:cs="仿宋_GB2312"/>
          <w:color w:val="auto"/>
          <w:sz w:val="32"/>
          <w:szCs w:val="32"/>
          <w:highlight w:val="none"/>
          <w:lang w:val="en-US" w:eastAsia="zh-CN"/>
        </w:rPr>
        <w:t>2443.49</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36.6</w:t>
      </w:r>
      <w:r>
        <w:rPr>
          <w:rFonts w:hint="eastAsia" w:ascii="Times New Roman" w:hAnsi="Times New Roman" w:eastAsia="仿宋_GB2312" w:cs="仿宋_GB2312"/>
          <w:color w:val="auto"/>
          <w:sz w:val="32"/>
          <w:szCs w:val="32"/>
          <w:highlight w:val="none"/>
          <w:lang w:eastAsia="zh-CN"/>
        </w:rPr>
        <w:t>%。</w:t>
      </w:r>
    </w:p>
    <w:p>
      <w:pP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5240" b="17145"/>
            <wp:docPr id="4" name="图表 4"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p>
    <w:p>
      <w:pPr>
        <w:spacing w:line="600" w:lineRule="exact"/>
        <w:ind w:firstLine="640" w:firstLineChars="200"/>
        <w:outlineLvl w:val="1"/>
        <w:rPr>
          <w:rStyle w:val="29"/>
          <w:rFonts w:ascii="Times New Roman" w:hAnsi="Times New Roman" w:eastAsia="黑体"/>
          <w:b w:val="0"/>
          <w:color w:val="auto"/>
          <w:highlight w:val="none"/>
        </w:rPr>
      </w:pPr>
      <w:bookmarkStart w:id="24" w:name="_Toc15377208"/>
      <w:bookmarkStart w:id="25"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4"/>
      <w:bookmarkEnd w:id="25"/>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eastAsia="仿宋_GB2312" w:cs="仿宋_GB2312"/>
          <w:color w:val="auto"/>
          <w:kern w:val="2"/>
          <w:sz w:val="32"/>
          <w:szCs w:val="32"/>
          <w:highlight w:val="none"/>
          <w:lang w:val="en-US" w:eastAsia="zh-CN" w:bidi="ar-SA"/>
        </w:rPr>
        <w:t>507.8</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63.74</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我院2024年度财政供养人员平均人数增加，对应的基本支出增加30.74万元；2024年度使用财政拨款购买的项目专用设备支出增加，对应的项目支出增加33万元。</w:t>
      </w:r>
    </w:p>
    <w:p>
      <w:pPr>
        <w:pStyle w:val="2"/>
        <w:rPr>
          <w:rFonts w:hint="eastAsia" w:eastAsia="仿宋_GB2312" w:cs="仿宋_GB2312"/>
          <w:color w:val="auto"/>
          <w:kern w:val="2"/>
          <w:sz w:val="32"/>
          <w:szCs w:val="32"/>
          <w:highlight w:val="none"/>
          <w:lang w:val="en-US" w:eastAsia="zh-CN" w:bidi="ar-SA"/>
        </w:rPr>
      </w:pPr>
    </w:p>
    <w:p>
      <w:pPr>
        <w:pStyle w:val="3"/>
        <w:ind w:left="0" w:leftChars="0" w:firstLine="0" w:firstLineChars="0"/>
        <w:rPr>
          <w:rFonts w:hint="default"/>
          <w:lang w:val="en-US" w:eastAsia="zh-CN"/>
        </w:rPr>
      </w:pPr>
      <w:r>
        <w:rPr>
          <w:rFonts w:hint="default"/>
          <w:lang w:val="en-US" w:eastAsia="zh-CN"/>
        </w:rPr>
        <w:drawing>
          <wp:inline distT="0" distB="0" distL="114300" distR="114300">
            <wp:extent cx="5256530" cy="2988310"/>
            <wp:effectExtent l="5080" t="4445" r="15240" b="17145"/>
            <wp:docPr id="5" name="图表 5"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9"/>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6"/>
      <w:bookmarkEnd w:id="2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507.8</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7.6</w:t>
      </w:r>
      <w:r>
        <w:rPr>
          <w:rFonts w:hint="eastAsia" w:ascii="Times New Roman" w:hAnsi="Times New Roman" w:eastAsia="仿宋_GB2312" w:cs="仿宋_GB2312"/>
          <w:color w:val="auto"/>
          <w:kern w:val="2"/>
          <w:sz w:val="32"/>
          <w:szCs w:val="32"/>
          <w:highlight w:val="none"/>
          <w:lang w:val="en-US" w:eastAsia="zh-CN" w:bidi="ar-SA"/>
        </w:rPr>
        <w:t>%。与2023年度相比，一般公共预算财政拨款支出增加</w:t>
      </w:r>
      <w:r>
        <w:rPr>
          <w:rFonts w:hint="eastAsia" w:eastAsia="仿宋_GB2312" w:cs="仿宋_GB2312"/>
          <w:color w:val="auto"/>
          <w:kern w:val="2"/>
          <w:sz w:val="32"/>
          <w:szCs w:val="32"/>
          <w:highlight w:val="none"/>
          <w:lang w:val="en-US" w:eastAsia="zh-CN" w:bidi="ar-SA"/>
        </w:rPr>
        <w:t>63.74</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%。主要变动原因是我院2024年度财政供养人员平均人数增加，对应的基本支出增加30.74万元；2024年度使用财政拨款购买的项目专用设备支出增加，对应的项目支出增加33万元</w:t>
      </w:r>
      <w:r>
        <w:rPr>
          <w:rFonts w:hint="eastAsia" w:eastAsia="仿宋_GB2312" w:cs="仿宋_GB2312"/>
          <w:color w:val="auto"/>
          <w:kern w:val="2"/>
          <w:sz w:val="32"/>
          <w:szCs w:val="32"/>
          <w:highlight w:val="none"/>
          <w:lang w:val="en-US" w:eastAsia="zh-CN" w:bidi="ar-SA"/>
        </w:rPr>
        <w:t>。</w:t>
      </w:r>
    </w:p>
    <w:p>
      <w:pPr>
        <w:pStyle w:val="2"/>
        <w:rPr>
          <w:rFonts w:hint="eastAsia" w:eastAsia="仿宋_GB2312" w:cs="仿宋_GB2312"/>
          <w:color w:val="auto"/>
          <w:kern w:val="2"/>
          <w:sz w:val="32"/>
          <w:szCs w:val="32"/>
          <w:highlight w:val="none"/>
          <w:lang w:val="en-US" w:eastAsia="zh-CN" w:bidi="ar-SA"/>
        </w:rPr>
      </w:pPr>
    </w:p>
    <w:p>
      <w:pPr>
        <w:pStyle w:val="3"/>
        <w:ind w:left="0" w:leftChars="0" w:firstLine="0" w:firstLineChars="0"/>
        <w:rPr>
          <w:rFonts w:hint="default"/>
          <w:lang w:val="en-US" w:eastAsia="zh-CN"/>
        </w:rPr>
      </w:pPr>
      <w:r>
        <w:rPr>
          <w:rFonts w:hint="default"/>
          <w:lang w:val="en-US" w:eastAsia="zh-CN"/>
        </w:rPr>
        <w:drawing>
          <wp:inline distT="0" distB="0" distL="114300" distR="114300">
            <wp:extent cx="5256530" cy="2988310"/>
            <wp:effectExtent l="5080" t="4445" r="15240" b="17145"/>
            <wp:docPr id="6" name="图表 6" descr="7b0a202020202263686172745265734964223a20223436313033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507.8</w:t>
      </w:r>
      <w:r>
        <w:rPr>
          <w:rFonts w:hint="eastAsia" w:ascii="Times New Roman" w:hAnsi="Times New Roman" w:eastAsia="仿宋_GB2312" w:cs="仿宋_GB2312"/>
          <w:color w:val="auto"/>
          <w:kern w:val="2"/>
          <w:sz w:val="32"/>
          <w:szCs w:val="32"/>
          <w:highlight w:val="none"/>
          <w:lang w:val="en-US" w:eastAsia="zh-CN" w:bidi="ar-SA"/>
        </w:rPr>
        <w:t>万元，主要用于以下方面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41</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8.1</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129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25.4</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70.41</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13.9</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30.88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6.1</w:t>
      </w:r>
      <w:r>
        <w:rPr>
          <w:rFonts w:hint="eastAsia" w:ascii="Times New Roman" w:hAnsi="Times New Roman" w:eastAsia="仿宋_GB2312" w:cs="仿宋_GB2312"/>
          <w:color w:val="auto"/>
          <w:kern w:val="2"/>
          <w:sz w:val="32"/>
          <w:szCs w:val="32"/>
          <w:highlight w:val="none"/>
          <w:lang w:val="en-US" w:eastAsia="zh-CN" w:bidi="ar-SA"/>
        </w:rPr>
        <w:t>%；资源勘探工业信息等支出</w:t>
      </w:r>
      <w:r>
        <w:rPr>
          <w:rFonts w:hint="eastAsia" w:eastAsia="仿宋_GB2312" w:cs="仿宋_GB2312"/>
          <w:color w:val="auto"/>
          <w:kern w:val="2"/>
          <w:sz w:val="32"/>
          <w:szCs w:val="32"/>
          <w:highlight w:val="none"/>
          <w:lang w:val="en-US" w:eastAsia="zh-CN" w:bidi="ar-SA"/>
        </w:rPr>
        <w:t>186.13万元，占36.6%；</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50.38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pStyle w:val="2"/>
        <w:rPr>
          <w:rFonts w:hint="eastAsia" w:eastAsia="仿宋_GB2312" w:cs="仿宋_GB2312"/>
          <w:color w:val="auto"/>
          <w:kern w:val="2"/>
          <w:sz w:val="32"/>
          <w:szCs w:val="32"/>
          <w:highlight w:val="none"/>
          <w:lang w:val="en-US" w:eastAsia="zh-CN" w:bidi="ar-SA"/>
        </w:rPr>
      </w:pPr>
    </w:p>
    <w:p>
      <w:pPr>
        <w:pStyle w:val="3"/>
        <w:ind w:left="0" w:leftChars="0" w:firstLine="0" w:firstLineChars="0"/>
        <w:rPr>
          <w:rFonts w:hint="eastAsia"/>
          <w:lang w:val="en-US" w:eastAsia="zh-CN"/>
        </w:rPr>
      </w:pPr>
      <w:r>
        <w:rPr>
          <w:rFonts w:hint="eastAsia"/>
          <w:lang w:val="en-US" w:eastAsia="zh-CN"/>
        </w:rPr>
        <w:drawing>
          <wp:inline distT="0" distB="0" distL="114300" distR="114300">
            <wp:extent cx="5256530" cy="2988310"/>
            <wp:effectExtent l="5080" t="4445" r="15240" b="17145"/>
            <wp:docPr id="7" name="图表 7"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7444"/>
      <w:bookmarkStart w:id="32" w:name="_Toc15378460"/>
      <w:bookmarkStart w:id="33"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eastAsia="仿宋_GB2312" w:cs="仿宋_GB2312"/>
          <w:color w:val="auto"/>
          <w:kern w:val="2"/>
          <w:sz w:val="32"/>
          <w:szCs w:val="32"/>
          <w:highlight w:val="none"/>
          <w:lang w:val="en-US" w:eastAsia="zh-CN" w:bidi="ar-SA"/>
        </w:rPr>
        <w:t>507.8万元</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一般公共服务（类）市场监督管理事务（款）其他市场监督管理事务（项）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41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2.科学技术（类）其他科学技术支出（款）其他科学技术支出（项）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129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.社会保障和就业（类）行政事业单位养老支出（款）机关事业单位基本养老保险缴费支出（项）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46.94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.社会保障和就业（类）行政事业单位养老支出（款）机关事业单位职业年金缴费支出（项）：支出决算为</w:t>
      </w:r>
      <w:r>
        <w:rPr>
          <w:rFonts w:hint="eastAsia" w:eastAsia="仿宋_GB2312" w:cs="仿宋_GB2312"/>
          <w:color w:val="auto"/>
          <w:kern w:val="2"/>
          <w:sz w:val="32"/>
          <w:szCs w:val="32"/>
          <w:highlight w:val="none"/>
          <w:lang w:val="en-US" w:eastAsia="zh-CN" w:bidi="ar-SA"/>
        </w:rPr>
        <w:t>23.47</w:t>
      </w:r>
      <w:r>
        <w:rPr>
          <w:rFonts w:hint="eastAsia" w:ascii="Times New Roman" w:hAnsi="Times New Roman" w:eastAsia="仿宋_GB2312" w:cs="仿宋_GB2312"/>
          <w:color w:val="auto"/>
          <w:kern w:val="2"/>
          <w:sz w:val="32"/>
          <w:szCs w:val="32"/>
          <w:highlight w:val="none"/>
          <w:lang w:val="en-US" w:eastAsia="zh-CN" w:bidi="ar-SA"/>
        </w:rPr>
        <w:t>万元，完成预算100%。</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.卫生健康（类）行政事业单位医疗（款）事业单位医疗（项）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30.88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lang w:val="en-US" w:eastAsia="zh-CN"/>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.资源勘探工业信息等支出（类）制造业（款）其他制造业支出（项）:支出决算为1</w:t>
      </w:r>
      <w:r>
        <w:rPr>
          <w:rFonts w:hint="eastAsia" w:eastAsia="仿宋_GB2312" w:cs="仿宋_GB2312"/>
          <w:color w:val="auto"/>
          <w:kern w:val="2"/>
          <w:sz w:val="32"/>
          <w:szCs w:val="32"/>
          <w:highlight w:val="none"/>
          <w:lang w:val="en-US" w:eastAsia="zh-CN" w:bidi="ar-SA"/>
        </w:rPr>
        <w:t>86.13</w:t>
      </w:r>
      <w:r>
        <w:rPr>
          <w:rFonts w:hint="eastAsia" w:ascii="Times New Roman" w:hAnsi="Times New Roman" w:eastAsia="仿宋_GB2312" w:cs="仿宋_GB2312"/>
          <w:color w:val="auto"/>
          <w:kern w:val="2"/>
          <w:sz w:val="32"/>
          <w:szCs w:val="32"/>
          <w:highlight w:val="none"/>
          <w:lang w:val="en-US" w:eastAsia="zh-CN" w:bidi="ar-SA"/>
        </w:rPr>
        <w:t>万元，完成预算100%。</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.住房保障（类）住房改革支出（款）住房公积金（项）:支出决算为</w:t>
      </w:r>
      <w:r>
        <w:rPr>
          <w:rFonts w:hint="eastAsia" w:eastAsia="仿宋_GB2312" w:cs="仿宋_GB2312"/>
          <w:color w:val="auto"/>
          <w:kern w:val="2"/>
          <w:sz w:val="32"/>
          <w:szCs w:val="32"/>
          <w:highlight w:val="none"/>
          <w:lang w:val="en-US" w:eastAsia="zh-CN" w:bidi="ar-SA"/>
        </w:rPr>
        <w:t>35.2</w:t>
      </w:r>
      <w:r>
        <w:rPr>
          <w:rFonts w:hint="eastAsia" w:ascii="Times New Roman" w:hAnsi="Times New Roman" w:eastAsia="仿宋_GB2312" w:cs="仿宋_GB2312"/>
          <w:color w:val="auto"/>
          <w:kern w:val="2"/>
          <w:sz w:val="32"/>
          <w:szCs w:val="32"/>
          <w:highlight w:val="none"/>
          <w:lang w:val="en-US" w:eastAsia="zh-CN" w:bidi="ar-SA"/>
        </w:rPr>
        <w:t>万元，完成预算100%。</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.住房保障（类）住房改革支出（款）购房补贴（项）:支出决算为15.18万元，完成预算100%。</w:t>
      </w: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lang w:val="en-US" w:eastAsia="zh-CN"/>
        </w:rPr>
      </w:pPr>
    </w:p>
    <w:p>
      <w:pPr>
        <w:tabs>
          <w:tab w:val="right" w:pos="8306"/>
        </w:tabs>
        <w:spacing w:line="600" w:lineRule="exact"/>
        <w:ind w:firstLine="640"/>
        <w:outlineLvl w:val="1"/>
        <w:rPr>
          <w:rStyle w:val="29"/>
          <w:rFonts w:ascii="Times New Roman" w:hAnsi="Times New Roman"/>
          <w:color w:val="auto"/>
          <w:highlight w:val="none"/>
        </w:rPr>
      </w:pPr>
      <w:bookmarkStart w:id="34" w:name="_Toc15396608"/>
      <w:bookmarkStart w:id="35"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4"/>
      <w:bookmarkEnd w:id="35"/>
      <w:r>
        <w:rPr>
          <w:rStyle w:val="29"/>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eastAsia="仿宋_GB2312" w:cs="仿宋_GB2312"/>
          <w:color w:val="auto"/>
          <w:kern w:val="2"/>
          <w:sz w:val="32"/>
          <w:szCs w:val="32"/>
          <w:highlight w:val="none"/>
          <w:lang w:val="en-US" w:eastAsia="zh-CN" w:bidi="ar-SA"/>
        </w:rPr>
        <w:t>337.8</w:t>
      </w:r>
      <w:r>
        <w:rPr>
          <w:rFonts w:hint="eastAsia" w:ascii="Times New Roman" w:hAnsi="Times New Roman" w:eastAsia="仿宋_GB2312" w:cs="仿宋_GB2312"/>
          <w:color w:val="auto"/>
          <w:kern w:val="2"/>
          <w:sz w:val="32"/>
          <w:szCs w:val="32"/>
          <w:highlight w:val="none"/>
          <w:lang w:val="en-US" w:eastAsia="zh-CN" w:bidi="ar-SA"/>
        </w:rPr>
        <w:t>万元，其中：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eastAsia="仿宋_GB2312" w:cs="仿宋_GB2312"/>
          <w:color w:val="auto"/>
          <w:kern w:val="2"/>
          <w:sz w:val="32"/>
          <w:szCs w:val="32"/>
          <w:highlight w:val="none"/>
          <w:lang w:val="en-US" w:eastAsia="zh-CN" w:bidi="ar-SA"/>
        </w:rPr>
        <w:t>322.31</w:t>
      </w:r>
      <w:r>
        <w:rPr>
          <w:rFonts w:hint="eastAsia" w:ascii="Times New Roman" w:hAnsi="Times New Roman" w:eastAsia="仿宋_GB2312" w:cs="仿宋_GB2312"/>
          <w:color w:val="auto"/>
          <w:kern w:val="2"/>
          <w:sz w:val="32"/>
          <w:szCs w:val="32"/>
          <w:highlight w:val="none"/>
          <w:lang w:val="en-US" w:eastAsia="zh-CN" w:bidi="ar-SA"/>
        </w:rPr>
        <w:t>万元，主要包括：基本工资、津贴补贴、绩效工资、机关事业单位基本养老保险缴费、职业年金缴费、职工基本医疗保险缴费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其他社会保障缴费、奖励金、住房公积金等。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eastAsia="仿宋_GB2312" w:cs="仿宋_GB2312"/>
          <w:color w:val="auto"/>
          <w:kern w:val="2"/>
          <w:sz w:val="32"/>
          <w:szCs w:val="32"/>
          <w:highlight w:val="none"/>
          <w:lang w:val="en-US" w:eastAsia="zh-CN" w:bidi="ar-SA"/>
        </w:rPr>
        <w:t>15.49</w:t>
      </w:r>
      <w:r>
        <w:rPr>
          <w:rFonts w:hint="eastAsia" w:ascii="Times New Roman" w:hAnsi="Times New Roman" w:eastAsia="仿宋_GB2312" w:cs="仿宋_GB2312"/>
          <w:color w:val="auto"/>
          <w:kern w:val="2"/>
          <w:sz w:val="32"/>
          <w:szCs w:val="32"/>
          <w:highlight w:val="none"/>
          <w:lang w:val="en-US" w:eastAsia="zh-CN" w:bidi="ar-SA"/>
        </w:rPr>
        <w:t>万元，主要包括：物业管理费、工会经费、福利费、公务用车运行维护费等。</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outlineLvl w:val="1"/>
        <w:rPr>
          <w:rStyle w:val="29"/>
          <w:rFonts w:ascii="Times New Roman" w:hAnsi="Times New Roman" w:eastAsia="黑体"/>
          <w:b w:val="0"/>
          <w:color w:val="auto"/>
          <w:highlight w:val="none"/>
        </w:rPr>
      </w:pPr>
      <w:bookmarkStart w:id="36" w:name="_Toc15377215"/>
      <w:bookmarkStart w:id="37" w:name="_Toc15396609"/>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6"/>
      <w:bookmarkEnd w:id="3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较上年度无增减变化。决算数与预算数持平。</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9"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%。具体情况如下：</w:t>
      </w: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3"/>
        <w:ind w:left="0" w:leftChars="0" w:firstLine="0" w:firstLineChars="0"/>
        <w:rPr>
          <w:rFonts w:hint="eastAsia"/>
          <w:lang w:val="en-US" w:eastAsia="zh-CN"/>
        </w:rPr>
      </w:pPr>
      <w:r>
        <w:rPr>
          <w:rFonts w:hint="eastAsia"/>
          <w:lang w:val="en-US" w:eastAsia="zh-CN"/>
        </w:rPr>
        <w:drawing>
          <wp:inline distT="0" distB="0" distL="114300" distR="114300">
            <wp:extent cx="5256530" cy="2988310"/>
            <wp:effectExtent l="5080" t="4445" r="15240" b="17145"/>
            <wp:docPr id="8" name="图表 8"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全年安排因公出国（境）团组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人。因公出国（境）支出决算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2023年度持平</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2023年度持平</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辆、</w:t>
      </w:r>
      <w:r>
        <w:rPr>
          <w:rFonts w:hint="eastAsia" w:eastAsia="仿宋_GB2312" w:cs="仿宋_GB2312"/>
          <w:color w:val="auto"/>
          <w:kern w:val="2"/>
          <w:sz w:val="32"/>
          <w:szCs w:val="32"/>
          <w:highlight w:val="none"/>
          <w:lang w:val="en-US" w:eastAsia="zh-CN" w:bidi="ar-SA"/>
        </w:rPr>
        <w:t>小型客车1</w:t>
      </w:r>
      <w:r>
        <w:rPr>
          <w:rFonts w:hint="eastAsia" w:ascii="Times New Roman" w:hAnsi="Times New Roman" w:eastAsia="仿宋_GB2312" w:cs="仿宋_GB2312"/>
          <w:color w:val="auto"/>
          <w:kern w:val="2"/>
          <w:sz w:val="32"/>
          <w:szCs w:val="32"/>
          <w:highlight w:val="none"/>
          <w:lang w:val="en-US" w:eastAsia="zh-CN" w:bidi="ar-SA"/>
        </w:rPr>
        <w:t>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公务用车运行维护费支出</w:t>
      </w: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color w:val="auto"/>
          <w:kern w:val="2"/>
          <w:sz w:val="32"/>
          <w:szCs w:val="32"/>
          <w:highlight w:val="none"/>
          <w:lang w:val="en-US" w:eastAsia="zh-CN" w:bidi="ar-SA"/>
        </w:rPr>
        <w:t>万元。主要用于保障日常工作、污染源及环境质量监测、产品质量检验检测、污染治理及节能环保工作等所需的公务用车燃料费、维修费、过路过桥费、保险费等支出。</w:t>
      </w:r>
    </w:p>
    <w:p>
      <w:pPr>
        <w:numPr>
          <w:ilvl w:val="0"/>
          <w:numId w:val="0"/>
        </w:numPr>
        <w:spacing w:line="600" w:lineRule="exact"/>
        <w:ind w:firstLine="642" w:firstLineChars="200"/>
        <w:rPr>
          <w:rFonts w:hint="eastAsia" w:eastAsia="仿宋_GB2312" w:cs="仿宋_GB2312"/>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3.</w:t>
      </w:r>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公务接待费支出决算与2023年度持平。</w:t>
      </w:r>
      <w:r>
        <w:rPr>
          <w:rFonts w:hint="eastAsia" w:eastAsia="仿宋_GB2312" w:cs="仿宋_GB2312"/>
          <w:color w:val="auto"/>
          <w:kern w:val="2"/>
          <w:sz w:val="32"/>
          <w:szCs w:val="32"/>
          <w:highlight w:val="none"/>
          <w:lang w:val="en-US" w:eastAsia="zh-CN" w:bidi="ar-SA"/>
        </w:rPr>
        <w:t>其中：</w:t>
      </w:r>
    </w:p>
    <w:p>
      <w:pPr>
        <w:numPr>
          <w:ilvl w:val="0"/>
          <w:numId w:val="0"/>
        </w:numPr>
        <w:spacing w:line="600" w:lineRule="exact"/>
        <w:ind w:firstLine="640" w:firstLineChars="20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国内公务接待支出</w:t>
      </w:r>
      <w:r>
        <w:rPr>
          <w:rFonts w:hint="eastAsia" w:eastAsia="仿宋_GB2312" w:cs="仿宋_GB2312"/>
          <w:color w:val="auto"/>
          <w:kern w:val="2"/>
          <w:sz w:val="32"/>
          <w:szCs w:val="32"/>
          <w:highlight w:val="none"/>
          <w:lang w:val="en-US" w:eastAsia="zh-CN" w:bidi="ar-SA"/>
        </w:rPr>
        <w:t>0万元。</w:t>
      </w:r>
    </w:p>
    <w:p>
      <w:pPr>
        <w:numPr>
          <w:ilvl w:val="0"/>
          <w:numId w:val="0"/>
        </w:numPr>
        <w:spacing w:line="600" w:lineRule="exact"/>
        <w:ind w:firstLine="640" w:firstLineChars="20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外事接待支出</w:t>
      </w:r>
      <w:r>
        <w:rPr>
          <w:rFonts w:hint="eastAsia" w:eastAsia="仿宋_GB2312" w:cs="仿宋_GB2312"/>
          <w:color w:val="auto"/>
          <w:kern w:val="2"/>
          <w:sz w:val="32"/>
          <w:szCs w:val="32"/>
          <w:highlight w:val="none"/>
          <w:lang w:val="en-US" w:eastAsia="zh-CN" w:bidi="ar-SA"/>
        </w:rPr>
        <w:t>0万元。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0" w:name="_Toc15396610"/>
      <w:bookmarkStart w:id="41" w:name="_Toc15377218"/>
    </w:p>
    <w:p>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40"/>
      <w:bookmarkEnd w:id="41"/>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与2023年度决算</w:t>
      </w:r>
      <w:r>
        <w:rPr>
          <w:rFonts w:hint="eastAsia" w:eastAsia="仿宋_GB2312" w:cs="仿宋_GB2312"/>
          <w:color w:val="auto"/>
          <w:kern w:val="2"/>
          <w:sz w:val="32"/>
          <w:szCs w:val="32"/>
          <w:highlight w:val="none"/>
          <w:lang w:val="en-US" w:eastAsia="zh-CN" w:bidi="ar-SA"/>
        </w:rPr>
        <w:t>数</w:t>
      </w:r>
      <w:r>
        <w:rPr>
          <w:rFonts w:hint="eastAsia" w:ascii="Times New Roman" w:hAnsi="Times New Roman" w:eastAsia="仿宋_GB2312" w:cs="仿宋_GB2312"/>
          <w:b w:val="0"/>
          <w:bCs w:val="0"/>
          <w:color w:val="auto"/>
          <w:kern w:val="2"/>
          <w:sz w:val="32"/>
          <w:szCs w:val="32"/>
          <w:highlight w:val="none"/>
          <w:lang w:val="en-US" w:eastAsia="zh-CN" w:bidi="ar-SA"/>
        </w:rPr>
        <w:t>持平</w:t>
      </w:r>
      <w:r>
        <w:rPr>
          <w:rFonts w:hint="eastAsia" w:eastAsia="仿宋_GB2312" w:cs="仿宋_GB2312"/>
          <w:b w:val="0"/>
          <w:bCs w:val="0"/>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42" w:name="_Toc15377219"/>
      <w:bookmarkStart w:id="43" w:name="_Toc15396611"/>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42"/>
      <w:bookmarkEnd w:id="4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与2023年度决算</w:t>
      </w:r>
      <w:r>
        <w:rPr>
          <w:rFonts w:hint="eastAsia" w:eastAsia="仿宋_GB2312" w:cs="仿宋_GB2312"/>
          <w:color w:val="auto"/>
          <w:kern w:val="2"/>
          <w:sz w:val="32"/>
          <w:szCs w:val="32"/>
          <w:highlight w:val="none"/>
          <w:lang w:val="en-US" w:eastAsia="zh-CN" w:bidi="ar-SA"/>
        </w:rPr>
        <w:t>数</w:t>
      </w:r>
      <w:r>
        <w:rPr>
          <w:rFonts w:hint="eastAsia" w:ascii="Times New Roman" w:hAnsi="Times New Roman" w:eastAsia="仿宋_GB2312" w:cs="仿宋_GB2312"/>
          <w:b w:val="0"/>
          <w:bCs w:val="0"/>
          <w:color w:val="auto"/>
          <w:kern w:val="2"/>
          <w:sz w:val="32"/>
          <w:szCs w:val="32"/>
          <w:highlight w:val="none"/>
          <w:lang w:val="en-US" w:eastAsia="zh-CN" w:bidi="ar-SA"/>
        </w:rPr>
        <w:t>持平</w:t>
      </w:r>
      <w:r>
        <w:rPr>
          <w:rFonts w:hint="eastAsia" w:eastAsia="仿宋_GB2312" w:cs="仿宋_GB2312"/>
          <w:b w:val="0"/>
          <w:bCs w:val="0"/>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44" w:name="_Toc15377221"/>
      <w:bookmarkStart w:id="45" w:name="_Toc15396612"/>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4"/>
      <w:bookmarkEnd w:id="45"/>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6" w:name="_Toc15377222"/>
      <w:r>
        <w:rPr>
          <w:rFonts w:hint="eastAsia" w:ascii="Times New Roman" w:hAnsi="Times New Roman" w:eastAsia="楷体_GB2312" w:cs="楷体_GB2312"/>
          <w:b/>
          <w:color w:val="auto"/>
          <w:sz w:val="32"/>
          <w:szCs w:val="32"/>
          <w:highlight w:val="none"/>
        </w:rPr>
        <w:t>（一）机关运行经费支出情况</w:t>
      </w:r>
      <w:bookmarkEnd w:id="4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2024年度，四川省工业环境监测研究院机关运行经费支出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万元，与2023年度决算数持平。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7" w:name="_Toc15377223"/>
      <w:r>
        <w:rPr>
          <w:rFonts w:hint="eastAsia" w:ascii="Times New Roman" w:hAnsi="Times New Roman" w:eastAsia="楷体_GB2312" w:cs="楷体_GB2312"/>
          <w:b/>
          <w:color w:val="auto"/>
          <w:sz w:val="32"/>
          <w:szCs w:val="32"/>
          <w:highlight w:val="none"/>
        </w:rPr>
        <w:t>（二）政府采购支出情况</w:t>
      </w:r>
      <w:bookmarkEnd w:id="4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2024年度，四川省工业环境监测研究院政府采购支出总额</w:t>
      </w:r>
      <w:r>
        <w:rPr>
          <w:rFonts w:hint="eastAsia" w:eastAsia="仿宋_GB2312" w:cs="仿宋_GB2312"/>
          <w:color w:val="auto"/>
          <w:kern w:val="2"/>
          <w:sz w:val="32"/>
          <w:szCs w:val="32"/>
          <w:highlight w:val="none"/>
          <w:lang w:val="en-US" w:eastAsia="zh-CN" w:bidi="ar-SA"/>
        </w:rPr>
        <w:t>201.06</w:t>
      </w:r>
      <w:r>
        <w:rPr>
          <w:rFonts w:hint="eastAsia" w:ascii="Times New Roman" w:hAnsi="Times New Roman" w:eastAsia="仿宋_GB2312" w:cs="仿宋_GB2312"/>
          <w:color w:val="auto"/>
          <w:kern w:val="2"/>
          <w:sz w:val="32"/>
          <w:szCs w:val="32"/>
          <w:highlight w:val="none"/>
          <w:lang w:val="en-US" w:eastAsia="zh-CN" w:bidi="ar-SA"/>
        </w:rPr>
        <w:t>万元，其中：政府采购货物支出</w:t>
      </w:r>
      <w:r>
        <w:rPr>
          <w:rFonts w:hint="eastAsia" w:eastAsia="仿宋_GB2312" w:cs="仿宋_GB2312"/>
          <w:color w:val="auto"/>
          <w:kern w:val="2"/>
          <w:sz w:val="32"/>
          <w:szCs w:val="32"/>
          <w:highlight w:val="none"/>
          <w:lang w:val="en-US" w:eastAsia="zh-CN" w:bidi="ar-SA"/>
        </w:rPr>
        <w:t>198.93</w:t>
      </w:r>
      <w:r>
        <w:rPr>
          <w:rFonts w:hint="eastAsia" w:ascii="Times New Roman" w:hAnsi="Times New Roman" w:eastAsia="仿宋_GB2312" w:cs="仿宋_GB2312"/>
          <w:color w:val="auto"/>
          <w:kern w:val="2"/>
          <w:sz w:val="32"/>
          <w:szCs w:val="32"/>
          <w:highlight w:val="none"/>
          <w:lang w:val="en-US" w:eastAsia="zh-CN" w:bidi="ar-SA"/>
        </w:rPr>
        <w:t>万元、政府采购工程支出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万元、政府采购服务支出</w:t>
      </w:r>
      <w:r>
        <w:rPr>
          <w:rFonts w:hint="eastAsia" w:eastAsia="仿宋_GB2312" w:cs="仿宋_GB2312"/>
          <w:color w:val="auto"/>
          <w:kern w:val="2"/>
          <w:sz w:val="32"/>
          <w:szCs w:val="32"/>
          <w:highlight w:val="none"/>
          <w:lang w:val="en-US" w:eastAsia="zh-CN" w:bidi="ar-SA"/>
        </w:rPr>
        <w:t>2.13</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公务用车运行维护，如维修保养、保险等支出</w:t>
      </w:r>
      <w:r>
        <w:rPr>
          <w:rFonts w:hint="eastAsia" w:ascii="Times New Roman" w:hAnsi="Times New Roman" w:eastAsia="仿宋_GB2312" w:cs="仿宋_GB2312"/>
          <w:color w:val="auto"/>
          <w:kern w:val="2"/>
          <w:sz w:val="32"/>
          <w:szCs w:val="32"/>
          <w:highlight w:val="none"/>
          <w:lang w:val="en-US" w:eastAsia="zh-CN" w:bidi="ar-SA"/>
        </w:rPr>
        <w:t>。授予中小企业合同金额</w:t>
      </w:r>
      <w:r>
        <w:rPr>
          <w:rFonts w:hint="eastAsia" w:eastAsia="仿宋_GB2312" w:cs="仿宋_GB2312"/>
          <w:color w:val="auto"/>
          <w:kern w:val="2"/>
          <w:sz w:val="32"/>
          <w:szCs w:val="32"/>
          <w:highlight w:val="none"/>
          <w:lang w:val="en-US" w:eastAsia="zh-CN" w:bidi="ar-SA"/>
        </w:rPr>
        <w:t>1.75</w:t>
      </w:r>
      <w:r>
        <w:rPr>
          <w:rFonts w:hint="eastAsia" w:ascii="Times New Roman" w:hAnsi="Times New Roman" w:eastAsia="仿宋_GB2312" w:cs="仿宋_GB2312"/>
          <w:color w:val="auto"/>
          <w:kern w:val="2"/>
          <w:sz w:val="32"/>
          <w:szCs w:val="32"/>
          <w:highlight w:val="none"/>
          <w:lang w:val="en-US" w:eastAsia="zh-CN" w:bidi="ar-SA"/>
        </w:rPr>
        <w:t>万元，占政府采购支出总额的</w:t>
      </w:r>
      <w:r>
        <w:rPr>
          <w:rFonts w:hint="eastAsia" w:eastAsia="仿宋_GB2312" w:cs="仿宋_GB2312"/>
          <w:color w:val="auto"/>
          <w:kern w:val="2"/>
          <w:sz w:val="32"/>
          <w:szCs w:val="32"/>
          <w:highlight w:val="none"/>
          <w:lang w:val="en-US" w:eastAsia="zh-CN" w:bidi="ar-SA"/>
        </w:rPr>
        <w:t>0.9</w:t>
      </w:r>
      <w:r>
        <w:rPr>
          <w:rFonts w:hint="eastAsia" w:ascii="Times New Roman" w:hAnsi="Times New Roman" w:eastAsia="仿宋_GB2312" w:cs="仿宋_GB2312"/>
          <w:color w:val="auto"/>
          <w:kern w:val="2"/>
          <w:sz w:val="32"/>
          <w:szCs w:val="32"/>
          <w:highlight w:val="none"/>
          <w:lang w:val="en-US" w:eastAsia="zh-CN" w:bidi="ar-SA"/>
        </w:rPr>
        <w:t>%，其中：授予小微企业合同金额</w:t>
      </w:r>
      <w:r>
        <w:rPr>
          <w:rFonts w:hint="eastAsia" w:eastAsia="仿宋_GB2312" w:cs="仿宋_GB2312"/>
          <w:color w:val="auto"/>
          <w:kern w:val="2"/>
          <w:sz w:val="32"/>
          <w:szCs w:val="32"/>
          <w:highlight w:val="none"/>
          <w:lang w:val="en-US" w:eastAsia="zh-CN" w:bidi="ar-SA"/>
        </w:rPr>
        <w:t>1.75</w:t>
      </w:r>
      <w:r>
        <w:rPr>
          <w:rFonts w:hint="eastAsia" w:ascii="Times New Roman" w:hAnsi="Times New Roman" w:eastAsia="仿宋_GB2312" w:cs="仿宋_GB2312"/>
          <w:color w:val="auto"/>
          <w:kern w:val="2"/>
          <w:sz w:val="32"/>
          <w:szCs w:val="32"/>
          <w:highlight w:val="none"/>
          <w:lang w:val="en-US" w:eastAsia="zh-CN" w:bidi="ar-SA"/>
        </w:rPr>
        <w:t>万元，占政府采购支出总额的</w:t>
      </w:r>
      <w:r>
        <w:rPr>
          <w:rFonts w:hint="eastAsia" w:eastAsia="仿宋_GB2312" w:cs="仿宋_GB2312"/>
          <w:color w:val="auto"/>
          <w:kern w:val="2"/>
          <w:sz w:val="32"/>
          <w:szCs w:val="32"/>
          <w:highlight w:val="none"/>
          <w:lang w:val="en-US" w:eastAsia="zh-CN" w:bidi="ar-SA"/>
        </w:rPr>
        <w:t>0.9</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8" w:name="_Toc15377224"/>
      <w:r>
        <w:rPr>
          <w:rFonts w:hint="eastAsia" w:ascii="Times New Roman" w:hAnsi="Times New Roman" w:eastAsia="楷体_GB2312" w:cs="楷体_GB2312"/>
          <w:b/>
          <w:color w:val="auto"/>
          <w:sz w:val="32"/>
          <w:szCs w:val="32"/>
          <w:highlight w:val="none"/>
        </w:rPr>
        <w:t>（三）国有资产占有使用情况</w:t>
      </w:r>
      <w:bookmarkEnd w:id="4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年12月31日，四川省工业环境监测研究院共有车辆</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辆，其中：主要</w:t>
      </w:r>
      <w:r>
        <w:rPr>
          <w:rFonts w:hint="eastAsia" w:eastAsia="仿宋_GB2312" w:cs="仿宋_GB2312"/>
          <w:color w:val="auto"/>
          <w:kern w:val="2"/>
          <w:sz w:val="32"/>
          <w:szCs w:val="32"/>
          <w:highlight w:val="none"/>
          <w:lang w:val="en-US" w:eastAsia="zh-CN" w:bidi="ar-SA"/>
        </w:rPr>
        <w:t>负责人</w:t>
      </w:r>
      <w:r>
        <w:rPr>
          <w:rFonts w:hint="eastAsia" w:ascii="Times New Roman" w:hAnsi="Times New Roman" w:eastAsia="仿宋_GB2312" w:cs="仿宋_GB2312"/>
          <w:color w:val="auto"/>
          <w:kern w:val="2"/>
          <w:sz w:val="32"/>
          <w:szCs w:val="32"/>
          <w:highlight w:val="none"/>
          <w:lang w:val="en-US" w:eastAsia="zh-CN" w:bidi="ar-SA"/>
        </w:rPr>
        <w:t>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辆、机要通信用车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辆、应急保障用车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辆、其他用车</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辆，其他用车主要是用于污染源及环境质量监测、产品质量检验检测、污染治理及节能环保等工作</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单价100万元</w:t>
      </w:r>
      <w:r>
        <w:rPr>
          <w:rFonts w:hint="eastAsia" w:eastAsia="仿宋_GB2312" w:cs="仿宋_GB2312"/>
          <w:color w:val="auto"/>
          <w:kern w:val="2"/>
          <w:sz w:val="32"/>
          <w:szCs w:val="32"/>
          <w:highlight w:val="none"/>
          <w:lang w:val="en-US" w:eastAsia="zh-CN" w:bidi="ar-SA"/>
        </w:rPr>
        <w:t>（含）</w:t>
      </w:r>
      <w:r>
        <w:rPr>
          <w:rFonts w:hint="eastAsia" w:ascii="Times New Roman" w:hAnsi="Times New Roman" w:eastAsia="仿宋_GB2312" w:cs="仿宋_GB2312"/>
          <w:color w:val="auto"/>
          <w:kern w:val="2"/>
          <w:sz w:val="32"/>
          <w:szCs w:val="32"/>
          <w:highlight w:val="none"/>
          <w:lang w:val="en-US" w:eastAsia="zh-CN" w:bidi="ar-SA"/>
        </w:rPr>
        <w:t>以上设备（不含车辆）</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台（套）。</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根据预算绩效管理要求，四川省工业环境监测研究院在2024年度预算编制阶段，组织对</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18</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18</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组织对2024年度18个项目开展绩效自评，绩效自评</w:t>
      </w:r>
      <w:r>
        <w:rPr>
          <w:rFonts w:hint="eastAsia" w:eastAsia="仿宋_GB2312" w:cs="仿宋_GB2312"/>
          <w:color w:val="auto"/>
          <w:kern w:val="2"/>
          <w:sz w:val="32"/>
          <w:szCs w:val="32"/>
          <w:highlight w:val="none"/>
          <w:lang w:val="en-US" w:eastAsia="zh-CN" w:bidi="ar-SA"/>
        </w:rPr>
        <w:t>表</w:t>
      </w:r>
      <w:r>
        <w:rPr>
          <w:rFonts w:hint="eastAsia" w:ascii="Times New Roman" w:hAnsi="Times New Roman" w:eastAsia="仿宋_GB2312" w:cs="仿宋_GB2312"/>
          <w:color w:val="auto"/>
          <w:kern w:val="2"/>
          <w:sz w:val="32"/>
          <w:szCs w:val="32"/>
          <w:highlight w:val="none"/>
          <w:lang w:val="en-US" w:eastAsia="zh-CN" w:bidi="ar-SA"/>
        </w:rPr>
        <w:t>详见附件。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9" w:name="_Toc15396613"/>
      <w:bookmarkStart w:id="50" w:name="_Toc15377225"/>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9"/>
      <w:bookmarkEnd w:id="50"/>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2.事业收入：指事业单位开展专业业务活动及辅助活动取得的收入。如环境监测收入、产品质量检测收入、环保咨询等。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4.其他收入：指单位取得的除上述收入以外的各项收入。主要是银行存款利息收入等。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一般公共服务（类）市场监督管理事务（款）其他场监督管理事务（项）：指指反映市场监督管理事务中除行政运行、一般行政管理事务、机关服务、市场主体管理、市场秩序执法、信息化建设、质量基础、药品事务、医疗器械事务、化妆品事务、质量安全监督、食品安全监督、事业运行以外其他市场监督管理事务方面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10.科学技术（类）其他科学技术支出（款）其他科学技术支出（项）：指反映其他科学技术支出中除科学技术奖励、核应急、转制科研机构等以外用于科技方面的支出。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11.社会保障和就业（类）行政事业单位养老支出（款）  机关事业单位基本养老保险缴费支出（项）：指反映机关事业单位实施养老保险制度由单位缴纳的基本养老保险费支出。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12.社会保障和就业（类）行政事业单位养老支出（款）  机关事业单位职业年金缴费支出（项）：指反映机关事业单位实施养老保险制度由单位实际缴纳的职业年金支出。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13.卫生健康（类）行政事业单位医疗（款）事业单位医疗（项）：指反映财政部门安排的事业单位基本医疗保险缴费经费。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14.资源勘探工业信息等支出（类）制造业（款）其他制造业支出（项）：指资源勘探工业信息等类的支出。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15.住房保障（类）住房改革支出（款）住房公积金（项）：指反映行政事业单位按人力资源和社会保障部、财政部规定的基本工资和津贴补贴以及规定比例为职工缴纳的住房公积金。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16.住房保障（类）住房改革支出（款）购房补贴（项）：指反映行政事业单位按人力资源和社会保障部、财政部规定的基本工资和津贴补贴以及规定比例为职工缴纳的住房公积金。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7.基本支出：指为保障机构正常运转、完成日常工作任务而发生的人员支出和公用支出。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 xml:space="preserve">8.项目支出：指在基本支出之外为完成特定行政任务和事业发展目标所发生的支出。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9.经营支出：指事业单位在专业业务活动及其辅助活动之外开展非独立核算经营活动发生的支出。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0.</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pPr>
        <w:spacing w:line="600" w:lineRule="exact"/>
        <w:jc w:val="center"/>
        <w:rPr>
          <w:rStyle w:val="28"/>
          <w:rFonts w:hint="eastAsia" w:ascii="Times New Roman" w:hAnsi="Times New Roman" w:eastAsia="黑体"/>
          <w:b w:val="0"/>
          <w:color w:val="auto"/>
          <w:highlight w:val="none"/>
          <w:lang w:eastAsia="zh-CN"/>
        </w:rPr>
      </w:pPr>
      <w:bookmarkStart w:id="51"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52"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2"/>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auto"/>
          <w:sz w:val="32"/>
          <w:szCs w:val="32"/>
          <w:highlight w:val="none"/>
        </w:rPr>
      </w:pPr>
    </w:p>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highlight w:val="none"/>
          <w:u w:val="none"/>
          <w:lang w:val="zh-CN" w:eastAsia="zh-CN" w:bidi="ar"/>
        </w:rPr>
      </w:pPr>
      <w:r>
        <w:rPr>
          <w:rFonts w:hint="eastAsia" w:ascii="Times New Roman" w:hAnsi="Times New Roman" w:eastAsia="仿宋_GB2312" w:cs="Times New Roman"/>
          <w:kern w:val="2"/>
          <w:sz w:val="32"/>
          <w:szCs w:val="32"/>
          <w:highlight w:val="none"/>
          <w:u w:val="none"/>
          <w:lang w:val="zh-CN" w:eastAsia="zh-CN" w:bidi="ar"/>
        </w:rPr>
        <w:t>附表：</w:t>
      </w:r>
      <w:r>
        <w:rPr>
          <w:rFonts w:hint="eastAsia" w:ascii="Times New Roman" w:hAnsi="Times New Roman" w:eastAsia="仿宋_GB2312" w:cs="Times New Roman"/>
          <w:kern w:val="2"/>
          <w:sz w:val="32"/>
          <w:szCs w:val="32"/>
          <w:highlight w:val="none"/>
          <w:u w:val="none"/>
          <w:lang w:val="en-US" w:eastAsia="zh-CN" w:bidi="ar"/>
        </w:rPr>
        <w:t>部门预算项目支出绩效自评表（2024年度）</w:t>
      </w:r>
    </w:p>
    <w:tbl>
      <w:tblPr>
        <w:tblStyle w:val="15"/>
        <w:tblW w:w="110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69"/>
        <w:gridCol w:w="1364"/>
        <w:gridCol w:w="1736"/>
        <w:gridCol w:w="406"/>
        <w:gridCol w:w="1284"/>
        <w:gridCol w:w="411"/>
        <w:gridCol w:w="851"/>
        <w:gridCol w:w="486"/>
        <w:gridCol w:w="396"/>
        <w:gridCol w:w="19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10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51000024T000009975269-2024年双碳项目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开展26个绿色环保双碳项目</w:t>
            </w:r>
          </w:p>
        </w:tc>
        <w:tc>
          <w:tcPr>
            <w:tcW w:w="3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按照计划顺利完成26个绿色环保双碳项目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7"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地方政府、园区、企业开展绿色环保双碳相关项目，主要开展园区企业入园咨询、现场排查、环保档案建设、环境监测、督察协作工作、环保培训等工作，为客户提供专业、细致的环保管家服务。为地方应对气候变化提出指导性建议，推动工业企业绿色低碳转型和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370.70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305.10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266.34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87.29%</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1、在项目开展过程中，由于不同业务类型的工作内容有差异，开展了一些新业务工作，所需费用支出有调整，导致项目部分预算未完全符合预期，预算执行率具有一定差距。</w:t>
            </w:r>
            <w:r>
              <w:rPr>
                <w:rFonts w:hint="eastAsia" w:ascii="黑体" w:hAnsi="黑体" w:eastAsia="黑体" w:cs="黑体"/>
                <w:i/>
                <w:iCs/>
                <w:color w:val="000000"/>
                <w:kern w:val="0"/>
                <w:sz w:val="18"/>
                <w:szCs w:val="18"/>
                <w:u w:val="none"/>
                <w:lang w:val="en-US" w:eastAsia="zh-CN" w:bidi="ar"/>
              </w:rPr>
              <w:br w:type="textWrapping"/>
            </w:r>
            <w:r>
              <w:rPr>
                <w:rFonts w:hint="eastAsia" w:ascii="黑体" w:hAnsi="黑体" w:eastAsia="黑体" w:cs="黑体"/>
                <w:i/>
                <w:iCs/>
                <w:color w:val="000000"/>
                <w:kern w:val="0"/>
                <w:sz w:val="18"/>
                <w:szCs w:val="18"/>
                <w:u w:val="none"/>
                <w:lang w:val="en-US" w:eastAsia="zh-CN" w:bidi="ar"/>
              </w:rPr>
              <w:t>2、年中，我部门根据所开展项目的预算执行情况，对部分预算进行了一定的调整。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370.70</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305.10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266.34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87.29%</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1"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2"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开展项目数量</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26</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达到合同相关质量要求</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项目按合同期限完成</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合同额</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对项目服务满意度</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8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98</w:t>
            </w:r>
          </w:p>
        </w:tc>
        <w:tc>
          <w:tcPr>
            <w:tcW w:w="19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5"/>
                <w:lang w:val="en-US" w:eastAsia="zh-CN" w:bidi="ar"/>
              </w:rPr>
              <w:t>本项目顺利完成了年度计划目标，同时各项绩效指标均达到对应目标，该项目顺利完成。自评分9</w:t>
            </w:r>
            <w:r>
              <w:rPr>
                <w:rStyle w:val="35"/>
                <w:rFonts w:hint="eastAsia"/>
                <w:lang w:val="en-US" w:eastAsia="zh-CN" w:bidi="ar"/>
              </w:rPr>
              <w:t>8</w:t>
            </w:r>
            <w:r>
              <w:rPr>
                <w:rStyle w:val="35"/>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项目预算执行率有待提高，主要是由于不同类型的项目所需要支出费用有差异，同时开展了一些新的业务工作，导致实际支出金额与年度预算有一定差异。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在年中及时根据上半年度预算执行情况，以及下半年预期开展的工作及时调整预算。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56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项目负责人：房景燕</w:t>
            </w:r>
          </w:p>
        </w:tc>
        <w:tc>
          <w:tcPr>
            <w:tcW w:w="53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p>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p>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72"/>
        <w:gridCol w:w="1364"/>
        <w:gridCol w:w="1737"/>
        <w:gridCol w:w="406"/>
        <w:gridCol w:w="1287"/>
        <w:gridCol w:w="413"/>
        <w:gridCol w:w="850"/>
        <w:gridCol w:w="486"/>
        <w:gridCol w:w="396"/>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51000024T000009985088-2024年工业产品质量检验检测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为各类工程、企业、个人提供冶金、金属产品方面的检测服务；预计服务企业、个人600余家，检测产品5000余批次，出具检验检测报告5000余份。</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2024年共计服务企业、个人550家，检测产品6500批次，出具检验检测报告6500份。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为核电、水电等各类工程建设、各类社会企业、个人等提供冶金、金属产品的检验检测服务，不断提高自身检测能力和管理水平，将我院建设成为冶金产品检测领域让人感到放心、满意和权威的第三方检测机构。共计服务企业、个人550家，检测产品6500批次，出具检验检测报告6500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110.67</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96.23%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110.67</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96.23%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3"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检测产品5000余批次，出具检验检测报告5000余份</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5000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全年不符合管理体系要求的报告</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全年超过合同规定时限的报告</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产值（合同金额）500万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503</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检测服务和技术咨询服务</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82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了年中调整后的产出指标和效益指标，为核电、水电等各类工程建设、各类企业、个人等提供冶金、金属产品的检验检测服务，不断提高自身检测能力和管理水平，将我院建设成为冶金产品检测领域让人感到放心、满意和权威的第三方检测机构。共计服务企业、个人550家，检测产品6500批次，出具检验检测报告6500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检验检测机构间的竞争越来越激烈、市场对检测机构资质种类的需求越来越多等。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加强人员培训、加大业务开拓力度，有针对性的进行资质扩项，以扩大检测服务范围。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56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项目负责人：段彩红</w:t>
            </w:r>
          </w:p>
        </w:tc>
        <w:tc>
          <w:tcPr>
            <w:tcW w:w="54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pStyle w:val="3"/>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none"/>
          <w:lang w:val="zh-CN" w:eastAsia="zh-CN"/>
        </w:rPr>
      </w:pPr>
    </w:p>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6"/>
        <w:gridCol w:w="1564"/>
        <w:gridCol w:w="1364"/>
        <w:gridCol w:w="1732"/>
        <w:gridCol w:w="406"/>
        <w:gridCol w:w="1281"/>
        <w:gridCol w:w="418"/>
        <w:gridCol w:w="849"/>
        <w:gridCol w:w="493"/>
        <w:gridCol w:w="402"/>
        <w:gridCol w:w="1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51000024T000009992721-2024年污染源监测项目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4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2"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环境污染源监测项目正常运行，力争2024年全年保质保量完成环境污染源监测报告1300份，创造环境污染源监测收入650万元，不符合质量体系报告不超过3%，超过合同规定时限的报告不超过3%，全年客服合理投诉次数不超过客户委托次数的2%，提高监测所监测数据的准确性、公正性、科学性、有效性，提高全所监测管理质量和水平，进一步服务客户。</w:t>
            </w:r>
          </w:p>
        </w:tc>
        <w:tc>
          <w:tcPr>
            <w:tcW w:w="3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完成污染源监测类报告1300份，收入650万,全年共有34次培训涉及人次300余人次，不符合质量体系报告不超过3%，污染源监测类报告按合同时限完成比例97%，环境质量合格率99.1%，全年未接到投诉，完成了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4"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污染源监测项目”的实施，不断提高了环境监测的管理水平、监测质量，将我院建设成为环境监测领域内让人安心、放心、满意和权威的监测服务机构，为客户提供公正、科学、准确、有效的监测数据。共计完成污染源监测类报告1300份，收入650万，该项目组织比较规范、合理，目标完成情况总体良好，实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402.00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322.00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317.01</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98.45%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1、根据上半年项目签订情况、完成情况及外委工作情况，调整专用材料费、差旅费、维护费、劳务费、咨询费、会议费的预算。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402.00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322.00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317.01</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98.45%</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4" w:hRule="atLeast"/>
          <w:jc w:val="center"/>
        </w:trPr>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完成污染源监测报告数量</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1300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达到合同相关质量要求</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项目按照合同期限完成</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完成污染源监测报告收入</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650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82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jc w:val="center"/>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污染源监测项目”的实施，不断提高了环境监测的管理水平、监测质量，将我院建设成为环境监测领域内让人安心、放心、满意和权威的监测服务机构，为客户提供公正、科学、准确、有效的监测数据。共计完成污染源监测类报告1300份，收入650万，该项目组织比较规范、合理，目标完成情况总体良好，实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重点难点复杂项目推进速度有待进一步加快。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jc w:val="center"/>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加强统筹协调力度，加快推进重点难点复杂项目进度。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5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项目负责人：祝艳涛</w:t>
            </w:r>
          </w:p>
        </w:tc>
        <w:tc>
          <w:tcPr>
            <w:tcW w:w="54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pStyle w:val="3"/>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none"/>
          <w:lang w:val="zh-CN" w:eastAsia="zh-CN"/>
        </w:rPr>
      </w:pPr>
    </w:p>
    <w:tbl>
      <w:tblPr>
        <w:tblStyle w:val="15"/>
        <w:tblW w:w="11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76"/>
        <w:gridCol w:w="1373"/>
        <w:gridCol w:w="1743"/>
        <w:gridCol w:w="407"/>
        <w:gridCol w:w="1292"/>
        <w:gridCol w:w="411"/>
        <w:gridCol w:w="853"/>
        <w:gridCol w:w="486"/>
        <w:gridCol w:w="396"/>
        <w:gridCol w:w="1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110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1" w:hRule="atLeast"/>
          <w:jc w:val="center"/>
        </w:trPr>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51000024T000009992766-2024年环境质量现状监测项目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3"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保障环境质量监测项目正常运行，力争2024年全年保质保量完成环境质量监测报告1600份，创造收入800万元，不符合质量体系报告不超过3%，超过合同规定时限的报告不超过3%，全年客服合理投诉次数不超过客户委托次数的2%，提高监测所监测数据的准确性、公正性、科学性、有效性，提高全所监测管理质量和水平，进一步服务客户。</w:t>
            </w:r>
          </w:p>
        </w:tc>
        <w:tc>
          <w:tcPr>
            <w:tcW w:w="3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完成环境质量现状监测类报告1600份，收入800万，全年共有34次培训涉及人次300余人次，不符合质量体系报告不超过3%，环境质量现状监测类报告按合同时限完成比例97%，环境质量合格率99.1%，全年未接到投诉，完成了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项目实施内容包括项目现场勘察、报告编制、委托开展项目环境质量现状监测、公众参与、报告内审、报告评审及报告打印装订等工作。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304.00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314.00</w:t>
            </w: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1.根据上半年项目签订情况、完成情况及外委工作情况，调整专用材料费、差旅费、维护费、劳务费、咨询费、会议费的预算。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304.00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314.00</w:t>
            </w: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完成环境质量现状监测项目报告数量</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1610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40</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达到合同相关质量要求</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按照合同期限完成</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完成环境质量现状监测项目报告收入</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800</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82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环境质量现状监测项目”的实施，不断提高了环境监测的管理水平、监测质量，将我院建设成为环境监测领域内让人安心、放心、满意和权威的监测服务机构，为客户提供公正、科学、准确、有效的监测数据。共计完成环境质量现状监测类报告1600份，收入800万，该项目组织比较规范、合理，目标完成情况总体良好，实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重点难点复杂项目推进速度有待进一步加快。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jc w:val="center"/>
        </w:trPr>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强统筹协调力度，加快推进重点难点复杂项目进度。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56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项目负责人：祝艳涛</w:t>
            </w:r>
          </w:p>
        </w:tc>
        <w:tc>
          <w:tcPr>
            <w:tcW w:w="53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tbl>
      <w:tblPr>
        <w:tblStyle w:val="15"/>
        <w:tblpPr w:leftFromText="180" w:rightFromText="180" w:vertAnchor="text" w:horzAnchor="page" w:tblpXSpec="center" w:tblpY="609"/>
        <w:tblOverlap w:val="never"/>
        <w:tblW w:w="11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3"/>
        <w:gridCol w:w="1553"/>
        <w:gridCol w:w="1358"/>
        <w:gridCol w:w="1719"/>
        <w:gridCol w:w="421"/>
        <w:gridCol w:w="1268"/>
        <w:gridCol w:w="433"/>
        <w:gridCol w:w="852"/>
        <w:gridCol w:w="516"/>
        <w:gridCol w:w="421"/>
        <w:gridCol w:w="1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11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3" w:hRule="atLeast"/>
          <w:jc w:val="center"/>
        </w:trPr>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51000024T000009992788-2024年监测环保咨询评估类项目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jc w:val="center"/>
        </w:trPr>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8"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保障环保咨询评估类项目正常运转，力争2024年度全年完成环保咨询评估类项目100个，创造收入350万元，通过评审100%，超过合同规定时限的报告不超过3%，全年客服合理投诉次数不超过客户委托次数的2%，提高监测所监测数据的准确性、公正性、科学性、有效性，提高全所监测管理质量和水平，进一步服务客户。</w:t>
            </w:r>
          </w:p>
        </w:tc>
        <w:tc>
          <w:tcPr>
            <w:tcW w:w="37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Style w:val="36"/>
                <w:lang w:val="en-US" w:eastAsia="zh-CN" w:bidi="ar"/>
              </w:rPr>
              <w:t>全年完成监测环保咨询评估类报告100份，收入350万，</w:t>
            </w:r>
            <w:r>
              <w:rPr>
                <w:rFonts w:hint="eastAsia" w:ascii="黑体" w:hAnsi="黑体" w:eastAsia="黑体" w:cs="黑体"/>
                <w:i w:val="0"/>
                <w:iCs w:val="0"/>
                <w:color w:val="000000"/>
                <w:kern w:val="0"/>
                <w:sz w:val="18"/>
                <w:szCs w:val="18"/>
                <w:u w:val="none"/>
                <w:lang w:val="en-US" w:eastAsia="zh-CN" w:bidi="ar"/>
              </w:rPr>
              <w:t>全年共有34次培训涉及人次300余人次，不符合质量体系报告不超过3%，监测环保咨询评估类报告按合同时限完成比例97%，环境质量合格率99.1%，全年未接到投诉，完成了年度目标。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7"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监测环保咨询评估类项目”的实施，不断提高了环境监测的管理水平、监测质量，将我院建设成为环境监测领域内让人安心、放心、满意和权威的监测服务机构，为客户提供公正、科学、准确、有效的监测数据。共计完成监测环保咨询评估类报告100份，收入350万，该项目组织比较规范、合理，目标完成情况总体良好，实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149.70</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151.70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147.02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1、根据上半年项目签订情况、完成情况及外委工作情况，调整专用材料费、差旅费、维护费、劳务费、咨询费、会议费的预算。  </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 2、加强成本控制，预算执行率降低。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149.70</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151.70</w:t>
            </w: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147.02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1" w:hRule="atLeast"/>
          <w:jc w:val="center"/>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完成监测环保咨询评估类项目数量</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达到合同相关质量要求</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项目按合同期限完成</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完成监测环保咨询评估类项目收入</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350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82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w:t>
            </w:r>
          </w:p>
        </w:tc>
        <w:tc>
          <w:tcPr>
            <w:tcW w:w="19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jc w:val="center"/>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监测环保咨询评估类项目”的实施，不断提高了环境监测的管理水平、监测质量，将我院建设成为环境监测领域内让人安心、放心、满意和权威的监测服务机构，为客户提供公正、科学、准确、有效的监测数据。共计完成监测环保咨询评估类报告100份，收入350万，该项目组织比较规范、合理，目标完成情况总体良好，实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重点难点复杂项目推进速度有待进一步加快。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jc w:val="center"/>
        </w:trPr>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加强统筹协调力度，加快推进重点难点复杂项目进度。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jc w:val="center"/>
        </w:trPr>
        <w:tc>
          <w:tcPr>
            <w:tcW w:w="56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项目负责人：祝艳涛</w:t>
            </w:r>
          </w:p>
        </w:tc>
        <w:tc>
          <w:tcPr>
            <w:tcW w:w="54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2"/>
        <w:gridCol w:w="1566"/>
        <w:gridCol w:w="1366"/>
        <w:gridCol w:w="1733"/>
        <w:gridCol w:w="407"/>
        <w:gridCol w:w="1280"/>
        <w:gridCol w:w="416"/>
        <w:gridCol w:w="849"/>
        <w:gridCol w:w="490"/>
        <w:gridCol w:w="400"/>
        <w:gridCol w:w="1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jc w:val="center"/>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51000024T000009995122-2024年工程治理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9" w:hRule="atLeast"/>
          <w:jc w:val="center"/>
        </w:trPr>
        <w:tc>
          <w:tcPr>
            <w:tcW w:w="2148"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0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61"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1.开展2个企业清洁生产审核项目。</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2.开展1个区域环保管家服务工作。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3.开展17个大气绩效升级项目，其中10个项目包括环保工程整改。</w:t>
            </w:r>
          </w:p>
        </w:tc>
        <w:tc>
          <w:tcPr>
            <w:tcW w:w="37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1.已开展2个企业清洁生产审核项目。2.已开展1个区域环保管家服务工作。3.已开展17个大气绩效升级项目，其中5个环保工程整改项目。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两个清洁生产审核项目还在编制过程中，已经完成了1个区域环保管家服务工作，完成了15个大气绩效升级项目,2个大气绩效升级项目企业还在整改中，5个工程改造项目已经完成。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492.90</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140.32</w:t>
            </w: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131.56</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93.75%</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492.90</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140.32</w:t>
            </w: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131.56</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93.75%</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承接项目总数</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报告编制质量达到合同相关技术条款</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97</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项目按照合同期限完成</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合同额</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510</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目前大环境较差，大部分企业都处于停产状态，无升级改造意愿，导致未完成目标。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819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7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工程治理在完成质量上都获得了客户和主管部门的一致好评，2024年跟进项目200余个，但由于经济环境较差，成交率不达20%，导致整体业绩较差。下一步我们准备进一步提高技术服务能力，加强业务跟踪水平，争取在2025年度完成既定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7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2024年度主要存在的问题是业务跟进水平不高，导致业务流失。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7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下一步拟进行业务能力培训，提高业务成交率，进而达到既定目标。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项目负责人：牟建波</w:t>
            </w:r>
          </w:p>
        </w:tc>
        <w:tc>
          <w:tcPr>
            <w:tcW w:w="54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pStyle w:val="8"/>
        <w:rPr>
          <w:rFonts w:hint="eastAsia" w:ascii="Times New Roman" w:hAnsi="Times New Roman" w:cs="宋体"/>
          <w:color w:val="FF0000"/>
          <w:kern w:val="0"/>
          <w:sz w:val="32"/>
          <w:szCs w:val="32"/>
          <w:highlight w:val="none"/>
          <w:shd w:val="clear" w:color="auto" w:fill="FFFFFF"/>
          <w:lang w:val="zh-CN"/>
        </w:rPr>
      </w:pPr>
    </w:p>
    <w:tbl>
      <w:tblPr>
        <w:tblStyle w:val="15"/>
        <w:tblW w:w="11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8"/>
        <w:gridCol w:w="1167"/>
        <w:gridCol w:w="1027"/>
        <w:gridCol w:w="2427"/>
        <w:gridCol w:w="396"/>
        <w:gridCol w:w="954"/>
        <w:gridCol w:w="396"/>
        <w:gridCol w:w="756"/>
        <w:gridCol w:w="486"/>
        <w:gridCol w:w="396"/>
        <w:gridCol w:w="2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049" w:type="dxa"/>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51000024T000010022734-2024年环境影响评价项目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jc w:val="center"/>
        </w:trPr>
        <w:tc>
          <w:tcPr>
            <w:tcW w:w="197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0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07" w:type="dxa"/>
            <w:gridSpan w:val="5"/>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842"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5"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开展环境影响评价报告编制工作，含现场踏勘、对外检测委托、打印报告、组织专家评审，出具审查意见。</w:t>
            </w:r>
          </w:p>
        </w:tc>
        <w:tc>
          <w:tcPr>
            <w:tcW w:w="38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截至目前，项目承接量已达预申报目标的50%，现场踏勘、报告编制及外委监测等核心工作有序推进。项目团队严格执行质量标准，通过定期回访和现场指导，确保各环节精准实施。项目执行质量获得客户高度认可，社会效益显著，已产生积极的社会影响。根据当前进度和质量把控情况，预计将保质保量的完成既定考核指标，为后续项目开展奠定良好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04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首先开展项目接洽与招投标工作，明确项目需求与技术要求；随后进行合同签订，确定双方权责与实施标准；继而组织现场踏勘与基础资料收集，全面掌握项目现状；根据技术要求开展外委监测，获取专业数据支撑；在此基础上编制报告初稿，形成初步成果；经过项目组内部审核，确保报告质量；提交主管部门组织专家评审验收，根据评审意见完善报告；最终完成项目结题归档，包括成果交付、资料整理及后续服务等，确保项目全流程规范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316.65</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243.65</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237.36</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2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316.65</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243.65</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237.36</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全年承接项目数量</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报告编制质量达到合同相关技术指标要求</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以负责审批的环保主管部门确定的时间为准</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签署合同金额</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9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实施进展顺利，各项指标均达到预期要求。项目团队严格执行标准化流程，从前期接洽到现场实施各环节衔接有序，质量控制措施落实到位。通过建立周报制度和定期沟通机制，确保了项目进度与质量的双重把控。客户满意度调查显示好评率达90%以上，项目成果得到主管部门的高度认可。团队专业能力和服务意识获得各方一致好评，为后续项目合作奠定了良好基础。总体而言，本项目在质量控制、客户服务等方面均达到优秀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当前环评工作面临多重挑战：市场竞争白热化导致价格战频发，项目利润空间持续压缩；新入行机构增多，专业人才供不应求，团队建设成本攀升；审批要求日趋严格，报告编制周期延长，项目成本增加；部分企业为降低成本选择低价服务，影响行业整体质量水平。同时，数字化转型升级压力加大，传统工作模式亟待创新。这些因素叠加，使环评机构在维持服务质量和实现经济效益之间面临艰难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建议重点推进以下数字化转型措施：整合环境数据库，提升工作效率通过数字化手段降低人力成本，提高服务精准度，同时积累数据资产，为开展环境大数据分析、提供增值服务奠定基础，推动业务模式创新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8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项目负责人：陈建平</w:t>
            </w:r>
          </w:p>
        </w:tc>
        <w:tc>
          <w:tcPr>
            <w:tcW w:w="51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74"/>
        <w:gridCol w:w="1366"/>
        <w:gridCol w:w="1736"/>
        <w:gridCol w:w="407"/>
        <w:gridCol w:w="1286"/>
        <w:gridCol w:w="411"/>
        <w:gridCol w:w="851"/>
        <w:gridCol w:w="486"/>
        <w:gridCol w:w="396"/>
        <w:gridCol w:w="1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51000024T000010039806-2024年科研实验楼外立面墙砖修复及防水工程等修缮项目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6"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我院外立面外墙砖亟待修缮：因近年来时常出现不同面积的外墙砖脱落及墙体渗水情况，对园区内人员和办公实验区的财产安全产生巨大隐患，对外立面墙砖的修复和防水处理能够进一步保障园区职工的人身财产安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由于我院所在园区是与工程公司联建而成，园区占地面积广，且人员较多，日常公共区域基础设施时常需要维修维护；加之我院员工较多，实验、办公区域使用频率较高，相关办公及实验区水电、墙面等基础设施时常需要维修维护，以保障各项工作正常开展。</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近年来，随着院的不断发展，新晋员工不断增多及实验楼区域的整合等原因，现有办公区域已不能满足需求。本次改造，旨在为我院办公场所进行重新调整，为更多的新晋员工及部门提供办公场地，以适应院不断发展的需要。</w:t>
            </w:r>
          </w:p>
        </w:tc>
        <w:tc>
          <w:tcPr>
            <w:tcW w:w="3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该项目预算用于园区工程类及零星维修，完成了大部分年度目标，包括但不限于院4楼办公区域改造、档案室、侧楼光伏建设、职工宿舍修缮及其他零星维修项目等。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批复后，根据工作安排及院预算支出相关规定，分别以三方比选、公开比选、以及框架协议等方式，有不同中标/中选供应商在本年度完成了外墙修缮、公区办公区零星维修维保(分季度结算)、院1号4楼办公区改造，除此以外，职工宿舍修缮改造、档案室改造、光伏房搭建等项目首期工程也完成，预算执行率较高，基本完成预期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94.00</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93.19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99.14%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94.00</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94.00</w:t>
            </w: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93.19</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99.14%</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完成项目数量</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项目按计划完工率</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项目受益人数</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1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本年度结合院工作实际需要，基本按时完成了该项目预算中所涉及事项，预算执行率高，持续为全院职工改善办公、实验及住宿环境，自评得分99分。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部分项目因时间紧迫，导致实际实施与预算初期申报内容存在一些偏差。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编制下一年度预算指标时需根据院实际情况根据精确，减少误差，保证预算执行更加准确。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56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项目负责人：蔡羽飞</w:t>
            </w:r>
          </w:p>
        </w:tc>
        <w:tc>
          <w:tcPr>
            <w:tcW w:w="53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05"/>
        <w:gridCol w:w="1313"/>
        <w:gridCol w:w="1659"/>
        <w:gridCol w:w="400"/>
        <w:gridCol w:w="1220"/>
        <w:gridCol w:w="756"/>
        <w:gridCol w:w="835"/>
        <w:gridCol w:w="486"/>
        <w:gridCol w:w="396"/>
        <w:gridCol w:w="1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20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51000024T000010252885-2024年绿色低碳课题项目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20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0"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1、开展文献查阅、背景资料收集工作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2、开展标准化工作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3、开展科研课题工作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4、开展企业调研、技术咨询、技术报告编制，涉及现场踏勘，企业技术人员座谈、报告打印工作</w:t>
            </w:r>
          </w:p>
        </w:tc>
        <w:tc>
          <w:tcPr>
            <w:tcW w:w="35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2024年绿色低碳课题项目已按照年度目标执行完成，项目执行过程中相继完成了资料搜集，企业调研，专家咨询、技术报告编制及专家评审等环节。总体完成了目标任务，主持或参与编制地方标准4个，编制发布标准类文件1个，完成研究课题报告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6"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了4项地方标准研制工作，包括《企业重点用能设备更新改造规范》《三氧化二钒和五氧化二钒单位产品能源消耗限额》《四川省有色金属冶炼和晶硅工业水污染物排放标准》等，成立标准起草工作组，展开文献查阅、企业调研、专家咨询、标准草案及标准文本编制、技术审查等环节；完成了四川省长江黄河上游生态屏障建设研究智库开放课题项目《四川省推进产业智能化、绿色化、融合化发展路径研究》，梳理了四川省产业结构体系，提出了四川省产业智能化、绿色化、融合化发展路径，完成了报告一本、提出政策建议一条；编制的《四川省建材行业碳达峰实施方案》和《四川省有色金属行业碳达峰实施方案》分别于2024年4月和5月正式印发，进一步完善了我省工业领域碳达峰1+4政策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69.07%</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shd w:val="clear"/>
                <w:lang w:val="en-US" w:eastAsia="zh-CN" w:bidi="ar"/>
              </w:rPr>
              <w:t>年中咨询费和劳务费的绩效目标由于预算编制时未细化到具体工作量或服务频次，导致资金需求测算偏差，但因实际服务量不足被动调减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69.07%</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7" w:hRule="atLeast"/>
          <w:jc w:val="center"/>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课题研究报告数量</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论文、标准草案等数量</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篇（部）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达到课题相关技术要求、合同要求等</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97</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项目按合同期限完成</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生态环境保护</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82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0" w:hRule="atLeast"/>
          <w:jc w:val="center"/>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2024年绿色低碳课题项目已按照既定目标完成，自评总得分96分。标准化工作可以推动环境保护技术的科学研究和创新，促进技术不断升级和进步，例如《企业重点用能设备更新改造规范》标准的制定和实施有助于促使企业加快设备更新改造、稳步推进我省产业绿色低碳转型升级；《四川省推进产业智能化、绿色化、融合化发展路径研究》课题深入了解并分析四川省产业智能化、绿色化、融合化发展的现状及存在问题，分析国内外产业发展趋势，总结先进经验，探讨四川省产业发展的路径，并提出相应的对策建议，为政府和企业提供决策参考，有利于推动四川省产业结构优化升级，促进经济发展方式的转变，有利于提高四川省产业的技术水平和创新能力，增强其核心竞争力，有利于实现经济发展与环境保护的良性互动，促进可持续发展；“双碳”工作的开展有助于推动工业领域碳达峰碳中和，推动全省经济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由于项目涉及环节众多，项目预算编制不够准确，导致执行率在69.07%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加强预算编制人员培训，提升业务知识、财务知识和预算编制技能。在编制预算前，充分了解项目的具体需求、目标、规模和实施计划，确保预算与项目实际需求相匹配。建议编制人员充分与项目团队进行充分沟通，确保预算编制过程中考虑到所有相关因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5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项目负责人：李思锐</w:t>
            </w:r>
          </w:p>
        </w:tc>
        <w:tc>
          <w:tcPr>
            <w:tcW w:w="55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5"/>
        <w:gridCol w:w="1428"/>
        <w:gridCol w:w="1249"/>
        <w:gridCol w:w="1580"/>
        <w:gridCol w:w="401"/>
        <w:gridCol w:w="1165"/>
        <w:gridCol w:w="405"/>
        <w:gridCol w:w="786"/>
        <w:gridCol w:w="493"/>
        <w:gridCol w:w="401"/>
        <w:gridCol w:w="2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jc w:val="center"/>
        </w:trPr>
        <w:tc>
          <w:tcPr>
            <w:tcW w:w="2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0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51000024T000010298178-2024年节能及绿色制造服务项目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2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7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4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4"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1、开展40个项目节能评审工作；2、开展30家企业节能诊断工作；3、开展15个项目节能评估工作；4、开展20家绿色制造体系建设评价工作。</w:t>
            </w:r>
          </w:p>
        </w:tc>
        <w:tc>
          <w:tcPr>
            <w:tcW w:w="42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节能工作：2024年度已完成年度目标任务。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绿色制造服务工作：2024年度已完成年度目标任务。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6"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0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节能评估工作内容：主要对项目概况，政策符合性进行分析，对项目能源利用效率、能源消耗结构及节能措施进行系统分析。工作过程包括：组件工作团队、收集项目资料、资料分析及现场调研、报告编制。节能诊断工作内容：通过系统评估生产流程、能源消耗结构及设备运行效率，识别能源浪费环节与节能潜力，在此基础上提出针对性技术改造、管理优化及能效提升方案。节能诊断工作流程包含开展动员对接、收集资料、实施能源利用诊断、能源效率诊断、能源管理诊断、编制报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绿色制造服务工作：通过深入了解企业的生产工艺、设备、能源消耗、资源利用、污染物排放等情况，对绿色制造体系进行评价。深入调研产业集群的规模、产业链完整性、创新能力等，开展全面调研，分析集群特点，编写中小企业特色产业集群申报材料。排查企业VOCs排放源及现状，评估和筛选可替代的原辅材料，制定替代方案并分析其技术、经济和环境可行性，完成省厅交办VOCs替代诊断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220.00</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206.40</w:t>
            </w: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201.79</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97.77%</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220.00</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206.40</w:t>
            </w: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201.79</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97.77%</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jc w:val="center"/>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完成项目数量</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107</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报告编制质量到达合同相关技术指标要求</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97</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项目按时完成情况</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97</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实现收入总金额</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506</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59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8"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节能工作：本年度按计划全面完成年度绩效目标，资金使用规范合理。各项产出指标超额完成预期任务，预算执行过程中未发现违规问题，支出进度与项目进度总体匹配。</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绿色制造服务工作：顺利完成四川省绿色制造项目申报及厅里委托的各项工作。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节能工作：1.部分节能评审工作存在逾期情况。</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 xml:space="preserve">          2.在节能技术、通用设备节能等领域的学习还有待加强。</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绿色制造服务工作：项目进度掌握不够精准。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节能工作：1.应提升项目评估的准确性，加强与业主、设计单位的沟通，确保双方对项目进度和目标有清晰的认识和共识。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 xml:space="preserve">          2.预期开展电机、锅炉等通用设备相关知识学习培训。</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绿色制造服务工作：1、严格按照工信部发布的绿色工厂相关要求进行编制，在报告编制质量控制上建立严格的审核规程。</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 xml:space="preserve">                  2、加强人才队伍建设，引进高质量技术人员，定期开展绿色制造体系相关培训。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52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项目负责人：张亚会</w:t>
            </w:r>
          </w:p>
        </w:tc>
        <w:tc>
          <w:tcPr>
            <w:tcW w:w="58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576"/>
        <w:gridCol w:w="1368"/>
        <w:gridCol w:w="1740"/>
        <w:gridCol w:w="408"/>
        <w:gridCol w:w="1286"/>
        <w:gridCol w:w="413"/>
        <w:gridCol w:w="851"/>
        <w:gridCol w:w="486"/>
        <w:gridCol w:w="396"/>
        <w:gridCol w:w="1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110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jc w:val="center"/>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31" w:type="dxa"/>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51000024T000010437907-2024年购置公务用车费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9" w:hRule="atLeast"/>
          <w:jc w:val="center"/>
        </w:trPr>
        <w:tc>
          <w:tcPr>
            <w:tcW w:w="2149"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5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22" w:type="dxa"/>
            <w:gridSpan w:val="5"/>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09"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增加我院公务用车数量，可大大提升工作效率并减少用车费用，预计每台公务用车可持续使用10年以上</w:t>
            </w:r>
          </w:p>
        </w:tc>
        <w:tc>
          <w:tcPr>
            <w:tcW w:w="3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按照预算目标，根据政府采购相关规定，购置了3台公务用车。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2022年省机关事务管理局同意我院购置公务用车的函（川机管函〔2023〕889号）文件精神，我院按照政府采购相关流程购置了1台岚图牌新能源轿车，预算数为18万元，最终决算数为17.5万元；1台岚图牌新能源商务车，预算数为25万元，最终决算数为24.47万元；1台坦克牌越野车，预算数为40万元，最终决算数为33.5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82.00</w:t>
            </w: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75.47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92.04%</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82.00</w:t>
            </w: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75.47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92.04%</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jc w:val="center"/>
        </w:trPr>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购买公务用车数量</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购置车辆合格率</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项目按时完成率</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使用年限</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82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为我院购置了3台公务用车，预计可持续使用10年以上，预算执行准确，极大降低了租赁成本，自评得分99分。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jc w:val="center"/>
        </w:trPr>
        <w:tc>
          <w:tcPr>
            <w:tcW w:w="5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项目负责人：蔡羽飞</w:t>
            </w:r>
          </w:p>
        </w:tc>
        <w:tc>
          <w:tcPr>
            <w:tcW w:w="5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3"/>
        <w:rPr>
          <w:rFonts w:hint="eastAsia" w:ascii="Times New Roman" w:hAnsi="Times New Roman" w:eastAsia="黑体" w:cs="黑体"/>
          <w:color w:val="auto"/>
          <w:kern w:val="0"/>
          <w:sz w:val="32"/>
          <w:szCs w:val="32"/>
          <w:highlight w:val="none"/>
          <w:shd w:val="clear" w:color="auto" w:fill="FFFFFF"/>
          <w:lang w:val="zh-CN"/>
        </w:rPr>
      </w:pPr>
    </w:p>
    <w:p>
      <w:pPr>
        <w:pStyle w:val="3"/>
        <w:rPr>
          <w:rFonts w:hint="eastAsia" w:ascii="Times New Roman" w:hAnsi="Times New Roman" w:eastAsia="黑体" w:cs="黑体"/>
          <w:color w:val="auto"/>
          <w:kern w:val="0"/>
          <w:sz w:val="32"/>
          <w:szCs w:val="32"/>
          <w:highlight w:val="none"/>
          <w:shd w:val="clear" w:color="auto" w:fill="FFFFFF"/>
          <w:lang w:val="zh-CN"/>
        </w:rPr>
      </w:pPr>
    </w:p>
    <w:tbl>
      <w:tblPr>
        <w:tblStyle w:val="15"/>
        <w:tblW w:w="11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1"/>
        <w:gridCol w:w="1571"/>
        <w:gridCol w:w="1359"/>
        <w:gridCol w:w="1732"/>
        <w:gridCol w:w="409"/>
        <w:gridCol w:w="1282"/>
        <w:gridCol w:w="420"/>
        <w:gridCol w:w="853"/>
        <w:gridCol w:w="498"/>
        <w:gridCol w:w="406"/>
        <w:gridCol w:w="1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10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jc w:val="center"/>
        </w:trPr>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51000024T000010447017-2024年规划技术类咨询项目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5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2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9"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1、全年完成内审工作项目≥50个；</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2、负责内审项目质量内部通过率达到90%；</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3、内审时效准时完成率达到90%；</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4、承接并完成部分规划咨询类项目。</w:t>
            </w:r>
          </w:p>
        </w:tc>
        <w:tc>
          <w:tcPr>
            <w:tcW w:w="37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1、全年完成内审工作项目≥142个，完成既定≥50个的目标值；</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2、负责内审项目质量内部通过率达到90%，完成既定90%的目标值；</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3、内审时效准时完成率达到92.5%，完成既定90%的目标值；</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4、承接并完成部分咨询类项目，主要涉及地下水及生态专章内容。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把控报告质量，确保报告内容符合国家相关法律法规、标准规范以及客户的要求。通过细致的审核工作，及时发现并纠正了报告中存在的技术错误、数据偏差以及逻辑不严谨等问题，显著提高了我院报告的一次性通过率，有效减少了项目的反复修改次数，缩短了项目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92.05</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56.45</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48.78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汉源县园区管委会暂停了《汉源工业园区万里园区地下水环境状况详细调查评估项目实施方案》工作，该项目工作未能按照计划完成，导致打印费支出减少以及未支出委托业务费。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92.05</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56.45</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48.78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6"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9" w:hRule="atLeast"/>
          <w:jc w:val="center"/>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全年需开展内审工作的项目</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142</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需开展内审报告编制质量达到送审要求</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需开展内审报告完成审核情况</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签署合同金额</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2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9"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本项目在绩效目标达成方面取得了一定成果，按计划完成了主要工作任务，在全年完成内审工作项目、内审项目质量内部通过率、内审时效准时完成率均达到了预期标准，且质量符合相关规范要求。从效果来看，项目实施后对内容质量控制产生了积极影响，有效提高了一次通过率，推动了目标的进展。预算执行率为86.40%，基本达到了预期，在部分目标的细化落实方面仍有提升空间。总体而言，项目在提高报告质量和效率方面表现优异，一次性通过率显著提升，有效缩短了项目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1"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6"/>
                <w:szCs w:val="16"/>
                <w:u w:val="none"/>
              </w:rPr>
            </w:pPr>
            <w:r>
              <w:rPr>
                <w:rStyle w:val="37"/>
                <w:lang w:val="en-US" w:eastAsia="zh-CN" w:bidi="ar"/>
              </w:rPr>
              <w:t>绩效目标设定不够细化：</w:t>
            </w:r>
            <w:r>
              <w:rPr>
                <w:rStyle w:val="38"/>
                <w:lang w:val="en-US" w:eastAsia="zh-CN" w:bidi="ar"/>
              </w:rPr>
              <w:t>虽然总体绩效目标明确，但部分具体目标缺乏量化的衡量标准，使得在项目实施过程中难以精准把控工作进度和质量，在绩效评价时也较难准确判断目标完成程度。</w:t>
            </w:r>
            <w:r>
              <w:rPr>
                <w:rStyle w:val="38"/>
                <w:lang w:val="en-US" w:eastAsia="zh-CN" w:bidi="ar"/>
              </w:rPr>
              <w:br w:type="textWrapping"/>
            </w:r>
            <w:r>
              <w:rPr>
                <w:rStyle w:val="39"/>
                <w:lang w:val="en-US" w:eastAsia="zh-CN" w:bidi="ar"/>
              </w:rPr>
              <w:t>项目成本控制存在薄弱环节：</w:t>
            </w:r>
            <w:r>
              <w:rPr>
                <w:rStyle w:val="38"/>
                <w:lang w:val="en-US" w:eastAsia="zh-CN" w:bidi="ar"/>
              </w:rPr>
              <w:t>在项目实施过程中，既定工作因企业原因未能按照计划实施，反映出项目管理过程中的资源调配不够优化。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5"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6"/>
                <w:szCs w:val="16"/>
                <w:u w:val="none"/>
              </w:rPr>
            </w:pPr>
            <w:r>
              <w:rPr>
                <w:rStyle w:val="37"/>
                <w:lang w:val="en-US" w:eastAsia="zh-CN" w:bidi="ar"/>
              </w:rPr>
              <w:t>优化预算执行管理：</w:t>
            </w:r>
            <w:r>
              <w:rPr>
                <w:rStyle w:val="38"/>
                <w:lang w:val="en-US" w:eastAsia="zh-CN" w:bidi="ar"/>
              </w:rPr>
              <w:t>制定详细的预算执行计划，将预算分解到项目实施的各个阶段，明确每个阶段的资金使用额度和时间节点，并定期对预算执行情况进行监控与分析。建立预算执行预警机制，对于执行进度缓慢的项目及时查找原因并采取针对性措施加快执行。</w:t>
            </w:r>
            <w:r>
              <w:rPr>
                <w:rStyle w:val="40"/>
                <w:lang w:val="en-US" w:eastAsia="zh-CN" w:bidi="ar"/>
              </w:rPr>
              <w:t>​</w:t>
            </w:r>
            <w:r>
              <w:rPr>
                <w:rStyle w:val="38"/>
                <w:lang w:val="en-US" w:eastAsia="zh-CN" w:bidi="ar"/>
              </w:rPr>
              <w:br w:type="textWrapping"/>
            </w:r>
            <w:r>
              <w:rPr>
                <w:rStyle w:val="39"/>
                <w:lang w:val="en-US" w:eastAsia="zh-CN" w:bidi="ar"/>
              </w:rPr>
              <w:t>细化绩效目标设定：</w:t>
            </w:r>
            <w:r>
              <w:rPr>
                <w:rStyle w:val="38"/>
                <w:lang w:val="en-US" w:eastAsia="zh-CN" w:bidi="ar"/>
              </w:rPr>
              <w:t>在设定绩效目标时，充分考虑项目特点和实际需求，将目标进一步细化为可量化、可衡量的具体指标。</w:t>
            </w:r>
            <w:r>
              <w:rPr>
                <w:rStyle w:val="38"/>
                <w:lang w:val="en-US" w:eastAsia="zh-CN" w:bidi="ar"/>
              </w:rPr>
              <w:br w:type="textWrapping"/>
            </w:r>
            <w:r>
              <w:rPr>
                <w:rStyle w:val="39"/>
                <w:lang w:val="en-US" w:eastAsia="zh-CN" w:bidi="ar"/>
              </w:rPr>
              <w:t>加强项目成本控制：</w:t>
            </w:r>
            <w:r>
              <w:rPr>
                <w:rStyle w:val="38"/>
                <w:lang w:val="en-US" w:eastAsia="zh-CN" w:bidi="ar"/>
              </w:rPr>
              <w:t>在项目前期做好充分的市场调研，对项目所需的各类资源价格进行合理预估，并预留一定的价格波动空间。</w:t>
            </w:r>
            <w:r>
              <w:rPr>
                <w:rStyle w:val="38"/>
                <w:lang w:val="en-US" w:eastAsia="zh-CN" w:bidi="ar"/>
              </w:rPr>
              <w:br w:type="textWrapping"/>
            </w:r>
            <w:r>
              <w:rPr>
                <w:rStyle w:val="38"/>
                <w:lang w:val="en-US" w:eastAsia="zh-CN" w:bidi="ar"/>
              </w:rPr>
              <w:t>通过这些措施，进一步提升项目的整体绩效和管理水平。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5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项目负责人：刘文</w:t>
            </w:r>
          </w:p>
        </w:tc>
        <w:tc>
          <w:tcPr>
            <w:tcW w:w="54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8"/>
        <w:gridCol w:w="1572"/>
        <w:gridCol w:w="1362"/>
        <w:gridCol w:w="1734"/>
        <w:gridCol w:w="406"/>
        <w:gridCol w:w="1283"/>
        <w:gridCol w:w="416"/>
        <w:gridCol w:w="848"/>
        <w:gridCol w:w="487"/>
        <w:gridCol w:w="397"/>
        <w:gridCol w:w="19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10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51000024T000010447513-2024年购置办公设备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4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为我院新晋职工及部门解决办公场所中的办公设施设备，预计项目可持续受益人数100人以上</w:t>
            </w:r>
          </w:p>
        </w:tc>
        <w:tc>
          <w:tcPr>
            <w:tcW w:w="37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完成了院3/4楼办公家具及办公空调购置、办公电脑及复印机、一体机等项目的购置，完成目标度较高。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此项目分别以三方比价、公开比选、政府采购框架协议直接签订等方式，完成了院3/4楼办公家具及办公空调购置、办公电脑及复印机、一体机等项目的购置，预算执行率较高，基本达到预期效果。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69.94</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82.84</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94.32%</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69.94</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82.84</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94.32%</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3"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5"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3"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完成不同类别办公设备购置</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家/个/批次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所购置办公设备质量合格率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项目按计划完工率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项目收益人数</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19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8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本年度结合院工作实际需要，基本按时完成了该项目预算中的办公设备购置项目，达到预期效果，持续为全院职工改善办公环境，自评得分99分。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8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因单位人员变动，部门调整等原因，拟购置的少量办公设备预算当年未执行。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8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编制下一年度预算指标时需根据院实际情况根据精确，减少偏差，保证预算执行更加准确。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项目负责人：蔡羽飞</w:t>
            </w:r>
          </w:p>
        </w:tc>
        <w:tc>
          <w:tcPr>
            <w:tcW w:w="54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tbl>
      <w:tblPr>
        <w:tblStyle w:val="15"/>
        <w:tblW w:w="11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9"/>
        <w:gridCol w:w="1559"/>
        <w:gridCol w:w="1352"/>
        <w:gridCol w:w="1722"/>
        <w:gridCol w:w="406"/>
        <w:gridCol w:w="1274"/>
        <w:gridCol w:w="416"/>
        <w:gridCol w:w="848"/>
        <w:gridCol w:w="497"/>
        <w:gridCol w:w="404"/>
        <w:gridCol w:w="19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jc w:val="center"/>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8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51000024T000010454634-2024年环评环保咨询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jc w:val="center"/>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1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84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四川省工业环境监测研究院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1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开展环境影响评价、环保咨询报告编制工作、含报告编制、现场踏勘、对外检测委托、对外地下水和生态专题编制委托、打印报告、组织专家评审等工作，取得专家审查意见</w:t>
            </w:r>
          </w:p>
        </w:tc>
        <w:tc>
          <w:tcPr>
            <w:tcW w:w="37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承接量目前已超出预申报目标的50%，整体工作进展顺利，核心任务如现场踏勘、报告编制及外委监测等均按计划稳步推进。为确保各环节精准落实，项目团队严格执行质量标准，并通过定期回访和现场指导强化过程管控，得到了客户的高度评价。团队承接的项目覆盖行业广泛，既包括传统优势领域如金属、采矿、化工等行业，也拓展至民生公共服务领域，已产生积极的社会影响。基于当前进度和质量把控情况，团队有信心保质保量完成既定考核目标，为后续项目的顺利开展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2"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8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启动后，首先开展项目接洽与招投标工作，明确项目需求和技术要求，为后续实施奠定基础。随后，双方签订合同，明确权责分工和实施标准，确保合作规范有序。紧接着，组织现场踏勘与基础资料收集，全面掌握项目现状，为后续工作提供依据。根据技术要求，开展外委监测，获取专业数据支撑，确保报告的科学性和准确性。在此基础上，编制报告初稿，形成初步成果，并通过项目组内部审核，严格把控报告质量。随后，提交主管部门组织专家评审验收，并根据评审意见进一步完善报告内容，确保成果符合要求。最终，完成项目结题归档工作，包括成果交付、资料整理及后续服务等环节，确保项目全流程规范实施，实现闭环管理。此外，团队还注重总结经验，优化流程，为后续类似项目提供参考和借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409.30</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249.10</w:t>
            </w: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97.56%</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409.30</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249.10</w:t>
            </w: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97.56%</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7"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4"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全年承接项目</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报告编制质量达到合同相关技术指标要求</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以负责审批的环保主管部门确定的时间为准</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签署合同金额</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816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3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推进顺利，各项指标均符合预期目标。项目团队严格遵循标准化流程，从前期的接洽沟通到现场实施，各环节紧密衔接，质量控制措施全面落实。通过建立周报制度和定期沟通机制，实现了项目进度与质量的双重保障。客户满意度调查结果显示，好评率超过90%，项目成果也得到了主管部门的高度评价。团队凭借专业的执行能力和优质的服务意识，赢得了各方的一致认可，为后续合作奠定了坚实基础。总体来看，本项目在质量控制、客户服务等方面均表现优异，达到了较高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3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目前面临的主要困难集中在市场竞争和技术要求两方面。首先，市场竞争日益激烈，环评机构数量增多，低价竞争现象普遍；其次，环评涉及多学科交叉，技术要求高，需不断更新技术手段以适应环保政策的快速变化。此外，数据获取难度大、项目周期长等问题，进一步增加了环评工作的复杂性和成本压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3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建议措施：一是规范市场竞争，加强监管和行业自律，杜绝低价竞争；二是提升技术能力，引入大数据、人工智能等新技术，加强人员培训；三是完善数据共享机制，建立统一平台，提高数据获取效率；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56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项目负责人：陈钢</w:t>
            </w:r>
          </w:p>
        </w:tc>
        <w:tc>
          <w:tcPr>
            <w:tcW w:w="53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财务负责人：谢枢</w:t>
            </w:r>
          </w:p>
        </w:tc>
      </w:tr>
    </w:tbl>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jc w:val="both"/>
        <w:rPr>
          <w:rFonts w:hint="eastAsia" w:ascii="Times New Roman" w:hAnsi="Times New Roman" w:eastAsia="仿宋_GB2312" w:cs="仿宋_GB2312"/>
          <w:b w:val="0"/>
          <w:bCs w:val="0"/>
          <w:kern w:val="0"/>
          <w:position w:val="0"/>
          <w:sz w:val="32"/>
          <w:szCs w:val="32"/>
          <w:highlight w:val="none"/>
          <w:lang w:val="en-US" w:eastAsia="zh-CN" w:bidi="ar-SA"/>
        </w:rPr>
      </w:pPr>
      <w:bookmarkStart w:id="53"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pStyle w:val="2"/>
        <w:rPr>
          <w:rFonts w:hint="eastAsia"/>
          <w:lang w:val="en-US" w:eastAsia="zh-CN"/>
        </w:rPr>
      </w:pPr>
    </w:p>
    <w:p>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51"/>
      <w:bookmarkEnd w:id="53"/>
      <w:bookmarkStart w:id="54"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0"/>
      <w:r>
        <w:rPr>
          <w:rFonts w:hint="eastAsia" w:ascii="Times New Roman" w:hAnsi="Times New Roman" w:eastAsia="仿宋_GB2312" w:cs="仿宋_GB2312"/>
          <w:color w:val="auto"/>
          <w:sz w:val="32"/>
          <w:szCs w:val="32"/>
          <w:highlight w:val="none"/>
        </w:rPr>
        <w:t>二、收入决算表</w:t>
      </w:r>
      <w:bookmarkEnd w:id="5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1"/>
      <w:r>
        <w:rPr>
          <w:rFonts w:hint="eastAsia" w:ascii="Times New Roman" w:hAnsi="Times New Roman" w:eastAsia="仿宋_GB2312" w:cs="仿宋_GB2312"/>
          <w:color w:val="auto"/>
          <w:sz w:val="32"/>
          <w:szCs w:val="32"/>
          <w:highlight w:val="none"/>
        </w:rPr>
        <w:t>三、支出决算表</w:t>
      </w:r>
      <w:bookmarkEnd w:id="56"/>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2"/>
      <w:r>
        <w:rPr>
          <w:rFonts w:hint="eastAsia" w:ascii="Times New Roman" w:hAnsi="Times New Roman" w:eastAsia="仿宋_GB2312" w:cs="仿宋_GB2312"/>
          <w:color w:val="auto"/>
          <w:sz w:val="32"/>
          <w:szCs w:val="32"/>
          <w:highlight w:val="none"/>
        </w:rPr>
        <w:t>四、财政拨款收入支出决算总表</w:t>
      </w:r>
      <w:bookmarkEnd w:id="5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3"/>
      <w:r>
        <w:rPr>
          <w:rFonts w:hint="eastAsia" w:ascii="Times New Roman" w:hAnsi="Times New Roman" w:eastAsia="仿宋_GB2312" w:cs="仿宋_GB2312"/>
          <w:color w:val="auto"/>
          <w:sz w:val="32"/>
          <w:szCs w:val="32"/>
          <w:highlight w:val="none"/>
        </w:rPr>
        <w:t>五、财政拨款支出决算明细表</w:t>
      </w:r>
      <w:bookmarkEnd w:id="58"/>
      <w:bookmarkStart w:id="59"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5"/>
      <w:r>
        <w:rPr>
          <w:rFonts w:hint="eastAsia" w:ascii="Times New Roman" w:hAnsi="Times New Roman" w:eastAsia="仿宋_GB2312" w:cs="仿宋_GB2312"/>
          <w:color w:val="auto"/>
          <w:sz w:val="32"/>
          <w:szCs w:val="32"/>
          <w:highlight w:val="none"/>
        </w:rPr>
        <w:t>七、一般公共预算财政拨款支出决算明细表</w:t>
      </w:r>
      <w:bookmarkEnd w:id="60"/>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6"/>
      <w:r>
        <w:rPr>
          <w:rFonts w:hint="eastAsia" w:ascii="Times New Roman" w:hAnsi="Times New Roman" w:eastAsia="仿宋_GB2312" w:cs="仿宋_GB2312"/>
          <w:color w:val="auto"/>
          <w:sz w:val="32"/>
          <w:szCs w:val="32"/>
          <w:highlight w:val="none"/>
        </w:rPr>
        <w:t>八、一般公共预算财政拨款基本支出决算表</w:t>
      </w:r>
      <w:bookmarkEnd w:id="6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7"/>
      <w:r>
        <w:rPr>
          <w:rFonts w:hint="eastAsia" w:ascii="Times New Roman" w:hAnsi="Times New Roman" w:eastAsia="仿宋_GB2312" w:cs="仿宋_GB2312"/>
          <w:color w:val="auto"/>
          <w:sz w:val="32"/>
          <w:szCs w:val="32"/>
          <w:highlight w:val="none"/>
        </w:rPr>
        <w:t>九、一般公共预算财政拨款项目支出决算表</w:t>
      </w:r>
      <w:bookmarkEnd w:id="62"/>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8"/>
      <w:r>
        <w:rPr>
          <w:rFonts w:hint="eastAsia" w:ascii="Times New Roman" w:hAnsi="Times New Roman" w:eastAsia="仿宋_GB2312" w:cs="仿宋_GB2312"/>
          <w:color w:val="auto"/>
          <w:sz w:val="32"/>
          <w:szCs w:val="32"/>
          <w:highlight w:val="none"/>
        </w:rPr>
        <w:t>十、</w:t>
      </w:r>
      <w:bookmarkEnd w:id="63"/>
      <w:r>
        <w:rPr>
          <w:rFonts w:hint="eastAsia" w:ascii="Times New Roman" w:hAnsi="Times New Roman" w:eastAsia="仿宋_GB2312" w:cs="仿宋_GB2312"/>
          <w:color w:val="auto"/>
          <w:sz w:val="32"/>
          <w:szCs w:val="32"/>
          <w:highlight w:val="none"/>
        </w:rPr>
        <w:t>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9"/>
      <w:r>
        <w:rPr>
          <w:rFonts w:hint="eastAsia" w:ascii="Times New Roman" w:hAnsi="Times New Roman" w:eastAsia="仿宋_GB2312" w:cs="仿宋_GB2312"/>
          <w:color w:val="auto"/>
          <w:sz w:val="32"/>
          <w:szCs w:val="32"/>
          <w:highlight w:val="none"/>
        </w:rPr>
        <w:t>十一、</w:t>
      </w:r>
      <w:bookmarkEnd w:id="64"/>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30"/>
      <w:r>
        <w:rPr>
          <w:rFonts w:hint="eastAsia" w:ascii="Times New Roman" w:hAnsi="Times New Roman" w:eastAsia="仿宋_GB2312" w:cs="仿宋_GB2312"/>
          <w:color w:val="auto"/>
          <w:sz w:val="32"/>
          <w:szCs w:val="32"/>
          <w:highlight w:val="none"/>
        </w:rPr>
        <w:t>十二、</w:t>
      </w:r>
      <w:bookmarkEnd w:id="65"/>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6" w:name="_Toc15396631"/>
      <w:r>
        <w:rPr>
          <w:rFonts w:hint="eastAsia" w:ascii="Times New Roman" w:hAnsi="Times New Roman" w:eastAsia="仿宋_GB2312" w:cs="仿宋_GB2312"/>
          <w:color w:val="auto"/>
          <w:sz w:val="32"/>
          <w:szCs w:val="32"/>
          <w:highlight w:val="none"/>
        </w:rPr>
        <w:t>十三、</w:t>
      </w:r>
      <w:bookmarkEnd w:id="66"/>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highlight w:val="none"/>
          <w:lang w:eastAsia="zh-CN"/>
        </w:rPr>
      </w:pPr>
    </w:p>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CCB3A"/>
    <w:multiLevelType w:val="singleLevel"/>
    <w:tmpl w:val="6D8CCB3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323A7E"/>
    <w:rsid w:val="015975B8"/>
    <w:rsid w:val="01B906A5"/>
    <w:rsid w:val="022D6136"/>
    <w:rsid w:val="02F079B0"/>
    <w:rsid w:val="02FEBE30"/>
    <w:rsid w:val="061E35DE"/>
    <w:rsid w:val="06630AD6"/>
    <w:rsid w:val="066E0107"/>
    <w:rsid w:val="07996F6E"/>
    <w:rsid w:val="07DFD8BA"/>
    <w:rsid w:val="09867E8F"/>
    <w:rsid w:val="0A2032A3"/>
    <w:rsid w:val="0A2C5DCB"/>
    <w:rsid w:val="0BF56BE6"/>
    <w:rsid w:val="0CA8290A"/>
    <w:rsid w:val="0D35B1ED"/>
    <w:rsid w:val="0F5338F9"/>
    <w:rsid w:val="0F98263C"/>
    <w:rsid w:val="101860EC"/>
    <w:rsid w:val="102E4896"/>
    <w:rsid w:val="10C055FF"/>
    <w:rsid w:val="11772AA4"/>
    <w:rsid w:val="118107EC"/>
    <w:rsid w:val="11A014A1"/>
    <w:rsid w:val="126171FE"/>
    <w:rsid w:val="12FF469A"/>
    <w:rsid w:val="131C3DA1"/>
    <w:rsid w:val="1349772C"/>
    <w:rsid w:val="13D50BC4"/>
    <w:rsid w:val="14422E3F"/>
    <w:rsid w:val="14A94D77"/>
    <w:rsid w:val="15860037"/>
    <w:rsid w:val="165E0673"/>
    <w:rsid w:val="16BB723D"/>
    <w:rsid w:val="16EF76CE"/>
    <w:rsid w:val="18334009"/>
    <w:rsid w:val="186504BB"/>
    <w:rsid w:val="190C28A0"/>
    <w:rsid w:val="19A445FC"/>
    <w:rsid w:val="19DB2D10"/>
    <w:rsid w:val="1A9FE8C6"/>
    <w:rsid w:val="1BE8440E"/>
    <w:rsid w:val="1CA06B95"/>
    <w:rsid w:val="1D155CEE"/>
    <w:rsid w:val="1DD03474"/>
    <w:rsid w:val="1E372EE4"/>
    <w:rsid w:val="1E740ACF"/>
    <w:rsid w:val="1ECC4A61"/>
    <w:rsid w:val="1FF35744"/>
    <w:rsid w:val="1FF6BC77"/>
    <w:rsid w:val="214772D1"/>
    <w:rsid w:val="226C4D62"/>
    <w:rsid w:val="22D06B5A"/>
    <w:rsid w:val="23860B96"/>
    <w:rsid w:val="240371BF"/>
    <w:rsid w:val="24411BAA"/>
    <w:rsid w:val="25452908"/>
    <w:rsid w:val="260A494D"/>
    <w:rsid w:val="260F557C"/>
    <w:rsid w:val="281408E2"/>
    <w:rsid w:val="29E402CA"/>
    <w:rsid w:val="29FD04D3"/>
    <w:rsid w:val="2B6A7747"/>
    <w:rsid w:val="2BFF7BC6"/>
    <w:rsid w:val="2C8A61B5"/>
    <w:rsid w:val="2DF04E50"/>
    <w:rsid w:val="2DF734CE"/>
    <w:rsid w:val="2EAA63BA"/>
    <w:rsid w:val="2F040D46"/>
    <w:rsid w:val="2F9D630E"/>
    <w:rsid w:val="2FAE5751"/>
    <w:rsid w:val="2FB1A395"/>
    <w:rsid w:val="2FD9A7D8"/>
    <w:rsid w:val="2FDBF714"/>
    <w:rsid w:val="31231318"/>
    <w:rsid w:val="319F7F4E"/>
    <w:rsid w:val="32BD1EF1"/>
    <w:rsid w:val="32FFAA8C"/>
    <w:rsid w:val="3304709D"/>
    <w:rsid w:val="33AE00B1"/>
    <w:rsid w:val="340C3D9A"/>
    <w:rsid w:val="349C2A2D"/>
    <w:rsid w:val="349D6851"/>
    <w:rsid w:val="36344EAD"/>
    <w:rsid w:val="36AA5135"/>
    <w:rsid w:val="36BE0DA7"/>
    <w:rsid w:val="376B6AA6"/>
    <w:rsid w:val="376D39B2"/>
    <w:rsid w:val="37E16F03"/>
    <w:rsid w:val="37F53A3B"/>
    <w:rsid w:val="38204E89"/>
    <w:rsid w:val="389B6C89"/>
    <w:rsid w:val="38C74734"/>
    <w:rsid w:val="38D469F0"/>
    <w:rsid w:val="38D800E4"/>
    <w:rsid w:val="39627CCD"/>
    <w:rsid w:val="397BAF1F"/>
    <w:rsid w:val="39874E4E"/>
    <w:rsid w:val="39A51001"/>
    <w:rsid w:val="39E64CE4"/>
    <w:rsid w:val="3A7A7238"/>
    <w:rsid w:val="3AB79AF3"/>
    <w:rsid w:val="3B7EF35A"/>
    <w:rsid w:val="3B9FDB6C"/>
    <w:rsid w:val="3BF5BC2F"/>
    <w:rsid w:val="3CEBA265"/>
    <w:rsid w:val="3D335408"/>
    <w:rsid w:val="3D39127B"/>
    <w:rsid w:val="3D943142"/>
    <w:rsid w:val="3D98207C"/>
    <w:rsid w:val="3DCF54D9"/>
    <w:rsid w:val="3DEE7CF3"/>
    <w:rsid w:val="3E78745D"/>
    <w:rsid w:val="3EEF01BE"/>
    <w:rsid w:val="3F55381A"/>
    <w:rsid w:val="3F7F7599"/>
    <w:rsid w:val="3FF4CAE0"/>
    <w:rsid w:val="3FF7B227"/>
    <w:rsid w:val="41354F81"/>
    <w:rsid w:val="43DD1659"/>
    <w:rsid w:val="440F05A3"/>
    <w:rsid w:val="44390B29"/>
    <w:rsid w:val="44E268DA"/>
    <w:rsid w:val="462370A5"/>
    <w:rsid w:val="47307948"/>
    <w:rsid w:val="47867568"/>
    <w:rsid w:val="485A1EE9"/>
    <w:rsid w:val="486A6C7A"/>
    <w:rsid w:val="49BD6457"/>
    <w:rsid w:val="4A1D1CE5"/>
    <w:rsid w:val="4A627F82"/>
    <w:rsid w:val="4B0E749A"/>
    <w:rsid w:val="4B4F25DA"/>
    <w:rsid w:val="4BE068DB"/>
    <w:rsid w:val="4C1C6F4F"/>
    <w:rsid w:val="4C657EBD"/>
    <w:rsid w:val="4CDF3A17"/>
    <w:rsid w:val="4D577224"/>
    <w:rsid w:val="4DBF1CEB"/>
    <w:rsid w:val="4EAB630A"/>
    <w:rsid w:val="4ECE2238"/>
    <w:rsid w:val="4F833267"/>
    <w:rsid w:val="4FA30F9C"/>
    <w:rsid w:val="4FC02710"/>
    <w:rsid w:val="4FD25AEA"/>
    <w:rsid w:val="4FE9BD67"/>
    <w:rsid w:val="4FFB052F"/>
    <w:rsid w:val="50452775"/>
    <w:rsid w:val="52552958"/>
    <w:rsid w:val="537E6D0A"/>
    <w:rsid w:val="53D37FD9"/>
    <w:rsid w:val="53F74C96"/>
    <w:rsid w:val="56456897"/>
    <w:rsid w:val="56E47B74"/>
    <w:rsid w:val="57BD3DD4"/>
    <w:rsid w:val="57CF2C1B"/>
    <w:rsid w:val="58AA2F55"/>
    <w:rsid w:val="5A5B4D2C"/>
    <w:rsid w:val="5A9304C2"/>
    <w:rsid w:val="5AF92295"/>
    <w:rsid w:val="5BDD79E6"/>
    <w:rsid w:val="5BF561CA"/>
    <w:rsid w:val="5BFF5DFC"/>
    <w:rsid w:val="5C5477DD"/>
    <w:rsid w:val="5C58393E"/>
    <w:rsid w:val="5CD71FC4"/>
    <w:rsid w:val="5D1F11B5"/>
    <w:rsid w:val="5D423EA1"/>
    <w:rsid w:val="5DAE1B18"/>
    <w:rsid w:val="5DE7D9E5"/>
    <w:rsid w:val="5E9D6320"/>
    <w:rsid w:val="5ECEC941"/>
    <w:rsid w:val="5F650DD1"/>
    <w:rsid w:val="5FBF9FF3"/>
    <w:rsid w:val="5FCD4E2C"/>
    <w:rsid w:val="5FEF394A"/>
    <w:rsid w:val="5FF67715"/>
    <w:rsid w:val="60B45677"/>
    <w:rsid w:val="617A3C2C"/>
    <w:rsid w:val="629234EC"/>
    <w:rsid w:val="62BF3928"/>
    <w:rsid w:val="644665A5"/>
    <w:rsid w:val="647F5392"/>
    <w:rsid w:val="650A4B6B"/>
    <w:rsid w:val="65A55F1E"/>
    <w:rsid w:val="65EA2EBA"/>
    <w:rsid w:val="662145D6"/>
    <w:rsid w:val="664B1D71"/>
    <w:rsid w:val="66FA72F9"/>
    <w:rsid w:val="6759039D"/>
    <w:rsid w:val="67AA3209"/>
    <w:rsid w:val="68C11B82"/>
    <w:rsid w:val="698D0931"/>
    <w:rsid w:val="6A123F7A"/>
    <w:rsid w:val="6A796989"/>
    <w:rsid w:val="6A7FE5F3"/>
    <w:rsid w:val="6B053271"/>
    <w:rsid w:val="6B91486B"/>
    <w:rsid w:val="6C4A05C8"/>
    <w:rsid w:val="6C8742B8"/>
    <w:rsid w:val="6DBF5E93"/>
    <w:rsid w:val="6DFF077E"/>
    <w:rsid w:val="6E773123"/>
    <w:rsid w:val="6E7E3605"/>
    <w:rsid w:val="6E7FDCC7"/>
    <w:rsid w:val="6ED6A62E"/>
    <w:rsid w:val="6EE00B15"/>
    <w:rsid w:val="6F6FB3EB"/>
    <w:rsid w:val="6F8731EA"/>
    <w:rsid w:val="6FB05B0C"/>
    <w:rsid w:val="6FCE6052"/>
    <w:rsid w:val="6FD57C00"/>
    <w:rsid w:val="6FEFFFD8"/>
    <w:rsid w:val="6FF5CC65"/>
    <w:rsid w:val="6FFB47EC"/>
    <w:rsid w:val="6FFF034A"/>
    <w:rsid w:val="712A28F1"/>
    <w:rsid w:val="715C0E4B"/>
    <w:rsid w:val="71DE6FC3"/>
    <w:rsid w:val="72233669"/>
    <w:rsid w:val="72734D90"/>
    <w:rsid w:val="7332FE48"/>
    <w:rsid w:val="73726A0C"/>
    <w:rsid w:val="73AB61DA"/>
    <w:rsid w:val="73AD73D5"/>
    <w:rsid w:val="73B6EB34"/>
    <w:rsid w:val="73FA497D"/>
    <w:rsid w:val="744731E5"/>
    <w:rsid w:val="74BBD01D"/>
    <w:rsid w:val="74ED5379"/>
    <w:rsid w:val="75DEEEC2"/>
    <w:rsid w:val="76E3355F"/>
    <w:rsid w:val="76FF5125"/>
    <w:rsid w:val="776F6FFA"/>
    <w:rsid w:val="778769C8"/>
    <w:rsid w:val="77DC22F5"/>
    <w:rsid w:val="77FE3609"/>
    <w:rsid w:val="78367602"/>
    <w:rsid w:val="78B31BDF"/>
    <w:rsid w:val="79086DAD"/>
    <w:rsid w:val="79D7FD79"/>
    <w:rsid w:val="79EE5BA4"/>
    <w:rsid w:val="7A206DA9"/>
    <w:rsid w:val="7A6231C9"/>
    <w:rsid w:val="7A894339"/>
    <w:rsid w:val="7AD284E8"/>
    <w:rsid w:val="7AFF7572"/>
    <w:rsid w:val="7B6C7DFB"/>
    <w:rsid w:val="7BBFBED0"/>
    <w:rsid w:val="7BC3E394"/>
    <w:rsid w:val="7BE6710A"/>
    <w:rsid w:val="7C1F3737"/>
    <w:rsid w:val="7CBFC87B"/>
    <w:rsid w:val="7CFE0F48"/>
    <w:rsid w:val="7D7EC23E"/>
    <w:rsid w:val="7DF85B83"/>
    <w:rsid w:val="7E8ADEBF"/>
    <w:rsid w:val="7ED23871"/>
    <w:rsid w:val="7EEF11D3"/>
    <w:rsid w:val="7EFE4840"/>
    <w:rsid w:val="7F0971A6"/>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AFE5D0A"/>
    <w:rsid w:val="EB2E368B"/>
    <w:rsid w:val="ECFED1BC"/>
    <w:rsid w:val="ED1D69BB"/>
    <w:rsid w:val="ED7FD312"/>
    <w:rsid w:val="EF2E1AC6"/>
    <w:rsid w:val="EF53993F"/>
    <w:rsid w:val="EF6FD633"/>
    <w:rsid w:val="EFBFB2F4"/>
    <w:rsid w:val="EFBFFA21"/>
    <w:rsid w:val="F2BEBCB8"/>
    <w:rsid w:val="F36FB518"/>
    <w:rsid w:val="F3DE1A04"/>
    <w:rsid w:val="F3F722E5"/>
    <w:rsid w:val="F4FBCD07"/>
    <w:rsid w:val="F7BFC2B7"/>
    <w:rsid w:val="FA5F1E70"/>
    <w:rsid w:val="FA5FDB97"/>
    <w:rsid w:val="FB7F486A"/>
    <w:rsid w:val="FBFF5B2E"/>
    <w:rsid w:val="FD7FFE2B"/>
    <w:rsid w:val="FDEE196B"/>
    <w:rsid w:val="FDFE6575"/>
    <w:rsid w:val="FEDFDDC2"/>
    <w:rsid w:val="FEED32F6"/>
    <w:rsid w:val="FEF781DD"/>
    <w:rsid w:val="FF3F7E3F"/>
    <w:rsid w:val="FF7DAB09"/>
    <w:rsid w:val="FFBA12D7"/>
    <w:rsid w:val="FFCBD314"/>
    <w:rsid w:val="FFDD20BE"/>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5">
    <w:name w:val="font51"/>
    <w:basedOn w:val="16"/>
    <w:qFormat/>
    <w:uiPriority w:val="0"/>
    <w:rPr>
      <w:rFonts w:hint="eastAsia" w:ascii="微软雅黑" w:hAnsi="微软雅黑" w:eastAsia="微软雅黑" w:cs="微软雅黑"/>
      <w:i/>
      <w:iCs/>
      <w:color w:val="000000"/>
      <w:sz w:val="16"/>
      <w:szCs w:val="16"/>
      <w:u w:val="none"/>
    </w:rPr>
  </w:style>
  <w:style w:type="character" w:customStyle="1" w:styleId="36">
    <w:name w:val="font21"/>
    <w:basedOn w:val="16"/>
    <w:qFormat/>
    <w:uiPriority w:val="0"/>
    <w:rPr>
      <w:rFonts w:ascii="宋体" w:hAnsi="宋体" w:eastAsia="宋体" w:cs="宋体"/>
      <w:color w:val="000000"/>
      <w:sz w:val="18"/>
      <w:szCs w:val="18"/>
      <w:u w:val="none"/>
    </w:rPr>
  </w:style>
  <w:style w:type="character" w:customStyle="1" w:styleId="37">
    <w:name w:val="font71"/>
    <w:basedOn w:val="16"/>
    <w:qFormat/>
    <w:uiPriority w:val="0"/>
    <w:rPr>
      <w:rFonts w:hint="eastAsia" w:ascii="微软雅黑" w:hAnsi="微软雅黑" w:eastAsia="微软雅黑" w:cs="微软雅黑"/>
      <w:b/>
      <w:bCs/>
      <w:color w:val="000000"/>
      <w:sz w:val="16"/>
      <w:szCs w:val="16"/>
      <w:u w:val="none"/>
    </w:rPr>
  </w:style>
  <w:style w:type="character" w:customStyle="1" w:styleId="38">
    <w:name w:val="font61"/>
    <w:basedOn w:val="16"/>
    <w:qFormat/>
    <w:uiPriority w:val="0"/>
    <w:rPr>
      <w:rFonts w:hint="eastAsia" w:ascii="微软雅黑" w:hAnsi="微软雅黑" w:eastAsia="微软雅黑" w:cs="微软雅黑"/>
      <w:color w:val="000000"/>
      <w:sz w:val="16"/>
      <w:szCs w:val="16"/>
      <w:u w:val="none"/>
    </w:rPr>
  </w:style>
  <w:style w:type="character" w:customStyle="1" w:styleId="39">
    <w:name w:val="font91"/>
    <w:basedOn w:val="16"/>
    <w:qFormat/>
    <w:uiPriority w:val="0"/>
    <w:rPr>
      <w:rFonts w:hint="eastAsia" w:ascii="微软雅黑" w:hAnsi="微软雅黑" w:eastAsia="微软雅黑" w:cs="微软雅黑"/>
      <w:b/>
      <w:bCs/>
      <w:color w:val="000000"/>
      <w:sz w:val="16"/>
      <w:szCs w:val="16"/>
      <w:u w:val="none"/>
    </w:rPr>
  </w:style>
  <w:style w:type="character" w:customStyle="1" w:styleId="40">
    <w:name w:val="font101"/>
    <w:basedOn w:val="16"/>
    <w:qFormat/>
    <w:uiPriority w:val="0"/>
    <w:rPr>
      <w:rFonts w:hint="eastAsia" w:ascii="微软雅黑" w:hAnsi="微软雅黑" w:eastAsia="微软雅黑" w:cs="微软雅黑"/>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收入、支出决算总计变动情况图</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收入、支出总数</c:v>
                </c:pt>
              </c:strCache>
            </c:strRef>
          </c:tx>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2023年度</c:v>
                </c:pt>
                <c:pt idx="1">
                  <c:v>2024年度</c:v>
                </c:pt>
              </c:strCache>
            </c:strRef>
          </c:cat>
          <c:val>
            <c:numRef>
              <c:f>Sheet1!$B$2:$B$3</c:f>
              <c:numCache>
                <c:formatCode>General</c:formatCode>
                <c:ptCount val="2"/>
                <c:pt idx="0">
                  <c:v>6215.22</c:v>
                </c:pt>
                <c:pt idx="1">
                  <c:v>7117.68</c:v>
                </c:pt>
              </c:numCache>
            </c:numRef>
          </c:val>
        </c:ser>
        <c:dLbls>
          <c:showLegendKey val="false"/>
          <c:showVal val="true"/>
          <c:showCatName val="false"/>
          <c:showSerName val="false"/>
          <c:showPercent val="false"/>
          <c:showBubbleSize val="false"/>
        </c:dLbls>
        <c:gapWidth val="260"/>
        <c:overlap val="-32"/>
        <c:axId val="739411279"/>
        <c:axId val="605423001"/>
      </c:barChart>
      <c:catAx>
        <c:axId val="739411279"/>
        <c:scaling>
          <c:orientation val="minMax"/>
        </c:scaling>
        <c:delete val="false"/>
        <c:axPos val="b"/>
        <c:numFmt formatCode="General" sourceLinked="true"/>
        <c:majorTickMark val="out"/>
        <c:minorTickMark val="none"/>
        <c:tickLblPos val="nextTo"/>
        <c:spPr>
          <a:noFill/>
          <a:ln w="6350" cap="flat" cmpd="sng" algn="ctr">
            <a:solidFill>
              <a:schemeClr val="accent1">
                <a:alpha val="25000"/>
              </a:schemeClr>
            </a:solidFill>
            <a:round/>
          </a:ln>
          <a:effectLst/>
        </c:spPr>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605423001"/>
        <c:crosses val="autoZero"/>
        <c:auto val="true"/>
        <c:lblAlgn val="ctr"/>
        <c:lblOffset val="100"/>
        <c:noMultiLvlLbl val="false"/>
      </c:catAx>
      <c:valAx>
        <c:axId val="605423001"/>
        <c:scaling>
          <c:orientation val="minMax"/>
        </c:scaling>
        <c:delete val="true"/>
        <c:axPos val="l"/>
        <c:majorGridlines>
          <c:spPr>
            <a:ln w="6350" cap="flat" cmpd="sng" algn="ctr">
              <a:solidFill>
                <a:schemeClr val="tx1">
                  <a:lumMod val="50000"/>
                  <a:lumOff val="50000"/>
                  <a:alpha val="25000"/>
                </a:schemeClr>
              </a:solidFill>
              <a:round/>
            </a:ln>
            <a:effectLst/>
          </c:spPr>
        </c:majorGridlines>
        <c:numFmt formatCode="General" sourceLinked="true"/>
        <c:majorTickMark val="out"/>
        <c:minorTickMark val="none"/>
        <c:tickLblPos val="nextTo"/>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739411279"/>
        <c:crosses val="autoZero"/>
        <c:crossBetween val="between"/>
      </c:valAx>
      <c:spPr>
        <a:noFill/>
        <a:ln>
          <a:noFill/>
        </a:ln>
        <a:effectLst/>
      </c:spPr>
    </c:plotArea>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收入决算结构图</a:t>
            </a:r>
          </a:p>
        </c:rich>
      </c:tx>
      <c:layout/>
      <c:overlay val="false"/>
      <c:spPr>
        <a:noFill/>
        <a:ln>
          <a:noFill/>
        </a:ln>
        <a:effectLst/>
      </c:spPr>
    </c:title>
    <c:autoTitleDeleted val="false"/>
    <c:plotArea>
      <c:layout/>
      <c:pieChart>
        <c:varyColors val="true"/>
        <c:ser>
          <c:idx val="1"/>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manualLayout>
                  <c:x val="-0.014161301014471"/>
                  <c:y val="0.10064678623606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366333235410075"/>
                  <c:y val="-0.24624200398216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343914374915798"/>
                  <c:y val="0.023461283281533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事业收入</c:v>
                </c:pt>
                <c:pt idx="2">
                  <c:v>其他收入</c:v>
                </c:pt>
              </c:strCache>
            </c:strRef>
          </c:cat>
          <c:val>
            <c:numRef>
              <c:f>Sheet1!$B$2:$B$4</c:f>
              <c:numCache>
                <c:formatCode>General</c:formatCode>
                <c:ptCount val="3"/>
                <c:pt idx="0">
                  <c:v>507.8</c:v>
                </c:pt>
                <c:pt idx="1">
                  <c:v>6604.75</c:v>
                </c:pt>
                <c:pt idx="2">
                  <c:v>5.12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true"/>
    <c:dispBlanksAs val="gap"/>
    <c:showDLblsOverMax val="false"/>
  </c:chart>
  <c:spPr>
    <a:solidFill>
      <a:schemeClr val="bg1"/>
    </a:solidFill>
    <a:ln w="9525" cap="flat" cmpd="sng" algn="ctr">
      <a:solidFill>
        <a:schemeClr val="tx1">
          <a:lumMod val="50000"/>
          <a:lumOff val="50000"/>
          <a:alpha val="25000"/>
        </a:schemeClr>
      </a:solidFill>
      <a:round/>
    </a:ln>
    <a:effectLst/>
  </c:spPr>
  <c:txPr>
    <a:bodyPr/>
    <a:lstStyle/>
    <a:p>
      <a:pPr>
        <a:defRPr lang="zh-CN">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支出决算结构图</a:t>
            </a:r>
          </a:p>
        </c:rich>
      </c:tx>
      <c:layout/>
      <c:overlay val="false"/>
      <c:spPr>
        <a:noFill/>
        <a:ln>
          <a:noFill/>
        </a:ln>
        <a:effectLst/>
      </c:spPr>
    </c:title>
    <c:autoTitleDeleted val="false"/>
    <c:plotArea>
      <c:layout/>
      <c:pieChart>
        <c:varyColors val="true"/>
        <c:ser>
          <c:idx val="1"/>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14335674364594"/>
                  <c:y val="-0.09184036049022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136108614083704"/>
                  <c:y val="0.088652943731371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4232.28</c:v>
                </c:pt>
                <c:pt idx="1">
                  <c:v>2443.49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true"/>
    <c:dispBlanksAs val="gap"/>
    <c:showDLblsOverMax val="false"/>
  </c:chart>
  <c:spPr>
    <a:solidFill>
      <a:schemeClr val="bg1"/>
    </a:solidFill>
    <a:ln w="9525" cap="flat" cmpd="sng" algn="ctr">
      <a:solidFill>
        <a:schemeClr val="tx1">
          <a:lumMod val="50000"/>
          <a:lumOff val="50000"/>
          <a:alpha val="25000"/>
        </a:schemeClr>
      </a:solidFill>
      <a:round/>
    </a:ln>
    <a:effectLst/>
  </c:spPr>
  <c:txPr>
    <a:bodyPr/>
    <a:lstStyle/>
    <a:p>
      <a:pPr>
        <a:defRPr lang="zh-CN">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2023年度</c:v>
                </c:pt>
                <c:pt idx="1">
                  <c:v>2024年度</c:v>
                </c:pt>
              </c:strCache>
            </c:strRef>
          </c:cat>
          <c:val>
            <c:numRef>
              <c:f>Sheet1!$B$2:$B$3</c:f>
              <c:numCache>
                <c:formatCode>General</c:formatCode>
                <c:ptCount val="2"/>
                <c:pt idx="0">
                  <c:v>444.06</c:v>
                </c:pt>
                <c:pt idx="1">
                  <c:v>507.8</c:v>
                </c:pt>
              </c:numCache>
            </c:numRef>
          </c:val>
        </c:ser>
        <c:dLbls>
          <c:showLegendKey val="false"/>
          <c:showVal val="true"/>
          <c:showCatName val="false"/>
          <c:showSerName val="false"/>
          <c:showPercent val="false"/>
          <c:showBubbleSize val="false"/>
        </c:dLbls>
        <c:gapWidth val="260"/>
        <c:overlap val="-32"/>
        <c:axId val="444144614"/>
        <c:axId val="586840245"/>
      </c:barChart>
      <c:catAx>
        <c:axId val="444144614"/>
        <c:scaling>
          <c:orientation val="minMax"/>
        </c:scaling>
        <c:delete val="false"/>
        <c:axPos val="b"/>
        <c:numFmt formatCode="General" sourceLinked="true"/>
        <c:majorTickMark val="out"/>
        <c:minorTickMark val="none"/>
        <c:tickLblPos val="nextTo"/>
        <c:spPr>
          <a:noFill/>
          <a:ln w="6350" cap="flat" cmpd="sng" algn="ctr">
            <a:solidFill>
              <a:schemeClr val="accent1">
                <a:alpha val="25000"/>
              </a:schemeClr>
            </a:solidFill>
            <a:round/>
          </a:ln>
          <a:effectLst/>
        </c:spPr>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586840245"/>
        <c:crosses val="autoZero"/>
        <c:auto val="true"/>
        <c:lblAlgn val="ctr"/>
        <c:lblOffset val="100"/>
        <c:noMultiLvlLbl val="false"/>
      </c:catAx>
      <c:valAx>
        <c:axId val="586840245"/>
        <c:scaling>
          <c:orientation val="minMax"/>
        </c:scaling>
        <c:delete val="true"/>
        <c:axPos val="l"/>
        <c:majorGridlines>
          <c:spPr>
            <a:ln w="6350" cap="flat" cmpd="sng" algn="ctr">
              <a:solidFill>
                <a:schemeClr val="tx1">
                  <a:lumMod val="50000"/>
                  <a:lumOff val="50000"/>
                  <a:alpha val="25000"/>
                </a:schemeClr>
              </a:solidFill>
              <a:round/>
            </a:ln>
            <a:effectLst/>
          </c:spPr>
        </c:majorGridlines>
        <c:numFmt formatCode="General" sourceLinked="true"/>
        <c:majorTickMark val="out"/>
        <c:minorTickMark val="none"/>
        <c:tickLblPos val="nextTo"/>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444144614"/>
        <c:crosses val="autoZero"/>
        <c:crossBetween val="between"/>
      </c:valAx>
      <c:spPr>
        <a:noFill/>
        <a:ln>
          <a:noFill/>
        </a:ln>
        <a:effectLst/>
      </c:spPr>
    </c:plotArea>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2023年度</c:v>
                </c:pt>
                <c:pt idx="1">
                  <c:v>2024年度</c:v>
                </c:pt>
              </c:strCache>
            </c:strRef>
          </c:cat>
          <c:val>
            <c:numRef>
              <c:f>Sheet1!$B$2:$B$3</c:f>
              <c:numCache>
                <c:formatCode>General</c:formatCode>
                <c:ptCount val="2"/>
                <c:pt idx="0">
                  <c:v>444.06</c:v>
                </c:pt>
                <c:pt idx="1">
                  <c:v>507.8</c:v>
                </c:pt>
              </c:numCache>
            </c:numRef>
          </c:val>
        </c:ser>
        <c:dLbls>
          <c:showLegendKey val="false"/>
          <c:showVal val="true"/>
          <c:showCatName val="false"/>
          <c:showSerName val="false"/>
          <c:showPercent val="false"/>
          <c:showBubbleSize val="false"/>
        </c:dLbls>
        <c:gapWidth val="260"/>
        <c:overlap val="-32"/>
        <c:axId val="377472273"/>
        <c:axId val="91889865"/>
      </c:barChart>
      <c:catAx>
        <c:axId val="377472273"/>
        <c:scaling>
          <c:orientation val="minMax"/>
        </c:scaling>
        <c:delete val="false"/>
        <c:axPos val="b"/>
        <c:numFmt formatCode="General" sourceLinked="true"/>
        <c:majorTickMark val="out"/>
        <c:minorTickMark val="none"/>
        <c:tickLblPos val="nextTo"/>
        <c:spPr>
          <a:noFill/>
          <a:ln w="6350" cap="flat" cmpd="sng" algn="ctr">
            <a:solidFill>
              <a:schemeClr val="accent1">
                <a:alpha val="25000"/>
              </a:schemeClr>
            </a:solidFill>
            <a:round/>
          </a:ln>
          <a:effectLst/>
        </c:spPr>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91889865"/>
        <c:crosses val="autoZero"/>
        <c:auto val="true"/>
        <c:lblAlgn val="ctr"/>
        <c:lblOffset val="100"/>
        <c:noMultiLvlLbl val="false"/>
      </c:catAx>
      <c:valAx>
        <c:axId val="91889865"/>
        <c:scaling>
          <c:orientation val="minMax"/>
        </c:scaling>
        <c:delete val="true"/>
        <c:axPos val="l"/>
        <c:majorGridlines>
          <c:spPr>
            <a:ln w="6350" cap="flat" cmpd="sng" algn="ctr">
              <a:solidFill>
                <a:schemeClr val="tx1">
                  <a:lumMod val="50000"/>
                  <a:lumOff val="50000"/>
                  <a:alpha val="25000"/>
                </a:schemeClr>
              </a:solidFill>
              <a:round/>
            </a:ln>
            <a:effectLst/>
          </c:spPr>
        </c:majorGridlines>
        <c:numFmt formatCode="General" sourceLinked="true"/>
        <c:majorTickMark val="out"/>
        <c:minorTickMark val="none"/>
        <c:tickLblPos val="nextTo"/>
        <c:txPr>
          <a:bodyPr rot="-6000000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crossAx val="377472273"/>
        <c:crosses val="autoZero"/>
        <c:crossBetween val="between"/>
      </c:valAx>
      <c:spPr>
        <a:noFill/>
        <a:ln>
          <a:noFill/>
        </a:ln>
        <a:effectLst/>
      </c:spPr>
    </c:plotArea>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一般公共预算财政拨款支出决算结构</a:t>
            </a:r>
          </a:p>
        </c:rich>
      </c:tx>
      <c:layout/>
      <c:overlay val="false"/>
      <c:spPr>
        <a:noFill/>
        <a:ln>
          <a:noFill/>
        </a:ln>
        <a:effectLst/>
      </c:spPr>
    </c:title>
    <c:autoTitleDeleted val="false"/>
    <c:plotArea>
      <c:layout/>
      <c:pieChart>
        <c:varyColors val="true"/>
        <c:ser>
          <c:idx val="1"/>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科学技术支出</c:v>
                </c:pt>
                <c:pt idx="2">
                  <c:v>社会保障和就业支出</c:v>
                </c:pt>
                <c:pt idx="3">
                  <c:v>卫生健康支出</c:v>
                </c:pt>
                <c:pt idx="4">
                  <c:v>资源勘探工业信息等支出</c:v>
                </c:pt>
                <c:pt idx="5">
                  <c:v>住房保障支出</c:v>
                </c:pt>
              </c:strCache>
            </c:strRef>
          </c:cat>
          <c:val>
            <c:numRef>
              <c:f>Sheet1!$B$2:$B$7</c:f>
              <c:numCache>
                <c:formatCode>General</c:formatCode>
                <c:ptCount val="6"/>
                <c:pt idx="0">
                  <c:v>41</c:v>
                </c:pt>
                <c:pt idx="1">
                  <c:v>129</c:v>
                </c:pt>
                <c:pt idx="2">
                  <c:v>70.41</c:v>
                </c:pt>
                <c:pt idx="3">
                  <c:v>30.88</c:v>
                </c:pt>
                <c:pt idx="4">
                  <c:v>186.13</c:v>
                </c:pt>
                <c:pt idx="5">
                  <c:v>50.38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true"/>
    <c:dispBlanksAs val="gap"/>
    <c:showDLblsOverMax val="false"/>
  </c:chart>
  <c:spPr>
    <a:solidFill>
      <a:schemeClr val="bg1"/>
    </a:solidFill>
    <a:ln w="9525" cap="flat" cmpd="sng" algn="ctr">
      <a:solidFill>
        <a:schemeClr val="tx1">
          <a:lumMod val="50000"/>
          <a:lumOff val="50000"/>
          <a:alpha val="25000"/>
        </a:schemeClr>
      </a:solidFill>
      <a:round/>
    </a:ln>
    <a:effectLst/>
  </c:spPr>
  <c:txPr>
    <a:bodyPr/>
    <a:lstStyle/>
    <a:p>
      <a:pPr>
        <a:defRPr lang="zh-CN">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t>“三公”经费财政拨款支出结构</a:t>
            </a:r>
          </a:p>
        </c:rich>
      </c:tx>
      <c:layout/>
      <c:overlay val="false"/>
      <c:spPr>
        <a:noFill/>
        <a:ln>
          <a:noFill/>
        </a:ln>
        <a:effectLst/>
      </c:spPr>
    </c:title>
    <c:autoTitleDeleted val="false"/>
    <c:plotArea>
      <c:layout/>
      <c:pieChart>
        <c:varyColors val="true"/>
        <c:ser>
          <c:idx val="1"/>
          <c:order val="0"/>
          <c:tx>
            <c:strRef>
              <c:f>Sheet1!$B$1</c:f>
              <c:strCache>
                <c:ptCount val="1"/>
                <c:pt idx="0">
                  <c:v>销售额</c:v>
                </c:pt>
              </c:strCache>
            </c:strRef>
          </c:tx>
          <c:spPr>
            <a:ln>
              <a:noFill/>
            </a:ln>
          </c:spPr>
          <c:explosion val="0"/>
          <c:dPt>
            <c:idx val="0"/>
            <c:bubble3D val="false"/>
            <c:spPr>
              <a:solidFill>
                <a:schemeClr val="accent1"/>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Lbls>
            <c:dLbl>
              <c:idx val="1"/>
              <c:layout>
                <c:manualLayout>
                  <c:x val="0.00543589388045423"/>
                  <c:y val="-0.36010624734514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1">
                  <c:v>1.9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true"/>
    <c:dispBlanksAs val="gap"/>
    <c:showDLblsOverMax val="false"/>
  </c:chart>
  <c:spPr>
    <a:solidFill>
      <a:schemeClr val="bg1"/>
    </a:solidFill>
    <a:ln w="9525" cap="flat" cmpd="sng" algn="ctr">
      <a:solidFill>
        <a:schemeClr val="tx1">
          <a:lumMod val="50000"/>
          <a:lumOff val="50000"/>
          <a:alpha val="25000"/>
        </a:schemeClr>
      </a:solidFill>
      <a:round/>
    </a:ln>
    <a:effectLst/>
  </c:spPr>
  <c:txPr>
    <a:bodyPr/>
    <a:lstStyle/>
    <a:p>
      <a:pPr>
        <a:defRPr lang="zh-CN">
          <a:solidFill>
            <a:schemeClr val="tx1">
              <a:lumMod val="75000"/>
              <a:lumOff val="25000"/>
            </a:schemeClr>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3.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4.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5.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6.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7.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37</Pages>
  <Words>4981</Words>
  <Characters>5458</Characters>
  <Lines>61</Lines>
  <Paragraphs>17</Paragraphs>
  <TotalTime>26</TotalTime>
  <ScaleCrop>false</ScaleCrop>
  <LinksUpToDate>false</LinksUpToDate>
  <CharactersWithSpaces>5483</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user</cp:lastModifiedBy>
  <cp:lastPrinted>2025-08-25T17:01:00Z</cp:lastPrinted>
  <dcterms:modified xsi:type="dcterms:W3CDTF">2025-09-10T12:59:26Z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3BF536824C220DA3E40E8B68BA118B1C_42</vt:lpwstr>
  </property>
  <property fmtid="{D5CDD505-2E9C-101B-9397-08002B2CF9AE}" pid="4" name="KSOTemplateDocerSaveRecord">
    <vt:lpwstr>eyJoZGlkIjoiYzE5N2M0NDRjZmE4YjE1M2NlN2E4Yzk5MDU2YzNlNmUiLCJ1c2VySWQiOiIyNTI4NjY3MzYifQ==</vt:lpwstr>
  </property>
</Properties>
</file>