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0000FF"/>
          <w:szCs w:val="21"/>
        </w:rPr>
      </w:pPr>
      <w:bookmarkStart w:id="0" w:name="_Toc15306267"/>
    </w:p>
    <w:p>
      <w:pPr>
        <w:pStyle w:val="8"/>
        <w:spacing w:before="93"/>
        <w:rPr>
          <w:color w:val="0000FF"/>
        </w:rPr>
      </w:pPr>
    </w:p>
    <w:p>
      <w:pPr>
        <w:spacing w:line="600" w:lineRule="exact"/>
        <w:jc w:val="center"/>
        <w:outlineLvl w:val="9"/>
        <w:rPr>
          <w:rFonts w:ascii="方正小标宋简体" w:hAnsi="宋体" w:eastAsia="方正小标宋简体"/>
          <w:color w:val="auto"/>
          <w:sz w:val="44"/>
          <w:szCs w:val="44"/>
        </w:rPr>
      </w:pPr>
    </w:p>
    <w:p>
      <w:pPr>
        <w:spacing w:line="600" w:lineRule="exact"/>
        <w:jc w:val="center"/>
        <w:outlineLvl w:val="9"/>
        <w:rPr>
          <w:rFonts w:ascii="方正小标宋简体" w:hAnsi="宋体" w:eastAsia="方正小标宋简体"/>
          <w:color w:val="auto"/>
          <w:sz w:val="44"/>
          <w:szCs w:val="44"/>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44"/>
          <w:szCs w:val="44"/>
          <w:lang w:eastAsia="zh-CN"/>
        </w:rPr>
      </w:pPr>
      <w:bookmarkStart w:id="1" w:name="_Toc15396597"/>
      <w:bookmarkStart w:id="2" w:name="_Toc15377425"/>
      <w:bookmarkStart w:id="3" w:name="_Toc15396475"/>
      <w:bookmarkStart w:id="4" w:name="_Toc15378441"/>
      <w:bookmarkStart w:id="5" w:name="_Toc31728"/>
      <w:bookmarkStart w:id="6" w:name="_Toc15377193"/>
      <w:r>
        <w:rPr>
          <w:rFonts w:hint="eastAsia" w:ascii="方正小标宋简体" w:hAnsi="方正小标宋简体" w:eastAsia="方正小标宋简体" w:cs="方正小标宋简体"/>
          <w:color w:val="auto"/>
          <w:sz w:val="44"/>
          <w:szCs w:val="44"/>
        </w:rPr>
        <w:t>202</w:t>
      </w:r>
      <w:r>
        <w:rPr>
          <w:rFonts w:hint="eastAsia" w:ascii="方正小标宋简体" w:hAnsi="方正小标宋简体" w:eastAsia="方正小标宋简体" w:cs="方正小标宋简体"/>
          <w:color w:val="auto"/>
          <w:sz w:val="44"/>
          <w:szCs w:val="44"/>
          <w:lang w:val="en-US" w:eastAsia="zh-CN"/>
        </w:rPr>
        <w:t>4</w:t>
      </w:r>
      <w:r>
        <w:rPr>
          <w:rFonts w:hint="eastAsia" w:ascii="方正小标宋简体" w:hAnsi="方正小标宋简体" w:eastAsia="方正小标宋简体" w:cs="方正小标宋简体"/>
          <w:color w:val="auto"/>
          <w:sz w:val="44"/>
          <w:szCs w:val="44"/>
        </w:rPr>
        <w:t>年度</w:t>
      </w:r>
      <w:bookmarkEnd w:id="1"/>
      <w:bookmarkEnd w:id="2"/>
      <w:bookmarkEnd w:id="3"/>
      <w:bookmarkEnd w:id="4"/>
      <w:bookmarkEnd w:id="5"/>
      <w:bookmarkEnd w:id="6"/>
      <w:bookmarkStart w:id="7" w:name="_Toc15396598"/>
      <w:bookmarkStart w:id="8" w:name="_Toc26463"/>
      <w:bookmarkStart w:id="9" w:name="_Toc15396476"/>
      <w:bookmarkStart w:id="10" w:name="_Toc15377426"/>
      <w:bookmarkStart w:id="11" w:name="_Toc15378442"/>
      <w:bookmarkStart w:id="12" w:name="_Toc15377194"/>
      <w:r>
        <w:rPr>
          <w:rFonts w:hint="eastAsia" w:ascii="方正小标宋简体" w:hAnsi="方正小标宋简体" w:eastAsia="方正小标宋简体" w:cs="方正小标宋简体"/>
          <w:color w:val="auto"/>
          <w:sz w:val="44"/>
          <w:szCs w:val="44"/>
        </w:rPr>
        <w:t>四川省</w:t>
      </w:r>
      <w:bookmarkEnd w:id="0"/>
      <w:bookmarkStart w:id="13" w:name="_Toc15306268"/>
      <w:r>
        <w:rPr>
          <w:rFonts w:hint="eastAsia" w:ascii="方正小标宋简体" w:hAnsi="方正小标宋简体" w:eastAsia="方正小标宋简体" w:cs="方正小标宋简体"/>
          <w:color w:val="auto"/>
          <w:sz w:val="44"/>
          <w:szCs w:val="44"/>
          <w:lang w:eastAsia="zh-CN"/>
        </w:rPr>
        <w:t>有色冶金研究院有限公司</w:t>
      </w:r>
    </w:p>
    <w:p>
      <w:pPr>
        <w:adjustRightInd w:val="0"/>
        <w:snapToGrid w:val="0"/>
        <w:spacing w:line="360" w:lineRule="auto"/>
        <w:jc w:val="center"/>
        <w:outlineLvl w:val="0"/>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lang w:eastAsia="zh-CN"/>
        </w:rPr>
        <w:t>单位</w:t>
      </w:r>
      <w:r>
        <w:rPr>
          <w:rFonts w:hint="eastAsia" w:ascii="方正小标宋简体" w:hAnsi="方正小标宋简体" w:eastAsia="方正小标宋简体" w:cs="方正小标宋简体"/>
          <w:color w:val="auto"/>
          <w:sz w:val="44"/>
          <w:szCs w:val="44"/>
        </w:rPr>
        <w:t>决算</w:t>
      </w:r>
      <w:bookmarkEnd w:id="7"/>
      <w:bookmarkEnd w:id="8"/>
      <w:bookmarkEnd w:id="9"/>
      <w:bookmarkEnd w:id="10"/>
      <w:bookmarkEnd w:id="11"/>
      <w:bookmarkEnd w:id="12"/>
      <w:bookmarkEnd w:id="13"/>
    </w:p>
    <w:p>
      <w:pPr>
        <w:adjustRightInd w:val="0"/>
        <w:snapToGrid w:val="0"/>
        <w:spacing w:line="360" w:lineRule="auto"/>
        <w:jc w:val="center"/>
        <w:outlineLvl w:val="9"/>
        <w:rPr>
          <w:rFonts w:ascii="方正小标宋简体" w:hAnsi="宋体" w:eastAsia="方正小标宋简体"/>
          <w:color w:val="auto"/>
          <w:sz w:val="52"/>
          <w:szCs w:val="52"/>
        </w:rPr>
      </w:pPr>
    </w:p>
    <w:p>
      <w:pPr>
        <w:widowControl/>
        <w:adjustRightInd w:val="0"/>
        <w:snapToGrid w:val="0"/>
        <w:spacing w:line="440" w:lineRule="exact"/>
        <w:ind w:firstLine="1980" w:firstLineChars="550"/>
        <w:jc w:val="left"/>
        <w:rPr>
          <w:rFonts w:ascii="方正小标宋简体" w:hAnsi="宋体" w:eastAsia="方正小标宋简体"/>
          <w:color w:val="auto"/>
          <w:sz w:val="36"/>
          <w:szCs w:val="36"/>
        </w:rPr>
      </w:pPr>
      <w:r>
        <w:rPr>
          <w:rFonts w:ascii="方正小标宋简体" w:hAnsi="宋体" w:eastAsia="方正小标宋简体"/>
          <w:color w:val="auto"/>
          <w:sz w:val="36"/>
          <w:szCs w:val="36"/>
        </w:rPr>
        <w:br w:type="page"/>
      </w:r>
    </w:p>
    <w:sdt>
      <w:sdtPr>
        <w:rPr>
          <w:rFonts w:ascii="宋体" w:hAnsi="宋体" w:eastAsia="宋体" w:cs="Times New Roman"/>
          <w:color w:val="auto"/>
          <w:kern w:val="2"/>
          <w:sz w:val="48"/>
          <w:szCs w:val="48"/>
          <w:lang w:val="en-US" w:eastAsia="zh-CN" w:bidi="ar-SA"/>
        </w:rPr>
        <w:id w:val="147456593"/>
        <w15:color w:val="DBDBDB"/>
        <w:docPartObj>
          <w:docPartGallery w:val="Table of Contents"/>
          <w:docPartUnique/>
        </w:docPartObj>
      </w:sdtPr>
      <w:sdtEndPr>
        <w:rPr>
          <w:rFonts w:ascii="仿宋_GB2312" w:hAnsi="Times New Roman" w:eastAsia="仿宋_GB2312" w:cs="Times New Roman"/>
          <w:b/>
          <w:color w:val="auto"/>
          <w:kern w:val="0"/>
          <w:sz w:val="32"/>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color w:val="auto"/>
              <w:sz w:val="48"/>
              <w:szCs w:val="48"/>
            </w:rPr>
          </w:pPr>
          <w:r>
            <w:rPr>
              <w:rFonts w:hint="eastAsia" w:ascii="黑体" w:hAnsi="黑体" w:eastAsia="黑体" w:cs="黑体"/>
              <w:color w:val="auto"/>
              <w:sz w:val="48"/>
              <w:szCs w:val="48"/>
            </w:rPr>
            <w:t>目录</w:t>
          </w:r>
        </w:p>
        <w:p>
          <w:pPr>
            <w:pStyle w:val="8"/>
            <w:rPr>
              <w:rFonts w:hint="eastAsia"/>
            </w:rPr>
          </w:pPr>
        </w:p>
        <w:p>
          <w:pPr>
            <w:pStyle w:val="34"/>
            <w:tabs>
              <w:tab w:val="right" w:leader="dot" w:pos="8306"/>
            </w:tabs>
            <w:ind w:firstLine="2240" w:firstLineChars="700"/>
            <w:rPr>
              <w:rFonts w:hint="default" w:ascii="仿宋_GB2312" w:hAnsi="仿宋_GB2312" w:eastAsia="仿宋_GB2312" w:cs="仿宋_GB2312"/>
              <w:b/>
              <w:color w:val="auto"/>
              <w:sz w:val="32"/>
              <w:szCs w:val="32"/>
              <w:lang w:val="en-US"/>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TOC \o "1-2" \h \u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color w:val="auto"/>
              <w:kern w:val="0"/>
              <w:sz w:val="32"/>
              <w:szCs w:val="32"/>
              <w:lang w:val="en-US" w:eastAsia="zh-CN" w:bidi="ar-SA"/>
            </w:rPr>
            <w:t xml:space="preserve">公开时间：2025年9月12日 </w:t>
          </w:r>
        </w:p>
        <w:p>
          <w:pPr>
            <w:pStyle w:val="34"/>
            <w:tabs>
              <w:tab w:val="right" w:leader="dot" w:pos="8306"/>
            </w:tabs>
            <w:rPr>
              <w:rFonts w:hint="eastAsia" w:ascii="仿宋_GB2312" w:hAnsi="仿宋_GB2312" w:eastAsia="仿宋_GB2312" w:cs="仿宋_GB2312"/>
              <w:b/>
              <w:color w:val="auto"/>
              <w:sz w:val="32"/>
              <w:szCs w:val="32"/>
            </w:rPr>
          </w:pPr>
        </w:p>
        <w:p>
          <w:pPr>
            <w:pStyle w:val="34"/>
            <w:tabs>
              <w:tab w:val="right" w:leader="dot" w:pos="8306"/>
            </w:tabs>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lang w:val="en-US" w:eastAsia="zh-CN"/>
            </w:rPr>
            <w:fldChar w:fldCharType="begin"/>
          </w:r>
          <w:r>
            <w:rPr>
              <w:rFonts w:hint="eastAsia" w:ascii="Times New Roman" w:hAnsi="Times New Roman" w:eastAsia="黑体" w:cs="黑体"/>
              <w:color w:val="auto"/>
              <w:sz w:val="32"/>
              <w:szCs w:val="32"/>
              <w:highlight w:val="none"/>
              <w:lang w:val="en-US" w:eastAsia="zh-CN"/>
            </w:rPr>
            <w:instrText xml:space="preserve"> HYPERLINK \l _Toc6541 </w:instrText>
          </w:r>
          <w:r>
            <w:rPr>
              <w:rFonts w:hint="eastAsia" w:ascii="Times New Roman" w:hAnsi="Times New Roman" w:eastAsia="黑体" w:cs="黑体"/>
              <w:color w:val="auto"/>
              <w:sz w:val="32"/>
              <w:szCs w:val="32"/>
              <w:highlight w:val="none"/>
              <w:lang w:val="en-US" w:eastAsia="zh-CN"/>
            </w:rPr>
            <w:fldChar w:fldCharType="separate"/>
          </w:r>
          <w:r>
            <w:rPr>
              <w:rFonts w:hint="eastAsia" w:ascii="Times New Roman" w:hAnsi="Times New Roman" w:eastAsia="黑体" w:cs="黑体"/>
              <w:color w:val="auto"/>
              <w:sz w:val="32"/>
              <w:szCs w:val="32"/>
              <w:highlight w:val="none"/>
            </w:rPr>
            <w:t>第一部分 单位概况</w:t>
          </w:r>
          <w:r>
            <w:rPr>
              <w:rFonts w:hint="eastAsia" w:ascii="Times New Roman" w:hAnsi="Times New Roman" w:eastAsia="黑体" w:cs="黑体"/>
              <w:color w:val="auto"/>
              <w:sz w:val="32"/>
              <w:szCs w:val="32"/>
              <w:highlight w:val="none"/>
            </w:rPr>
            <w:tab/>
          </w:r>
          <w:r>
            <w:rPr>
              <w:rFonts w:hint="eastAsia" w:ascii="Times New Roman" w:hAnsi="Times New Roman" w:eastAsia="黑体" w:cs="黑体"/>
              <w:color w:val="auto"/>
              <w:sz w:val="32"/>
              <w:szCs w:val="32"/>
              <w:highlight w:val="none"/>
            </w:rPr>
            <w:fldChar w:fldCharType="begin"/>
          </w:r>
          <w:r>
            <w:rPr>
              <w:rFonts w:hint="eastAsia" w:ascii="Times New Roman" w:hAnsi="Times New Roman" w:eastAsia="黑体" w:cs="黑体"/>
              <w:color w:val="auto"/>
              <w:sz w:val="32"/>
              <w:szCs w:val="32"/>
              <w:highlight w:val="none"/>
            </w:rPr>
            <w:instrText xml:space="preserve"> PAGEREF _Toc6541 \h </w:instrText>
          </w:r>
          <w:r>
            <w:rPr>
              <w:rFonts w:hint="eastAsia" w:ascii="Times New Roman" w:hAnsi="Times New Roman" w:eastAsia="黑体" w:cs="黑体"/>
              <w:color w:val="auto"/>
              <w:sz w:val="32"/>
              <w:szCs w:val="32"/>
              <w:highlight w:val="none"/>
            </w:rPr>
            <w:fldChar w:fldCharType="separate"/>
          </w:r>
          <w:r>
            <w:rPr>
              <w:rFonts w:hint="eastAsia" w:ascii="Times New Roman" w:hAnsi="Times New Roman" w:eastAsia="黑体" w:cs="黑体"/>
              <w:color w:val="auto"/>
              <w:sz w:val="32"/>
              <w:szCs w:val="32"/>
              <w:highlight w:val="none"/>
            </w:rPr>
            <w:t>4</w:t>
          </w:r>
          <w:r>
            <w:rPr>
              <w:rFonts w:hint="eastAsia" w:ascii="Times New Roman" w:hAnsi="Times New Roman" w:eastAsia="黑体" w:cs="黑体"/>
              <w:color w:val="auto"/>
              <w:sz w:val="32"/>
              <w:szCs w:val="32"/>
              <w:highlight w:val="none"/>
            </w:rPr>
            <w:fldChar w:fldCharType="end"/>
          </w:r>
          <w:r>
            <w:rPr>
              <w:rFonts w:hint="eastAsia" w:ascii="Times New Roman" w:hAnsi="Times New Roman" w:eastAsia="黑体" w:cs="黑体"/>
              <w:color w:val="auto"/>
              <w:sz w:val="32"/>
              <w:szCs w:val="32"/>
              <w:highlight w:val="none"/>
              <w:lang w:val="en-US" w:eastAsia="zh-CN"/>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_Toc18180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bCs w:val="0"/>
              <w:color w:val="auto"/>
              <w:sz w:val="32"/>
              <w:szCs w:val="32"/>
            </w:rPr>
            <w:t>一、主要职责</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_Toc18180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_Toc20039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color w:val="auto"/>
              <w:sz w:val="32"/>
              <w:szCs w:val="32"/>
            </w:rPr>
            <w:t>二、机构设置</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_Toc20039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34"/>
            <w:tabs>
              <w:tab w:val="right" w:leader="dot" w:pos="8306"/>
            </w:tabs>
            <w:rPr>
              <w:rFonts w:hint="eastAsia"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lang w:val="en-US" w:eastAsia="zh-CN"/>
            </w:rPr>
            <w:fldChar w:fldCharType="begin"/>
          </w:r>
          <w:r>
            <w:rPr>
              <w:rFonts w:hint="eastAsia" w:ascii="Times New Roman" w:hAnsi="Times New Roman" w:eastAsia="黑体" w:cs="黑体"/>
              <w:color w:val="auto"/>
              <w:sz w:val="32"/>
              <w:szCs w:val="32"/>
              <w:highlight w:val="none"/>
              <w:lang w:val="en-US" w:eastAsia="zh-CN"/>
            </w:rPr>
            <w:instrText xml:space="preserve"> HYPERLINK \l _Toc13946 </w:instrText>
          </w:r>
          <w:r>
            <w:rPr>
              <w:rFonts w:hint="eastAsia" w:ascii="Times New Roman" w:hAnsi="Times New Roman" w:eastAsia="黑体" w:cs="黑体"/>
              <w:color w:val="auto"/>
              <w:sz w:val="32"/>
              <w:szCs w:val="32"/>
              <w:highlight w:val="none"/>
              <w:lang w:val="en-US" w:eastAsia="zh-CN"/>
            </w:rPr>
            <w:fldChar w:fldCharType="separate"/>
          </w:r>
          <w:r>
            <w:rPr>
              <w:rFonts w:hint="eastAsia" w:ascii="Times New Roman" w:hAnsi="Times New Roman" w:eastAsia="黑体" w:cs="黑体"/>
              <w:color w:val="auto"/>
              <w:sz w:val="32"/>
              <w:szCs w:val="32"/>
              <w:highlight w:val="none"/>
              <w:lang w:val="en-US" w:eastAsia="zh-CN"/>
            </w:rPr>
            <w:t>第二部分 2024年度单位决算情况说明</w:t>
          </w:r>
          <w:r>
            <w:rPr>
              <w:rFonts w:hint="eastAsia" w:ascii="Times New Roman" w:hAnsi="Times New Roman" w:eastAsia="黑体" w:cs="黑体"/>
              <w:color w:val="auto"/>
              <w:sz w:val="32"/>
              <w:szCs w:val="32"/>
              <w:highlight w:val="none"/>
              <w:lang w:val="en-US" w:eastAsia="zh-CN"/>
            </w:rPr>
            <w:tab/>
          </w:r>
          <w:r>
            <w:rPr>
              <w:rFonts w:hint="eastAsia" w:ascii="Times New Roman" w:hAnsi="Times New Roman" w:eastAsia="黑体" w:cs="黑体"/>
              <w:color w:val="auto"/>
              <w:sz w:val="32"/>
              <w:szCs w:val="32"/>
              <w:highlight w:val="none"/>
              <w:lang w:val="en-US" w:eastAsia="zh-CN"/>
            </w:rPr>
            <w:fldChar w:fldCharType="begin"/>
          </w:r>
          <w:r>
            <w:rPr>
              <w:rFonts w:hint="eastAsia" w:ascii="Times New Roman" w:hAnsi="Times New Roman" w:eastAsia="黑体" w:cs="黑体"/>
              <w:color w:val="auto"/>
              <w:sz w:val="32"/>
              <w:szCs w:val="32"/>
              <w:highlight w:val="none"/>
              <w:lang w:val="en-US" w:eastAsia="zh-CN"/>
            </w:rPr>
            <w:instrText xml:space="preserve"> PAGEREF _Toc13946 \h </w:instrText>
          </w:r>
          <w:r>
            <w:rPr>
              <w:rFonts w:hint="eastAsia" w:ascii="Times New Roman" w:hAnsi="Times New Roman" w:eastAsia="黑体" w:cs="黑体"/>
              <w:color w:val="auto"/>
              <w:sz w:val="32"/>
              <w:szCs w:val="32"/>
              <w:highlight w:val="none"/>
              <w:lang w:val="en-US" w:eastAsia="zh-CN"/>
            </w:rPr>
            <w:fldChar w:fldCharType="separate"/>
          </w:r>
          <w:r>
            <w:rPr>
              <w:rFonts w:hint="eastAsia" w:ascii="Times New Roman" w:hAnsi="Times New Roman" w:eastAsia="黑体" w:cs="黑体"/>
              <w:color w:val="auto"/>
              <w:sz w:val="32"/>
              <w:szCs w:val="32"/>
              <w:highlight w:val="none"/>
              <w:lang w:val="en-US" w:eastAsia="zh-CN"/>
            </w:rPr>
            <w:t>5</w:t>
          </w:r>
          <w:r>
            <w:rPr>
              <w:rFonts w:hint="eastAsia" w:ascii="Times New Roman" w:hAnsi="Times New Roman" w:eastAsia="黑体" w:cs="黑体"/>
              <w:color w:val="auto"/>
              <w:sz w:val="32"/>
              <w:szCs w:val="32"/>
              <w:highlight w:val="none"/>
              <w:lang w:val="en-US" w:eastAsia="zh-CN"/>
            </w:rPr>
            <w:fldChar w:fldCharType="end"/>
          </w:r>
          <w:r>
            <w:rPr>
              <w:rFonts w:hint="eastAsia" w:ascii="Times New Roman" w:hAnsi="Times New Roman" w:eastAsia="黑体" w:cs="黑体"/>
              <w:color w:val="auto"/>
              <w:sz w:val="32"/>
              <w:szCs w:val="32"/>
              <w:highlight w:val="none"/>
              <w:lang w:val="en-US" w:eastAsia="zh-CN"/>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_Toc15645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color w:val="auto"/>
              <w:sz w:val="32"/>
              <w:szCs w:val="32"/>
            </w:rPr>
            <w:t>一、收入支出决算总体情况说明</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_Toc15645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_Toc32757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color w:val="auto"/>
              <w:sz w:val="32"/>
              <w:szCs w:val="32"/>
            </w:rPr>
            <w:t>二、收入决算情况说明</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_Toc32757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_Toc20690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color w:val="auto"/>
              <w:sz w:val="32"/>
              <w:szCs w:val="32"/>
            </w:rPr>
            <w:t>三、支出决算情况说明</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_Toc20690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_Toc32507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color w:val="auto"/>
              <w:sz w:val="32"/>
              <w:szCs w:val="32"/>
            </w:rPr>
            <w:t>四、财政拨款收入支出决算总体情况说明</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_Toc32507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7</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_Toc4032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color w:val="auto"/>
              <w:sz w:val="32"/>
              <w:szCs w:val="32"/>
            </w:rPr>
            <w:t>五、一般公共预算财政拨款支出决算情况说明</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_Toc4032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8</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_Toc10889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color w:val="auto"/>
              <w:sz w:val="32"/>
              <w:szCs w:val="32"/>
            </w:rPr>
            <w:t>六、一般公共预算财政拨款基本支出决算情况说明</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_Toc10889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10</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_Toc29735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color w:val="auto"/>
              <w:sz w:val="32"/>
              <w:szCs w:val="32"/>
            </w:rPr>
            <w:t>七、财政拨款“三公”经费支出决算情况说明</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_Toc29735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10</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_Toc19037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color w:val="auto"/>
              <w:sz w:val="32"/>
              <w:szCs w:val="32"/>
            </w:rPr>
            <w:t>八、政府性基金预算支出决算情况说明</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_Toc19037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11</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_Toc19583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color w:val="auto"/>
              <w:sz w:val="32"/>
              <w:szCs w:val="32"/>
            </w:rPr>
            <w:t>九、国有资本经营预算支出决算情况说明</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_Toc19583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11</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35"/>
            <w:tabs>
              <w:tab w:val="right" w:leader="dot" w:pos="8306"/>
            </w:tabs>
            <w:ind w:firstLine="320" w:firstLineChars="100"/>
            <w:rPr>
              <w:rFonts w:hint="default" w:ascii="仿宋_GB2312" w:hAnsi="仿宋_GB2312" w:eastAsia="仿宋_GB2312" w:cs="仿宋_GB2312"/>
              <w:color w:val="auto"/>
              <w:sz w:val="32"/>
              <w:szCs w:val="32"/>
              <w:lang w:val="en-US"/>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_Toc7677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color w:val="auto"/>
              <w:sz w:val="32"/>
              <w:szCs w:val="32"/>
            </w:rPr>
            <w:t>十、其他重要事项的情况说明</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kern w:val="0"/>
              <w:sz w:val="32"/>
              <w:szCs w:val="32"/>
              <w:lang w:val="en-US" w:eastAsia="zh-CN" w:bidi="ar-SA"/>
            </w:rPr>
            <w:fldChar w:fldCharType="end"/>
          </w:r>
          <w:r>
            <w:rPr>
              <w:rFonts w:hint="eastAsia" w:ascii="仿宋_GB2312" w:hAnsi="仿宋_GB2312" w:eastAsia="仿宋_GB2312" w:cs="仿宋_GB2312"/>
              <w:color w:val="auto"/>
              <w:kern w:val="0"/>
              <w:sz w:val="32"/>
              <w:szCs w:val="32"/>
              <w:lang w:val="en-US" w:eastAsia="zh-CN" w:bidi="ar-SA"/>
            </w:rPr>
            <w:t>2</w:t>
          </w:r>
        </w:p>
        <w:p>
          <w:pPr>
            <w:pStyle w:val="34"/>
            <w:tabs>
              <w:tab w:val="right" w:leader="dot" w:pos="8306"/>
            </w:tabs>
            <w:rPr>
              <w:rFonts w:hint="eastAsia"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lang w:val="en-US" w:eastAsia="zh-CN"/>
            </w:rPr>
            <w:fldChar w:fldCharType="begin"/>
          </w:r>
          <w:r>
            <w:rPr>
              <w:rFonts w:hint="eastAsia" w:ascii="Times New Roman" w:hAnsi="Times New Roman" w:eastAsia="黑体" w:cs="黑体"/>
              <w:color w:val="auto"/>
              <w:sz w:val="32"/>
              <w:szCs w:val="32"/>
              <w:highlight w:val="none"/>
              <w:lang w:val="en-US" w:eastAsia="zh-CN"/>
            </w:rPr>
            <w:instrText xml:space="preserve"> HYPERLINK \l _Toc12100 </w:instrText>
          </w:r>
          <w:r>
            <w:rPr>
              <w:rFonts w:hint="eastAsia" w:ascii="Times New Roman" w:hAnsi="Times New Roman" w:eastAsia="黑体" w:cs="黑体"/>
              <w:color w:val="auto"/>
              <w:sz w:val="32"/>
              <w:szCs w:val="32"/>
              <w:highlight w:val="none"/>
              <w:lang w:val="en-US" w:eastAsia="zh-CN"/>
            </w:rPr>
            <w:fldChar w:fldCharType="separate"/>
          </w:r>
          <w:r>
            <w:rPr>
              <w:rFonts w:hint="eastAsia" w:ascii="Times New Roman" w:hAnsi="Times New Roman" w:eastAsia="黑体" w:cs="黑体"/>
              <w:color w:val="auto"/>
              <w:sz w:val="32"/>
              <w:szCs w:val="32"/>
              <w:highlight w:val="none"/>
              <w:lang w:val="en-US" w:eastAsia="zh-CN"/>
            </w:rPr>
            <w:t>第三部分 名词解释</w:t>
          </w:r>
          <w:r>
            <w:rPr>
              <w:rFonts w:hint="eastAsia" w:ascii="Times New Roman" w:hAnsi="Times New Roman" w:eastAsia="黑体" w:cs="黑体"/>
              <w:color w:val="auto"/>
              <w:sz w:val="32"/>
              <w:szCs w:val="32"/>
              <w:highlight w:val="none"/>
              <w:lang w:val="en-US" w:eastAsia="zh-CN"/>
            </w:rPr>
            <w:tab/>
          </w:r>
          <w:r>
            <w:rPr>
              <w:rFonts w:hint="eastAsia" w:ascii="Times New Roman" w:hAnsi="Times New Roman" w:eastAsia="黑体" w:cs="黑体"/>
              <w:color w:val="auto"/>
              <w:sz w:val="32"/>
              <w:szCs w:val="32"/>
              <w:highlight w:val="none"/>
              <w:lang w:val="en-US" w:eastAsia="zh-CN"/>
            </w:rPr>
            <w:fldChar w:fldCharType="begin"/>
          </w:r>
          <w:r>
            <w:rPr>
              <w:rFonts w:hint="eastAsia" w:ascii="Times New Roman" w:hAnsi="Times New Roman" w:eastAsia="黑体" w:cs="黑体"/>
              <w:color w:val="auto"/>
              <w:sz w:val="32"/>
              <w:szCs w:val="32"/>
              <w:highlight w:val="none"/>
              <w:lang w:val="en-US" w:eastAsia="zh-CN"/>
            </w:rPr>
            <w:instrText xml:space="preserve"> PAGEREF _Toc12100 \h </w:instrText>
          </w:r>
          <w:r>
            <w:rPr>
              <w:rFonts w:hint="eastAsia" w:ascii="Times New Roman" w:hAnsi="Times New Roman" w:eastAsia="黑体" w:cs="黑体"/>
              <w:color w:val="auto"/>
              <w:sz w:val="32"/>
              <w:szCs w:val="32"/>
              <w:highlight w:val="none"/>
              <w:lang w:val="en-US" w:eastAsia="zh-CN"/>
            </w:rPr>
            <w:fldChar w:fldCharType="separate"/>
          </w:r>
          <w:r>
            <w:rPr>
              <w:rFonts w:hint="eastAsia" w:ascii="Times New Roman" w:hAnsi="Times New Roman" w:eastAsia="黑体" w:cs="黑体"/>
              <w:color w:val="auto"/>
              <w:sz w:val="32"/>
              <w:szCs w:val="32"/>
              <w:highlight w:val="none"/>
              <w:lang w:val="en-US" w:eastAsia="zh-CN"/>
            </w:rPr>
            <w:t>13</w:t>
          </w:r>
          <w:r>
            <w:rPr>
              <w:rFonts w:hint="eastAsia" w:ascii="Times New Roman" w:hAnsi="Times New Roman" w:eastAsia="黑体" w:cs="黑体"/>
              <w:color w:val="auto"/>
              <w:sz w:val="32"/>
              <w:szCs w:val="32"/>
              <w:highlight w:val="none"/>
              <w:lang w:val="en-US" w:eastAsia="zh-CN"/>
            </w:rPr>
            <w:fldChar w:fldCharType="end"/>
          </w:r>
          <w:r>
            <w:rPr>
              <w:rFonts w:hint="eastAsia" w:ascii="Times New Roman" w:hAnsi="Times New Roman" w:eastAsia="黑体" w:cs="黑体"/>
              <w:color w:val="auto"/>
              <w:sz w:val="32"/>
              <w:szCs w:val="32"/>
              <w:highlight w:val="none"/>
              <w:lang w:val="en-US" w:eastAsia="zh-CN"/>
            </w:rPr>
            <w:fldChar w:fldCharType="end"/>
          </w:r>
        </w:p>
        <w:p>
          <w:pPr>
            <w:pStyle w:val="34"/>
            <w:tabs>
              <w:tab w:val="right" w:leader="dot" w:pos="8306"/>
            </w:tabs>
            <w:rPr>
              <w:rFonts w:hint="eastAsia"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lang w:val="en-US" w:eastAsia="zh-CN"/>
            </w:rPr>
            <w:fldChar w:fldCharType="begin"/>
          </w:r>
          <w:r>
            <w:rPr>
              <w:rFonts w:hint="eastAsia" w:ascii="Times New Roman" w:hAnsi="Times New Roman" w:eastAsia="黑体" w:cs="黑体"/>
              <w:color w:val="auto"/>
              <w:sz w:val="32"/>
              <w:szCs w:val="32"/>
              <w:highlight w:val="none"/>
              <w:lang w:val="en-US" w:eastAsia="zh-CN"/>
            </w:rPr>
            <w:instrText xml:space="preserve"> HYPERLINK \l _Toc18942 </w:instrText>
          </w:r>
          <w:r>
            <w:rPr>
              <w:rFonts w:hint="eastAsia" w:ascii="Times New Roman" w:hAnsi="Times New Roman" w:eastAsia="黑体" w:cs="黑体"/>
              <w:color w:val="auto"/>
              <w:sz w:val="32"/>
              <w:szCs w:val="32"/>
              <w:highlight w:val="none"/>
              <w:lang w:val="en-US" w:eastAsia="zh-CN"/>
            </w:rPr>
            <w:fldChar w:fldCharType="separate"/>
          </w:r>
          <w:r>
            <w:rPr>
              <w:rFonts w:hint="eastAsia" w:ascii="Times New Roman" w:hAnsi="Times New Roman" w:eastAsia="黑体" w:cs="黑体"/>
              <w:color w:val="auto"/>
              <w:sz w:val="32"/>
              <w:szCs w:val="32"/>
              <w:highlight w:val="none"/>
              <w:lang w:val="en-US" w:eastAsia="zh-CN"/>
            </w:rPr>
            <w:t>第四部分 附件</w:t>
          </w:r>
          <w:r>
            <w:rPr>
              <w:rFonts w:hint="eastAsia" w:ascii="Times New Roman" w:hAnsi="Times New Roman" w:eastAsia="黑体" w:cs="黑体"/>
              <w:color w:val="auto"/>
              <w:sz w:val="32"/>
              <w:szCs w:val="32"/>
              <w:highlight w:val="none"/>
              <w:lang w:val="en-US" w:eastAsia="zh-CN"/>
            </w:rPr>
            <w:tab/>
          </w:r>
          <w:r>
            <w:rPr>
              <w:rFonts w:hint="eastAsia" w:ascii="Times New Roman" w:hAnsi="Times New Roman" w:eastAsia="黑体" w:cs="黑体"/>
              <w:color w:val="auto"/>
              <w:sz w:val="32"/>
              <w:szCs w:val="32"/>
              <w:highlight w:val="none"/>
              <w:lang w:val="en-US" w:eastAsia="zh-CN"/>
            </w:rPr>
            <w:fldChar w:fldCharType="begin"/>
          </w:r>
          <w:r>
            <w:rPr>
              <w:rFonts w:hint="eastAsia" w:ascii="Times New Roman" w:hAnsi="Times New Roman" w:eastAsia="黑体" w:cs="黑体"/>
              <w:color w:val="auto"/>
              <w:sz w:val="32"/>
              <w:szCs w:val="32"/>
              <w:highlight w:val="none"/>
              <w:lang w:val="en-US" w:eastAsia="zh-CN"/>
            </w:rPr>
            <w:instrText xml:space="preserve"> PAGEREF _Toc18942 \h </w:instrText>
          </w:r>
          <w:r>
            <w:rPr>
              <w:rFonts w:hint="eastAsia" w:ascii="Times New Roman" w:hAnsi="Times New Roman" w:eastAsia="黑体" w:cs="黑体"/>
              <w:color w:val="auto"/>
              <w:sz w:val="32"/>
              <w:szCs w:val="32"/>
              <w:highlight w:val="none"/>
              <w:lang w:val="en-US" w:eastAsia="zh-CN"/>
            </w:rPr>
            <w:fldChar w:fldCharType="separate"/>
          </w:r>
          <w:r>
            <w:rPr>
              <w:rFonts w:hint="eastAsia" w:ascii="Times New Roman" w:hAnsi="Times New Roman" w:eastAsia="黑体" w:cs="黑体"/>
              <w:color w:val="auto"/>
              <w:sz w:val="32"/>
              <w:szCs w:val="32"/>
              <w:highlight w:val="none"/>
              <w:lang w:val="en-US" w:eastAsia="zh-CN"/>
            </w:rPr>
            <w:t>14</w:t>
          </w:r>
          <w:r>
            <w:rPr>
              <w:rFonts w:hint="eastAsia" w:ascii="Times New Roman" w:hAnsi="Times New Roman" w:eastAsia="黑体" w:cs="黑体"/>
              <w:color w:val="auto"/>
              <w:sz w:val="32"/>
              <w:szCs w:val="32"/>
              <w:highlight w:val="none"/>
              <w:lang w:val="en-US" w:eastAsia="zh-CN"/>
            </w:rPr>
            <w:fldChar w:fldCharType="end"/>
          </w:r>
          <w:r>
            <w:rPr>
              <w:rFonts w:hint="eastAsia" w:ascii="Times New Roman" w:hAnsi="Times New Roman" w:eastAsia="黑体" w:cs="黑体"/>
              <w:color w:val="auto"/>
              <w:sz w:val="32"/>
              <w:szCs w:val="32"/>
              <w:highlight w:val="none"/>
              <w:lang w:val="en-US" w:eastAsia="zh-CN"/>
            </w:rPr>
            <w:fldChar w:fldCharType="end"/>
          </w:r>
        </w:p>
        <w:p>
          <w:pPr>
            <w:pStyle w:val="34"/>
            <w:tabs>
              <w:tab w:val="right" w:leader="dot" w:pos="8306"/>
            </w:tabs>
            <w:rPr>
              <w:rFonts w:hint="eastAsia"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lang w:val="en-US" w:eastAsia="zh-CN"/>
            </w:rPr>
            <w:fldChar w:fldCharType="begin"/>
          </w:r>
          <w:r>
            <w:rPr>
              <w:rFonts w:hint="eastAsia" w:ascii="Times New Roman" w:hAnsi="Times New Roman" w:eastAsia="黑体" w:cs="黑体"/>
              <w:color w:val="auto"/>
              <w:sz w:val="32"/>
              <w:szCs w:val="32"/>
              <w:highlight w:val="none"/>
              <w:lang w:val="en-US" w:eastAsia="zh-CN"/>
            </w:rPr>
            <w:instrText xml:space="preserve"> HYPERLINK \l _Toc27359 </w:instrText>
          </w:r>
          <w:r>
            <w:rPr>
              <w:rFonts w:hint="eastAsia" w:ascii="Times New Roman" w:hAnsi="Times New Roman" w:eastAsia="黑体" w:cs="黑体"/>
              <w:color w:val="auto"/>
              <w:sz w:val="32"/>
              <w:szCs w:val="32"/>
              <w:highlight w:val="none"/>
              <w:lang w:val="en-US" w:eastAsia="zh-CN"/>
            </w:rPr>
            <w:fldChar w:fldCharType="separate"/>
          </w:r>
          <w:r>
            <w:rPr>
              <w:rFonts w:hint="eastAsia" w:ascii="Times New Roman" w:hAnsi="Times New Roman" w:eastAsia="黑体" w:cs="黑体"/>
              <w:color w:val="auto"/>
              <w:sz w:val="32"/>
              <w:szCs w:val="32"/>
              <w:highlight w:val="none"/>
              <w:lang w:val="en-US" w:eastAsia="zh-CN"/>
            </w:rPr>
            <w:t>第五部分 附表</w:t>
          </w:r>
          <w:r>
            <w:rPr>
              <w:rFonts w:hint="eastAsia" w:ascii="Times New Roman" w:hAnsi="Times New Roman" w:eastAsia="黑体" w:cs="黑体"/>
              <w:color w:val="auto"/>
              <w:sz w:val="32"/>
              <w:szCs w:val="32"/>
              <w:highlight w:val="none"/>
              <w:lang w:val="en-US" w:eastAsia="zh-CN"/>
            </w:rPr>
            <w:tab/>
          </w:r>
          <w:r>
            <w:rPr>
              <w:rFonts w:hint="eastAsia" w:ascii="Times New Roman" w:hAnsi="Times New Roman" w:eastAsia="黑体" w:cs="黑体"/>
              <w:color w:val="auto"/>
              <w:sz w:val="32"/>
              <w:szCs w:val="32"/>
              <w:highlight w:val="none"/>
              <w:lang w:val="en-US" w:eastAsia="zh-CN"/>
            </w:rPr>
            <w:fldChar w:fldCharType="begin"/>
          </w:r>
          <w:r>
            <w:rPr>
              <w:rFonts w:hint="eastAsia" w:ascii="Times New Roman" w:hAnsi="Times New Roman" w:eastAsia="黑体" w:cs="黑体"/>
              <w:color w:val="auto"/>
              <w:sz w:val="32"/>
              <w:szCs w:val="32"/>
              <w:highlight w:val="none"/>
              <w:lang w:val="en-US" w:eastAsia="zh-CN"/>
            </w:rPr>
            <w:instrText xml:space="preserve"> PAGEREF _Toc27359 \h </w:instrText>
          </w:r>
          <w:r>
            <w:rPr>
              <w:rFonts w:hint="eastAsia" w:ascii="Times New Roman" w:hAnsi="Times New Roman" w:eastAsia="黑体" w:cs="黑体"/>
              <w:color w:val="auto"/>
              <w:sz w:val="32"/>
              <w:szCs w:val="32"/>
              <w:highlight w:val="none"/>
              <w:lang w:val="en-US" w:eastAsia="zh-CN"/>
            </w:rPr>
            <w:fldChar w:fldCharType="separate"/>
          </w:r>
          <w:r>
            <w:rPr>
              <w:rFonts w:hint="eastAsia" w:ascii="Times New Roman" w:hAnsi="Times New Roman" w:eastAsia="黑体" w:cs="黑体"/>
              <w:color w:val="auto"/>
              <w:sz w:val="32"/>
              <w:szCs w:val="32"/>
              <w:highlight w:val="none"/>
              <w:lang w:val="en-US" w:eastAsia="zh-CN"/>
            </w:rPr>
            <w:t>15</w:t>
          </w:r>
          <w:r>
            <w:rPr>
              <w:rFonts w:hint="eastAsia" w:ascii="Times New Roman" w:hAnsi="Times New Roman" w:eastAsia="黑体" w:cs="黑体"/>
              <w:color w:val="auto"/>
              <w:sz w:val="32"/>
              <w:szCs w:val="32"/>
              <w:highlight w:val="none"/>
              <w:lang w:val="en-US" w:eastAsia="zh-CN"/>
            </w:rPr>
            <w:fldChar w:fldCharType="end"/>
          </w:r>
          <w:r>
            <w:rPr>
              <w:rFonts w:hint="eastAsia" w:ascii="Times New Roman" w:hAnsi="Times New Roman" w:eastAsia="黑体" w:cs="黑体"/>
              <w:color w:val="auto"/>
              <w:sz w:val="32"/>
              <w:szCs w:val="32"/>
              <w:highlight w:val="none"/>
              <w:lang w:val="en-US" w:eastAsia="zh-CN"/>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_Toc10291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color w:val="auto"/>
              <w:sz w:val="32"/>
              <w:szCs w:val="32"/>
            </w:rPr>
            <w:t>一、收</w:t>
          </w:r>
          <w:r>
            <w:rPr>
              <w:rFonts w:hint="eastAsia" w:ascii="仿宋_GB2312" w:hAnsi="仿宋_GB2312" w:eastAsia="仿宋_GB2312" w:cs="仿宋_GB2312"/>
              <w:bCs w:val="0"/>
              <w:color w:val="auto"/>
              <w:sz w:val="32"/>
              <w:szCs w:val="32"/>
            </w:rPr>
            <w:t>入支出决算总表</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_Toc10291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15</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_Toc8481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color w:val="auto"/>
              <w:sz w:val="32"/>
              <w:szCs w:val="32"/>
            </w:rPr>
            <w:t>二、收</w:t>
          </w:r>
          <w:r>
            <w:rPr>
              <w:rFonts w:hint="eastAsia" w:ascii="仿宋_GB2312" w:hAnsi="仿宋_GB2312" w:eastAsia="仿宋_GB2312" w:cs="仿宋_GB2312"/>
              <w:bCs w:val="0"/>
              <w:color w:val="auto"/>
              <w:sz w:val="32"/>
              <w:szCs w:val="32"/>
            </w:rPr>
            <w:t>入决算表</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_Toc8481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15</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_Toc14666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bCs w:val="0"/>
              <w:color w:val="auto"/>
              <w:sz w:val="32"/>
              <w:szCs w:val="32"/>
            </w:rPr>
            <w:t>三、</w:t>
          </w:r>
          <w:r>
            <w:rPr>
              <w:rFonts w:hint="eastAsia" w:ascii="仿宋_GB2312" w:hAnsi="仿宋_GB2312" w:eastAsia="仿宋_GB2312" w:cs="仿宋_GB2312"/>
              <w:color w:val="auto"/>
              <w:sz w:val="32"/>
              <w:szCs w:val="32"/>
            </w:rPr>
            <w:t>支</w:t>
          </w:r>
          <w:r>
            <w:rPr>
              <w:rFonts w:hint="eastAsia" w:ascii="仿宋_GB2312" w:hAnsi="仿宋_GB2312" w:eastAsia="仿宋_GB2312" w:cs="仿宋_GB2312"/>
              <w:bCs w:val="0"/>
              <w:color w:val="auto"/>
              <w:sz w:val="32"/>
              <w:szCs w:val="32"/>
            </w:rPr>
            <w:t>出决算表</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_Toc14666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15</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_Toc26340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bCs w:val="0"/>
              <w:color w:val="auto"/>
              <w:sz w:val="32"/>
              <w:szCs w:val="32"/>
            </w:rPr>
            <w:t>四、</w:t>
          </w:r>
          <w:r>
            <w:rPr>
              <w:rFonts w:hint="eastAsia" w:ascii="仿宋_GB2312" w:hAnsi="仿宋_GB2312" w:eastAsia="仿宋_GB2312" w:cs="仿宋_GB2312"/>
              <w:color w:val="auto"/>
              <w:sz w:val="32"/>
              <w:szCs w:val="32"/>
            </w:rPr>
            <w:t>财</w:t>
          </w:r>
          <w:r>
            <w:rPr>
              <w:rFonts w:hint="eastAsia" w:ascii="仿宋_GB2312" w:hAnsi="仿宋_GB2312" w:eastAsia="仿宋_GB2312" w:cs="仿宋_GB2312"/>
              <w:bCs w:val="0"/>
              <w:color w:val="auto"/>
              <w:sz w:val="32"/>
              <w:szCs w:val="32"/>
            </w:rPr>
            <w:t>政拨款收入支出决算总表</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_Toc26340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15</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_Toc16129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bCs w:val="0"/>
              <w:color w:val="auto"/>
              <w:sz w:val="32"/>
              <w:szCs w:val="32"/>
            </w:rPr>
            <w:t>五、</w:t>
          </w:r>
          <w:r>
            <w:rPr>
              <w:rFonts w:hint="eastAsia" w:ascii="仿宋_GB2312" w:hAnsi="仿宋_GB2312" w:eastAsia="仿宋_GB2312" w:cs="仿宋_GB2312"/>
              <w:color w:val="auto"/>
              <w:sz w:val="32"/>
              <w:szCs w:val="32"/>
            </w:rPr>
            <w:t>财</w:t>
          </w:r>
          <w:r>
            <w:rPr>
              <w:rFonts w:hint="eastAsia" w:ascii="仿宋_GB2312" w:hAnsi="仿宋_GB2312" w:eastAsia="仿宋_GB2312" w:cs="仿宋_GB2312"/>
              <w:bCs w:val="0"/>
              <w:color w:val="auto"/>
              <w:sz w:val="32"/>
              <w:szCs w:val="32"/>
            </w:rPr>
            <w:t>政拨款支出决算明细表</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_Toc16129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15</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_Toc2651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bCs w:val="0"/>
              <w:color w:val="auto"/>
              <w:sz w:val="32"/>
              <w:szCs w:val="32"/>
            </w:rPr>
            <w:t>六、</w:t>
          </w:r>
          <w:r>
            <w:rPr>
              <w:rFonts w:hint="eastAsia" w:ascii="仿宋_GB2312" w:hAnsi="仿宋_GB2312" w:eastAsia="仿宋_GB2312" w:cs="仿宋_GB2312"/>
              <w:color w:val="auto"/>
              <w:sz w:val="32"/>
              <w:szCs w:val="32"/>
            </w:rPr>
            <w:t>一</w:t>
          </w:r>
          <w:r>
            <w:rPr>
              <w:rFonts w:hint="eastAsia" w:ascii="仿宋_GB2312" w:hAnsi="仿宋_GB2312" w:eastAsia="仿宋_GB2312" w:cs="仿宋_GB2312"/>
              <w:bCs w:val="0"/>
              <w:color w:val="auto"/>
              <w:sz w:val="32"/>
              <w:szCs w:val="32"/>
            </w:rPr>
            <w:t>般公共预算财政拨款支出决算表</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_Toc2651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15</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_Toc2542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bCs w:val="0"/>
              <w:color w:val="auto"/>
              <w:sz w:val="32"/>
              <w:szCs w:val="32"/>
            </w:rPr>
            <w:t>七、</w:t>
          </w:r>
          <w:r>
            <w:rPr>
              <w:rFonts w:hint="eastAsia" w:ascii="仿宋_GB2312" w:hAnsi="仿宋_GB2312" w:eastAsia="仿宋_GB2312" w:cs="仿宋_GB2312"/>
              <w:color w:val="auto"/>
              <w:sz w:val="32"/>
              <w:szCs w:val="32"/>
            </w:rPr>
            <w:t>一</w:t>
          </w:r>
          <w:r>
            <w:rPr>
              <w:rFonts w:hint="eastAsia" w:ascii="仿宋_GB2312" w:hAnsi="仿宋_GB2312" w:eastAsia="仿宋_GB2312" w:cs="仿宋_GB2312"/>
              <w:bCs w:val="0"/>
              <w:color w:val="auto"/>
              <w:sz w:val="32"/>
              <w:szCs w:val="32"/>
            </w:rPr>
            <w:t>般公共预算财政拨款支出决算明细表</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_Toc2542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15</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_Toc4159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bCs w:val="0"/>
              <w:color w:val="auto"/>
              <w:sz w:val="32"/>
              <w:szCs w:val="32"/>
            </w:rPr>
            <w:t>八、</w:t>
          </w:r>
          <w:r>
            <w:rPr>
              <w:rFonts w:hint="eastAsia" w:ascii="仿宋_GB2312" w:hAnsi="仿宋_GB2312" w:eastAsia="仿宋_GB2312" w:cs="仿宋_GB2312"/>
              <w:color w:val="auto"/>
              <w:sz w:val="32"/>
              <w:szCs w:val="32"/>
            </w:rPr>
            <w:t>一</w:t>
          </w:r>
          <w:r>
            <w:rPr>
              <w:rFonts w:hint="eastAsia" w:ascii="仿宋_GB2312" w:hAnsi="仿宋_GB2312" w:eastAsia="仿宋_GB2312" w:cs="仿宋_GB2312"/>
              <w:bCs w:val="0"/>
              <w:color w:val="auto"/>
              <w:sz w:val="32"/>
              <w:szCs w:val="32"/>
            </w:rPr>
            <w:t>般公共预算财政拨款基本支出决算表</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_Toc4159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15</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_Toc12380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bCs w:val="0"/>
              <w:color w:val="auto"/>
              <w:sz w:val="32"/>
              <w:szCs w:val="32"/>
            </w:rPr>
            <w:t>九、</w:t>
          </w:r>
          <w:r>
            <w:rPr>
              <w:rFonts w:hint="eastAsia" w:ascii="仿宋_GB2312" w:hAnsi="仿宋_GB2312" w:eastAsia="仿宋_GB2312" w:cs="仿宋_GB2312"/>
              <w:color w:val="auto"/>
              <w:sz w:val="32"/>
              <w:szCs w:val="32"/>
            </w:rPr>
            <w:t>一</w:t>
          </w:r>
          <w:r>
            <w:rPr>
              <w:rFonts w:hint="eastAsia" w:ascii="仿宋_GB2312" w:hAnsi="仿宋_GB2312" w:eastAsia="仿宋_GB2312" w:cs="仿宋_GB2312"/>
              <w:bCs w:val="0"/>
              <w:color w:val="auto"/>
              <w:sz w:val="32"/>
              <w:szCs w:val="32"/>
            </w:rPr>
            <w:t>般公共预算财政拨款项目支出决算表</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_Toc12380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15</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_Toc12359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bCs w:val="0"/>
              <w:color w:val="auto"/>
              <w:sz w:val="32"/>
              <w:szCs w:val="32"/>
            </w:rPr>
            <w:t>十、</w:t>
          </w:r>
          <w:r>
            <w:rPr>
              <w:rFonts w:hint="eastAsia" w:ascii="仿宋_GB2312" w:hAnsi="仿宋_GB2312" w:eastAsia="仿宋_GB2312" w:cs="仿宋_GB2312"/>
              <w:color w:val="auto"/>
              <w:sz w:val="32"/>
              <w:szCs w:val="32"/>
            </w:rPr>
            <w:t>政</w:t>
          </w:r>
          <w:r>
            <w:rPr>
              <w:rFonts w:hint="eastAsia" w:ascii="仿宋_GB2312" w:hAnsi="仿宋_GB2312" w:eastAsia="仿宋_GB2312" w:cs="仿宋_GB2312"/>
              <w:bCs w:val="0"/>
              <w:color w:val="auto"/>
              <w:sz w:val="32"/>
              <w:szCs w:val="32"/>
            </w:rPr>
            <w:t>府性基金预算财政拨款收入支出决算表</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_Toc12359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15</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_Toc25460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bCs w:val="0"/>
              <w:color w:val="auto"/>
              <w:sz w:val="32"/>
              <w:szCs w:val="32"/>
            </w:rPr>
            <w:t>十一、</w:t>
          </w:r>
          <w:r>
            <w:rPr>
              <w:rFonts w:hint="eastAsia" w:ascii="仿宋_GB2312" w:hAnsi="仿宋_GB2312" w:eastAsia="仿宋_GB2312" w:cs="仿宋_GB2312"/>
              <w:color w:val="auto"/>
              <w:sz w:val="32"/>
              <w:szCs w:val="32"/>
            </w:rPr>
            <w:t>国</w:t>
          </w:r>
          <w:r>
            <w:rPr>
              <w:rFonts w:hint="eastAsia" w:ascii="仿宋_GB2312" w:hAnsi="仿宋_GB2312" w:eastAsia="仿宋_GB2312" w:cs="仿宋_GB2312"/>
              <w:bCs w:val="0"/>
              <w:color w:val="auto"/>
              <w:sz w:val="32"/>
              <w:szCs w:val="32"/>
            </w:rPr>
            <w:t>有资本经营预算财政拨款收入支出决算表</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_Toc25460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15</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_Toc30231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bCs w:val="0"/>
              <w:color w:val="auto"/>
              <w:sz w:val="32"/>
              <w:szCs w:val="32"/>
            </w:rPr>
            <w:t>十二、国有资本经营预算财政拨款支出决算表</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_Toc30231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15</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35"/>
            <w:tabs>
              <w:tab w:val="right" w:leader="dot" w:pos="8306"/>
            </w:tabs>
            <w:ind w:firstLine="320" w:firstLineChars="1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fldChar w:fldCharType="begin"/>
          </w:r>
          <w:r>
            <w:rPr>
              <w:rFonts w:hint="eastAsia" w:ascii="仿宋_GB2312" w:hAnsi="仿宋_GB2312" w:eastAsia="仿宋_GB2312" w:cs="仿宋_GB2312"/>
              <w:color w:val="auto"/>
              <w:kern w:val="0"/>
              <w:sz w:val="32"/>
              <w:szCs w:val="32"/>
              <w:lang w:val="en-US" w:eastAsia="zh-CN" w:bidi="ar-SA"/>
            </w:rPr>
            <w:instrText xml:space="preserve"> HYPERLINK \l _Toc10973 </w:instrText>
          </w:r>
          <w:r>
            <w:rPr>
              <w:rFonts w:hint="eastAsia" w:ascii="仿宋_GB2312" w:hAnsi="仿宋_GB2312" w:eastAsia="仿宋_GB2312" w:cs="仿宋_GB2312"/>
              <w:color w:val="auto"/>
              <w:kern w:val="0"/>
              <w:sz w:val="32"/>
              <w:szCs w:val="32"/>
              <w:lang w:val="en-US" w:eastAsia="zh-CN" w:bidi="ar-SA"/>
            </w:rPr>
            <w:fldChar w:fldCharType="separate"/>
          </w:r>
          <w:r>
            <w:rPr>
              <w:rFonts w:hint="eastAsia" w:ascii="仿宋_GB2312" w:hAnsi="仿宋_GB2312" w:eastAsia="仿宋_GB2312" w:cs="仿宋_GB2312"/>
              <w:bCs w:val="0"/>
              <w:color w:val="auto"/>
              <w:sz w:val="32"/>
              <w:szCs w:val="32"/>
            </w:rPr>
            <w:t>十三、财政拨款“三公”经费支出决算表</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_Toc10973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15</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kern w:val="0"/>
              <w:sz w:val="32"/>
              <w:szCs w:val="32"/>
              <w:lang w:val="en-US" w:eastAsia="zh-CN" w:bidi="ar-SA"/>
            </w:rPr>
            <w:fldChar w:fldCharType="end"/>
          </w:r>
        </w:p>
        <w:p>
          <w:pPr>
            <w:pStyle w:val="8"/>
            <w:rPr>
              <w:rFonts w:ascii="仿宋_GB2312" w:hAnsi="Times New Roman" w:eastAsia="仿宋_GB2312" w:cs="Times New Roman"/>
              <w:b/>
              <w:color w:val="auto"/>
              <w:kern w:val="0"/>
              <w:sz w:val="32"/>
              <w:szCs w:val="32"/>
              <w:lang w:val="en-US" w:eastAsia="zh-CN" w:bidi="ar-SA"/>
            </w:rPr>
          </w:pPr>
          <w:r>
            <w:rPr>
              <w:rFonts w:hint="eastAsia" w:ascii="仿宋_GB2312" w:hAnsi="仿宋_GB2312" w:eastAsia="仿宋_GB2312" w:cs="仿宋_GB2312"/>
              <w:b/>
              <w:color w:val="auto"/>
              <w:kern w:val="0"/>
              <w:sz w:val="32"/>
              <w:szCs w:val="32"/>
              <w:lang w:val="en-US" w:eastAsia="zh-CN" w:bidi="ar-SA"/>
            </w:rPr>
            <w:fldChar w:fldCharType="end"/>
          </w:r>
        </w:p>
      </w:sdtContent>
    </w:sdt>
    <w:p>
      <w:pPr>
        <w:pStyle w:val="8"/>
        <w:rPr>
          <w:rFonts w:ascii="仿宋_GB2312" w:hAnsi="Times New Roman" w:eastAsia="仿宋_GB2312" w:cs="Times New Roman"/>
          <w:b/>
          <w:color w:val="auto"/>
          <w:kern w:val="0"/>
          <w:sz w:val="30"/>
          <w:szCs w:val="24"/>
          <w:lang w:val="en-US" w:eastAsia="zh-CN" w:bidi="ar-SA"/>
        </w:rPr>
      </w:pPr>
    </w:p>
    <w:p>
      <w:pPr>
        <w:widowControl/>
        <w:spacing w:line="440" w:lineRule="exact"/>
        <w:jc w:val="left"/>
        <w:rPr>
          <w:rFonts w:ascii="仿宋" w:hAnsi="仿宋" w:eastAsia="仿宋"/>
          <w:bCs/>
          <w:color w:val="auto"/>
          <w:kern w:val="44"/>
          <w:sz w:val="24"/>
        </w:rPr>
      </w:pPr>
      <w:bookmarkStart w:id="14" w:name="_Toc15377196"/>
      <w:bookmarkStart w:id="15" w:name="_Toc15396599"/>
      <w:r>
        <w:rPr>
          <w:rFonts w:ascii="仿宋" w:hAnsi="仿宋" w:eastAsia="仿宋"/>
          <w:b/>
          <w:color w:val="auto"/>
          <w:sz w:val="24"/>
        </w:rPr>
        <w:br w:type="page"/>
      </w:r>
    </w:p>
    <w:p>
      <w:pPr>
        <w:pStyle w:val="5"/>
        <w:jc w:val="center"/>
        <w:rPr>
          <w:rStyle w:val="28"/>
          <w:rFonts w:ascii="黑体" w:hAnsi="黑体" w:eastAsia="黑体"/>
          <w:b/>
          <w:bCs w:val="0"/>
          <w:color w:val="auto"/>
        </w:rPr>
      </w:pPr>
      <w:bookmarkStart w:id="16" w:name="_Toc6541"/>
      <w:r>
        <w:rPr>
          <w:rFonts w:hint="eastAsia" w:ascii="黑体" w:hAnsi="黑体" w:eastAsia="黑体"/>
          <w:b w:val="0"/>
          <w:color w:val="auto"/>
        </w:rPr>
        <w:t>第一部分 单位</w:t>
      </w:r>
      <w:r>
        <w:rPr>
          <w:rStyle w:val="28"/>
          <w:rFonts w:hint="eastAsia" w:ascii="黑体" w:hAnsi="黑体" w:eastAsia="黑体"/>
          <w:b w:val="0"/>
          <w:bCs w:val="0"/>
          <w:color w:val="auto"/>
        </w:rPr>
        <w:t>概况</w:t>
      </w:r>
      <w:bookmarkEnd w:id="14"/>
      <w:bookmarkEnd w:id="15"/>
      <w:bookmarkEnd w:id="16"/>
    </w:p>
    <w:p>
      <w:pPr>
        <w:widowControl/>
        <w:jc w:val="left"/>
        <w:rPr>
          <w:rFonts w:ascii="黑体" w:eastAsia="黑体"/>
          <w:color w:val="auto"/>
          <w:sz w:val="32"/>
          <w:szCs w:val="32"/>
        </w:rPr>
      </w:pPr>
    </w:p>
    <w:p>
      <w:pPr>
        <w:pStyle w:val="6"/>
        <w:numPr>
          <w:ilvl w:val="0"/>
          <w:numId w:val="1"/>
        </w:numPr>
        <w:rPr>
          <w:rStyle w:val="29"/>
          <w:rFonts w:ascii="黑体" w:hAnsi="黑体" w:eastAsia="黑体"/>
          <w:b w:val="0"/>
          <w:bCs w:val="0"/>
          <w:color w:val="auto"/>
        </w:rPr>
      </w:pPr>
      <w:bookmarkStart w:id="17" w:name="_Toc18180"/>
      <w:bookmarkStart w:id="18" w:name="_Toc15396600"/>
      <w:bookmarkStart w:id="19" w:name="_Toc15377197"/>
      <w:r>
        <w:rPr>
          <w:rStyle w:val="29"/>
          <w:rFonts w:hint="eastAsia" w:ascii="黑体" w:hAnsi="黑体" w:eastAsia="黑体"/>
          <w:b w:val="0"/>
          <w:bCs w:val="0"/>
          <w:color w:val="auto"/>
        </w:rPr>
        <w:t>主要职责</w:t>
      </w:r>
      <w:bookmarkEnd w:id="17"/>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jc w:val="both"/>
        <w:rPr>
          <w:rFonts w:hint="eastAsia" w:ascii="黑体" w:hAnsi="黑体" w:eastAsia="黑体"/>
          <w:b w:val="0"/>
          <w:color w:val="auto"/>
        </w:rPr>
      </w:pPr>
      <w:r>
        <w:rPr>
          <w:rFonts w:hint="eastAsia" w:ascii="仿宋_GB2312" w:hAnsi="仿宋_GB2312" w:eastAsia="仿宋_GB2312" w:cs="仿宋_GB2312"/>
          <w:i w:val="0"/>
          <w:iCs w:val="0"/>
          <w:caps w:val="0"/>
          <w:color w:val="auto"/>
          <w:spacing w:val="0"/>
          <w:kern w:val="0"/>
          <w:sz w:val="32"/>
          <w:szCs w:val="32"/>
          <w:lang w:val="en-US" w:eastAsia="zh-CN" w:bidi="ar"/>
        </w:rPr>
        <w:t>四川省有色冶金研究院有限公司（简称“研究院”）原名四川省有色冶金研究所、四川省有色冶金研究院，成立于1960年，隶属原四川省冶金厅管理，1984年上划中国有色金属工业总公司管理，2007年直属省国资委管理。1999年根据国科发[1999]143号《关于国家经贸委管理的10个国家局所属科研机构管理体制改革的实施意见》文件精神，研究院由科研事业型单位转制为科技型企业，原有的正常事业费继续拨付，主要用于解决转制前离退休人员的社会保障问题，这部份事业费由四川省经济和信息化厅代管。</w:t>
      </w:r>
    </w:p>
    <w:p>
      <w:pPr>
        <w:pStyle w:val="6"/>
        <w:rPr>
          <w:rFonts w:ascii="黑体" w:hAnsi="黑体" w:eastAsia="黑体"/>
          <w:b w:val="0"/>
          <w:color w:val="auto"/>
        </w:rPr>
      </w:pPr>
      <w:bookmarkStart w:id="20" w:name="_Toc20039"/>
      <w:r>
        <w:rPr>
          <w:rFonts w:hint="eastAsia" w:ascii="黑体" w:hAnsi="黑体" w:eastAsia="黑体"/>
          <w:b w:val="0"/>
          <w:color w:val="auto"/>
        </w:rPr>
        <w:t>二、机构设置</w:t>
      </w:r>
      <w:bookmarkEnd w:id="20"/>
    </w:p>
    <w:bookmarkEnd w:id="18"/>
    <w:bookmarkEnd w:id="19"/>
    <w:p>
      <w:pPr>
        <w:widowControl/>
        <w:ind w:firstLine="640" w:firstLineChars="200"/>
        <w:jc w:val="left"/>
        <w:rPr>
          <w:rFonts w:ascii="仿宋" w:hAnsi="仿宋" w:eastAsia="仿宋"/>
          <w:color w:val="auto"/>
          <w:kern w:val="0"/>
          <w:sz w:val="32"/>
          <w:szCs w:val="32"/>
        </w:rPr>
      </w:pPr>
      <w:r>
        <w:rPr>
          <w:rFonts w:hint="eastAsia" w:ascii="仿宋_GB2312" w:hAnsi="仿宋" w:eastAsia="仿宋_GB2312"/>
          <w:color w:val="auto"/>
          <w:sz w:val="32"/>
          <w:szCs w:val="32"/>
          <w:lang w:val="en-US" w:eastAsia="zh-CN"/>
        </w:rPr>
        <w:t>我公司的上级单位四川省有色科技集团有限责任公司党群工作部主要负责转制前后离退休人员的管理工作。我公司主要负责代收代发离退休人员的财政拨款。</w:t>
      </w:r>
      <w:r>
        <w:rPr>
          <w:rFonts w:ascii="仿宋" w:hAnsi="仿宋" w:eastAsia="仿宋"/>
          <w:color w:val="auto"/>
          <w:sz w:val="32"/>
          <w:szCs w:val="32"/>
        </w:rPr>
        <w:br w:type="page"/>
      </w:r>
    </w:p>
    <w:p>
      <w:pPr>
        <w:pStyle w:val="5"/>
        <w:ind w:right="440"/>
        <w:jc w:val="center"/>
        <w:rPr>
          <w:rStyle w:val="28"/>
          <w:rFonts w:ascii="黑体" w:hAnsi="黑体" w:eastAsia="黑体"/>
          <w:b w:val="0"/>
          <w:bCs/>
          <w:color w:val="auto"/>
        </w:rPr>
      </w:pPr>
      <w:bookmarkStart w:id="21" w:name="_Toc15396602"/>
      <w:bookmarkStart w:id="22" w:name="_Toc15377204"/>
      <w:bookmarkStart w:id="23" w:name="_Toc13946"/>
      <w:r>
        <w:rPr>
          <w:rFonts w:hint="eastAsia" w:ascii="黑体" w:hAnsi="黑体" w:eastAsia="黑体"/>
          <w:b w:val="0"/>
          <w:color w:val="auto"/>
        </w:rPr>
        <w:t>第二部分 202</w:t>
      </w:r>
      <w:r>
        <w:rPr>
          <w:rFonts w:hint="eastAsia" w:ascii="黑体" w:hAnsi="黑体" w:eastAsia="黑体"/>
          <w:b w:val="0"/>
          <w:color w:val="auto"/>
          <w:lang w:val="en-US" w:eastAsia="zh-CN"/>
        </w:rPr>
        <w:t>4</w:t>
      </w:r>
      <w:r>
        <w:rPr>
          <w:rFonts w:hint="eastAsia" w:ascii="黑体" w:hAnsi="黑体" w:eastAsia="黑体"/>
          <w:b w:val="0"/>
          <w:color w:val="auto"/>
        </w:rPr>
        <w:t>年度</w:t>
      </w:r>
      <w:r>
        <w:rPr>
          <w:rStyle w:val="28"/>
          <w:rFonts w:hint="eastAsia" w:ascii="黑体" w:hAnsi="黑体" w:eastAsia="黑体"/>
          <w:b w:val="0"/>
          <w:bCs/>
          <w:color w:val="auto"/>
        </w:rPr>
        <w:t>单位决算情况说明</w:t>
      </w:r>
      <w:bookmarkEnd w:id="21"/>
      <w:bookmarkEnd w:id="22"/>
      <w:bookmarkEnd w:id="23"/>
    </w:p>
    <w:p>
      <w:pPr>
        <w:rPr>
          <w:color w:val="auto"/>
        </w:rPr>
      </w:pPr>
    </w:p>
    <w:p>
      <w:pPr>
        <w:pStyle w:val="27"/>
        <w:numPr>
          <w:ilvl w:val="0"/>
          <w:numId w:val="2"/>
        </w:numPr>
        <w:spacing w:line="600" w:lineRule="exact"/>
        <w:ind w:firstLineChars="0"/>
        <w:outlineLvl w:val="1"/>
        <w:rPr>
          <w:rStyle w:val="29"/>
          <w:rFonts w:ascii="黑体" w:hAnsi="黑体" w:eastAsia="黑体"/>
          <w:b w:val="0"/>
          <w:color w:val="auto"/>
        </w:rPr>
      </w:pPr>
      <w:bookmarkStart w:id="24" w:name="_Toc15396603"/>
      <w:bookmarkStart w:id="25" w:name="_Toc15377205"/>
      <w:bookmarkStart w:id="26" w:name="_Toc15645"/>
      <w:r>
        <w:rPr>
          <w:rFonts w:hint="eastAsia" w:ascii="黑体" w:hAnsi="黑体" w:eastAsia="黑体"/>
          <w:color w:val="auto"/>
          <w:sz w:val="32"/>
          <w:szCs w:val="32"/>
        </w:rPr>
        <w:t>收</w:t>
      </w:r>
      <w:r>
        <w:rPr>
          <w:rStyle w:val="29"/>
          <w:rFonts w:hint="eastAsia" w:ascii="黑体" w:hAnsi="黑体" w:eastAsia="黑体"/>
          <w:b w:val="0"/>
          <w:color w:val="auto"/>
        </w:rPr>
        <w:t>入支出决算总体情况说明</w:t>
      </w:r>
      <w:bookmarkEnd w:id="24"/>
      <w:bookmarkEnd w:id="25"/>
      <w:bookmarkEnd w:id="26"/>
    </w:p>
    <w:p>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val="0"/>
          <w:bCs w:val="0"/>
          <w:color w:val="auto"/>
          <w:sz w:val="32"/>
          <w:szCs w:val="32"/>
        </w:rPr>
        <w:t>202</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年度收、支总计均为</w:t>
      </w:r>
      <w:r>
        <w:rPr>
          <w:rFonts w:hint="eastAsia" w:ascii="仿宋_GB2312" w:hAnsi="仿宋_GB2312" w:eastAsia="仿宋_GB2312" w:cs="仿宋_GB2312"/>
          <w:b w:val="0"/>
          <w:bCs w:val="0"/>
          <w:color w:val="auto"/>
          <w:sz w:val="32"/>
          <w:szCs w:val="32"/>
          <w:lang w:val="en-US" w:eastAsia="zh-CN"/>
        </w:rPr>
        <w:t>290.68</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与202</w:t>
      </w: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年度相比，收</w:t>
      </w:r>
      <w:r>
        <w:rPr>
          <w:rFonts w:hint="eastAsia" w:ascii="仿宋_GB2312" w:hAnsi="仿宋_GB2312" w:eastAsia="仿宋_GB2312" w:cs="仿宋_GB2312"/>
          <w:b w:val="0"/>
          <w:bCs w:val="0"/>
          <w:color w:val="auto"/>
          <w:sz w:val="32"/>
          <w:szCs w:val="32"/>
          <w:lang w:eastAsia="zh-CN"/>
        </w:rPr>
        <w:t>入总计减少</w:t>
      </w:r>
      <w:r>
        <w:rPr>
          <w:rFonts w:hint="eastAsia" w:ascii="仿宋_GB2312" w:hAnsi="仿宋_GB2312" w:eastAsia="仿宋_GB2312" w:cs="仿宋_GB2312"/>
          <w:b w:val="0"/>
          <w:bCs w:val="0"/>
          <w:color w:val="auto"/>
          <w:sz w:val="32"/>
          <w:szCs w:val="32"/>
          <w:lang w:val="en-US" w:eastAsia="zh-CN"/>
        </w:rPr>
        <w:t>95.52万元，</w:t>
      </w:r>
      <w:r>
        <w:rPr>
          <w:rFonts w:hint="eastAsia" w:ascii="仿宋_GB2312" w:hAnsi="仿宋_GB2312" w:eastAsia="仿宋_GB2312" w:cs="仿宋_GB2312"/>
          <w:b w:val="0"/>
          <w:bCs w:val="0"/>
          <w:color w:val="auto"/>
          <w:sz w:val="32"/>
          <w:szCs w:val="32"/>
        </w:rPr>
        <w:t>支</w:t>
      </w:r>
      <w:r>
        <w:rPr>
          <w:rFonts w:hint="eastAsia" w:ascii="仿宋_GB2312" w:hAnsi="仿宋_GB2312" w:eastAsia="仿宋_GB2312" w:cs="仿宋_GB2312"/>
          <w:b w:val="0"/>
          <w:bCs w:val="0"/>
          <w:color w:val="auto"/>
          <w:sz w:val="32"/>
          <w:szCs w:val="32"/>
          <w:lang w:eastAsia="zh-CN"/>
        </w:rPr>
        <w:t>出</w:t>
      </w:r>
      <w:r>
        <w:rPr>
          <w:rFonts w:hint="eastAsia" w:ascii="仿宋_GB2312" w:hAnsi="仿宋_GB2312" w:eastAsia="仿宋_GB2312" w:cs="仿宋_GB2312"/>
          <w:b w:val="0"/>
          <w:bCs w:val="0"/>
          <w:color w:val="auto"/>
          <w:sz w:val="32"/>
          <w:szCs w:val="32"/>
        </w:rPr>
        <w:t>总计</w:t>
      </w:r>
      <w:r>
        <w:rPr>
          <w:rFonts w:hint="eastAsia" w:ascii="仿宋_GB2312" w:hAnsi="仿宋_GB2312" w:eastAsia="仿宋_GB2312" w:cs="仿宋_GB2312"/>
          <w:b w:val="0"/>
          <w:bCs w:val="0"/>
          <w:color w:val="auto"/>
          <w:sz w:val="32"/>
          <w:szCs w:val="32"/>
          <w:lang w:eastAsia="zh-CN"/>
        </w:rPr>
        <w:t>减少</w:t>
      </w:r>
      <w:r>
        <w:rPr>
          <w:rFonts w:hint="eastAsia" w:ascii="仿宋_GB2312" w:hAnsi="仿宋_GB2312" w:eastAsia="仿宋_GB2312" w:cs="仿宋_GB2312"/>
          <w:b w:val="0"/>
          <w:bCs w:val="0"/>
          <w:color w:val="auto"/>
          <w:sz w:val="32"/>
          <w:szCs w:val="32"/>
          <w:lang w:val="en-US" w:eastAsia="zh-CN"/>
        </w:rPr>
        <w:t>95.52</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各减少</w:t>
      </w:r>
      <w:r>
        <w:rPr>
          <w:rFonts w:hint="eastAsia" w:ascii="仿宋_GB2312" w:hAnsi="仿宋_GB2312" w:eastAsia="仿宋_GB2312" w:cs="仿宋_GB2312"/>
          <w:b w:val="0"/>
          <w:bCs w:val="0"/>
          <w:color w:val="auto"/>
          <w:sz w:val="32"/>
          <w:szCs w:val="32"/>
          <w:lang w:val="en-US" w:eastAsia="zh-CN"/>
        </w:rPr>
        <w:t>24.7</w:t>
      </w:r>
      <w:r>
        <w:rPr>
          <w:rFonts w:hint="eastAsia" w:ascii="仿宋_GB2312" w:hAnsi="仿宋_GB2312" w:eastAsia="仿宋_GB2312" w:cs="仿宋_GB2312"/>
          <w:b w:val="0"/>
          <w:bCs w:val="0"/>
          <w:color w:val="auto"/>
          <w:sz w:val="32"/>
          <w:szCs w:val="32"/>
        </w:rPr>
        <w:t>%。主要变动原因</w:t>
      </w:r>
      <w:r>
        <w:rPr>
          <w:rFonts w:hint="eastAsia" w:ascii="仿宋_GB2312" w:hAnsi="仿宋_GB2312" w:eastAsia="仿宋_GB2312" w:cs="仿宋_GB2312"/>
          <w:b w:val="0"/>
          <w:bCs w:val="0"/>
          <w:color w:val="auto"/>
          <w:sz w:val="32"/>
          <w:szCs w:val="32"/>
          <w:lang w:eastAsia="zh-CN"/>
        </w:rPr>
        <w:t>是</w:t>
      </w:r>
      <w:r>
        <w:rPr>
          <w:rFonts w:hint="eastAsia" w:ascii="仿宋_GB2312" w:hAnsi="仿宋_GB2312" w:eastAsia="仿宋_GB2312" w:cs="仿宋_GB2312"/>
          <w:b w:val="0"/>
          <w:bCs w:val="0"/>
          <w:color w:val="auto"/>
          <w:sz w:val="32"/>
          <w:szCs w:val="32"/>
          <w:lang w:val="en-US" w:eastAsia="zh-CN"/>
        </w:rPr>
        <w:t>2024年享受补助政策的离休人员总人数较2023年减少，申请的事业单位离休费对应减少</w:t>
      </w:r>
      <w:r>
        <w:rPr>
          <w:rFonts w:hint="eastAsia" w:ascii="仿宋_GB2312" w:hAnsi="仿宋_GB2312" w:eastAsia="仿宋_GB2312" w:cs="仿宋_GB2312"/>
          <w:color w:val="auto"/>
          <w:sz w:val="32"/>
          <w:szCs w:val="32"/>
          <w:lang w:val="en-US" w:eastAsia="zh-CN"/>
        </w:rPr>
        <w:t>，2024年申请的事业单位离休费244.01万元，较2023年的289.35万元，减少45.34万元；2024年去世的享受补助政策的离退休人员较2023年减少，申请的丧葬费对应减少，2024年申请的丧葬费46.67万元，较2023年的96.85万元，减少50.18万元</w:t>
      </w:r>
      <w:r>
        <w:rPr>
          <w:rFonts w:hint="eastAsia" w:ascii="仿宋_GB2312" w:hAnsi="仿宋_GB2312" w:eastAsia="仿宋_GB2312" w:cs="仿宋_GB2312"/>
          <w:color w:val="auto"/>
          <w:sz w:val="32"/>
          <w:szCs w:val="32"/>
        </w:rPr>
        <w:t>。</w:t>
      </w:r>
    </w:p>
    <w:p>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（图1：收、支决算总计变动情况图）（柱状图）</w:t>
      </w:r>
    </w:p>
    <w:p>
      <w:pPr>
        <w:pStyle w:val="2"/>
        <w:rPr>
          <w:rFonts w:hint="eastAsia"/>
        </w:rPr>
      </w:pPr>
    </w:p>
    <w:p>
      <w:pPr>
        <w:pStyle w:val="8"/>
        <w:rPr>
          <w:rFonts w:hint="eastAsia" w:ascii="仿宋" w:hAnsi="仿宋" w:eastAsia="仿宋"/>
          <w:color w:val="0000FF"/>
          <w:sz w:val="32"/>
          <w:szCs w:val="32"/>
          <w:lang w:eastAsia="zh-CN"/>
        </w:rPr>
      </w:pPr>
      <w:r>
        <w:rPr>
          <w:rFonts w:hint="eastAsia" w:ascii="仿宋" w:hAnsi="仿宋" w:eastAsia="仿宋"/>
          <w:color w:val="0000FF"/>
          <w:sz w:val="32"/>
          <w:szCs w:val="32"/>
          <w:lang w:eastAsia="zh-CN"/>
        </w:rPr>
        <w:drawing>
          <wp:inline distT="0" distB="0" distL="114300" distR="114300">
            <wp:extent cx="5256530" cy="2988310"/>
            <wp:effectExtent l="5080" t="4445" r="15240" b="1714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8"/>
        <w:rPr>
          <w:rFonts w:hint="eastAsia" w:ascii="仿宋" w:hAnsi="仿宋" w:eastAsia="仿宋"/>
          <w:color w:val="0000FF"/>
          <w:sz w:val="32"/>
          <w:szCs w:val="32"/>
          <w:lang w:eastAsia="zh-CN"/>
        </w:rPr>
      </w:pPr>
    </w:p>
    <w:p>
      <w:pPr>
        <w:pStyle w:val="8"/>
        <w:rPr>
          <w:rFonts w:hint="eastAsia" w:ascii="仿宋" w:hAnsi="仿宋" w:eastAsia="仿宋"/>
          <w:color w:val="0000FF"/>
          <w:sz w:val="32"/>
          <w:szCs w:val="32"/>
          <w:lang w:eastAsia="zh-CN"/>
        </w:rPr>
      </w:pPr>
    </w:p>
    <w:p>
      <w:pPr>
        <w:pStyle w:val="27"/>
        <w:numPr>
          <w:ilvl w:val="0"/>
          <w:numId w:val="2"/>
        </w:numPr>
        <w:spacing w:line="600" w:lineRule="exact"/>
        <w:ind w:firstLineChars="0"/>
        <w:outlineLvl w:val="1"/>
        <w:rPr>
          <w:rStyle w:val="29"/>
          <w:rFonts w:ascii="黑体" w:hAnsi="黑体" w:eastAsia="黑体"/>
          <w:b w:val="0"/>
          <w:color w:val="auto"/>
        </w:rPr>
      </w:pPr>
      <w:bookmarkStart w:id="27" w:name="_Toc15377206"/>
      <w:bookmarkStart w:id="28" w:name="_Toc15396604"/>
      <w:bookmarkStart w:id="29" w:name="_Toc32757"/>
      <w:r>
        <w:rPr>
          <w:rFonts w:hint="eastAsia" w:ascii="黑体" w:hAnsi="黑体" w:eastAsia="黑体"/>
          <w:color w:val="auto"/>
          <w:sz w:val="32"/>
          <w:szCs w:val="32"/>
        </w:rPr>
        <w:t>收</w:t>
      </w:r>
      <w:r>
        <w:rPr>
          <w:rStyle w:val="29"/>
          <w:rFonts w:hint="eastAsia" w:ascii="黑体" w:hAnsi="黑体" w:eastAsia="黑体"/>
          <w:b w:val="0"/>
          <w:color w:val="auto"/>
        </w:rPr>
        <w:t>入决算情况说明</w:t>
      </w:r>
      <w:bookmarkEnd w:id="27"/>
      <w:bookmarkEnd w:id="28"/>
      <w:bookmarkEnd w:id="29"/>
    </w:p>
    <w:p>
      <w:pPr>
        <w:spacing w:line="600" w:lineRule="exact"/>
        <w:ind w:firstLine="640" w:firstLineChars="200"/>
        <w:outlineLvl w:val="1"/>
        <w:rPr>
          <w:rFonts w:hint="eastAsia" w:ascii="仿宋_GB2312" w:hAnsi="仿宋_GB2312" w:eastAsia="仿宋_GB2312" w:cs="仿宋_GB2312"/>
          <w:b w:val="0"/>
          <w:bCs w:val="0"/>
          <w:color w:val="0000FF"/>
          <w:sz w:val="32"/>
          <w:szCs w:val="32"/>
        </w:rPr>
      </w:pPr>
      <w:bookmarkStart w:id="30" w:name="_Toc13786"/>
      <w:r>
        <w:rPr>
          <w:rFonts w:hint="eastAsia" w:ascii="仿宋_GB2312" w:hAnsi="仿宋_GB2312" w:eastAsia="仿宋_GB2312" w:cs="仿宋_GB2312"/>
          <w:b w:val="0"/>
          <w:bCs w:val="0"/>
          <w:color w:val="auto"/>
          <w:sz w:val="32"/>
          <w:szCs w:val="32"/>
        </w:rPr>
        <w:t>202</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年度本年收入合计</w:t>
      </w:r>
      <w:r>
        <w:rPr>
          <w:rFonts w:hint="eastAsia" w:ascii="仿宋_GB2312" w:hAnsi="仿宋_GB2312" w:eastAsia="仿宋_GB2312" w:cs="仿宋_GB2312"/>
          <w:b w:val="0"/>
          <w:bCs w:val="0"/>
          <w:color w:val="auto"/>
          <w:sz w:val="32"/>
          <w:szCs w:val="32"/>
          <w:lang w:val="en-US" w:eastAsia="zh-CN"/>
        </w:rPr>
        <w:t>290.68</w:t>
      </w:r>
      <w:r>
        <w:rPr>
          <w:rFonts w:hint="eastAsia" w:ascii="仿宋_GB2312" w:hAnsi="仿宋_GB2312" w:eastAsia="仿宋_GB2312" w:cs="仿宋_GB2312"/>
          <w:b w:val="0"/>
          <w:bCs w:val="0"/>
          <w:color w:val="auto"/>
          <w:sz w:val="32"/>
          <w:szCs w:val="32"/>
        </w:rPr>
        <w:t>万元，其中：一般公共预算财政拨款收入</w:t>
      </w:r>
      <w:r>
        <w:rPr>
          <w:rFonts w:hint="eastAsia" w:ascii="仿宋_GB2312" w:hAnsi="仿宋_GB2312" w:eastAsia="仿宋_GB2312" w:cs="仿宋_GB2312"/>
          <w:b w:val="0"/>
          <w:bCs w:val="0"/>
          <w:color w:val="auto"/>
          <w:sz w:val="32"/>
          <w:szCs w:val="32"/>
          <w:lang w:val="en-US" w:eastAsia="zh-CN"/>
        </w:rPr>
        <w:t>290.68</w:t>
      </w:r>
      <w:r>
        <w:rPr>
          <w:rFonts w:hint="eastAsia" w:ascii="仿宋_GB2312" w:hAnsi="仿宋_GB2312" w:eastAsia="仿宋_GB2312" w:cs="仿宋_GB2312"/>
          <w:b w:val="0"/>
          <w:bCs w:val="0"/>
          <w:color w:val="auto"/>
          <w:sz w:val="32"/>
          <w:szCs w:val="32"/>
        </w:rPr>
        <w:t>万元，占100%</w:t>
      </w:r>
      <w:bookmarkEnd w:id="30"/>
      <w:r>
        <w:rPr>
          <w:rFonts w:hint="eastAsia" w:ascii="仿宋_GB2312" w:hAnsi="仿宋_GB2312" w:eastAsia="仿宋_GB2312" w:cs="仿宋_GB2312"/>
          <w:b w:val="0"/>
          <w:bCs w:val="0"/>
          <w:color w:val="auto"/>
          <w:sz w:val="32"/>
          <w:szCs w:val="32"/>
          <w:lang w:eastAsia="zh-CN"/>
        </w:rPr>
        <w:t>。</w:t>
      </w:r>
    </w:p>
    <w:p>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（图2：收入决算结构图）（饼状图）</w:t>
      </w:r>
    </w:p>
    <w:p>
      <w:pPr>
        <w:pStyle w:val="2"/>
      </w:pPr>
    </w:p>
    <w:p>
      <w:pPr>
        <w:pStyle w:val="8"/>
        <w:rPr>
          <w:color w:val="0000FF"/>
        </w:rPr>
      </w:pPr>
      <w:r>
        <w:rPr>
          <w:color w:val="0000FF"/>
        </w:rPr>
        <w:drawing>
          <wp:inline distT="0" distB="0" distL="114300" distR="114300">
            <wp:extent cx="4826000" cy="2743200"/>
            <wp:effectExtent l="4445" t="4445" r="8255" b="1460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8"/>
        <w:rPr>
          <w:color w:val="0000FF"/>
        </w:rPr>
      </w:pPr>
    </w:p>
    <w:p>
      <w:pPr>
        <w:pStyle w:val="27"/>
        <w:numPr>
          <w:ilvl w:val="0"/>
          <w:numId w:val="2"/>
        </w:numPr>
        <w:spacing w:line="600" w:lineRule="exact"/>
        <w:ind w:firstLineChars="0"/>
        <w:outlineLvl w:val="1"/>
        <w:rPr>
          <w:rStyle w:val="29"/>
          <w:rFonts w:ascii="黑体" w:hAnsi="黑体" w:eastAsia="黑体"/>
          <w:b w:val="0"/>
          <w:color w:val="auto"/>
        </w:rPr>
      </w:pPr>
      <w:bookmarkStart w:id="31" w:name="_Toc20690"/>
      <w:bookmarkStart w:id="32" w:name="_Toc15377207"/>
      <w:bookmarkStart w:id="33" w:name="_Toc15396605"/>
      <w:r>
        <w:rPr>
          <w:rFonts w:hint="eastAsia" w:ascii="黑体" w:hAnsi="黑体" w:eastAsia="黑体"/>
          <w:color w:val="auto"/>
          <w:sz w:val="32"/>
          <w:szCs w:val="32"/>
        </w:rPr>
        <w:t>支</w:t>
      </w:r>
      <w:r>
        <w:rPr>
          <w:rStyle w:val="29"/>
          <w:rFonts w:hint="eastAsia" w:ascii="黑体" w:hAnsi="黑体" w:eastAsia="黑体"/>
          <w:b w:val="0"/>
          <w:color w:val="auto"/>
        </w:rPr>
        <w:t>出决算情况说明</w:t>
      </w:r>
      <w:bookmarkEnd w:id="31"/>
      <w:bookmarkEnd w:id="32"/>
      <w:bookmarkEnd w:id="33"/>
    </w:p>
    <w:p>
      <w:pPr>
        <w:spacing w:line="600" w:lineRule="exact"/>
        <w:ind w:firstLine="640" w:firstLineChars="200"/>
        <w:outlineLvl w:val="1"/>
        <w:rPr>
          <w:rFonts w:hint="eastAsia" w:ascii="仿宋_GB2312" w:hAnsi="仿宋_GB2312" w:eastAsia="仿宋_GB2312" w:cs="仿宋_GB2312"/>
          <w:color w:val="auto"/>
          <w:sz w:val="32"/>
          <w:szCs w:val="32"/>
          <w:shd w:val="pct10" w:color="auto" w:fill="FFFFFF"/>
          <w:lang w:eastAsia="zh-CN"/>
        </w:rPr>
      </w:pPr>
      <w:bookmarkStart w:id="34" w:name="_Toc25122"/>
      <w:r>
        <w:rPr>
          <w:rFonts w:hint="eastAsia" w:ascii="仿宋_GB2312" w:hAnsi="仿宋_GB2312" w:eastAsia="仿宋_GB2312" w:cs="仿宋_GB2312"/>
          <w:b w:val="0"/>
          <w:bCs w:val="0"/>
          <w:color w:val="auto"/>
          <w:sz w:val="32"/>
          <w:szCs w:val="32"/>
          <w:lang w:val="en-US" w:eastAsia="zh-CN"/>
        </w:rPr>
        <w:t>2024</w:t>
      </w:r>
      <w:r>
        <w:rPr>
          <w:rFonts w:hint="eastAsia" w:ascii="仿宋_GB2312" w:hAnsi="仿宋_GB2312" w:eastAsia="仿宋_GB2312" w:cs="仿宋_GB2312"/>
          <w:b w:val="0"/>
          <w:bCs w:val="0"/>
          <w:color w:val="auto"/>
          <w:sz w:val="32"/>
          <w:szCs w:val="32"/>
        </w:rPr>
        <w:t>年度本年支出合计</w:t>
      </w:r>
      <w:r>
        <w:rPr>
          <w:rFonts w:hint="eastAsia" w:ascii="仿宋_GB2312" w:hAnsi="仿宋_GB2312" w:eastAsia="仿宋_GB2312" w:cs="仿宋_GB2312"/>
          <w:b w:val="0"/>
          <w:bCs w:val="0"/>
          <w:color w:val="auto"/>
          <w:sz w:val="32"/>
          <w:szCs w:val="32"/>
          <w:lang w:val="en-US" w:eastAsia="zh-CN"/>
        </w:rPr>
        <w:t>290.68</w:t>
      </w:r>
      <w:r>
        <w:rPr>
          <w:rFonts w:hint="eastAsia" w:ascii="仿宋_GB2312" w:hAnsi="仿宋_GB2312" w:eastAsia="仿宋_GB2312" w:cs="仿宋_GB2312"/>
          <w:b w:val="0"/>
          <w:bCs w:val="0"/>
          <w:color w:val="auto"/>
          <w:sz w:val="32"/>
          <w:szCs w:val="32"/>
        </w:rPr>
        <w:t>万元，其中：基本支出</w:t>
      </w:r>
      <w:r>
        <w:rPr>
          <w:rFonts w:hint="eastAsia" w:ascii="仿宋_GB2312" w:hAnsi="仿宋_GB2312" w:eastAsia="仿宋_GB2312" w:cs="仿宋_GB2312"/>
          <w:b w:val="0"/>
          <w:bCs w:val="0"/>
          <w:color w:val="auto"/>
          <w:sz w:val="32"/>
          <w:szCs w:val="32"/>
          <w:lang w:val="en-US" w:eastAsia="zh-CN"/>
        </w:rPr>
        <w:t>290.68</w:t>
      </w:r>
      <w:r>
        <w:rPr>
          <w:rFonts w:hint="eastAsia" w:ascii="仿宋_GB2312" w:hAnsi="仿宋_GB2312" w:eastAsia="仿宋_GB2312" w:cs="仿宋_GB2312"/>
          <w:b w:val="0"/>
          <w:bCs w:val="0"/>
          <w:color w:val="auto"/>
          <w:sz w:val="32"/>
          <w:szCs w:val="32"/>
        </w:rPr>
        <w:t>万元，占100%</w:t>
      </w:r>
      <w:bookmarkEnd w:id="34"/>
      <w:r>
        <w:rPr>
          <w:rFonts w:hint="eastAsia" w:ascii="仿宋_GB2312" w:hAnsi="仿宋_GB2312" w:eastAsia="仿宋_GB2312" w:cs="仿宋_GB2312"/>
          <w:b w:val="0"/>
          <w:bCs w:val="0"/>
          <w:color w:val="auto"/>
          <w:sz w:val="32"/>
          <w:szCs w:val="32"/>
          <w:lang w:eastAsia="zh-CN"/>
        </w:rPr>
        <w:t>。</w:t>
      </w:r>
    </w:p>
    <w:p>
      <w:pPr>
        <w:spacing w:line="600" w:lineRule="exact"/>
        <w:ind w:firstLine="640" w:firstLineChars="200"/>
        <w:rPr>
          <w:rFonts w:hint="eastAsia" w:ascii="仿宋_GB2312" w:hAnsi="仿宋_GB2312" w:eastAsia="仿宋_GB2312" w:cs="仿宋_GB2312"/>
          <w:color w:val="0000FF"/>
          <w:sz w:val="32"/>
          <w:szCs w:val="32"/>
        </w:rPr>
      </w:pPr>
      <w:r>
        <w:rPr>
          <w:rFonts w:hint="eastAsia" w:ascii="仿宋_GB2312" w:hAnsi="仿宋_GB2312" w:eastAsia="仿宋_GB2312" w:cs="仿宋_GB2312"/>
          <w:color w:val="auto"/>
          <w:sz w:val="32"/>
          <w:szCs w:val="32"/>
        </w:rPr>
        <w:t>（图3：支出决算结构图）（饼状图）</w:t>
      </w:r>
    </w:p>
    <w:p>
      <w:pPr>
        <w:pStyle w:val="8"/>
        <w:rPr>
          <w:rFonts w:ascii="仿宋_GB2312" w:eastAsia="仿宋_GB2312"/>
          <w:color w:val="0000FF"/>
          <w:sz w:val="32"/>
          <w:szCs w:val="32"/>
        </w:rPr>
      </w:pPr>
      <w:r>
        <w:rPr>
          <w:color w:val="0000FF"/>
        </w:rPr>
        <w:drawing>
          <wp:inline distT="0" distB="0" distL="114300" distR="114300">
            <wp:extent cx="4826000" cy="2743200"/>
            <wp:effectExtent l="4445" t="4445" r="8255" b="1460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outlineLvl w:val="1"/>
        <w:rPr>
          <w:rFonts w:hint="eastAsia" w:ascii="黑体" w:hAnsi="黑体" w:eastAsia="黑体"/>
          <w:color w:val="0000FF"/>
          <w:sz w:val="32"/>
          <w:szCs w:val="32"/>
        </w:rPr>
      </w:pPr>
      <w:bookmarkStart w:id="35" w:name="_Toc32507"/>
      <w:bookmarkStart w:id="36" w:name="_Toc15396606"/>
      <w:bookmarkStart w:id="37" w:name="_Toc15377208"/>
    </w:p>
    <w:p>
      <w:pPr>
        <w:pStyle w:val="2"/>
        <w:rPr>
          <w:rFonts w:hint="eastAsia"/>
        </w:rPr>
      </w:pPr>
    </w:p>
    <w:p>
      <w:pPr>
        <w:spacing w:line="600" w:lineRule="exact"/>
        <w:ind w:firstLine="640" w:firstLineChars="200"/>
        <w:outlineLvl w:val="1"/>
        <w:rPr>
          <w:rStyle w:val="29"/>
          <w:rFonts w:ascii="黑体" w:hAnsi="黑体" w:eastAsia="黑体"/>
          <w:b w:val="0"/>
          <w:color w:val="auto"/>
        </w:rPr>
      </w:pPr>
      <w:r>
        <w:rPr>
          <w:rFonts w:hint="eastAsia" w:ascii="黑体" w:hAnsi="黑体" w:eastAsia="黑体"/>
          <w:color w:val="auto"/>
          <w:sz w:val="32"/>
          <w:szCs w:val="32"/>
        </w:rPr>
        <w:t>四、财</w:t>
      </w:r>
      <w:r>
        <w:rPr>
          <w:rStyle w:val="29"/>
          <w:rFonts w:hint="eastAsia" w:ascii="黑体" w:hAnsi="黑体" w:eastAsia="黑体"/>
          <w:b w:val="0"/>
          <w:color w:val="auto"/>
        </w:rPr>
        <w:t>政拨款收入支出决算总体情况说明</w:t>
      </w:r>
      <w:bookmarkEnd w:id="35"/>
      <w:bookmarkEnd w:id="36"/>
      <w:bookmarkEnd w:id="37"/>
    </w:p>
    <w:p>
      <w:pPr>
        <w:spacing w:line="600" w:lineRule="exact"/>
        <w:ind w:firstLine="640" w:firstLineChars="200"/>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202</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年度财政拨款收、支总计均为</w:t>
      </w:r>
      <w:r>
        <w:rPr>
          <w:rFonts w:hint="eastAsia" w:ascii="仿宋_GB2312" w:hAnsi="仿宋_GB2312" w:eastAsia="仿宋_GB2312" w:cs="仿宋_GB2312"/>
          <w:b w:val="0"/>
          <w:bCs w:val="0"/>
          <w:color w:val="auto"/>
          <w:sz w:val="32"/>
          <w:szCs w:val="32"/>
          <w:lang w:val="en-US" w:eastAsia="zh-CN"/>
        </w:rPr>
        <w:t>290.68</w:t>
      </w:r>
      <w:r>
        <w:rPr>
          <w:rFonts w:hint="eastAsia" w:ascii="仿宋_GB2312" w:hAnsi="仿宋_GB2312" w:eastAsia="仿宋_GB2312" w:cs="仿宋_GB2312"/>
          <w:b w:val="0"/>
          <w:bCs w:val="0"/>
          <w:color w:val="auto"/>
          <w:sz w:val="32"/>
          <w:szCs w:val="32"/>
        </w:rPr>
        <w:t>万元。与202</w:t>
      </w: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年度相比，财政拨款收、支总计各</w:t>
      </w:r>
      <w:r>
        <w:rPr>
          <w:rFonts w:hint="eastAsia" w:ascii="仿宋_GB2312" w:hAnsi="仿宋_GB2312" w:eastAsia="仿宋_GB2312" w:cs="仿宋_GB2312"/>
          <w:b w:val="0"/>
          <w:bCs w:val="0"/>
          <w:color w:val="auto"/>
          <w:sz w:val="32"/>
          <w:szCs w:val="32"/>
          <w:lang w:eastAsia="zh-CN"/>
        </w:rPr>
        <w:t>减少</w:t>
      </w:r>
      <w:r>
        <w:rPr>
          <w:rFonts w:hint="eastAsia" w:ascii="仿宋_GB2312" w:hAnsi="仿宋_GB2312" w:eastAsia="仿宋_GB2312" w:cs="仿宋_GB2312"/>
          <w:b w:val="0"/>
          <w:bCs w:val="0"/>
          <w:color w:val="auto"/>
          <w:sz w:val="32"/>
          <w:szCs w:val="32"/>
          <w:lang w:val="en-US" w:eastAsia="zh-CN"/>
        </w:rPr>
        <w:t>95.52</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下降</w:t>
      </w:r>
      <w:r>
        <w:rPr>
          <w:rFonts w:hint="eastAsia" w:ascii="仿宋_GB2312" w:hAnsi="仿宋_GB2312" w:eastAsia="仿宋_GB2312" w:cs="仿宋_GB2312"/>
          <w:b w:val="0"/>
          <w:bCs w:val="0"/>
          <w:color w:val="auto"/>
          <w:sz w:val="32"/>
          <w:szCs w:val="32"/>
          <w:lang w:val="en-US" w:eastAsia="zh-CN"/>
        </w:rPr>
        <w:t>24.7</w:t>
      </w:r>
      <w:r>
        <w:rPr>
          <w:rFonts w:hint="eastAsia" w:ascii="仿宋_GB2312" w:hAnsi="仿宋_GB2312" w:eastAsia="仿宋_GB2312" w:cs="仿宋_GB2312"/>
          <w:b w:val="0"/>
          <w:bCs w:val="0"/>
          <w:color w:val="auto"/>
          <w:sz w:val="32"/>
          <w:szCs w:val="32"/>
        </w:rPr>
        <w:t>%。</w:t>
      </w:r>
    </w:p>
    <w:p>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val="0"/>
          <w:bCs w:val="0"/>
          <w:color w:val="auto"/>
          <w:sz w:val="32"/>
          <w:szCs w:val="32"/>
        </w:rPr>
        <w:t>主要变动原因</w:t>
      </w:r>
      <w:r>
        <w:rPr>
          <w:rFonts w:hint="eastAsia" w:ascii="仿宋_GB2312" w:hAnsi="仿宋_GB2312" w:eastAsia="仿宋_GB2312" w:cs="仿宋_GB2312"/>
          <w:b w:val="0"/>
          <w:bCs w:val="0"/>
          <w:color w:val="auto"/>
          <w:sz w:val="32"/>
          <w:szCs w:val="32"/>
          <w:lang w:eastAsia="zh-CN"/>
        </w:rPr>
        <w:t>是</w:t>
      </w:r>
      <w:r>
        <w:rPr>
          <w:rFonts w:hint="eastAsia" w:ascii="仿宋_GB2312" w:hAnsi="仿宋_GB2312" w:eastAsia="仿宋_GB2312" w:cs="仿宋_GB2312"/>
          <w:b w:val="0"/>
          <w:bCs w:val="0"/>
          <w:color w:val="auto"/>
          <w:sz w:val="32"/>
          <w:szCs w:val="32"/>
          <w:lang w:val="en-US" w:eastAsia="zh-CN"/>
        </w:rPr>
        <w:t>2024年享受补助政策的离休人员总人数</w:t>
      </w:r>
      <w:r>
        <w:rPr>
          <w:rFonts w:hint="eastAsia" w:ascii="仿宋_GB2312" w:hAnsi="仿宋_GB2312" w:eastAsia="仿宋_GB2312" w:cs="仿宋_GB2312"/>
          <w:color w:val="auto"/>
          <w:sz w:val="32"/>
          <w:szCs w:val="32"/>
          <w:lang w:val="en-US" w:eastAsia="zh-CN"/>
        </w:rPr>
        <w:t>较2023年减少，申请的事业单位离休费对应减少，2024年申请的事业单位离休费244.01万元，较2023年的289.35万元，减少45.34万元；2024年去世的享受补助政策的离退休人员较2023年减少，申请的丧葬费对应减少，2024年申请的丧葬费46.67万元，较2023年的96.85万元，减少50.18万元</w:t>
      </w:r>
      <w:r>
        <w:rPr>
          <w:rFonts w:hint="eastAsia" w:ascii="仿宋_GB2312" w:hAnsi="仿宋_GB2312" w:eastAsia="仿宋_GB2312" w:cs="仿宋_GB2312"/>
          <w:color w:val="auto"/>
          <w:sz w:val="32"/>
          <w:szCs w:val="32"/>
        </w:rPr>
        <w:t>。</w:t>
      </w:r>
    </w:p>
    <w:p>
      <w:pPr>
        <w:spacing w:line="600" w:lineRule="exact"/>
        <w:ind w:firstLine="640" w:firstLineChars="200"/>
        <w:rPr>
          <w:rFonts w:hint="eastAsia" w:ascii="仿宋" w:hAnsi="仿宋" w:eastAsia="仿宋"/>
          <w:color w:val="auto"/>
          <w:sz w:val="32"/>
          <w:szCs w:val="32"/>
        </w:rPr>
      </w:pPr>
      <w:r>
        <w:rPr>
          <w:rFonts w:hint="eastAsia" w:ascii="仿宋_GB2312" w:hAnsi="仿宋_GB2312" w:eastAsia="仿宋_GB2312" w:cs="仿宋_GB2312"/>
          <w:color w:val="auto"/>
          <w:sz w:val="32"/>
          <w:szCs w:val="32"/>
        </w:rPr>
        <w:t>（图4：财政拨款收、支决算总计变动情况）（柱状图）</w:t>
      </w:r>
    </w:p>
    <w:p>
      <w:pPr>
        <w:pStyle w:val="3"/>
        <w:ind w:left="0" w:leftChars="0" w:firstLine="0" w:firstLineChars="0"/>
        <w:rPr>
          <w:rFonts w:hint="eastAsia"/>
        </w:rPr>
      </w:pPr>
    </w:p>
    <w:p>
      <w:pPr>
        <w:pStyle w:val="2"/>
        <w:rPr>
          <w:rFonts w:hint="eastAsia" w:ascii="仿宋" w:hAnsi="仿宋" w:eastAsia="仿宋"/>
          <w:color w:val="0000FF"/>
          <w:sz w:val="32"/>
          <w:szCs w:val="32"/>
          <w:lang w:eastAsia="zh-CN"/>
        </w:rPr>
      </w:pPr>
      <w:r>
        <w:rPr>
          <w:rFonts w:hint="eastAsia" w:ascii="仿宋" w:hAnsi="仿宋" w:eastAsia="仿宋"/>
          <w:color w:val="0000FF"/>
          <w:sz w:val="32"/>
          <w:szCs w:val="32"/>
          <w:lang w:eastAsia="zh-CN"/>
        </w:rPr>
        <w:drawing>
          <wp:inline distT="0" distB="0" distL="114300" distR="114300">
            <wp:extent cx="5256530" cy="2988310"/>
            <wp:effectExtent l="5080" t="4445" r="15240" b="1714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Style w:val="3"/>
      </w:pPr>
    </w:p>
    <w:p>
      <w:pPr>
        <w:pStyle w:val="3"/>
      </w:pPr>
    </w:p>
    <w:p>
      <w:pPr>
        <w:spacing w:line="600" w:lineRule="exact"/>
        <w:ind w:firstLine="640" w:firstLineChars="200"/>
        <w:outlineLvl w:val="1"/>
        <w:rPr>
          <w:rStyle w:val="29"/>
          <w:rFonts w:ascii="黑体" w:hAnsi="黑体" w:eastAsia="黑体"/>
          <w:b w:val="0"/>
          <w:color w:val="auto"/>
        </w:rPr>
      </w:pPr>
      <w:bookmarkStart w:id="38" w:name="_Toc15377209"/>
      <w:bookmarkStart w:id="39" w:name="_Toc15396607"/>
      <w:bookmarkStart w:id="40" w:name="_Toc4032"/>
      <w:r>
        <w:rPr>
          <w:rFonts w:hint="eastAsia" w:ascii="黑体" w:hAnsi="黑体" w:eastAsia="黑体"/>
          <w:color w:val="auto"/>
          <w:sz w:val="32"/>
          <w:szCs w:val="32"/>
        </w:rPr>
        <w:t>五、</w:t>
      </w:r>
      <w:r>
        <w:rPr>
          <w:rFonts w:hint="eastAsia" w:ascii="黑体" w:hAnsi="黑体" w:eastAsia="黑体"/>
          <w:b/>
          <w:color w:val="auto"/>
          <w:sz w:val="32"/>
          <w:szCs w:val="32"/>
        </w:rPr>
        <w:t>一</w:t>
      </w:r>
      <w:r>
        <w:rPr>
          <w:rStyle w:val="29"/>
          <w:rFonts w:hint="eastAsia" w:ascii="黑体" w:hAnsi="黑体" w:eastAsia="黑体"/>
          <w:b w:val="0"/>
          <w:color w:val="auto"/>
        </w:rPr>
        <w:t>般公共预算财政拨款支出决算情况说明</w:t>
      </w:r>
      <w:bookmarkEnd w:id="38"/>
      <w:bookmarkEnd w:id="39"/>
      <w:bookmarkEnd w:id="40"/>
    </w:p>
    <w:p>
      <w:pPr>
        <w:spacing w:line="600" w:lineRule="exact"/>
        <w:ind w:firstLine="642" w:firstLineChars="200"/>
        <w:outlineLvl w:val="2"/>
        <w:rPr>
          <w:rFonts w:hint="eastAsia" w:ascii="楷体_GB2312" w:hAnsi="楷体_GB2312" w:eastAsia="楷体_GB2312" w:cs="楷体_GB2312"/>
          <w:b/>
          <w:color w:val="auto"/>
          <w:sz w:val="32"/>
          <w:szCs w:val="32"/>
        </w:rPr>
      </w:pPr>
      <w:bookmarkStart w:id="41" w:name="_Toc15377210"/>
      <w:r>
        <w:rPr>
          <w:rFonts w:hint="eastAsia" w:ascii="楷体_GB2312" w:hAnsi="楷体_GB2312" w:eastAsia="楷体_GB2312" w:cs="楷体_GB2312"/>
          <w:b/>
          <w:color w:val="auto"/>
          <w:sz w:val="32"/>
          <w:szCs w:val="32"/>
        </w:rPr>
        <w:t>（一）一般公共预算财政拨款支出决算总体情况</w:t>
      </w:r>
      <w:bookmarkEnd w:id="41"/>
    </w:p>
    <w:p>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val="0"/>
          <w:bCs w:val="0"/>
          <w:color w:val="auto"/>
          <w:sz w:val="32"/>
          <w:szCs w:val="32"/>
        </w:rPr>
        <w:t>202</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年度一般公共预算财政拨款支出</w:t>
      </w:r>
      <w:r>
        <w:rPr>
          <w:rFonts w:hint="eastAsia" w:ascii="仿宋_GB2312" w:hAnsi="仿宋_GB2312" w:eastAsia="仿宋_GB2312" w:cs="仿宋_GB2312"/>
          <w:b w:val="0"/>
          <w:bCs w:val="0"/>
          <w:color w:val="auto"/>
          <w:sz w:val="32"/>
          <w:szCs w:val="32"/>
          <w:lang w:val="en-US" w:eastAsia="zh-CN"/>
        </w:rPr>
        <w:t>290.68</w:t>
      </w:r>
      <w:r>
        <w:rPr>
          <w:rFonts w:hint="eastAsia" w:ascii="仿宋_GB2312" w:hAnsi="仿宋_GB2312" w:eastAsia="仿宋_GB2312" w:cs="仿宋_GB2312"/>
          <w:b w:val="0"/>
          <w:bCs w:val="0"/>
          <w:color w:val="auto"/>
          <w:sz w:val="32"/>
          <w:szCs w:val="32"/>
        </w:rPr>
        <w:t>万元，占本年支出合计的100%。与202</w:t>
      </w: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年度相比，一般公共预算财政拨款支出</w:t>
      </w:r>
      <w:r>
        <w:rPr>
          <w:rFonts w:hint="eastAsia" w:ascii="仿宋_GB2312" w:hAnsi="仿宋_GB2312" w:eastAsia="仿宋_GB2312" w:cs="仿宋_GB2312"/>
          <w:b w:val="0"/>
          <w:bCs w:val="0"/>
          <w:color w:val="auto"/>
          <w:sz w:val="32"/>
          <w:szCs w:val="32"/>
          <w:lang w:eastAsia="zh-CN"/>
        </w:rPr>
        <w:t>减少</w:t>
      </w:r>
      <w:r>
        <w:rPr>
          <w:rFonts w:hint="eastAsia" w:ascii="仿宋_GB2312" w:hAnsi="仿宋_GB2312" w:eastAsia="仿宋_GB2312" w:cs="仿宋_GB2312"/>
          <w:b w:val="0"/>
          <w:bCs w:val="0"/>
          <w:color w:val="auto"/>
          <w:sz w:val="32"/>
          <w:szCs w:val="32"/>
          <w:lang w:val="en-US" w:eastAsia="zh-CN"/>
        </w:rPr>
        <w:t>95.52</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下降</w:t>
      </w:r>
      <w:r>
        <w:rPr>
          <w:rFonts w:hint="eastAsia" w:ascii="仿宋_GB2312" w:hAnsi="仿宋_GB2312" w:eastAsia="仿宋_GB2312" w:cs="仿宋_GB2312"/>
          <w:b w:val="0"/>
          <w:bCs w:val="0"/>
          <w:color w:val="auto"/>
          <w:sz w:val="32"/>
          <w:szCs w:val="32"/>
          <w:lang w:val="en-US" w:eastAsia="zh-CN"/>
        </w:rPr>
        <w:t>24.7</w:t>
      </w:r>
      <w:r>
        <w:rPr>
          <w:rFonts w:hint="eastAsia" w:ascii="仿宋_GB2312" w:hAnsi="仿宋_GB2312" w:eastAsia="仿宋_GB2312" w:cs="仿宋_GB2312"/>
          <w:b w:val="0"/>
          <w:bCs w:val="0"/>
          <w:color w:val="auto"/>
          <w:sz w:val="32"/>
          <w:szCs w:val="32"/>
        </w:rPr>
        <w:t>%。主要变动原因</w:t>
      </w:r>
      <w:r>
        <w:rPr>
          <w:rFonts w:hint="eastAsia" w:ascii="仿宋_GB2312" w:hAnsi="仿宋_GB2312" w:eastAsia="仿宋_GB2312" w:cs="仿宋_GB2312"/>
          <w:b w:val="0"/>
          <w:bCs w:val="0"/>
          <w:color w:val="auto"/>
          <w:sz w:val="32"/>
          <w:szCs w:val="32"/>
          <w:lang w:eastAsia="zh-CN"/>
        </w:rPr>
        <w:t>是</w:t>
      </w:r>
      <w:r>
        <w:rPr>
          <w:rFonts w:hint="eastAsia" w:ascii="仿宋_GB2312" w:hAnsi="仿宋_GB2312" w:eastAsia="仿宋_GB2312" w:cs="仿宋_GB2312"/>
          <w:b w:val="0"/>
          <w:bCs w:val="0"/>
          <w:color w:val="auto"/>
          <w:sz w:val="32"/>
          <w:szCs w:val="32"/>
          <w:lang w:val="en-US" w:eastAsia="zh-CN"/>
        </w:rPr>
        <w:t>2024年享受补助政策的离休人员总人数较2023年减少，申请的事业单位离休费对应减少，2024年申请的事业单位离休费244.01万元，较2023年的289.35万元，减少45.34万元；2024年去世的享受补助政策的离退休人员较2023年减少，申请的丧葬</w:t>
      </w:r>
      <w:r>
        <w:rPr>
          <w:rFonts w:hint="eastAsia" w:ascii="仿宋_GB2312" w:hAnsi="仿宋_GB2312" w:eastAsia="仿宋_GB2312" w:cs="仿宋_GB2312"/>
          <w:color w:val="auto"/>
          <w:sz w:val="32"/>
          <w:szCs w:val="32"/>
          <w:lang w:val="en-US" w:eastAsia="zh-CN"/>
        </w:rPr>
        <w:t>费对应减少，2024年申请的丧葬费46.67万元，较2023年的96.85万元，减少50.18万元</w:t>
      </w:r>
      <w:r>
        <w:rPr>
          <w:rFonts w:hint="eastAsia" w:ascii="仿宋_GB2312" w:hAnsi="仿宋_GB2312" w:eastAsia="仿宋_GB2312" w:cs="仿宋_GB2312"/>
          <w:color w:val="auto"/>
          <w:sz w:val="32"/>
          <w:szCs w:val="32"/>
        </w:rPr>
        <w:t>。</w:t>
      </w:r>
    </w:p>
    <w:p>
      <w:pPr>
        <w:spacing w:line="600" w:lineRule="exact"/>
        <w:ind w:left="0" w:leftChars="0" w:firstLine="419" w:firstLineChars="131"/>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（图5：一般公共预算财政拨款支出决算变动情况）（柱状图）</w:t>
      </w:r>
    </w:p>
    <w:p>
      <w:pPr>
        <w:pStyle w:val="3"/>
        <w:ind w:left="419" w:leftChars="0" w:hanging="419" w:hangingChars="131"/>
        <w:rPr>
          <w:rFonts w:ascii="仿宋" w:hAnsi="仿宋" w:eastAsia="仿宋"/>
          <w:color w:val="0000FF"/>
          <w:sz w:val="32"/>
          <w:szCs w:val="32"/>
        </w:rPr>
      </w:pPr>
      <w:r>
        <w:rPr>
          <w:rFonts w:hint="eastAsia" w:ascii="仿宋" w:hAnsi="仿宋" w:eastAsia="仿宋"/>
          <w:color w:val="0000FF"/>
          <w:sz w:val="32"/>
          <w:szCs w:val="32"/>
          <w:lang w:eastAsia="zh-CN"/>
        </w:rPr>
        <w:drawing>
          <wp:inline distT="0" distB="0" distL="114300" distR="114300">
            <wp:extent cx="5256530" cy="2988310"/>
            <wp:effectExtent l="5080" t="4445" r="15240" b="1714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2" w:firstLineChars="200"/>
        <w:outlineLvl w:val="2"/>
        <w:rPr>
          <w:rFonts w:hint="eastAsia" w:ascii="楷体_GB2312" w:hAnsi="楷体_GB2312" w:eastAsia="楷体_GB2312" w:cs="楷体_GB2312"/>
          <w:b/>
          <w:color w:val="auto"/>
          <w:sz w:val="32"/>
          <w:szCs w:val="32"/>
        </w:rPr>
      </w:pPr>
      <w:bookmarkStart w:id="42" w:name="_Toc15377211"/>
      <w:r>
        <w:rPr>
          <w:rFonts w:hint="eastAsia" w:ascii="楷体_GB2312" w:hAnsi="楷体_GB2312" w:eastAsia="楷体_GB2312" w:cs="楷体_GB2312"/>
          <w:b/>
          <w:color w:val="auto"/>
          <w:sz w:val="32"/>
          <w:szCs w:val="32"/>
        </w:rPr>
        <w:t>（二）一般公共预算财政拨款支出决算结构情况</w:t>
      </w:r>
      <w:bookmarkEnd w:id="42"/>
    </w:p>
    <w:p>
      <w:pPr>
        <w:spacing w:line="600" w:lineRule="exact"/>
        <w:ind w:firstLine="640"/>
        <w:rPr>
          <w:rFonts w:hint="eastAsia" w:ascii="仿宋_GB2312" w:hAnsi="仿宋_GB2312" w:eastAsia="仿宋_GB2312" w:cs="仿宋_GB2312"/>
          <w:b w:val="0"/>
          <w:bCs w:val="0"/>
          <w:color w:val="0000FF"/>
          <w:sz w:val="32"/>
          <w:szCs w:val="32"/>
          <w:lang w:eastAsia="zh-CN"/>
        </w:rPr>
      </w:pPr>
      <w:r>
        <w:rPr>
          <w:rFonts w:hint="eastAsia" w:ascii="仿宋_GB2312" w:hAnsi="仿宋_GB2312" w:eastAsia="仿宋_GB2312" w:cs="仿宋_GB2312"/>
          <w:b w:val="0"/>
          <w:bCs w:val="0"/>
          <w:color w:val="auto"/>
          <w:sz w:val="32"/>
          <w:szCs w:val="32"/>
        </w:rPr>
        <w:t>202</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年度一般公共预算财政拨款支出</w:t>
      </w:r>
      <w:r>
        <w:rPr>
          <w:rFonts w:hint="eastAsia" w:ascii="仿宋_GB2312" w:hAnsi="仿宋_GB2312" w:eastAsia="仿宋_GB2312" w:cs="仿宋_GB2312"/>
          <w:b w:val="0"/>
          <w:bCs w:val="0"/>
          <w:color w:val="auto"/>
          <w:sz w:val="32"/>
          <w:szCs w:val="32"/>
          <w:lang w:val="en-US" w:eastAsia="zh-CN"/>
        </w:rPr>
        <w:t>290.68</w:t>
      </w:r>
      <w:r>
        <w:rPr>
          <w:rFonts w:hint="eastAsia" w:ascii="仿宋_GB2312" w:hAnsi="仿宋_GB2312" w:eastAsia="仿宋_GB2312" w:cs="仿宋_GB2312"/>
          <w:b w:val="0"/>
          <w:bCs w:val="0"/>
          <w:color w:val="auto"/>
          <w:sz w:val="32"/>
          <w:szCs w:val="32"/>
        </w:rPr>
        <w:t>万元，主要用于以下方面:社会保障和就业支出</w:t>
      </w:r>
      <w:r>
        <w:rPr>
          <w:rFonts w:hint="eastAsia" w:ascii="仿宋_GB2312" w:hAnsi="仿宋_GB2312" w:eastAsia="仿宋_GB2312" w:cs="仿宋_GB2312"/>
          <w:b w:val="0"/>
          <w:bCs w:val="0"/>
          <w:color w:val="auto"/>
          <w:sz w:val="32"/>
          <w:szCs w:val="32"/>
          <w:lang w:val="en-US" w:eastAsia="zh-CN"/>
        </w:rPr>
        <w:t>290.68</w:t>
      </w:r>
      <w:r>
        <w:rPr>
          <w:rFonts w:hint="eastAsia" w:ascii="仿宋_GB2312" w:hAnsi="仿宋_GB2312" w:eastAsia="仿宋_GB2312" w:cs="仿宋_GB2312"/>
          <w:b w:val="0"/>
          <w:bCs w:val="0"/>
          <w:color w:val="auto"/>
          <w:sz w:val="32"/>
          <w:szCs w:val="32"/>
        </w:rPr>
        <w:t>万元，占</w:t>
      </w:r>
      <w:r>
        <w:rPr>
          <w:rFonts w:hint="eastAsia" w:ascii="仿宋_GB2312" w:hAnsi="仿宋_GB2312" w:eastAsia="仿宋_GB2312" w:cs="仿宋_GB2312"/>
          <w:b w:val="0"/>
          <w:bCs w:val="0"/>
          <w:color w:val="auto"/>
          <w:sz w:val="32"/>
          <w:szCs w:val="32"/>
          <w:lang w:val="en-US" w:eastAsia="zh-CN"/>
        </w:rPr>
        <w:t>100</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eastAsia="zh-CN"/>
        </w:rPr>
        <w:t>。</w:t>
      </w:r>
    </w:p>
    <w:p>
      <w:pPr>
        <w:spacing w:line="600" w:lineRule="exact"/>
        <w:ind w:firstLine="640" w:firstLineChars="200"/>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（图6：一般公共预算财政拨款支出决算结构）（饼状图）</w:t>
      </w:r>
    </w:p>
    <w:p>
      <w:pPr>
        <w:pStyle w:val="8"/>
        <w:rPr>
          <w:rFonts w:ascii="仿宋" w:hAnsi="仿宋" w:eastAsia="仿宋"/>
          <w:color w:val="0000FF"/>
          <w:sz w:val="32"/>
          <w:szCs w:val="32"/>
        </w:rPr>
      </w:pPr>
      <w:r>
        <w:rPr>
          <w:color w:val="0000FF"/>
        </w:rPr>
        <w:drawing>
          <wp:inline distT="0" distB="0" distL="114300" distR="114300">
            <wp:extent cx="4826000" cy="2743200"/>
            <wp:effectExtent l="4445" t="4445" r="8255" b="14605"/>
            <wp:docPr id="9"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2" w:firstLineChars="200"/>
        <w:outlineLvl w:val="2"/>
        <w:rPr>
          <w:rFonts w:hint="eastAsia" w:ascii="仿宋" w:hAnsi="仿宋" w:eastAsia="仿宋"/>
          <w:b/>
          <w:color w:val="auto"/>
          <w:sz w:val="32"/>
          <w:szCs w:val="32"/>
        </w:rPr>
      </w:pPr>
      <w:bookmarkStart w:id="43" w:name="_Toc15377212"/>
    </w:p>
    <w:p>
      <w:pPr>
        <w:spacing w:line="600" w:lineRule="exact"/>
        <w:ind w:firstLine="642" w:firstLineChars="200"/>
        <w:outlineLvl w:val="2"/>
        <w:rPr>
          <w:rFonts w:hint="eastAsia" w:ascii="楷体_GB2312" w:hAnsi="楷体_GB2312" w:eastAsia="楷体_GB2312" w:cs="楷体_GB2312"/>
          <w:b/>
          <w:color w:val="auto"/>
          <w:sz w:val="32"/>
          <w:szCs w:val="32"/>
        </w:rPr>
      </w:pPr>
      <w:r>
        <w:rPr>
          <w:rFonts w:hint="eastAsia" w:ascii="楷体_GB2312" w:hAnsi="楷体_GB2312" w:eastAsia="楷体_GB2312" w:cs="楷体_GB2312"/>
          <w:b/>
          <w:color w:val="auto"/>
          <w:sz w:val="32"/>
          <w:szCs w:val="32"/>
        </w:rPr>
        <w:t>（三）一般公共预算财政拨款支出决算具体情况</w:t>
      </w:r>
      <w:bookmarkEnd w:id="43"/>
    </w:p>
    <w:p>
      <w:pPr>
        <w:spacing w:line="600" w:lineRule="exact"/>
        <w:ind w:firstLine="640" w:firstLineChars="200"/>
        <w:outlineLvl w:val="1"/>
        <w:rPr>
          <w:rFonts w:hint="eastAsia" w:ascii="仿宋_GB2312" w:hAnsi="仿宋_GB2312" w:eastAsia="仿宋_GB2312" w:cs="仿宋_GB2312"/>
          <w:b w:val="0"/>
          <w:bCs/>
          <w:color w:val="auto"/>
          <w:sz w:val="32"/>
          <w:szCs w:val="32"/>
        </w:rPr>
      </w:pPr>
      <w:bookmarkStart w:id="44" w:name="_Toc23155"/>
      <w:bookmarkStart w:id="45" w:name="_Toc15377444"/>
      <w:bookmarkStart w:id="46" w:name="_Toc15377213"/>
      <w:bookmarkStart w:id="47" w:name="_Toc15378460"/>
      <w:r>
        <w:rPr>
          <w:rFonts w:hint="eastAsia" w:ascii="仿宋_GB2312" w:hAnsi="仿宋_GB2312" w:eastAsia="仿宋_GB2312" w:cs="仿宋_GB2312"/>
          <w:b w:val="0"/>
          <w:bCs/>
          <w:color w:val="auto"/>
          <w:sz w:val="32"/>
          <w:szCs w:val="32"/>
        </w:rPr>
        <w:t>202</w:t>
      </w:r>
      <w:r>
        <w:rPr>
          <w:rFonts w:hint="eastAsia" w:ascii="仿宋_GB2312" w:hAnsi="仿宋_GB2312" w:eastAsia="仿宋_GB2312" w:cs="仿宋_GB2312"/>
          <w:b w:val="0"/>
          <w:bCs/>
          <w:color w:val="auto"/>
          <w:sz w:val="32"/>
          <w:szCs w:val="32"/>
          <w:lang w:val="en-US" w:eastAsia="zh-CN"/>
        </w:rPr>
        <w:t>4</w:t>
      </w:r>
      <w:r>
        <w:rPr>
          <w:rFonts w:hint="eastAsia" w:ascii="仿宋_GB2312" w:hAnsi="仿宋_GB2312" w:eastAsia="仿宋_GB2312" w:cs="仿宋_GB2312"/>
          <w:b w:val="0"/>
          <w:bCs/>
          <w:color w:val="auto"/>
          <w:sz w:val="32"/>
          <w:szCs w:val="32"/>
        </w:rPr>
        <w:t>年度一般公共预算支出决算数为</w:t>
      </w:r>
      <w:r>
        <w:rPr>
          <w:rFonts w:hint="eastAsia" w:ascii="仿宋_GB2312" w:hAnsi="仿宋_GB2312" w:eastAsia="仿宋_GB2312" w:cs="仿宋_GB2312"/>
          <w:b w:val="0"/>
          <w:bCs/>
          <w:color w:val="auto"/>
          <w:sz w:val="32"/>
          <w:szCs w:val="32"/>
          <w:lang w:val="en-US" w:eastAsia="zh-CN"/>
        </w:rPr>
        <w:t>290.68万元</w:t>
      </w:r>
      <w:r>
        <w:rPr>
          <w:rFonts w:hint="eastAsia" w:ascii="仿宋_GB2312" w:hAnsi="仿宋_GB2312" w:eastAsia="仿宋_GB2312" w:cs="仿宋_GB2312"/>
          <w:b w:val="0"/>
          <w:bCs/>
          <w:color w:val="auto"/>
          <w:sz w:val="32"/>
          <w:szCs w:val="32"/>
        </w:rPr>
        <w:t>，</w:t>
      </w:r>
      <w:r>
        <w:rPr>
          <w:rStyle w:val="17"/>
          <w:rFonts w:hint="eastAsia" w:ascii="仿宋_GB2312" w:hAnsi="仿宋_GB2312" w:eastAsia="仿宋_GB2312" w:cs="仿宋_GB2312"/>
          <w:b w:val="0"/>
          <w:bCs/>
          <w:color w:val="auto"/>
          <w:sz w:val="32"/>
          <w:szCs w:val="32"/>
        </w:rPr>
        <w:t>完成预算</w:t>
      </w:r>
      <w:r>
        <w:rPr>
          <w:rStyle w:val="17"/>
          <w:rFonts w:hint="eastAsia" w:ascii="仿宋_GB2312" w:hAnsi="仿宋_GB2312" w:eastAsia="仿宋_GB2312" w:cs="仿宋_GB2312"/>
          <w:b w:val="0"/>
          <w:bCs/>
          <w:color w:val="auto"/>
          <w:sz w:val="32"/>
          <w:szCs w:val="32"/>
          <w:lang w:val="en-US" w:eastAsia="zh-CN"/>
        </w:rPr>
        <w:t>100</w:t>
      </w:r>
      <w:r>
        <w:rPr>
          <w:rStyle w:val="17"/>
          <w:rFonts w:hint="eastAsia" w:ascii="仿宋_GB2312" w:hAnsi="仿宋_GB2312" w:eastAsia="仿宋_GB2312" w:cs="仿宋_GB2312"/>
          <w:b w:val="0"/>
          <w:bCs/>
          <w:color w:val="auto"/>
          <w:sz w:val="32"/>
          <w:szCs w:val="32"/>
        </w:rPr>
        <w:t>%。其中：</w:t>
      </w:r>
      <w:bookmarkEnd w:id="44"/>
      <w:bookmarkEnd w:id="45"/>
      <w:bookmarkEnd w:id="46"/>
      <w:bookmarkEnd w:id="47"/>
    </w:p>
    <w:p>
      <w:pPr>
        <w:numPr>
          <w:ilvl w:val="0"/>
          <w:numId w:val="3"/>
        </w:numPr>
        <w:spacing w:line="600" w:lineRule="exact"/>
        <w:ind w:firstLine="640" w:firstLineChars="200"/>
        <w:rPr>
          <w:rStyle w:val="17"/>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社会保障和就业</w:t>
      </w:r>
      <w:r>
        <w:rPr>
          <w:rFonts w:hint="eastAsia" w:ascii="仿宋_GB2312" w:hAnsi="仿宋_GB2312" w:eastAsia="仿宋_GB2312" w:cs="仿宋_GB2312"/>
          <w:b w:val="0"/>
          <w:bCs/>
          <w:color w:val="auto"/>
          <w:sz w:val="32"/>
          <w:szCs w:val="32"/>
          <w:lang w:eastAsia="zh-CN"/>
        </w:rPr>
        <w:t>（类）行政事业单位养老支出（款）事业单位离退休（项）</w:t>
      </w:r>
      <w:r>
        <w:rPr>
          <w:rStyle w:val="17"/>
          <w:rFonts w:hint="eastAsia" w:ascii="仿宋_GB2312" w:hAnsi="仿宋_GB2312" w:eastAsia="仿宋_GB2312" w:cs="仿宋_GB2312"/>
          <w:b w:val="0"/>
          <w:bCs/>
          <w:color w:val="auto"/>
          <w:sz w:val="32"/>
          <w:szCs w:val="32"/>
        </w:rPr>
        <w:t>: 支出决算为</w:t>
      </w:r>
      <w:r>
        <w:rPr>
          <w:rStyle w:val="17"/>
          <w:rFonts w:hint="eastAsia" w:ascii="仿宋_GB2312" w:hAnsi="仿宋_GB2312" w:eastAsia="仿宋_GB2312" w:cs="仿宋_GB2312"/>
          <w:b w:val="0"/>
          <w:bCs/>
          <w:color w:val="auto"/>
          <w:sz w:val="32"/>
          <w:szCs w:val="32"/>
          <w:lang w:val="en-US" w:eastAsia="zh-CN"/>
        </w:rPr>
        <w:t>290.68</w:t>
      </w:r>
      <w:r>
        <w:rPr>
          <w:rStyle w:val="17"/>
          <w:rFonts w:hint="eastAsia" w:ascii="仿宋_GB2312" w:hAnsi="仿宋_GB2312" w:eastAsia="仿宋_GB2312" w:cs="仿宋_GB2312"/>
          <w:b w:val="0"/>
          <w:bCs/>
          <w:color w:val="auto"/>
          <w:sz w:val="32"/>
          <w:szCs w:val="32"/>
        </w:rPr>
        <w:t>万元，完成预算</w:t>
      </w:r>
      <w:r>
        <w:rPr>
          <w:rStyle w:val="17"/>
          <w:rFonts w:hint="eastAsia" w:ascii="仿宋_GB2312" w:hAnsi="仿宋_GB2312" w:eastAsia="仿宋_GB2312" w:cs="仿宋_GB2312"/>
          <w:b w:val="0"/>
          <w:bCs/>
          <w:color w:val="auto"/>
          <w:sz w:val="32"/>
          <w:szCs w:val="32"/>
          <w:lang w:val="en-US" w:eastAsia="zh-CN"/>
        </w:rPr>
        <w:t>100</w:t>
      </w:r>
      <w:r>
        <w:rPr>
          <w:rStyle w:val="17"/>
          <w:rFonts w:hint="eastAsia" w:ascii="仿宋_GB2312" w:hAnsi="仿宋_GB2312" w:eastAsia="仿宋_GB2312" w:cs="仿宋_GB2312"/>
          <w:b w:val="0"/>
          <w:bCs/>
          <w:color w:val="auto"/>
          <w:sz w:val="32"/>
          <w:szCs w:val="32"/>
        </w:rPr>
        <w:t>%。</w:t>
      </w:r>
      <w:bookmarkStart w:id="48" w:name="_Toc15377214"/>
      <w:bookmarkStart w:id="49" w:name="_Toc15396608"/>
      <w:bookmarkStart w:id="50" w:name="_Toc10889"/>
    </w:p>
    <w:p>
      <w:pPr>
        <w:pStyle w:val="2"/>
        <w:numPr>
          <w:ilvl w:val="0"/>
          <w:numId w:val="0"/>
        </w:numPr>
        <w:rPr>
          <w:rFonts w:hint="eastAsia"/>
          <w:lang w:val="en-US" w:eastAsia="zh-CN"/>
        </w:rPr>
      </w:pPr>
    </w:p>
    <w:p>
      <w:pPr>
        <w:tabs>
          <w:tab w:val="right" w:pos="8306"/>
        </w:tabs>
        <w:spacing w:line="600" w:lineRule="exact"/>
        <w:ind w:firstLine="640"/>
        <w:outlineLvl w:val="1"/>
        <w:rPr>
          <w:rStyle w:val="29"/>
          <w:color w:val="auto"/>
        </w:rPr>
      </w:pPr>
      <w:r>
        <w:rPr>
          <w:rFonts w:hint="eastAsia" w:ascii="黑体" w:eastAsia="黑体"/>
          <w:color w:val="auto"/>
          <w:sz w:val="32"/>
          <w:szCs w:val="32"/>
        </w:rPr>
        <w:t>六</w:t>
      </w:r>
      <w:r>
        <w:rPr>
          <w:rFonts w:hint="eastAsia" w:ascii="黑体" w:eastAsia="黑体"/>
          <w:b/>
          <w:color w:val="auto"/>
          <w:sz w:val="32"/>
          <w:szCs w:val="32"/>
        </w:rPr>
        <w:t>、</w:t>
      </w:r>
      <w:r>
        <w:rPr>
          <w:rFonts w:hint="eastAsia" w:ascii="黑体" w:hAnsi="黑体" w:eastAsia="黑体"/>
          <w:b/>
          <w:color w:val="auto"/>
          <w:sz w:val="32"/>
          <w:szCs w:val="32"/>
        </w:rPr>
        <w:t>一</w:t>
      </w:r>
      <w:r>
        <w:rPr>
          <w:rStyle w:val="29"/>
          <w:rFonts w:hint="eastAsia" w:ascii="黑体" w:hAnsi="黑体" w:eastAsia="黑体"/>
          <w:b w:val="0"/>
          <w:color w:val="auto"/>
        </w:rPr>
        <w:t>般公共预算财政拨款基本支出决算情况说明</w:t>
      </w:r>
      <w:bookmarkEnd w:id="48"/>
      <w:bookmarkEnd w:id="49"/>
      <w:bookmarkEnd w:id="50"/>
      <w:r>
        <w:rPr>
          <w:rStyle w:val="29"/>
          <w:rFonts w:ascii="黑体" w:hAnsi="黑体" w:eastAsia="黑体"/>
          <w:b w:val="0"/>
          <w:color w:val="auto"/>
        </w:rPr>
        <w:tab/>
      </w:r>
    </w:p>
    <w:p>
      <w:pPr>
        <w:spacing w:line="600" w:lineRule="exact"/>
        <w:ind w:firstLine="645"/>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年度一般公共预算</w:t>
      </w:r>
      <w:r>
        <w:rPr>
          <w:rFonts w:hint="eastAsia" w:ascii="仿宋_GB2312" w:hAnsi="仿宋_GB2312" w:eastAsia="仿宋_GB2312" w:cs="仿宋_GB2312"/>
          <w:b w:val="0"/>
          <w:bCs w:val="0"/>
          <w:color w:val="auto"/>
          <w:sz w:val="32"/>
          <w:szCs w:val="32"/>
        </w:rPr>
        <w:t>财政拨款基本支出</w:t>
      </w:r>
      <w:r>
        <w:rPr>
          <w:rFonts w:hint="eastAsia" w:ascii="仿宋_GB2312" w:hAnsi="仿宋_GB2312" w:eastAsia="仿宋_GB2312" w:cs="仿宋_GB2312"/>
          <w:b w:val="0"/>
          <w:bCs w:val="0"/>
          <w:color w:val="auto"/>
          <w:sz w:val="32"/>
          <w:szCs w:val="32"/>
          <w:lang w:val="en-US" w:eastAsia="zh-CN"/>
        </w:rPr>
        <w:t>290.68</w:t>
      </w:r>
      <w:r>
        <w:rPr>
          <w:rFonts w:hint="eastAsia" w:ascii="仿宋_GB2312" w:hAnsi="仿宋_GB2312" w:eastAsia="仿宋_GB2312" w:cs="仿宋_GB2312"/>
          <w:b w:val="0"/>
          <w:bCs w:val="0"/>
          <w:color w:val="auto"/>
          <w:sz w:val="32"/>
          <w:szCs w:val="32"/>
        </w:rPr>
        <w:t>万元，其中：</w:t>
      </w:r>
    </w:p>
    <w:p>
      <w:pPr>
        <w:spacing w:line="600" w:lineRule="exact"/>
        <w:ind w:firstLine="645"/>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color w:val="auto"/>
          <w:kern w:val="2"/>
          <w:sz w:val="32"/>
          <w:szCs w:val="32"/>
          <w:highlight w:val="none"/>
          <w:lang w:val="en-US" w:eastAsia="zh-CN" w:bidi="ar-SA"/>
        </w:rPr>
        <w:t>人员经费</w:t>
      </w:r>
      <w:r>
        <w:rPr>
          <w:rFonts w:hint="eastAsia" w:ascii="仿宋_GB2312" w:hAnsi="仿宋_GB2312" w:eastAsia="仿宋_GB2312" w:cs="仿宋_GB2312"/>
          <w:b w:val="0"/>
          <w:bCs w:val="0"/>
          <w:color w:val="auto"/>
          <w:sz w:val="32"/>
          <w:szCs w:val="32"/>
          <w:lang w:val="en-US" w:eastAsia="zh-CN"/>
        </w:rPr>
        <w:t>290.68</w:t>
      </w:r>
      <w:r>
        <w:rPr>
          <w:rFonts w:hint="eastAsia" w:ascii="仿宋_GB2312" w:hAnsi="仿宋_GB2312" w:eastAsia="仿宋_GB2312" w:cs="仿宋_GB2312"/>
          <w:b w:val="0"/>
          <w:bCs w:val="0"/>
          <w:color w:val="auto"/>
          <w:sz w:val="32"/>
          <w:szCs w:val="32"/>
        </w:rPr>
        <w:t>万元，主要包括：基本工资、津贴补贴、奖金、伙食补助费、绩效工资、机关事业单位基本养老保险</w:t>
      </w:r>
      <w:r>
        <w:rPr>
          <w:rFonts w:hint="eastAsia" w:ascii="仿宋_GB2312" w:hAnsi="仿宋_GB2312" w:eastAsia="仿宋_GB2312" w:cs="仿宋_GB2312"/>
          <w:color w:val="auto"/>
          <w:sz w:val="32"/>
          <w:szCs w:val="32"/>
        </w:rPr>
        <w:t>缴费、职业年金缴费、其他社会保障缴费、其他工资福利支出、离休费、退休费、抚恤金、生活补助、医疗费补助、奖励金、住房公积金、其他对个人和家庭的补助支出等。</w:t>
      </w:r>
      <w:r>
        <w:rPr>
          <w:rFonts w:hint="eastAsia" w:ascii="仿宋_GB2312" w:hAnsi="仿宋_GB2312" w:eastAsia="仿宋_GB2312" w:cs="仿宋_GB2312"/>
          <w:color w:val="auto"/>
          <w:sz w:val="32"/>
          <w:szCs w:val="32"/>
        </w:rPr>
        <w:br w:type="textWrapping"/>
      </w:r>
      <w:r>
        <w:rPr>
          <w:rFonts w:hint="eastAsia" w:ascii="仿宋_GB2312" w:hAnsi="仿宋_GB2312" w:eastAsia="仿宋_GB2312" w:cs="仿宋_GB2312"/>
          <w:color w:val="auto"/>
          <w:sz w:val="32"/>
          <w:szCs w:val="32"/>
        </w:rPr>
        <w:t>　　</w:t>
      </w:r>
      <w:r>
        <w:rPr>
          <w:rFonts w:hint="eastAsia" w:ascii="仿宋_GB2312" w:hAnsi="仿宋_GB2312" w:eastAsia="仿宋_GB2312" w:cs="仿宋_GB2312"/>
          <w:color w:val="auto"/>
          <w:kern w:val="2"/>
          <w:sz w:val="32"/>
          <w:szCs w:val="32"/>
          <w:highlight w:val="none"/>
          <w:lang w:val="en-US" w:eastAsia="zh-CN" w:bidi="ar-SA"/>
        </w:rPr>
        <w:t>公用经费</w:t>
      </w:r>
      <w:bookmarkStart w:id="105" w:name="_GoBack"/>
      <w:bookmarkEnd w:id="105"/>
      <w:r>
        <w:rPr>
          <w:rFonts w:hint="eastAsia" w:ascii="仿宋_GB2312" w:hAnsi="仿宋_GB2312" w:eastAsia="仿宋_GB2312" w:cs="仿宋_GB2312"/>
          <w:b w:val="0"/>
          <w:bCs w:val="0"/>
          <w:color w:val="auto"/>
          <w:sz w:val="32"/>
          <w:szCs w:val="32"/>
        </w:rPr>
        <w:t>0万元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p>
    <w:p>
      <w:pPr>
        <w:pStyle w:val="2"/>
        <w:rPr>
          <w:rFonts w:hint="eastAsia"/>
          <w:lang w:val="en-US" w:eastAsia="zh-CN"/>
        </w:rPr>
      </w:pPr>
    </w:p>
    <w:p>
      <w:pPr>
        <w:spacing w:line="600" w:lineRule="exact"/>
        <w:ind w:firstLine="640"/>
        <w:outlineLvl w:val="1"/>
        <w:rPr>
          <w:rStyle w:val="29"/>
          <w:rFonts w:ascii="黑体" w:hAnsi="黑体" w:eastAsia="黑体"/>
          <w:b w:val="0"/>
          <w:color w:val="auto"/>
        </w:rPr>
      </w:pPr>
      <w:bookmarkStart w:id="51" w:name="_Toc29735"/>
      <w:bookmarkStart w:id="52" w:name="_Toc15396609"/>
      <w:bookmarkStart w:id="53" w:name="_Toc15377215"/>
      <w:r>
        <w:rPr>
          <w:rFonts w:hint="eastAsia" w:ascii="黑体" w:eastAsia="黑体"/>
          <w:color w:val="auto"/>
          <w:sz w:val="32"/>
          <w:szCs w:val="32"/>
        </w:rPr>
        <w:t>七、</w:t>
      </w:r>
      <w:r>
        <w:rPr>
          <w:rStyle w:val="29"/>
          <w:rFonts w:hint="eastAsia" w:ascii="黑体" w:hAnsi="黑体" w:eastAsia="黑体"/>
          <w:b w:val="0"/>
          <w:color w:val="auto"/>
        </w:rPr>
        <w:t>财政拨款</w:t>
      </w:r>
      <w:r>
        <w:rPr>
          <w:rStyle w:val="29"/>
          <w:rFonts w:hint="eastAsia" w:ascii="黑体" w:hAnsi="黑体" w:eastAsia="黑体"/>
          <w:color w:val="auto"/>
        </w:rPr>
        <w:t>“</w:t>
      </w:r>
      <w:r>
        <w:rPr>
          <w:rStyle w:val="29"/>
          <w:rFonts w:hint="eastAsia" w:ascii="黑体" w:hAnsi="黑体" w:eastAsia="黑体"/>
          <w:b w:val="0"/>
          <w:color w:val="auto"/>
        </w:rPr>
        <w:t>三公”经费支出决算情况说明</w:t>
      </w:r>
      <w:bookmarkEnd w:id="51"/>
      <w:bookmarkEnd w:id="52"/>
      <w:bookmarkEnd w:id="53"/>
    </w:p>
    <w:p>
      <w:pPr>
        <w:spacing w:line="600" w:lineRule="exact"/>
        <w:ind w:firstLine="640"/>
        <w:outlineLvl w:val="2"/>
        <w:rPr>
          <w:rFonts w:hint="eastAsia" w:ascii="楷体_GB2312" w:hAnsi="楷体_GB2312" w:eastAsia="楷体_GB2312" w:cs="楷体_GB2312"/>
          <w:b/>
          <w:color w:val="auto"/>
          <w:sz w:val="32"/>
          <w:szCs w:val="32"/>
        </w:rPr>
      </w:pPr>
      <w:bookmarkStart w:id="54" w:name="_Toc15377216"/>
      <w:r>
        <w:rPr>
          <w:rFonts w:hint="eastAsia" w:ascii="楷体_GB2312" w:hAnsi="楷体_GB2312" w:eastAsia="楷体_GB2312" w:cs="楷体_GB2312"/>
          <w:b/>
          <w:color w:val="auto"/>
          <w:sz w:val="32"/>
          <w:szCs w:val="32"/>
        </w:rPr>
        <w:t>（一）“三公”经费财政拨款支出决算总体情况说明</w:t>
      </w:r>
      <w:bookmarkEnd w:id="54"/>
    </w:p>
    <w:p>
      <w:pPr>
        <w:spacing w:line="600" w:lineRule="exact"/>
        <w:ind w:firstLine="640"/>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年度“三公”经费财政拨款支出决算为0万元</w:t>
      </w:r>
      <w:r>
        <w:rPr>
          <w:rFonts w:hint="eastAsia" w:ascii="仿宋_GB2312" w:hAnsi="仿宋_GB2312" w:eastAsia="仿宋_GB2312" w:cs="仿宋_GB2312"/>
          <w:b w:val="0"/>
          <w:bCs w:val="0"/>
          <w:sz w:val="32"/>
          <w:szCs w:val="32"/>
          <w:lang w:eastAsia="zh-CN"/>
        </w:rPr>
        <w:t>，与</w:t>
      </w:r>
      <w:r>
        <w:rPr>
          <w:rFonts w:hint="eastAsia" w:ascii="仿宋_GB2312" w:hAnsi="仿宋_GB2312" w:eastAsia="仿宋_GB2312" w:cs="仿宋_GB2312"/>
          <w:b w:val="0"/>
          <w:bCs w:val="0"/>
          <w:sz w:val="32"/>
          <w:szCs w:val="32"/>
          <w:lang w:val="en-US" w:eastAsia="zh-CN"/>
        </w:rPr>
        <w:t>2023年度决算数持平。决算数与预算数持平。</w:t>
      </w:r>
    </w:p>
    <w:p>
      <w:pPr>
        <w:spacing w:line="600" w:lineRule="exact"/>
        <w:ind w:firstLine="640"/>
        <w:outlineLvl w:val="2"/>
        <w:rPr>
          <w:rFonts w:hint="eastAsia" w:ascii="楷体_GB2312" w:hAnsi="楷体_GB2312" w:eastAsia="楷体_GB2312" w:cs="楷体_GB2312"/>
          <w:b/>
          <w:color w:val="auto"/>
          <w:sz w:val="32"/>
          <w:szCs w:val="32"/>
        </w:rPr>
      </w:pPr>
      <w:bookmarkStart w:id="55" w:name="_Toc15377217"/>
      <w:r>
        <w:rPr>
          <w:rFonts w:hint="eastAsia" w:ascii="楷体_GB2312" w:hAnsi="楷体_GB2312" w:eastAsia="楷体_GB2312" w:cs="楷体_GB2312"/>
          <w:b/>
          <w:color w:val="auto"/>
          <w:sz w:val="32"/>
          <w:szCs w:val="32"/>
        </w:rPr>
        <w:t>（二）“三公”经费财政拨款支出决算具体情况说明</w:t>
      </w:r>
      <w:bookmarkEnd w:id="55"/>
    </w:p>
    <w:p>
      <w:pPr>
        <w:spacing w:line="600" w:lineRule="exact"/>
        <w:ind w:firstLine="640"/>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202</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年度“三公”经费财政拨款支出决算中，因公出国（境）费支出决算0万元；公务用车购置及运行维护费支出决算0万元；公务接待费支出决算0万元。具体情况如下：</w:t>
      </w:r>
    </w:p>
    <w:p>
      <w:pPr>
        <w:spacing w:line="600" w:lineRule="exact"/>
        <w:ind w:firstLine="640"/>
        <w:rPr>
          <w:rFonts w:hint="eastAsia" w:ascii="仿宋_GB2312" w:hAnsi="仿宋_GB2312" w:eastAsia="仿宋_GB2312" w:cs="仿宋_GB2312"/>
          <w:b w:val="0"/>
          <w:bCs w:val="0"/>
          <w:color w:val="auto"/>
          <w:sz w:val="32"/>
          <w:szCs w:val="32"/>
        </w:rPr>
      </w:pPr>
      <w:bookmarkStart w:id="56" w:name="_Toc15396610"/>
      <w:bookmarkStart w:id="57" w:name="_Toc15377218"/>
      <w:r>
        <w:rPr>
          <w:rFonts w:hint="eastAsia" w:ascii="仿宋_GB2312" w:hAnsi="仿宋_GB2312" w:eastAsia="仿宋_GB2312" w:cs="仿宋_GB2312"/>
          <w:b/>
          <w:color w:val="auto"/>
          <w:sz w:val="32"/>
          <w:szCs w:val="32"/>
        </w:rPr>
        <w:t>1.因公出国（境）经费支出0万元</w:t>
      </w:r>
      <w:r>
        <w:rPr>
          <w:rStyle w:val="17"/>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val="0"/>
          <w:color w:val="auto"/>
          <w:sz w:val="32"/>
          <w:szCs w:val="32"/>
        </w:rPr>
        <w:t>全年安排因公出国（境）团组0次，出国（境）0人。因公出国（境）支出决算比202</w:t>
      </w: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年增加/减少</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w:t>
      </w:r>
    </w:p>
    <w:p>
      <w:pPr>
        <w:spacing w:line="600" w:lineRule="exact"/>
        <w:ind w:firstLine="640"/>
        <w:rPr>
          <w:rFonts w:hint="eastAsia" w:ascii="仿宋_GB2312" w:hAnsi="仿宋_GB2312" w:eastAsia="仿宋_GB2312" w:cs="仿宋_GB2312"/>
          <w:b/>
          <w:color w:val="auto"/>
          <w:sz w:val="32"/>
          <w:szCs w:val="32"/>
          <w:lang w:val="en-US" w:eastAsia="zh-CN"/>
        </w:rPr>
      </w:pPr>
      <w:r>
        <w:rPr>
          <w:rFonts w:hint="eastAsia" w:ascii="仿宋_GB2312" w:hAnsi="仿宋_GB2312" w:eastAsia="仿宋_GB2312" w:cs="仿宋_GB2312"/>
          <w:b/>
          <w:color w:val="auto"/>
          <w:sz w:val="32"/>
          <w:szCs w:val="32"/>
        </w:rPr>
        <w:t>2.公务用车购置及运行维护费支出</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b/>
          <w:color w:val="auto"/>
          <w:sz w:val="32"/>
          <w:szCs w:val="32"/>
        </w:rPr>
        <w:t>万元</w:t>
      </w:r>
      <w:r>
        <w:rPr>
          <w:rStyle w:val="17"/>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color w:val="auto"/>
          <w:sz w:val="32"/>
          <w:szCs w:val="32"/>
        </w:rPr>
        <w:t>公务用车购置及运行维护费支出决算比202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年度增加/减少</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w:t>
      </w:r>
    </w:p>
    <w:p>
      <w:pPr>
        <w:spacing w:line="600" w:lineRule="exact"/>
        <w:ind w:firstLine="640" w:firstLineChars="200"/>
        <w:rPr>
          <w:rFonts w:hint="eastAsia" w:ascii="仿宋_GB2312" w:hAnsi="仿宋_GB2312" w:eastAsia="仿宋_GB2312" w:cs="仿宋_GB2312"/>
          <w:b/>
          <w:color w:val="auto"/>
          <w:sz w:val="32"/>
          <w:szCs w:val="32"/>
        </w:rPr>
      </w:pPr>
      <w:r>
        <w:rPr>
          <w:rFonts w:hint="eastAsia" w:ascii="仿宋_GB2312" w:hAnsi="仿宋_GB2312" w:eastAsia="仿宋_GB2312" w:cs="仿宋_GB2312"/>
          <w:b w:val="0"/>
          <w:bCs w:val="0"/>
          <w:color w:val="auto"/>
          <w:sz w:val="32"/>
          <w:szCs w:val="32"/>
        </w:rPr>
        <w:t>其中：公务用车购置支出0万元。</w:t>
      </w:r>
      <w:r>
        <w:rPr>
          <w:rFonts w:hint="eastAsia" w:ascii="仿宋_GB2312" w:hAnsi="仿宋_GB2312" w:eastAsia="仿宋_GB2312" w:cs="仿宋_GB2312"/>
          <w:color w:val="auto"/>
          <w:sz w:val="32"/>
          <w:szCs w:val="32"/>
        </w:rPr>
        <w:t>全年按规定更新购置公务用车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辆，其中：轿车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辆、金额</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万元，越野车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辆、金额</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万元，载客汽车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辆、金额</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年12月31日，单位共有公务用车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辆，其中：轿车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辆、越野车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辆、载客汽车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p>
    <w:p>
      <w:pPr>
        <w:spacing w:line="600" w:lineRule="exact"/>
        <w:ind w:firstLine="640"/>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公务用车运行维护费支出0万元。</w:t>
      </w:r>
    </w:p>
    <w:p>
      <w:pPr>
        <w:spacing w:line="60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3.公务接待费支出0万元</w:t>
      </w:r>
      <w:r>
        <w:rPr>
          <w:rStyle w:val="17"/>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color w:val="auto"/>
          <w:sz w:val="32"/>
          <w:szCs w:val="32"/>
        </w:rPr>
        <w:t>公务接待费支出决算比202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年度增加/减少</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万元。其中：</w:t>
      </w:r>
    </w:p>
    <w:p>
      <w:pPr>
        <w:spacing w:line="600" w:lineRule="exact"/>
        <w:ind w:firstLine="64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国内公务接待支出0万元。国内公务接待0批次，0人次，共计支出0万元。</w:t>
      </w:r>
    </w:p>
    <w:p>
      <w:pPr>
        <w:spacing w:line="600" w:lineRule="exact"/>
        <w:ind w:firstLine="64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外事接待支出0万元。外事接待0批次，0人次，共计支出0万元。</w:t>
      </w:r>
    </w:p>
    <w:p>
      <w:pPr>
        <w:pStyle w:val="2"/>
      </w:pPr>
    </w:p>
    <w:p>
      <w:pPr>
        <w:numPr>
          <w:ilvl w:val="0"/>
          <w:numId w:val="4"/>
        </w:numPr>
        <w:spacing w:line="600" w:lineRule="exact"/>
        <w:ind w:firstLine="640"/>
        <w:outlineLvl w:val="1"/>
        <w:rPr>
          <w:rStyle w:val="29"/>
          <w:rFonts w:hint="eastAsia" w:ascii="黑体" w:hAnsi="黑体" w:eastAsia="黑体"/>
          <w:b w:val="0"/>
          <w:color w:val="auto"/>
        </w:rPr>
      </w:pPr>
      <w:bookmarkStart w:id="58" w:name="_Toc19037"/>
      <w:r>
        <w:rPr>
          <w:rStyle w:val="29"/>
          <w:rFonts w:hint="eastAsia" w:ascii="黑体" w:hAnsi="黑体" w:eastAsia="黑体"/>
          <w:b w:val="0"/>
          <w:color w:val="auto"/>
        </w:rPr>
        <w:t>政府性基金预算支出决算情况说明</w:t>
      </w:r>
      <w:bookmarkEnd w:id="56"/>
      <w:bookmarkEnd w:id="57"/>
      <w:bookmarkEnd w:id="58"/>
    </w:p>
    <w:p>
      <w:pPr>
        <w:pStyle w:val="2"/>
        <w:numPr>
          <w:ilvl w:val="0"/>
          <w:numId w:val="0"/>
        </w:numPr>
      </w:pPr>
    </w:p>
    <w:p>
      <w:pPr>
        <w:spacing w:line="600" w:lineRule="exact"/>
        <w:ind w:firstLine="640"/>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2024年度政府性基金预算财政拨款支出0万元，</w:t>
      </w:r>
      <w:r>
        <w:rPr>
          <w:rFonts w:hint="eastAsia" w:ascii="仿宋_GB2312" w:hAnsi="仿宋_GB2312" w:eastAsia="仿宋_GB2312" w:cs="仿宋_GB2312"/>
          <w:b w:val="0"/>
          <w:bCs w:val="0"/>
          <w:sz w:val="32"/>
          <w:szCs w:val="32"/>
          <w:lang w:eastAsia="zh-CN"/>
        </w:rPr>
        <w:t>与</w:t>
      </w:r>
      <w:r>
        <w:rPr>
          <w:rFonts w:hint="eastAsia" w:ascii="仿宋_GB2312" w:hAnsi="仿宋_GB2312" w:eastAsia="仿宋_GB2312" w:cs="仿宋_GB2312"/>
          <w:b w:val="0"/>
          <w:bCs w:val="0"/>
          <w:sz w:val="32"/>
          <w:szCs w:val="32"/>
          <w:lang w:val="en-US" w:eastAsia="zh-CN"/>
        </w:rPr>
        <w:t>2023年度决算数持平。决算数与预算数持平。</w:t>
      </w:r>
    </w:p>
    <w:p>
      <w:pPr>
        <w:pStyle w:val="3"/>
        <w:ind w:left="0" w:leftChars="0" w:firstLine="0" w:firstLineChars="0"/>
      </w:pPr>
    </w:p>
    <w:p>
      <w:pPr>
        <w:numPr>
          <w:ilvl w:val="0"/>
          <w:numId w:val="5"/>
        </w:numPr>
        <w:spacing w:line="600" w:lineRule="exact"/>
        <w:ind w:firstLine="640"/>
        <w:outlineLvl w:val="1"/>
        <w:rPr>
          <w:rFonts w:ascii="仿宋_GB2312" w:eastAsia="仿宋_GB2312"/>
          <w:color w:val="auto"/>
          <w:sz w:val="32"/>
          <w:szCs w:val="32"/>
        </w:rPr>
      </w:pPr>
      <w:bookmarkStart w:id="59" w:name="_Toc19583"/>
      <w:bookmarkStart w:id="60" w:name="_Toc15396611"/>
      <w:bookmarkStart w:id="61" w:name="_Toc15377219"/>
      <w:r>
        <w:rPr>
          <w:rFonts w:hint="eastAsia" w:ascii="黑体" w:eastAsia="黑体"/>
          <w:color w:val="auto"/>
          <w:sz w:val="32"/>
          <w:szCs w:val="32"/>
        </w:rPr>
        <w:t>国有资本</w:t>
      </w:r>
      <w:r>
        <w:rPr>
          <w:rStyle w:val="29"/>
          <w:rFonts w:hint="eastAsia" w:ascii="黑体" w:hAnsi="黑体" w:eastAsia="黑体"/>
          <w:b w:val="0"/>
          <w:color w:val="auto"/>
        </w:rPr>
        <w:t>经营预算支出决算情况说明</w:t>
      </w:r>
      <w:bookmarkEnd w:id="59"/>
      <w:bookmarkEnd w:id="60"/>
      <w:bookmarkEnd w:id="61"/>
    </w:p>
    <w:p>
      <w:pPr>
        <w:spacing w:line="600" w:lineRule="exact"/>
        <w:ind w:firstLine="640"/>
        <w:rPr>
          <w:rFonts w:hint="default" w:ascii="仿宋_GB2312" w:hAnsi="仿宋_GB2312" w:eastAsia="仿宋_GB2312" w:cs="仿宋_GB2312"/>
          <w:b w:val="0"/>
          <w:bCs w:val="0"/>
          <w:sz w:val="32"/>
          <w:szCs w:val="32"/>
          <w:lang w:val="en-US" w:eastAsia="zh-CN"/>
        </w:rPr>
      </w:pPr>
      <w:bookmarkStart w:id="62" w:name="_Toc15396612"/>
      <w:bookmarkStart w:id="63" w:name="_Toc15377221"/>
      <w:bookmarkStart w:id="64" w:name="_Toc7677"/>
      <w:r>
        <w:rPr>
          <w:rFonts w:hint="eastAsia" w:ascii="仿宋_GB2312" w:hAnsi="仿宋_GB2312" w:eastAsia="仿宋_GB2312" w:cs="仿宋_GB2312"/>
          <w:color w:val="auto"/>
          <w:kern w:val="2"/>
          <w:sz w:val="32"/>
          <w:szCs w:val="32"/>
          <w:highlight w:val="none"/>
          <w:lang w:val="en-US" w:eastAsia="zh-CN" w:bidi="ar-SA"/>
        </w:rPr>
        <w:t>2024年度国有资本经营预算财政拨款支出0万元，</w:t>
      </w:r>
      <w:r>
        <w:rPr>
          <w:rFonts w:hint="eastAsia" w:ascii="仿宋_GB2312" w:hAnsi="仿宋_GB2312" w:eastAsia="仿宋_GB2312" w:cs="仿宋_GB2312"/>
          <w:b w:val="0"/>
          <w:bCs w:val="0"/>
          <w:sz w:val="32"/>
          <w:szCs w:val="32"/>
          <w:lang w:eastAsia="zh-CN"/>
        </w:rPr>
        <w:t>与</w:t>
      </w:r>
      <w:r>
        <w:rPr>
          <w:rFonts w:hint="eastAsia" w:ascii="仿宋_GB2312" w:hAnsi="仿宋_GB2312" w:eastAsia="仿宋_GB2312" w:cs="仿宋_GB2312"/>
          <w:b w:val="0"/>
          <w:bCs w:val="0"/>
          <w:sz w:val="32"/>
          <w:szCs w:val="32"/>
          <w:lang w:val="en-US" w:eastAsia="zh-CN"/>
        </w:rPr>
        <w:t>2023年度决算数持平。决算数与预算数持平。</w:t>
      </w:r>
    </w:p>
    <w:p>
      <w:pPr>
        <w:pStyle w:val="2"/>
        <w:rPr>
          <w:rFonts w:hint="eastAsia"/>
          <w:lang w:val="en-US" w:eastAsia="zh-CN"/>
        </w:rPr>
      </w:pPr>
    </w:p>
    <w:p>
      <w:pPr>
        <w:numPr>
          <w:ilvl w:val="0"/>
          <w:numId w:val="5"/>
        </w:numPr>
        <w:spacing w:line="600" w:lineRule="exact"/>
        <w:ind w:firstLine="640"/>
        <w:outlineLvl w:val="1"/>
        <w:rPr>
          <w:rStyle w:val="29"/>
          <w:rFonts w:ascii="黑体" w:hAnsi="黑体" w:eastAsia="黑体"/>
          <w:b w:val="0"/>
          <w:color w:val="auto"/>
        </w:rPr>
      </w:pPr>
      <w:r>
        <w:rPr>
          <w:rStyle w:val="29"/>
          <w:rFonts w:hint="eastAsia" w:ascii="黑体" w:hAnsi="黑体" w:eastAsia="黑体"/>
          <w:b w:val="0"/>
          <w:color w:val="auto"/>
        </w:rPr>
        <w:t>其他重要事项的情况说明</w:t>
      </w:r>
      <w:bookmarkEnd w:id="62"/>
      <w:bookmarkEnd w:id="63"/>
      <w:bookmarkEnd w:id="64"/>
    </w:p>
    <w:p>
      <w:pPr>
        <w:spacing w:line="600" w:lineRule="exact"/>
        <w:ind w:firstLine="642" w:firstLineChars="200"/>
        <w:outlineLvl w:val="2"/>
        <w:rPr>
          <w:rFonts w:hint="eastAsia" w:ascii="楷体_GB2312" w:hAnsi="楷体_GB2312" w:eastAsia="楷体_GB2312" w:cs="楷体_GB2312"/>
          <w:color w:val="auto"/>
          <w:sz w:val="32"/>
          <w:szCs w:val="32"/>
        </w:rPr>
      </w:pPr>
      <w:bookmarkStart w:id="65" w:name="_Toc15377222"/>
      <w:r>
        <w:rPr>
          <w:rFonts w:hint="eastAsia" w:ascii="楷体_GB2312" w:hAnsi="楷体_GB2312" w:eastAsia="楷体_GB2312" w:cs="楷体_GB2312"/>
          <w:b/>
          <w:color w:val="auto"/>
          <w:sz w:val="32"/>
          <w:szCs w:val="32"/>
        </w:rPr>
        <w:t>（一）机关运行经费支出情况</w:t>
      </w:r>
      <w:bookmarkEnd w:id="65"/>
    </w:p>
    <w:p>
      <w:pPr>
        <w:spacing w:line="600" w:lineRule="exact"/>
        <w:ind w:firstLine="640" w:firstLineChars="200"/>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202</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年度，四川省有色冶金研究院有限公司机关运行经费支出0万元，</w:t>
      </w:r>
      <w:r>
        <w:rPr>
          <w:rFonts w:hint="eastAsia" w:ascii="仿宋_GB2312" w:hAnsi="仿宋_GB2312" w:eastAsia="仿宋_GB2312" w:cs="仿宋_GB2312"/>
          <w:b w:val="0"/>
          <w:bCs w:val="0"/>
          <w:color w:val="auto"/>
          <w:sz w:val="32"/>
          <w:szCs w:val="32"/>
          <w:lang w:eastAsia="zh-CN"/>
        </w:rPr>
        <w:t>与</w:t>
      </w:r>
      <w:r>
        <w:rPr>
          <w:rFonts w:hint="eastAsia" w:ascii="仿宋_GB2312" w:hAnsi="仿宋_GB2312" w:eastAsia="仿宋_GB2312" w:cs="仿宋_GB2312"/>
          <w:b w:val="0"/>
          <w:bCs w:val="0"/>
          <w:color w:val="auto"/>
          <w:sz w:val="32"/>
          <w:szCs w:val="32"/>
        </w:rPr>
        <w:t>202</w:t>
      </w: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年度</w:t>
      </w:r>
      <w:r>
        <w:rPr>
          <w:rFonts w:hint="eastAsia" w:ascii="仿宋_GB2312" w:hAnsi="仿宋_GB2312" w:eastAsia="仿宋_GB2312" w:cs="仿宋_GB2312"/>
          <w:b w:val="0"/>
          <w:bCs w:val="0"/>
          <w:color w:val="auto"/>
          <w:sz w:val="32"/>
          <w:szCs w:val="32"/>
          <w:lang w:eastAsia="zh-CN"/>
        </w:rPr>
        <w:t>决算数持平。</w:t>
      </w:r>
    </w:p>
    <w:p>
      <w:pPr>
        <w:autoSpaceDE w:val="0"/>
        <w:autoSpaceDN w:val="0"/>
        <w:adjustRightInd w:val="0"/>
        <w:spacing w:line="600" w:lineRule="exact"/>
        <w:ind w:firstLine="642" w:firstLineChars="200"/>
        <w:jc w:val="left"/>
        <w:outlineLvl w:val="2"/>
        <w:rPr>
          <w:rFonts w:hint="eastAsia" w:ascii="楷体_GB2312" w:hAnsi="楷体_GB2312" w:eastAsia="楷体_GB2312" w:cs="楷体_GB2312"/>
          <w:b/>
          <w:color w:val="auto"/>
          <w:sz w:val="32"/>
          <w:szCs w:val="32"/>
        </w:rPr>
      </w:pPr>
      <w:bookmarkStart w:id="66" w:name="_Toc15377223"/>
      <w:r>
        <w:rPr>
          <w:rFonts w:hint="eastAsia" w:ascii="楷体_GB2312" w:hAnsi="楷体_GB2312" w:eastAsia="楷体_GB2312" w:cs="楷体_GB2312"/>
          <w:b/>
          <w:color w:val="auto"/>
          <w:sz w:val="32"/>
          <w:szCs w:val="32"/>
        </w:rPr>
        <w:t>（二）政府采购支出情况</w:t>
      </w:r>
      <w:bookmarkEnd w:id="66"/>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val="0"/>
          <w:bCs/>
          <w:color w:val="auto"/>
          <w:sz w:val="32"/>
          <w:szCs w:val="32"/>
          <w:lang w:val="en-US" w:eastAsia="zh-CN"/>
        </w:rPr>
        <w:t>2024年度，</w:t>
      </w:r>
      <w:r>
        <w:rPr>
          <w:rFonts w:hint="eastAsia" w:ascii="仿宋_GB2312" w:hAnsi="仿宋_GB2312" w:eastAsia="仿宋_GB2312" w:cs="仿宋_GB2312"/>
          <w:b w:val="0"/>
          <w:bCs/>
          <w:color w:val="auto"/>
          <w:sz w:val="32"/>
          <w:szCs w:val="32"/>
        </w:rPr>
        <w:t>四川省有色冶金研究院有限公司</w:t>
      </w:r>
      <w:r>
        <w:rPr>
          <w:rFonts w:hint="eastAsia" w:ascii="仿宋_GB2312" w:hAnsi="仿宋_GB2312" w:eastAsia="仿宋_GB2312" w:cs="仿宋_GB2312"/>
          <w:b w:val="0"/>
          <w:bCs/>
          <w:color w:val="auto"/>
          <w:kern w:val="2"/>
          <w:sz w:val="32"/>
          <w:szCs w:val="32"/>
          <w:highlight w:val="none"/>
          <w:lang w:val="en-US" w:eastAsia="zh-CN" w:bidi="ar-SA"/>
        </w:rPr>
        <w:t>政府采购支</w:t>
      </w:r>
      <w:r>
        <w:rPr>
          <w:rFonts w:hint="eastAsia" w:ascii="仿宋_GB2312" w:hAnsi="仿宋_GB2312" w:eastAsia="仿宋_GB2312" w:cs="仿宋_GB2312"/>
          <w:color w:val="auto"/>
          <w:kern w:val="2"/>
          <w:sz w:val="32"/>
          <w:szCs w:val="32"/>
          <w:highlight w:val="none"/>
          <w:lang w:val="en-US" w:eastAsia="zh-CN" w:bidi="ar-SA"/>
        </w:rPr>
        <w:t>出总额</w:t>
      </w:r>
      <w:r>
        <w:rPr>
          <w:rFonts w:hint="eastAsia" w:ascii="仿宋_GB2312" w:hAnsi="仿宋_GB2312" w:eastAsia="仿宋_GB2312" w:cs="仿宋_GB2312"/>
          <w:b w:val="0"/>
          <w:bCs/>
          <w:color w:val="auto"/>
          <w:sz w:val="32"/>
          <w:szCs w:val="32"/>
        </w:rPr>
        <w:t>0万元，其</w:t>
      </w:r>
      <w:r>
        <w:rPr>
          <w:rFonts w:hint="eastAsia" w:ascii="仿宋_GB2312" w:hAnsi="仿宋_GB2312" w:eastAsia="仿宋_GB2312" w:cs="仿宋_GB2312"/>
          <w:color w:val="auto"/>
          <w:sz w:val="32"/>
          <w:szCs w:val="32"/>
        </w:rPr>
        <w:t>中：</w:t>
      </w:r>
      <w:r>
        <w:rPr>
          <w:rFonts w:hint="eastAsia" w:ascii="仿宋_GB2312" w:hAnsi="仿宋_GB2312" w:eastAsia="仿宋_GB2312" w:cs="仿宋_GB2312"/>
          <w:color w:val="auto"/>
          <w:kern w:val="2"/>
          <w:sz w:val="32"/>
          <w:szCs w:val="32"/>
          <w:highlight w:val="none"/>
          <w:lang w:val="en-US" w:eastAsia="zh-CN" w:bidi="ar-SA"/>
        </w:rPr>
        <w:t>政府采购货物支出0万元、政府采购工程支出0万元、政府采购服务支出0万元。授予中小企业合同金额0万元，其中：授予小微企业合同金额0万元。</w:t>
      </w:r>
    </w:p>
    <w:p>
      <w:pPr>
        <w:autoSpaceDE w:val="0"/>
        <w:autoSpaceDN w:val="0"/>
        <w:adjustRightInd w:val="0"/>
        <w:spacing w:line="600" w:lineRule="exact"/>
        <w:ind w:left="0" w:leftChars="0" w:firstLine="642" w:firstLineChars="200"/>
        <w:jc w:val="left"/>
        <w:outlineLvl w:val="2"/>
        <w:rPr>
          <w:rFonts w:hint="eastAsia" w:ascii="楷体_GB2312" w:hAnsi="楷体_GB2312" w:eastAsia="楷体_GB2312" w:cs="楷体_GB2312"/>
          <w:b/>
          <w:color w:val="auto"/>
          <w:sz w:val="32"/>
          <w:szCs w:val="32"/>
        </w:rPr>
      </w:pPr>
      <w:bookmarkStart w:id="67" w:name="_Toc15377224"/>
      <w:r>
        <w:rPr>
          <w:rFonts w:hint="eastAsia" w:ascii="楷体_GB2312" w:hAnsi="楷体_GB2312" w:eastAsia="楷体_GB2312" w:cs="楷体_GB2312"/>
          <w:b/>
          <w:color w:val="auto"/>
          <w:sz w:val="32"/>
          <w:szCs w:val="32"/>
        </w:rPr>
        <w:t>（三）国有资产占有使用情况</w:t>
      </w:r>
      <w:bookmarkEnd w:id="67"/>
    </w:p>
    <w:p>
      <w:pPr>
        <w:autoSpaceDE w:val="0"/>
        <w:autoSpaceDN w:val="0"/>
        <w:adjustRightInd w:val="0"/>
        <w:spacing w:line="600" w:lineRule="exact"/>
        <w:ind w:firstLine="640" w:firstLineChars="200"/>
        <w:jc w:val="left"/>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截至202</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年12月31日，四川省有色冶金研究院有限公司共有车辆1辆，其中：</w:t>
      </w:r>
      <w:r>
        <w:rPr>
          <w:rFonts w:hint="eastAsia" w:ascii="仿宋_GB2312" w:hAnsi="仿宋_GB2312" w:eastAsia="仿宋_GB2312" w:cs="仿宋_GB2312"/>
          <w:b w:val="0"/>
          <w:bCs w:val="0"/>
          <w:color w:val="auto"/>
          <w:kern w:val="2"/>
          <w:sz w:val="32"/>
          <w:szCs w:val="32"/>
          <w:highlight w:val="none"/>
          <w:lang w:val="en-US" w:eastAsia="zh-CN" w:bidi="ar-SA"/>
        </w:rPr>
        <w:t>主要负责人用车0辆、机要通信用车0辆、应急保障用车0辆、其他用车1辆，</w:t>
      </w:r>
      <w:r>
        <w:rPr>
          <w:rFonts w:hint="eastAsia" w:ascii="仿宋_GB2312" w:hAnsi="仿宋_GB2312" w:eastAsia="仿宋_GB2312" w:cs="仿宋_GB2312"/>
          <w:b w:val="0"/>
          <w:bCs w:val="0"/>
          <w:color w:val="auto"/>
          <w:sz w:val="32"/>
          <w:szCs w:val="32"/>
        </w:rPr>
        <w:t>其他用车主要是</w:t>
      </w:r>
      <w:r>
        <w:rPr>
          <w:rFonts w:hint="eastAsia" w:ascii="仿宋_GB2312" w:hAnsi="仿宋_GB2312" w:eastAsia="仿宋_GB2312" w:cs="仿宋_GB2312"/>
          <w:b w:val="0"/>
          <w:bCs w:val="0"/>
          <w:color w:val="auto"/>
          <w:sz w:val="32"/>
          <w:szCs w:val="32"/>
          <w:lang w:eastAsia="zh-CN"/>
        </w:rPr>
        <w:t>单位自购固定资产，</w:t>
      </w:r>
      <w:r>
        <w:rPr>
          <w:rFonts w:hint="eastAsia" w:ascii="仿宋_GB2312" w:hAnsi="仿宋_GB2312" w:eastAsia="仿宋_GB2312" w:cs="仿宋_GB2312"/>
          <w:b w:val="0"/>
          <w:bCs w:val="0"/>
          <w:color w:val="auto"/>
          <w:sz w:val="32"/>
          <w:szCs w:val="32"/>
        </w:rPr>
        <w:t>用于</w:t>
      </w:r>
      <w:r>
        <w:rPr>
          <w:rFonts w:hint="eastAsia" w:ascii="仿宋_GB2312" w:hAnsi="仿宋_GB2312" w:eastAsia="仿宋_GB2312" w:cs="仿宋_GB2312"/>
          <w:b w:val="0"/>
          <w:bCs w:val="0"/>
          <w:color w:val="auto"/>
          <w:sz w:val="32"/>
          <w:szCs w:val="32"/>
          <w:lang w:eastAsia="zh-CN"/>
        </w:rPr>
        <w:t>公司日常生产经营活动</w:t>
      </w:r>
      <w:r>
        <w:rPr>
          <w:rFonts w:hint="eastAsia" w:ascii="仿宋_GB2312" w:hAnsi="仿宋_GB2312" w:eastAsia="仿宋_GB2312" w:cs="仿宋_GB2312"/>
          <w:b w:val="0"/>
          <w:bCs w:val="0"/>
          <w:color w:val="auto"/>
          <w:sz w:val="32"/>
          <w:szCs w:val="32"/>
        </w:rPr>
        <w:t>。单价100万元以上设备（不含车辆）0台（套）。</w:t>
      </w:r>
    </w:p>
    <w:p>
      <w:pPr>
        <w:autoSpaceDE w:val="0"/>
        <w:autoSpaceDN w:val="0"/>
        <w:adjustRightInd w:val="0"/>
        <w:spacing w:line="600" w:lineRule="exact"/>
        <w:ind w:firstLine="642" w:firstLineChars="200"/>
        <w:jc w:val="left"/>
        <w:outlineLvl w:val="2"/>
        <w:rPr>
          <w:rFonts w:hint="eastAsia" w:ascii="楷体_GB2312" w:hAnsi="楷体_GB2312" w:eastAsia="楷体_GB2312" w:cs="楷体_GB2312"/>
          <w:b/>
          <w:color w:val="auto"/>
          <w:sz w:val="32"/>
          <w:szCs w:val="32"/>
        </w:rPr>
      </w:pPr>
      <w:r>
        <w:rPr>
          <w:rFonts w:hint="eastAsia" w:ascii="楷体_GB2312" w:hAnsi="楷体_GB2312" w:eastAsia="楷体_GB2312" w:cs="楷体_GB2312"/>
          <w:b/>
          <w:color w:val="auto"/>
          <w:sz w:val="32"/>
          <w:szCs w:val="32"/>
        </w:rPr>
        <w:t>（四）预算绩效管理情况</w:t>
      </w:r>
    </w:p>
    <w:p>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本单位只是</w:t>
      </w:r>
      <w:r>
        <w:rPr>
          <w:rFonts w:hint="eastAsia" w:ascii="仿宋_GB2312" w:hAnsi="仿宋_GB2312" w:eastAsia="仿宋_GB2312" w:cs="仿宋_GB2312"/>
          <w:i w:val="0"/>
          <w:iCs w:val="0"/>
          <w:caps w:val="0"/>
          <w:color w:val="auto"/>
          <w:spacing w:val="0"/>
          <w:kern w:val="0"/>
          <w:sz w:val="32"/>
          <w:szCs w:val="32"/>
          <w:lang w:val="en-US" w:eastAsia="zh-CN" w:bidi="ar"/>
        </w:rPr>
        <w:t>负责代收代发离退休人员的财政拨款，是一家自负盈亏的公司制企业，不享受财政补贴拨款，从公司成立至今都不存在预算绩效管理情况。</w:t>
      </w:r>
    </w:p>
    <w:p>
      <w:pPr>
        <w:spacing w:line="60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br w:type="page"/>
      </w:r>
    </w:p>
    <w:p>
      <w:pPr>
        <w:numPr>
          <w:ilvl w:val="0"/>
          <w:numId w:val="6"/>
        </w:numPr>
        <w:spacing w:line="600" w:lineRule="exact"/>
        <w:ind w:firstLine="660" w:firstLineChars="150"/>
        <w:jc w:val="center"/>
        <w:outlineLvl w:val="0"/>
        <w:rPr>
          <w:rStyle w:val="28"/>
          <w:rFonts w:ascii="黑体" w:hAnsi="黑体" w:eastAsia="黑体"/>
          <w:b w:val="0"/>
          <w:color w:val="auto"/>
        </w:rPr>
      </w:pPr>
      <w:bookmarkStart w:id="68" w:name="_Toc12100"/>
      <w:bookmarkStart w:id="69" w:name="_Toc15396613"/>
      <w:bookmarkStart w:id="70" w:name="_Toc15377225"/>
      <w:r>
        <w:rPr>
          <w:rFonts w:hint="eastAsia" w:ascii="黑体" w:hAnsi="黑体" w:eastAsia="黑体"/>
          <w:color w:val="auto"/>
          <w:sz w:val="44"/>
          <w:szCs w:val="44"/>
        </w:rPr>
        <w:t>名</w:t>
      </w:r>
      <w:r>
        <w:rPr>
          <w:rStyle w:val="28"/>
          <w:rFonts w:hint="eastAsia" w:ascii="黑体" w:hAnsi="黑体" w:eastAsia="黑体"/>
          <w:b w:val="0"/>
          <w:color w:val="auto"/>
        </w:rPr>
        <w:t>词解释</w:t>
      </w:r>
      <w:bookmarkEnd w:id="68"/>
      <w:bookmarkEnd w:id="69"/>
      <w:bookmarkEnd w:id="70"/>
    </w:p>
    <w:p>
      <w:pPr>
        <w:spacing w:line="600" w:lineRule="exact"/>
        <w:jc w:val="left"/>
        <w:rPr>
          <w:rFonts w:ascii="宋体"/>
          <w:b/>
          <w:color w:val="auto"/>
          <w:sz w:val="44"/>
          <w:szCs w:val="44"/>
        </w:rPr>
      </w:pPr>
    </w:p>
    <w:p>
      <w:pPr>
        <w:pStyle w:val="26"/>
        <w:spacing w:line="560" w:lineRule="exact"/>
        <w:ind w:firstLine="640" w:firstLineChars="200"/>
        <w:outlineLvl w:val="1"/>
        <w:rPr>
          <w:rFonts w:hint="eastAsia" w:ascii="仿宋_GB2312" w:hAnsi="仿宋_GB2312" w:eastAsia="仿宋_GB2312" w:cs="仿宋_GB2312"/>
          <w:color w:val="auto"/>
          <w:sz w:val="32"/>
          <w:szCs w:val="32"/>
        </w:rPr>
      </w:pPr>
      <w:bookmarkStart w:id="71" w:name="_Toc472"/>
      <w:r>
        <w:rPr>
          <w:rFonts w:hint="eastAsia" w:ascii="仿宋_GB2312" w:hAnsi="仿宋_GB2312" w:eastAsia="仿宋_GB2312" w:cs="仿宋_GB2312"/>
          <w:color w:val="auto"/>
          <w:sz w:val="32"/>
          <w:szCs w:val="32"/>
        </w:rPr>
        <w:t>1.财政拨款收入：指单位从同级财政部门取得的财政预算资金。</w:t>
      </w:r>
      <w:bookmarkEnd w:id="71"/>
    </w:p>
    <w:p>
      <w:pPr>
        <w:pStyle w:val="26"/>
        <w:spacing w:line="560" w:lineRule="exact"/>
        <w:ind w:firstLine="640" w:firstLineChars="200"/>
        <w:outlineLvl w:val="1"/>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b w:val="0"/>
          <w:bCs w:val="0"/>
          <w:color w:val="auto"/>
          <w:sz w:val="32"/>
          <w:szCs w:val="32"/>
        </w:rPr>
        <w:t>社会保障和就业</w:t>
      </w:r>
      <w:r>
        <w:rPr>
          <w:rFonts w:hint="eastAsia" w:ascii="仿宋_GB2312" w:hAnsi="仿宋_GB2312" w:eastAsia="仿宋_GB2312" w:cs="仿宋_GB2312"/>
          <w:b w:val="0"/>
          <w:bCs w:val="0"/>
          <w:color w:val="auto"/>
          <w:sz w:val="32"/>
          <w:szCs w:val="32"/>
          <w:lang w:eastAsia="zh-CN"/>
        </w:rPr>
        <w:t>（类）行政事业单位养老支出（款）事业单位离退休（项）</w:t>
      </w:r>
      <w:r>
        <w:rPr>
          <w:rFonts w:hint="eastAsia" w:ascii="仿宋_GB2312" w:hAnsi="仿宋_GB2312" w:eastAsia="仿宋_GB2312" w:cs="仿宋_GB2312"/>
          <w:color w:val="auto"/>
          <w:sz w:val="32"/>
          <w:szCs w:val="32"/>
        </w:rPr>
        <w:t>：指</w:t>
      </w:r>
      <w:r>
        <w:rPr>
          <w:rFonts w:hint="eastAsia" w:ascii="仿宋_GB2312" w:hAnsi="仿宋_GB2312" w:eastAsia="仿宋_GB2312" w:cs="仿宋_GB2312"/>
          <w:color w:val="auto"/>
          <w:sz w:val="32"/>
          <w:szCs w:val="32"/>
          <w:lang w:eastAsia="zh-CN"/>
        </w:rPr>
        <w:t>事业单位开支的离退休经费</w:t>
      </w:r>
      <w:r>
        <w:rPr>
          <w:rFonts w:hint="eastAsia" w:ascii="仿宋_GB2312" w:hAnsi="仿宋_GB2312" w:eastAsia="仿宋_GB2312" w:cs="仿宋_GB2312"/>
          <w:color w:val="auto"/>
          <w:sz w:val="32"/>
          <w:szCs w:val="32"/>
        </w:rPr>
        <w:t>。</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.基本支出：指为保障机构正常运转、完成日常工作任务而发生的人员支出和公用支出。</w:t>
      </w:r>
    </w:p>
    <w:p>
      <w:pPr>
        <w:pStyle w:val="26"/>
        <w:spacing w:line="560" w:lineRule="exact"/>
        <w:ind w:firstLine="640" w:firstLineChars="200"/>
        <w:rPr>
          <w:rFonts w:hint="eastAsia" w:ascii="仿宋_GB2312" w:hAnsi="仿宋_GB2312" w:eastAsia="仿宋_GB2312" w:cs="仿宋_GB2312"/>
          <w:color w:val="auto"/>
          <w:sz w:val="32"/>
          <w:szCs w:val="32"/>
        </w:rPr>
      </w:pPr>
    </w:p>
    <w:p>
      <w:pPr>
        <w:spacing w:line="600" w:lineRule="exact"/>
        <w:jc w:val="center"/>
        <w:outlineLvl w:val="0"/>
        <w:rPr>
          <w:rFonts w:ascii="宋体"/>
          <w:b/>
          <w:color w:val="auto"/>
          <w:sz w:val="44"/>
          <w:szCs w:val="44"/>
        </w:rPr>
      </w:pPr>
      <w:bookmarkStart w:id="72" w:name="_Toc15377226"/>
      <w:r>
        <w:rPr>
          <w:rFonts w:ascii="宋体"/>
          <w:b/>
          <w:color w:val="auto"/>
          <w:sz w:val="44"/>
          <w:szCs w:val="44"/>
        </w:rPr>
        <w:br w:type="page"/>
      </w:r>
      <w:bookmarkStart w:id="73" w:name="_Toc15396614"/>
      <w:bookmarkStart w:id="74" w:name="_Toc18942"/>
    </w:p>
    <w:p>
      <w:pPr>
        <w:spacing w:line="600" w:lineRule="exact"/>
        <w:ind w:firstLine="2200" w:firstLineChars="500"/>
        <w:jc w:val="both"/>
        <w:outlineLvl w:val="0"/>
        <w:rPr>
          <w:rStyle w:val="28"/>
          <w:rFonts w:ascii="黑体" w:hAnsi="黑体" w:eastAsia="黑体"/>
          <w:b w:val="0"/>
          <w:color w:val="auto"/>
        </w:rPr>
      </w:pPr>
      <w:r>
        <w:rPr>
          <w:rFonts w:hint="eastAsia" w:ascii="黑体" w:hAnsi="黑体" w:eastAsia="黑体"/>
          <w:color w:val="auto"/>
          <w:sz w:val="44"/>
          <w:szCs w:val="44"/>
        </w:rPr>
        <w:t>第</w:t>
      </w:r>
      <w:r>
        <w:rPr>
          <w:rStyle w:val="28"/>
          <w:rFonts w:hint="eastAsia" w:ascii="黑体" w:hAnsi="黑体" w:eastAsia="黑体"/>
          <w:b w:val="0"/>
          <w:color w:val="auto"/>
        </w:rPr>
        <w:t>四部分 附件</w:t>
      </w:r>
      <w:bookmarkEnd w:id="73"/>
      <w:bookmarkEnd w:id="74"/>
    </w:p>
    <w:p>
      <w:pPr>
        <w:keepNext w:val="0"/>
        <w:keepLines w:val="0"/>
        <w:pageBreakBefore w:val="0"/>
        <w:widowControl w:val="0"/>
        <w:kinsoku/>
        <w:wordWrap/>
        <w:overflowPunct/>
        <w:topLinePunct w:val="0"/>
        <w:autoSpaceDE/>
        <w:autoSpaceDN/>
        <w:bidi w:val="0"/>
        <w:spacing w:line="600" w:lineRule="exact"/>
        <w:jc w:val="both"/>
        <w:textAlignment w:val="auto"/>
        <w:outlineLvl w:val="1"/>
        <w:rPr>
          <w:rFonts w:hint="eastAsia" w:ascii="仿宋_GB2312" w:hAnsi="宋体" w:eastAsia="仿宋_GB2312" w:cs="Times New Roman"/>
          <w:color w:val="auto"/>
          <w:kern w:val="2"/>
          <w:sz w:val="32"/>
          <w:szCs w:val="32"/>
          <w:lang w:val="zh-CN" w:eastAsia="zh-CN" w:bidi="ar-SA"/>
        </w:rPr>
      </w:pPr>
      <w:bookmarkStart w:id="75" w:name="_Toc1193"/>
      <w:bookmarkStart w:id="76" w:name="_Toc4005"/>
    </w:p>
    <w:p>
      <w:pPr>
        <w:keepNext w:val="0"/>
        <w:keepLines w:val="0"/>
        <w:pageBreakBefore w:val="0"/>
        <w:widowControl w:val="0"/>
        <w:kinsoku/>
        <w:wordWrap/>
        <w:overflowPunct/>
        <w:topLinePunct w:val="0"/>
        <w:autoSpaceDE/>
        <w:autoSpaceDN/>
        <w:bidi w:val="0"/>
        <w:spacing w:line="600" w:lineRule="exact"/>
        <w:ind w:firstLine="1600" w:firstLineChars="500"/>
        <w:jc w:val="both"/>
        <w:textAlignment w:val="auto"/>
        <w:outlineLvl w:val="1"/>
        <w:rPr>
          <w:color w:val="auto"/>
        </w:rPr>
      </w:pPr>
      <w:r>
        <w:rPr>
          <w:rFonts w:hint="eastAsia" w:ascii="仿宋_GB2312" w:hAnsi="宋体" w:eastAsia="仿宋_GB2312" w:cs="Times New Roman"/>
          <w:color w:val="auto"/>
          <w:kern w:val="2"/>
          <w:sz w:val="32"/>
          <w:szCs w:val="32"/>
          <w:lang w:val="zh-CN" w:eastAsia="zh-CN" w:bidi="ar-SA"/>
        </w:rPr>
        <w:t>本单位</w:t>
      </w:r>
      <w:r>
        <w:rPr>
          <w:rFonts w:hint="eastAsia" w:ascii="仿宋_GB2312" w:hAnsi="宋体" w:eastAsia="仿宋_GB2312" w:cs="Times New Roman"/>
          <w:color w:val="auto"/>
          <w:kern w:val="2"/>
          <w:sz w:val="32"/>
          <w:szCs w:val="32"/>
          <w:lang w:val="en-US" w:eastAsia="zh-CN" w:bidi="ar-SA"/>
        </w:rPr>
        <w:t>2024年度</w:t>
      </w:r>
      <w:r>
        <w:rPr>
          <w:rFonts w:hint="eastAsia" w:ascii="仿宋_GB2312" w:hAnsi="宋体" w:eastAsia="仿宋_GB2312" w:cs="Times New Roman"/>
          <w:color w:val="auto"/>
          <w:kern w:val="2"/>
          <w:sz w:val="32"/>
          <w:szCs w:val="32"/>
          <w:lang w:val="zh-CN" w:eastAsia="zh-CN" w:bidi="ar-SA"/>
        </w:rPr>
        <w:t>无项目支出</w:t>
      </w:r>
      <w:bookmarkEnd w:id="75"/>
      <w:bookmarkEnd w:id="76"/>
    </w:p>
    <w:p>
      <w:pPr>
        <w:spacing w:line="572" w:lineRule="exact"/>
        <w:jc w:val="left"/>
        <w:outlineLvl w:val="9"/>
        <w:rPr>
          <w:rFonts w:ascii="仿宋_GB2312" w:hAnsi="仿宋_GB2312" w:eastAsia="仿宋_GB2312" w:cs="仿宋_GB2312"/>
          <w:color w:val="auto"/>
          <w:sz w:val="32"/>
          <w:szCs w:val="32"/>
        </w:rPr>
      </w:pPr>
    </w:p>
    <w:p>
      <w:pPr>
        <w:pStyle w:val="8"/>
        <w:spacing w:before="93"/>
        <w:rPr>
          <w:rFonts w:hAnsi="Calibri" w:cs="仿宋"/>
          <w:color w:val="auto"/>
          <w:sz w:val="32"/>
          <w:szCs w:val="32"/>
        </w:rPr>
      </w:pPr>
      <w:bookmarkStart w:id="77" w:name="_Toc15396618"/>
    </w:p>
    <w:p>
      <w:pPr>
        <w:pStyle w:val="8"/>
        <w:spacing w:before="93"/>
        <w:rPr>
          <w:rFonts w:hAnsi="Calibri" w:cs="仿宋"/>
          <w:color w:val="auto"/>
          <w:sz w:val="32"/>
          <w:szCs w:val="32"/>
        </w:rPr>
      </w:pPr>
    </w:p>
    <w:p>
      <w:pPr>
        <w:pStyle w:val="8"/>
        <w:spacing w:before="93"/>
        <w:rPr>
          <w:rFonts w:hAnsi="Calibri" w:cs="仿宋"/>
          <w:color w:val="auto"/>
          <w:sz w:val="32"/>
          <w:szCs w:val="32"/>
        </w:rPr>
      </w:pPr>
    </w:p>
    <w:p>
      <w:pPr>
        <w:pStyle w:val="8"/>
        <w:spacing w:before="93"/>
        <w:rPr>
          <w:rFonts w:hAnsi="Calibri" w:cs="仿宋"/>
          <w:color w:val="auto"/>
          <w:sz w:val="32"/>
          <w:szCs w:val="32"/>
        </w:rPr>
      </w:pPr>
    </w:p>
    <w:p>
      <w:pPr>
        <w:pStyle w:val="8"/>
        <w:spacing w:before="93"/>
        <w:rPr>
          <w:rFonts w:hAnsi="Calibri" w:cs="仿宋"/>
          <w:color w:val="auto"/>
          <w:sz w:val="32"/>
          <w:szCs w:val="32"/>
        </w:rPr>
      </w:pPr>
    </w:p>
    <w:p>
      <w:pPr>
        <w:pStyle w:val="8"/>
        <w:spacing w:before="93"/>
        <w:rPr>
          <w:rFonts w:hAnsi="Calibri" w:cs="仿宋"/>
          <w:color w:val="auto"/>
          <w:sz w:val="32"/>
          <w:szCs w:val="32"/>
        </w:rPr>
      </w:pPr>
    </w:p>
    <w:p>
      <w:pPr>
        <w:pStyle w:val="8"/>
        <w:spacing w:before="93"/>
        <w:rPr>
          <w:rFonts w:hAnsi="Calibri" w:cs="仿宋"/>
          <w:color w:val="auto"/>
          <w:sz w:val="32"/>
          <w:szCs w:val="32"/>
        </w:rPr>
      </w:pPr>
    </w:p>
    <w:p>
      <w:pPr>
        <w:pStyle w:val="8"/>
        <w:spacing w:before="93"/>
        <w:rPr>
          <w:rFonts w:hAnsi="Calibri" w:cs="仿宋"/>
          <w:color w:val="auto"/>
          <w:sz w:val="32"/>
          <w:szCs w:val="32"/>
        </w:rPr>
      </w:pPr>
    </w:p>
    <w:p>
      <w:pPr>
        <w:pStyle w:val="8"/>
        <w:spacing w:before="93"/>
        <w:rPr>
          <w:rFonts w:hAnsi="Calibri" w:cs="仿宋"/>
          <w:color w:val="auto"/>
          <w:sz w:val="32"/>
          <w:szCs w:val="32"/>
        </w:rPr>
      </w:pPr>
    </w:p>
    <w:p>
      <w:pPr>
        <w:pStyle w:val="8"/>
        <w:spacing w:before="93"/>
        <w:rPr>
          <w:rFonts w:hAnsi="Calibri" w:cs="仿宋"/>
          <w:color w:val="auto"/>
          <w:sz w:val="32"/>
          <w:szCs w:val="32"/>
        </w:rPr>
      </w:pPr>
    </w:p>
    <w:p>
      <w:pPr>
        <w:pStyle w:val="8"/>
        <w:spacing w:before="93"/>
        <w:rPr>
          <w:rFonts w:hAnsi="Calibri" w:cs="仿宋"/>
          <w:color w:val="auto"/>
          <w:sz w:val="32"/>
          <w:szCs w:val="32"/>
        </w:rPr>
      </w:pPr>
    </w:p>
    <w:p>
      <w:pPr>
        <w:pStyle w:val="8"/>
        <w:spacing w:before="93"/>
        <w:rPr>
          <w:rFonts w:hAnsi="Calibri" w:cs="仿宋"/>
          <w:color w:val="auto"/>
          <w:sz w:val="32"/>
          <w:szCs w:val="32"/>
        </w:rPr>
      </w:pPr>
    </w:p>
    <w:p>
      <w:pPr>
        <w:pStyle w:val="8"/>
        <w:spacing w:before="93"/>
        <w:rPr>
          <w:rFonts w:hAnsi="Calibri" w:cs="仿宋"/>
          <w:color w:val="auto"/>
          <w:sz w:val="32"/>
          <w:szCs w:val="32"/>
        </w:rPr>
      </w:pPr>
    </w:p>
    <w:p>
      <w:pPr>
        <w:pStyle w:val="8"/>
        <w:spacing w:before="93"/>
        <w:rPr>
          <w:rFonts w:hAnsi="Calibri" w:cs="仿宋"/>
          <w:color w:val="auto"/>
          <w:sz w:val="32"/>
          <w:szCs w:val="32"/>
        </w:rPr>
      </w:pPr>
    </w:p>
    <w:p>
      <w:pPr>
        <w:pStyle w:val="8"/>
        <w:spacing w:before="93"/>
        <w:rPr>
          <w:rFonts w:hAnsi="Calibri" w:cs="仿宋"/>
          <w:color w:val="auto"/>
          <w:sz w:val="32"/>
          <w:szCs w:val="32"/>
        </w:rPr>
      </w:pPr>
    </w:p>
    <w:p>
      <w:pPr>
        <w:spacing w:line="600" w:lineRule="exact"/>
        <w:jc w:val="center"/>
        <w:outlineLvl w:val="0"/>
        <w:rPr>
          <w:rFonts w:hint="eastAsia" w:ascii="黑体" w:hAnsi="黑体" w:eastAsia="黑体"/>
          <w:color w:val="auto"/>
          <w:sz w:val="44"/>
          <w:szCs w:val="44"/>
        </w:rPr>
      </w:pPr>
      <w:bookmarkStart w:id="78" w:name="_Toc27359"/>
    </w:p>
    <w:p>
      <w:pPr>
        <w:spacing w:line="600" w:lineRule="exact"/>
        <w:jc w:val="center"/>
        <w:outlineLvl w:val="0"/>
        <w:rPr>
          <w:rFonts w:ascii="仿宋" w:hAnsi="仿宋" w:eastAsia="仿宋"/>
          <w:color w:val="auto"/>
        </w:rPr>
      </w:pPr>
      <w:r>
        <w:rPr>
          <w:rFonts w:hint="eastAsia" w:ascii="黑体" w:hAnsi="黑体" w:eastAsia="黑体"/>
          <w:color w:val="auto"/>
          <w:sz w:val="44"/>
          <w:szCs w:val="44"/>
        </w:rPr>
        <w:t>第</w:t>
      </w:r>
      <w:r>
        <w:rPr>
          <w:rStyle w:val="28"/>
          <w:rFonts w:hint="eastAsia" w:ascii="黑体" w:hAnsi="黑体" w:eastAsia="黑体"/>
          <w:b w:val="0"/>
          <w:color w:val="auto"/>
        </w:rPr>
        <w:t>五部分 附表</w:t>
      </w:r>
      <w:bookmarkEnd w:id="72"/>
      <w:bookmarkEnd w:id="77"/>
      <w:bookmarkEnd w:id="78"/>
      <w:bookmarkStart w:id="79" w:name="_Toc15396619"/>
    </w:p>
    <w:p>
      <w:pPr>
        <w:pStyle w:val="6"/>
        <w:rPr>
          <w:rFonts w:hint="eastAsia" w:ascii="仿宋_GB2312" w:hAnsi="仿宋_GB2312" w:eastAsia="仿宋_GB2312" w:cs="仿宋_GB2312"/>
          <w:color w:val="auto"/>
        </w:rPr>
      </w:pPr>
      <w:bookmarkStart w:id="80" w:name="_Toc10291"/>
      <w:r>
        <w:rPr>
          <w:rFonts w:hint="eastAsia" w:ascii="仿宋_GB2312" w:hAnsi="仿宋_GB2312" w:eastAsia="仿宋_GB2312" w:cs="仿宋_GB2312"/>
          <w:b w:val="0"/>
          <w:color w:val="auto"/>
        </w:rPr>
        <w:t>一、收</w:t>
      </w:r>
      <w:r>
        <w:rPr>
          <w:rStyle w:val="29"/>
          <w:rFonts w:hint="eastAsia" w:ascii="仿宋_GB2312" w:hAnsi="仿宋_GB2312" w:eastAsia="仿宋_GB2312" w:cs="仿宋_GB2312"/>
          <w:b w:val="0"/>
          <w:bCs w:val="0"/>
          <w:color w:val="auto"/>
        </w:rPr>
        <w:t>入支出决算总表</w:t>
      </w:r>
      <w:bookmarkEnd w:id="79"/>
      <w:bookmarkEnd w:id="80"/>
    </w:p>
    <w:p>
      <w:pPr>
        <w:pStyle w:val="6"/>
        <w:rPr>
          <w:rFonts w:hint="eastAsia" w:ascii="仿宋_GB2312" w:hAnsi="仿宋_GB2312" w:eastAsia="仿宋_GB2312" w:cs="仿宋_GB2312"/>
          <w:color w:val="auto"/>
        </w:rPr>
      </w:pPr>
      <w:bookmarkStart w:id="81" w:name="_Toc8481"/>
      <w:bookmarkStart w:id="82" w:name="_Toc15396620"/>
      <w:r>
        <w:rPr>
          <w:rFonts w:hint="eastAsia" w:ascii="仿宋_GB2312" w:hAnsi="仿宋_GB2312" w:eastAsia="仿宋_GB2312" w:cs="仿宋_GB2312"/>
          <w:b w:val="0"/>
          <w:color w:val="auto"/>
        </w:rPr>
        <w:t>二、收</w:t>
      </w:r>
      <w:r>
        <w:rPr>
          <w:rStyle w:val="29"/>
          <w:rFonts w:hint="eastAsia" w:ascii="仿宋_GB2312" w:hAnsi="仿宋_GB2312" w:eastAsia="仿宋_GB2312" w:cs="仿宋_GB2312"/>
          <w:b w:val="0"/>
          <w:bCs w:val="0"/>
          <w:color w:val="auto"/>
        </w:rPr>
        <w:t>入决算表</w:t>
      </w:r>
      <w:bookmarkEnd w:id="81"/>
      <w:bookmarkEnd w:id="82"/>
    </w:p>
    <w:p>
      <w:pPr>
        <w:pStyle w:val="6"/>
        <w:rPr>
          <w:rFonts w:hint="eastAsia" w:ascii="仿宋_GB2312" w:hAnsi="仿宋_GB2312" w:eastAsia="仿宋_GB2312" w:cs="仿宋_GB2312"/>
          <w:color w:val="auto"/>
        </w:rPr>
      </w:pPr>
      <w:bookmarkStart w:id="83" w:name="_Toc15396621"/>
      <w:bookmarkStart w:id="84" w:name="_Toc14666"/>
      <w:r>
        <w:rPr>
          <w:rStyle w:val="29"/>
          <w:rFonts w:hint="eastAsia" w:ascii="仿宋_GB2312" w:hAnsi="仿宋_GB2312" w:eastAsia="仿宋_GB2312" w:cs="仿宋_GB2312"/>
          <w:b w:val="0"/>
          <w:bCs w:val="0"/>
          <w:color w:val="auto"/>
        </w:rPr>
        <w:t>三、</w:t>
      </w:r>
      <w:r>
        <w:rPr>
          <w:rFonts w:hint="eastAsia" w:ascii="仿宋_GB2312" w:hAnsi="仿宋_GB2312" w:eastAsia="仿宋_GB2312" w:cs="仿宋_GB2312"/>
          <w:b w:val="0"/>
          <w:color w:val="auto"/>
        </w:rPr>
        <w:t>支</w:t>
      </w:r>
      <w:r>
        <w:rPr>
          <w:rStyle w:val="29"/>
          <w:rFonts w:hint="eastAsia" w:ascii="仿宋_GB2312" w:hAnsi="仿宋_GB2312" w:eastAsia="仿宋_GB2312" w:cs="仿宋_GB2312"/>
          <w:b w:val="0"/>
          <w:bCs w:val="0"/>
          <w:color w:val="auto"/>
        </w:rPr>
        <w:t>出决算表</w:t>
      </w:r>
      <w:bookmarkEnd w:id="83"/>
      <w:bookmarkEnd w:id="84"/>
    </w:p>
    <w:p>
      <w:pPr>
        <w:pStyle w:val="6"/>
        <w:rPr>
          <w:rFonts w:hint="eastAsia" w:ascii="仿宋_GB2312" w:hAnsi="仿宋_GB2312" w:eastAsia="仿宋_GB2312" w:cs="仿宋_GB2312"/>
          <w:b w:val="0"/>
          <w:color w:val="auto"/>
        </w:rPr>
      </w:pPr>
      <w:bookmarkStart w:id="85" w:name="_Toc15396622"/>
      <w:bookmarkStart w:id="86" w:name="_Toc26340"/>
      <w:r>
        <w:rPr>
          <w:rStyle w:val="29"/>
          <w:rFonts w:hint="eastAsia" w:ascii="仿宋_GB2312" w:hAnsi="仿宋_GB2312" w:eastAsia="仿宋_GB2312" w:cs="仿宋_GB2312"/>
          <w:b w:val="0"/>
          <w:bCs w:val="0"/>
          <w:color w:val="auto"/>
        </w:rPr>
        <w:t>四、</w:t>
      </w:r>
      <w:r>
        <w:rPr>
          <w:rFonts w:hint="eastAsia" w:ascii="仿宋_GB2312" w:hAnsi="仿宋_GB2312" w:eastAsia="仿宋_GB2312" w:cs="仿宋_GB2312"/>
          <w:b w:val="0"/>
          <w:color w:val="auto"/>
        </w:rPr>
        <w:t>财</w:t>
      </w:r>
      <w:r>
        <w:rPr>
          <w:rStyle w:val="29"/>
          <w:rFonts w:hint="eastAsia" w:ascii="仿宋_GB2312" w:hAnsi="仿宋_GB2312" w:eastAsia="仿宋_GB2312" w:cs="仿宋_GB2312"/>
          <w:b w:val="0"/>
          <w:bCs w:val="0"/>
          <w:color w:val="auto"/>
        </w:rPr>
        <w:t>政拨款收入支出决算总表</w:t>
      </w:r>
      <w:bookmarkEnd w:id="85"/>
      <w:bookmarkEnd w:id="86"/>
    </w:p>
    <w:p>
      <w:pPr>
        <w:pStyle w:val="6"/>
        <w:rPr>
          <w:rStyle w:val="29"/>
          <w:rFonts w:hint="eastAsia" w:ascii="仿宋_GB2312" w:hAnsi="仿宋_GB2312" w:eastAsia="仿宋_GB2312" w:cs="仿宋_GB2312"/>
          <w:b w:val="0"/>
          <w:bCs w:val="0"/>
          <w:color w:val="auto"/>
        </w:rPr>
      </w:pPr>
      <w:bookmarkStart w:id="87" w:name="_Toc16129"/>
      <w:bookmarkStart w:id="88" w:name="_Toc15396623"/>
      <w:r>
        <w:rPr>
          <w:rStyle w:val="29"/>
          <w:rFonts w:hint="eastAsia" w:ascii="仿宋_GB2312" w:hAnsi="仿宋_GB2312" w:eastAsia="仿宋_GB2312" w:cs="仿宋_GB2312"/>
          <w:b w:val="0"/>
          <w:bCs w:val="0"/>
          <w:color w:val="auto"/>
        </w:rPr>
        <w:t>五、</w:t>
      </w:r>
      <w:r>
        <w:rPr>
          <w:rFonts w:hint="eastAsia" w:ascii="仿宋_GB2312" w:hAnsi="仿宋_GB2312" w:eastAsia="仿宋_GB2312" w:cs="仿宋_GB2312"/>
          <w:b w:val="0"/>
          <w:color w:val="auto"/>
        </w:rPr>
        <w:t>财</w:t>
      </w:r>
      <w:r>
        <w:rPr>
          <w:rStyle w:val="29"/>
          <w:rFonts w:hint="eastAsia" w:ascii="仿宋_GB2312" w:hAnsi="仿宋_GB2312" w:eastAsia="仿宋_GB2312" w:cs="仿宋_GB2312"/>
          <w:b w:val="0"/>
          <w:bCs w:val="0"/>
          <w:color w:val="auto"/>
        </w:rPr>
        <w:t>政拨款支出决算明细表</w:t>
      </w:r>
      <w:bookmarkEnd w:id="87"/>
      <w:bookmarkEnd w:id="88"/>
      <w:bookmarkStart w:id="89" w:name="_Toc15396624"/>
    </w:p>
    <w:p>
      <w:pPr>
        <w:pStyle w:val="6"/>
        <w:rPr>
          <w:rFonts w:hint="eastAsia" w:ascii="仿宋_GB2312" w:hAnsi="仿宋_GB2312" w:eastAsia="仿宋_GB2312" w:cs="仿宋_GB2312"/>
          <w:color w:val="auto"/>
        </w:rPr>
      </w:pPr>
      <w:bookmarkStart w:id="90" w:name="_Toc2651"/>
      <w:r>
        <w:rPr>
          <w:rStyle w:val="29"/>
          <w:rFonts w:hint="eastAsia" w:ascii="仿宋_GB2312" w:hAnsi="仿宋_GB2312" w:eastAsia="仿宋_GB2312" w:cs="仿宋_GB2312"/>
          <w:b w:val="0"/>
          <w:bCs w:val="0"/>
          <w:color w:val="auto"/>
        </w:rPr>
        <w:t>六、</w:t>
      </w:r>
      <w:r>
        <w:rPr>
          <w:rFonts w:hint="eastAsia" w:ascii="仿宋_GB2312" w:hAnsi="仿宋_GB2312" w:eastAsia="仿宋_GB2312" w:cs="仿宋_GB2312"/>
          <w:b w:val="0"/>
          <w:color w:val="auto"/>
        </w:rPr>
        <w:t>一</w:t>
      </w:r>
      <w:r>
        <w:rPr>
          <w:rStyle w:val="29"/>
          <w:rFonts w:hint="eastAsia" w:ascii="仿宋_GB2312" w:hAnsi="仿宋_GB2312" w:eastAsia="仿宋_GB2312" w:cs="仿宋_GB2312"/>
          <w:b w:val="0"/>
          <w:bCs w:val="0"/>
          <w:color w:val="auto"/>
        </w:rPr>
        <w:t>般公共预算财政拨款支出决算表</w:t>
      </w:r>
      <w:bookmarkEnd w:id="89"/>
      <w:bookmarkEnd w:id="90"/>
    </w:p>
    <w:p>
      <w:pPr>
        <w:pStyle w:val="6"/>
        <w:rPr>
          <w:rFonts w:hint="eastAsia" w:ascii="仿宋_GB2312" w:hAnsi="仿宋_GB2312" w:eastAsia="仿宋_GB2312" w:cs="仿宋_GB2312"/>
          <w:color w:val="auto"/>
        </w:rPr>
      </w:pPr>
      <w:bookmarkStart w:id="91" w:name="_Toc15396625"/>
      <w:bookmarkStart w:id="92" w:name="_Toc2542"/>
      <w:r>
        <w:rPr>
          <w:rStyle w:val="29"/>
          <w:rFonts w:hint="eastAsia" w:ascii="仿宋_GB2312" w:hAnsi="仿宋_GB2312" w:eastAsia="仿宋_GB2312" w:cs="仿宋_GB2312"/>
          <w:b w:val="0"/>
          <w:bCs w:val="0"/>
          <w:color w:val="auto"/>
        </w:rPr>
        <w:t>七、</w:t>
      </w:r>
      <w:r>
        <w:rPr>
          <w:rFonts w:hint="eastAsia" w:ascii="仿宋_GB2312" w:hAnsi="仿宋_GB2312" w:eastAsia="仿宋_GB2312" w:cs="仿宋_GB2312"/>
          <w:b w:val="0"/>
          <w:color w:val="auto"/>
        </w:rPr>
        <w:t>一</w:t>
      </w:r>
      <w:r>
        <w:rPr>
          <w:rStyle w:val="29"/>
          <w:rFonts w:hint="eastAsia" w:ascii="仿宋_GB2312" w:hAnsi="仿宋_GB2312" w:eastAsia="仿宋_GB2312" w:cs="仿宋_GB2312"/>
          <w:b w:val="0"/>
          <w:bCs w:val="0"/>
          <w:color w:val="auto"/>
        </w:rPr>
        <w:t>般公共预算财政拨款支出决算明细表</w:t>
      </w:r>
      <w:bookmarkEnd w:id="91"/>
      <w:bookmarkEnd w:id="92"/>
    </w:p>
    <w:p>
      <w:pPr>
        <w:pStyle w:val="6"/>
        <w:rPr>
          <w:rFonts w:hint="eastAsia" w:ascii="仿宋_GB2312" w:hAnsi="仿宋_GB2312" w:eastAsia="仿宋_GB2312" w:cs="仿宋_GB2312"/>
          <w:color w:val="auto"/>
        </w:rPr>
      </w:pPr>
      <w:bookmarkStart w:id="93" w:name="_Toc15396626"/>
      <w:bookmarkStart w:id="94" w:name="_Toc4159"/>
      <w:r>
        <w:rPr>
          <w:rStyle w:val="29"/>
          <w:rFonts w:hint="eastAsia" w:ascii="仿宋_GB2312" w:hAnsi="仿宋_GB2312" w:eastAsia="仿宋_GB2312" w:cs="仿宋_GB2312"/>
          <w:b w:val="0"/>
          <w:bCs w:val="0"/>
          <w:color w:val="auto"/>
        </w:rPr>
        <w:t>八、</w:t>
      </w:r>
      <w:r>
        <w:rPr>
          <w:rFonts w:hint="eastAsia" w:ascii="仿宋_GB2312" w:hAnsi="仿宋_GB2312" w:eastAsia="仿宋_GB2312" w:cs="仿宋_GB2312"/>
          <w:b w:val="0"/>
          <w:color w:val="auto"/>
        </w:rPr>
        <w:t>一</w:t>
      </w:r>
      <w:r>
        <w:rPr>
          <w:rStyle w:val="29"/>
          <w:rFonts w:hint="eastAsia" w:ascii="仿宋_GB2312" w:hAnsi="仿宋_GB2312" w:eastAsia="仿宋_GB2312" w:cs="仿宋_GB2312"/>
          <w:b w:val="0"/>
          <w:bCs w:val="0"/>
          <w:color w:val="auto"/>
        </w:rPr>
        <w:t>般公共预算财政拨款基本支出决算表</w:t>
      </w:r>
      <w:bookmarkEnd w:id="93"/>
      <w:bookmarkEnd w:id="94"/>
    </w:p>
    <w:p>
      <w:pPr>
        <w:pStyle w:val="6"/>
        <w:rPr>
          <w:rFonts w:hint="eastAsia" w:ascii="仿宋_GB2312" w:hAnsi="仿宋_GB2312" w:eastAsia="仿宋_GB2312" w:cs="仿宋_GB2312"/>
          <w:color w:val="auto"/>
        </w:rPr>
      </w:pPr>
      <w:bookmarkStart w:id="95" w:name="_Toc15396627"/>
      <w:bookmarkStart w:id="96" w:name="_Toc12380"/>
      <w:r>
        <w:rPr>
          <w:rStyle w:val="29"/>
          <w:rFonts w:hint="eastAsia" w:ascii="仿宋_GB2312" w:hAnsi="仿宋_GB2312" w:eastAsia="仿宋_GB2312" w:cs="仿宋_GB2312"/>
          <w:b w:val="0"/>
          <w:bCs w:val="0"/>
          <w:color w:val="auto"/>
        </w:rPr>
        <w:t>九、</w:t>
      </w:r>
      <w:r>
        <w:rPr>
          <w:rFonts w:hint="eastAsia" w:ascii="仿宋_GB2312" w:hAnsi="仿宋_GB2312" w:eastAsia="仿宋_GB2312" w:cs="仿宋_GB2312"/>
          <w:b w:val="0"/>
          <w:color w:val="auto"/>
        </w:rPr>
        <w:t>一</w:t>
      </w:r>
      <w:r>
        <w:rPr>
          <w:rStyle w:val="29"/>
          <w:rFonts w:hint="eastAsia" w:ascii="仿宋_GB2312" w:hAnsi="仿宋_GB2312" w:eastAsia="仿宋_GB2312" w:cs="仿宋_GB2312"/>
          <w:b w:val="0"/>
          <w:bCs w:val="0"/>
          <w:color w:val="auto"/>
        </w:rPr>
        <w:t>般公共预算财政拨款项目支出决算表</w:t>
      </w:r>
      <w:bookmarkEnd w:id="95"/>
      <w:bookmarkEnd w:id="96"/>
    </w:p>
    <w:p>
      <w:pPr>
        <w:pStyle w:val="6"/>
        <w:rPr>
          <w:rFonts w:hint="eastAsia" w:ascii="仿宋_GB2312" w:hAnsi="仿宋_GB2312" w:eastAsia="仿宋_GB2312" w:cs="仿宋_GB2312"/>
          <w:color w:val="auto"/>
        </w:rPr>
      </w:pPr>
      <w:bookmarkStart w:id="97" w:name="_Toc15396628"/>
      <w:bookmarkStart w:id="98" w:name="_Toc12359"/>
      <w:r>
        <w:rPr>
          <w:rStyle w:val="29"/>
          <w:rFonts w:hint="eastAsia" w:ascii="仿宋_GB2312" w:hAnsi="仿宋_GB2312" w:eastAsia="仿宋_GB2312" w:cs="仿宋_GB2312"/>
          <w:b w:val="0"/>
          <w:bCs w:val="0"/>
          <w:color w:val="auto"/>
        </w:rPr>
        <w:t>十、</w:t>
      </w:r>
      <w:bookmarkEnd w:id="97"/>
      <w:r>
        <w:rPr>
          <w:rFonts w:hint="eastAsia" w:ascii="仿宋_GB2312" w:hAnsi="仿宋_GB2312" w:eastAsia="仿宋_GB2312" w:cs="仿宋_GB2312"/>
          <w:b w:val="0"/>
          <w:color w:val="auto"/>
        </w:rPr>
        <w:t>政</w:t>
      </w:r>
      <w:r>
        <w:rPr>
          <w:rStyle w:val="29"/>
          <w:rFonts w:hint="eastAsia" w:ascii="仿宋_GB2312" w:hAnsi="仿宋_GB2312" w:eastAsia="仿宋_GB2312" w:cs="仿宋_GB2312"/>
          <w:b w:val="0"/>
          <w:bCs w:val="0"/>
          <w:color w:val="auto"/>
        </w:rPr>
        <w:t>府性基金预算财政拨款收入支出决算表</w:t>
      </w:r>
      <w:bookmarkEnd w:id="98"/>
    </w:p>
    <w:p>
      <w:pPr>
        <w:pStyle w:val="6"/>
        <w:rPr>
          <w:rFonts w:hint="eastAsia" w:ascii="仿宋_GB2312" w:hAnsi="仿宋_GB2312" w:eastAsia="仿宋_GB2312" w:cs="仿宋_GB2312"/>
          <w:color w:val="auto"/>
        </w:rPr>
      </w:pPr>
      <w:bookmarkStart w:id="99" w:name="_Toc15396629"/>
      <w:bookmarkStart w:id="100" w:name="_Toc25460"/>
      <w:r>
        <w:rPr>
          <w:rStyle w:val="29"/>
          <w:rFonts w:hint="eastAsia" w:ascii="仿宋_GB2312" w:hAnsi="仿宋_GB2312" w:eastAsia="仿宋_GB2312" w:cs="仿宋_GB2312"/>
          <w:b w:val="0"/>
          <w:bCs w:val="0"/>
          <w:color w:val="auto"/>
        </w:rPr>
        <w:t>十一、</w:t>
      </w:r>
      <w:bookmarkEnd w:id="99"/>
      <w:r>
        <w:rPr>
          <w:rFonts w:hint="eastAsia" w:ascii="仿宋_GB2312" w:hAnsi="仿宋_GB2312" w:eastAsia="仿宋_GB2312" w:cs="仿宋_GB2312"/>
          <w:b w:val="0"/>
          <w:color w:val="auto"/>
        </w:rPr>
        <w:t>国</w:t>
      </w:r>
      <w:r>
        <w:rPr>
          <w:rStyle w:val="29"/>
          <w:rFonts w:hint="eastAsia" w:ascii="仿宋_GB2312" w:hAnsi="仿宋_GB2312" w:eastAsia="仿宋_GB2312" w:cs="仿宋_GB2312"/>
          <w:b w:val="0"/>
          <w:bCs w:val="0"/>
          <w:color w:val="auto"/>
        </w:rPr>
        <w:t>有资本经营预算财政拨款收入支出决算表</w:t>
      </w:r>
      <w:bookmarkEnd w:id="100"/>
    </w:p>
    <w:p>
      <w:pPr>
        <w:pStyle w:val="6"/>
        <w:rPr>
          <w:rFonts w:hint="eastAsia" w:ascii="仿宋_GB2312" w:hAnsi="仿宋_GB2312" w:eastAsia="仿宋_GB2312" w:cs="仿宋_GB2312"/>
          <w:color w:val="auto"/>
        </w:rPr>
      </w:pPr>
      <w:bookmarkStart w:id="101" w:name="_Toc15396630"/>
      <w:bookmarkStart w:id="102" w:name="_Toc30231"/>
      <w:r>
        <w:rPr>
          <w:rStyle w:val="29"/>
          <w:rFonts w:hint="eastAsia" w:ascii="仿宋_GB2312" w:hAnsi="仿宋_GB2312" w:eastAsia="仿宋_GB2312" w:cs="仿宋_GB2312"/>
          <w:b w:val="0"/>
          <w:bCs w:val="0"/>
          <w:color w:val="auto"/>
        </w:rPr>
        <w:t>十二、</w:t>
      </w:r>
      <w:bookmarkEnd w:id="101"/>
      <w:r>
        <w:rPr>
          <w:rStyle w:val="29"/>
          <w:rFonts w:hint="eastAsia" w:ascii="仿宋_GB2312" w:hAnsi="仿宋_GB2312" w:eastAsia="仿宋_GB2312" w:cs="仿宋_GB2312"/>
          <w:b w:val="0"/>
          <w:bCs w:val="0"/>
          <w:color w:val="auto"/>
        </w:rPr>
        <w:t>国有资本经营预算财政拨款支出决算表</w:t>
      </w:r>
      <w:bookmarkEnd w:id="102"/>
    </w:p>
    <w:p>
      <w:pPr>
        <w:pStyle w:val="6"/>
        <w:rPr>
          <w:rFonts w:hint="eastAsia" w:ascii="仿宋_GB2312" w:hAnsi="仿宋_GB2312" w:eastAsia="仿宋_GB2312" w:cs="仿宋_GB2312"/>
          <w:color w:val="auto"/>
        </w:rPr>
      </w:pPr>
      <w:bookmarkStart w:id="103" w:name="_Toc15396631"/>
      <w:bookmarkStart w:id="104" w:name="_Toc10973"/>
      <w:r>
        <w:rPr>
          <w:rStyle w:val="29"/>
          <w:rFonts w:hint="eastAsia" w:ascii="仿宋_GB2312" w:hAnsi="仿宋_GB2312" w:eastAsia="仿宋_GB2312" w:cs="仿宋_GB2312"/>
          <w:b w:val="0"/>
          <w:bCs w:val="0"/>
          <w:color w:val="auto"/>
        </w:rPr>
        <w:t>十三、</w:t>
      </w:r>
      <w:bookmarkEnd w:id="103"/>
      <w:r>
        <w:rPr>
          <w:rStyle w:val="29"/>
          <w:rFonts w:hint="eastAsia" w:ascii="仿宋_GB2312" w:hAnsi="仿宋_GB2312" w:eastAsia="仿宋_GB2312" w:cs="仿宋_GB2312"/>
          <w:b w:val="0"/>
          <w:bCs w:val="0"/>
          <w:color w:val="auto"/>
        </w:rPr>
        <w:t>财政拨款“三公”经费支出决算表</w:t>
      </w:r>
      <w:bookmarkEnd w:id="104"/>
    </w:p>
    <w:sectPr>
      <w:footerReference r:id="rId5" w:type="first"/>
      <w:headerReference r:id="rId3" w:type="default"/>
      <w:footerReference r:id="rId4" w:type="default"/>
      <w:pgSz w:w="11906" w:h="16838"/>
      <w:pgMar w:top="1440" w:right="1486"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4898"/>
                          </w:sdtPr>
                          <w:sdtContent>
                            <w:p>
                              <w:pPr>
                                <w:pStyle w:val="11"/>
                                <w:jc w:val="center"/>
                              </w:pPr>
                              <w:r>
                                <w:fldChar w:fldCharType="begin"/>
                              </w:r>
                              <w:r>
                                <w:instrText xml:space="preserve">PAGE   \* MERGEFORMAT</w:instrText>
                              </w:r>
                              <w:r>
                                <w:fldChar w:fldCharType="separate"/>
                              </w:r>
                              <w:r>
                                <w:rPr>
                                  <w:lang w:val="zh-CN"/>
                                </w:rPr>
                                <w:t>15</w:t>
                              </w:r>
                              <w:r>
                                <w:fldChar w:fldCharType="end"/>
                              </w:r>
                            </w:p>
                          </w:sdtContent>
                        </w:sdt>
                        <w:p>
                          <w:pPr>
                            <w:pStyle w:val="8"/>
                          </w:pP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sdt>
                    <w:sdtPr>
                      <w:id w:val="147474898"/>
                    </w:sdtPr>
                    <w:sdtContent>
                      <w:p>
                        <w:pPr>
                          <w:pStyle w:val="11"/>
                          <w:jc w:val="center"/>
                        </w:pPr>
                        <w:r>
                          <w:fldChar w:fldCharType="begin"/>
                        </w:r>
                        <w:r>
                          <w:instrText xml:space="preserve">PAGE   \* MERGEFORMAT</w:instrText>
                        </w:r>
                        <w:r>
                          <w:fldChar w:fldCharType="separate"/>
                        </w:r>
                        <w:r>
                          <w:rPr>
                            <w:lang w:val="zh-CN"/>
                          </w:rPr>
                          <w:t>15</w:t>
                        </w:r>
                        <w:r>
                          <w:fldChar w:fldCharType="end"/>
                        </w:r>
                      </w:p>
                    </w:sdtContent>
                  </w:sdt>
                  <w:p>
                    <w:pPr>
                      <w:pStyle w:val="8"/>
                    </w:pPr>
                  </w:p>
                </w:txbxContent>
              </v:textbox>
            </v:shape>
          </w:pict>
        </mc:Fallback>
      </mc:AlternateContent>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ascii="黑体" w:hAnsi="黑体" w:eastAsia="黑体" w:cs="黑体"/>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1809DF0"/>
    <w:multiLevelType w:val="singleLevel"/>
    <w:tmpl w:val="11809DF0"/>
    <w:lvl w:ilvl="0" w:tentative="0">
      <w:start w:val="8"/>
      <w:numFmt w:val="chineseCounting"/>
      <w:suff w:val="nothing"/>
      <w:lvlText w:val="%1、"/>
      <w:lvlJc w:val="left"/>
      <w:rPr>
        <w:rFonts w:hint="eastAsia"/>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18883668"/>
    <w:multiLevelType w:val="singleLevel"/>
    <w:tmpl w:val="18883668"/>
    <w:lvl w:ilvl="0" w:tentative="0">
      <w:start w:val="1"/>
      <w:numFmt w:val="decimal"/>
      <w:lvlText w:val="%1."/>
      <w:lvlJc w:val="left"/>
      <w:pPr>
        <w:tabs>
          <w:tab w:val="left" w:pos="312"/>
        </w:tabs>
      </w:pPr>
    </w:lvl>
  </w:abstractNum>
  <w:abstractNum w:abstractNumId="5">
    <w:nsid w:val="3818A09A"/>
    <w:multiLevelType w:val="singleLevel"/>
    <w:tmpl w:val="3818A09A"/>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xZmRjNDBhNTVhNTI4NGY0YjI2ZWUyOWMzNDY0MGY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065BD1"/>
    <w:rsid w:val="02E04119"/>
    <w:rsid w:val="03CF210C"/>
    <w:rsid w:val="03DC2831"/>
    <w:rsid w:val="056C1B10"/>
    <w:rsid w:val="05A37CCE"/>
    <w:rsid w:val="064F2C3F"/>
    <w:rsid w:val="081B5E94"/>
    <w:rsid w:val="0A2032A3"/>
    <w:rsid w:val="0A2D5046"/>
    <w:rsid w:val="0AB411E5"/>
    <w:rsid w:val="0B1B4E9F"/>
    <w:rsid w:val="0B8A37D8"/>
    <w:rsid w:val="0BD32D3A"/>
    <w:rsid w:val="0C8B217B"/>
    <w:rsid w:val="0CE97110"/>
    <w:rsid w:val="0D81122F"/>
    <w:rsid w:val="0DAF4B8F"/>
    <w:rsid w:val="0F5FFB2F"/>
    <w:rsid w:val="0FFFCF60"/>
    <w:rsid w:val="10C055FF"/>
    <w:rsid w:val="11186A50"/>
    <w:rsid w:val="118107EC"/>
    <w:rsid w:val="11DD6519"/>
    <w:rsid w:val="129A71A6"/>
    <w:rsid w:val="13BF9CA0"/>
    <w:rsid w:val="1565422D"/>
    <w:rsid w:val="16BB723D"/>
    <w:rsid w:val="18015F3F"/>
    <w:rsid w:val="18CE3E98"/>
    <w:rsid w:val="1B6E65DC"/>
    <w:rsid w:val="1B81291B"/>
    <w:rsid w:val="1BE8440E"/>
    <w:rsid w:val="1C0A168B"/>
    <w:rsid w:val="1C2838BF"/>
    <w:rsid w:val="1C4E5E56"/>
    <w:rsid w:val="1D155CEE"/>
    <w:rsid w:val="1D5801CB"/>
    <w:rsid w:val="1D6752EC"/>
    <w:rsid w:val="1D810D61"/>
    <w:rsid w:val="1DB00010"/>
    <w:rsid w:val="1FDBBF84"/>
    <w:rsid w:val="1FFFB577"/>
    <w:rsid w:val="207C324D"/>
    <w:rsid w:val="20F57F95"/>
    <w:rsid w:val="217952E8"/>
    <w:rsid w:val="22E63EDA"/>
    <w:rsid w:val="240371BF"/>
    <w:rsid w:val="25537133"/>
    <w:rsid w:val="25711CC6"/>
    <w:rsid w:val="258567C1"/>
    <w:rsid w:val="25C741E6"/>
    <w:rsid w:val="26815D03"/>
    <w:rsid w:val="26F15921"/>
    <w:rsid w:val="276F80C0"/>
    <w:rsid w:val="27842671"/>
    <w:rsid w:val="29FD04D3"/>
    <w:rsid w:val="2ABE7A3E"/>
    <w:rsid w:val="2AFF09B6"/>
    <w:rsid w:val="2C1D08DF"/>
    <w:rsid w:val="2CA234A8"/>
    <w:rsid w:val="2CB745EA"/>
    <w:rsid w:val="2DB96AB6"/>
    <w:rsid w:val="2DF87595"/>
    <w:rsid w:val="2E386AC1"/>
    <w:rsid w:val="2E3F1AB8"/>
    <w:rsid w:val="2EFA178C"/>
    <w:rsid w:val="2EFDF86C"/>
    <w:rsid w:val="2F9D17E1"/>
    <w:rsid w:val="30B46D73"/>
    <w:rsid w:val="319F7F4E"/>
    <w:rsid w:val="3238326F"/>
    <w:rsid w:val="3253123E"/>
    <w:rsid w:val="34301A6E"/>
    <w:rsid w:val="356A28F1"/>
    <w:rsid w:val="357C035A"/>
    <w:rsid w:val="35AE86DF"/>
    <w:rsid w:val="368E000D"/>
    <w:rsid w:val="37FC0DE2"/>
    <w:rsid w:val="383D272C"/>
    <w:rsid w:val="397A4956"/>
    <w:rsid w:val="39AE70AB"/>
    <w:rsid w:val="39B6C93E"/>
    <w:rsid w:val="39D64176"/>
    <w:rsid w:val="3A4DCE41"/>
    <w:rsid w:val="3AEED8FA"/>
    <w:rsid w:val="3BCB56FA"/>
    <w:rsid w:val="3BEB798C"/>
    <w:rsid w:val="3BFFDADE"/>
    <w:rsid w:val="3C0C0783"/>
    <w:rsid w:val="3CE21B3C"/>
    <w:rsid w:val="3D516EDE"/>
    <w:rsid w:val="3EE7C2F4"/>
    <w:rsid w:val="3F0062A9"/>
    <w:rsid w:val="3F0F2990"/>
    <w:rsid w:val="3F371B56"/>
    <w:rsid w:val="3F792ED8"/>
    <w:rsid w:val="3F9F3A96"/>
    <w:rsid w:val="3FAC01DF"/>
    <w:rsid w:val="3FECA4B2"/>
    <w:rsid w:val="3FF58C48"/>
    <w:rsid w:val="408E530C"/>
    <w:rsid w:val="409D5D7A"/>
    <w:rsid w:val="40C15F0C"/>
    <w:rsid w:val="42144B18"/>
    <w:rsid w:val="427E301C"/>
    <w:rsid w:val="428042FE"/>
    <w:rsid w:val="42FF6694"/>
    <w:rsid w:val="455E0086"/>
    <w:rsid w:val="469D2F78"/>
    <w:rsid w:val="48A26623"/>
    <w:rsid w:val="48BF60AB"/>
    <w:rsid w:val="493C27E9"/>
    <w:rsid w:val="496F39ED"/>
    <w:rsid w:val="49FF41D3"/>
    <w:rsid w:val="4BE068DB"/>
    <w:rsid w:val="4BF6002B"/>
    <w:rsid w:val="4BFA7781"/>
    <w:rsid w:val="4BFFC6BE"/>
    <w:rsid w:val="4C7C1670"/>
    <w:rsid w:val="4D0E4287"/>
    <w:rsid w:val="4D783DF7"/>
    <w:rsid w:val="4E9B1B4B"/>
    <w:rsid w:val="4EB97908"/>
    <w:rsid w:val="4ECE2238"/>
    <w:rsid w:val="501A6340"/>
    <w:rsid w:val="50355FCF"/>
    <w:rsid w:val="50833A85"/>
    <w:rsid w:val="51DB4B86"/>
    <w:rsid w:val="51F64DB0"/>
    <w:rsid w:val="536C5EBC"/>
    <w:rsid w:val="55190B9F"/>
    <w:rsid w:val="55333C3E"/>
    <w:rsid w:val="566E223B"/>
    <w:rsid w:val="56D402F0"/>
    <w:rsid w:val="57F7435A"/>
    <w:rsid w:val="5976607C"/>
    <w:rsid w:val="599D7A3E"/>
    <w:rsid w:val="5C6C0FCA"/>
    <w:rsid w:val="5F5936E3"/>
    <w:rsid w:val="5F67802D"/>
    <w:rsid w:val="5F7DC4F2"/>
    <w:rsid w:val="5FB36814"/>
    <w:rsid w:val="5FBB8E56"/>
    <w:rsid w:val="5FFB5535"/>
    <w:rsid w:val="6014175D"/>
    <w:rsid w:val="647655E9"/>
    <w:rsid w:val="64CA39A1"/>
    <w:rsid w:val="69630ADE"/>
    <w:rsid w:val="69BD5F13"/>
    <w:rsid w:val="69FB0B4B"/>
    <w:rsid w:val="6AC41978"/>
    <w:rsid w:val="6BFFE1FB"/>
    <w:rsid w:val="6C411B2C"/>
    <w:rsid w:val="6C47110C"/>
    <w:rsid w:val="6C4A05C8"/>
    <w:rsid w:val="6D3B1A89"/>
    <w:rsid w:val="6DB7D8A3"/>
    <w:rsid w:val="6EC78701"/>
    <w:rsid w:val="6F7A5481"/>
    <w:rsid w:val="6FFD1D52"/>
    <w:rsid w:val="6FFD4EB7"/>
    <w:rsid w:val="6FFE07A9"/>
    <w:rsid w:val="705F6A24"/>
    <w:rsid w:val="71BF4EC2"/>
    <w:rsid w:val="72734D90"/>
    <w:rsid w:val="73E75B71"/>
    <w:rsid w:val="7412278C"/>
    <w:rsid w:val="75DDCDA9"/>
    <w:rsid w:val="75FF44B1"/>
    <w:rsid w:val="76BE5068"/>
    <w:rsid w:val="77670518"/>
    <w:rsid w:val="777FA627"/>
    <w:rsid w:val="77DF1B5F"/>
    <w:rsid w:val="77EF2D9D"/>
    <w:rsid w:val="78F955B0"/>
    <w:rsid w:val="79E7B28D"/>
    <w:rsid w:val="7ACFF0C2"/>
    <w:rsid w:val="7AFB9108"/>
    <w:rsid w:val="7B3E4646"/>
    <w:rsid w:val="7BD5340C"/>
    <w:rsid w:val="7BDFD632"/>
    <w:rsid w:val="7BFB19D2"/>
    <w:rsid w:val="7BFD1750"/>
    <w:rsid w:val="7BFDAA1B"/>
    <w:rsid w:val="7C0524A7"/>
    <w:rsid w:val="7CDF9A82"/>
    <w:rsid w:val="7CFFA1BD"/>
    <w:rsid w:val="7D2E3F7A"/>
    <w:rsid w:val="7DDE7D48"/>
    <w:rsid w:val="7DED9490"/>
    <w:rsid w:val="7DFF4872"/>
    <w:rsid w:val="7E5356EF"/>
    <w:rsid w:val="7E584AB3"/>
    <w:rsid w:val="7E7487E6"/>
    <w:rsid w:val="7E7C2A54"/>
    <w:rsid w:val="7EEEFD72"/>
    <w:rsid w:val="7F1D517C"/>
    <w:rsid w:val="7F5DA057"/>
    <w:rsid w:val="7F6C2237"/>
    <w:rsid w:val="7F7F319B"/>
    <w:rsid w:val="7F9F20EE"/>
    <w:rsid w:val="7F9FB85F"/>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AD7D0BC6"/>
    <w:rsid w:val="B6FBDF58"/>
    <w:rsid w:val="B9FBDBD0"/>
    <w:rsid w:val="BDFEA317"/>
    <w:rsid w:val="C3B4F0D7"/>
    <w:rsid w:val="CD9BBABB"/>
    <w:rsid w:val="CF99F292"/>
    <w:rsid w:val="D5DA60B3"/>
    <w:rsid w:val="D7C6F579"/>
    <w:rsid w:val="D8FECA92"/>
    <w:rsid w:val="DAFFBE66"/>
    <w:rsid w:val="DB3B088A"/>
    <w:rsid w:val="DBBDB41E"/>
    <w:rsid w:val="DD2C0BFE"/>
    <w:rsid w:val="DD5F1329"/>
    <w:rsid w:val="DE3F332B"/>
    <w:rsid w:val="DE6F4A3D"/>
    <w:rsid w:val="DF69F8B0"/>
    <w:rsid w:val="DFC71555"/>
    <w:rsid w:val="DFFC559C"/>
    <w:rsid w:val="DFFEDFAE"/>
    <w:rsid w:val="DFFFB5EB"/>
    <w:rsid w:val="E4B33E57"/>
    <w:rsid w:val="E5BF946A"/>
    <w:rsid w:val="E67FC561"/>
    <w:rsid w:val="EB39BD45"/>
    <w:rsid w:val="EBCF1FC2"/>
    <w:rsid w:val="EBD18F66"/>
    <w:rsid w:val="ED17392C"/>
    <w:rsid w:val="ED9FFD9A"/>
    <w:rsid w:val="EDB7968B"/>
    <w:rsid w:val="EEF73F60"/>
    <w:rsid w:val="EF1FD023"/>
    <w:rsid w:val="EFED9E42"/>
    <w:rsid w:val="EFFE8434"/>
    <w:rsid w:val="EFFFB194"/>
    <w:rsid w:val="F2E1F9D4"/>
    <w:rsid w:val="F5FF7449"/>
    <w:rsid w:val="F7773E54"/>
    <w:rsid w:val="F7880819"/>
    <w:rsid w:val="F7AF180D"/>
    <w:rsid w:val="F7BDBFA7"/>
    <w:rsid w:val="F7BFEFE4"/>
    <w:rsid w:val="F7FAD68F"/>
    <w:rsid w:val="F7FB14CF"/>
    <w:rsid w:val="FB3FC69C"/>
    <w:rsid w:val="FBDFF225"/>
    <w:rsid w:val="FBF7AB63"/>
    <w:rsid w:val="FBFF2445"/>
    <w:rsid w:val="FC2F3373"/>
    <w:rsid w:val="FCF51535"/>
    <w:rsid w:val="FD6D628B"/>
    <w:rsid w:val="FD77F6B8"/>
    <w:rsid w:val="FDD69328"/>
    <w:rsid w:val="FDDFEC0E"/>
    <w:rsid w:val="FDE58BDD"/>
    <w:rsid w:val="FDEC7001"/>
    <w:rsid w:val="FEDFE87F"/>
    <w:rsid w:val="FEF1D25B"/>
    <w:rsid w:val="FF3EF90F"/>
    <w:rsid w:val="FF7FD18D"/>
    <w:rsid w:val="FF9B59CF"/>
    <w:rsid w:val="FFAF6081"/>
    <w:rsid w:val="FFECCD8C"/>
    <w:rsid w:val="FFED60BD"/>
    <w:rsid w:val="FFEE08F0"/>
    <w:rsid w:val="FFEE7F9F"/>
    <w:rsid w:val="FFFF3197"/>
    <w:rsid w:val="FFFFEAC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200" w:leftChars="200"/>
    </w:pPr>
    <w:rPr>
      <w:rFonts w:ascii="仿宋_GB2312"/>
      <w:szCs w:val="32"/>
    </w:rPr>
  </w:style>
  <w:style w:type="paragraph" w:styleId="8">
    <w:name w:val="Body Text"/>
    <w:basedOn w:val="1"/>
    <w:link w:val="25"/>
    <w:qFormat/>
    <w:uiPriority w:val="99"/>
    <w:pPr>
      <w:spacing w:beforeLines="30"/>
    </w:pPr>
    <w:rPr>
      <w:rFonts w:ascii="仿宋_GB2312" w:eastAsia="仿宋_GB2312"/>
      <w:kern w:val="0"/>
      <w:sz w:val="30"/>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1"/>
    <w:semiHidden/>
    <w:unhideWhenUsed/>
    <w:qFormat/>
    <w:uiPriority w:val="99"/>
    <w:rPr>
      <w:sz w:val="18"/>
      <w:szCs w:val="18"/>
    </w:rPr>
  </w:style>
  <w:style w:type="paragraph" w:styleId="11">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2"/>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11"/>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8"/>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5"/>
    <w:qFormat/>
    <w:uiPriority w:val="9"/>
    <w:rPr>
      <w:rFonts w:ascii="Times New Roman" w:hAnsi="Times New Roman"/>
      <w:b/>
      <w:bCs/>
      <w:kern w:val="44"/>
      <w:sz w:val="44"/>
      <w:szCs w:val="44"/>
    </w:rPr>
  </w:style>
  <w:style w:type="character" w:customStyle="1" w:styleId="29">
    <w:name w:val="标题 2 字符"/>
    <w:basedOn w:val="16"/>
    <w:link w:val="6"/>
    <w:qFormat/>
    <w:uiPriority w:val="9"/>
    <w:rPr>
      <w:rFonts w:asciiTheme="majorHAnsi" w:hAnsiTheme="majorHAnsi" w:eastAsiaTheme="majorEastAsia" w:cstheme="majorBidi"/>
      <w:b/>
      <w:bCs/>
      <w:kern w:val="2"/>
      <w:sz w:val="32"/>
      <w:szCs w:val="32"/>
    </w:rPr>
  </w:style>
  <w:style w:type="paragraph" w:customStyle="1" w:styleId="30">
    <w:name w:val="TOC 标题1"/>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10"/>
    <w:semiHidden/>
    <w:qFormat/>
    <w:uiPriority w:val="99"/>
    <w:rPr>
      <w:rFonts w:ascii="Times New Roman" w:hAnsi="Times New Roman"/>
      <w:kern w:val="2"/>
      <w:sz w:val="18"/>
      <w:szCs w:val="18"/>
    </w:rPr>
  </w:style>
  <w:style w:type="character" w:customStyle="1" w:styleId="32">
    <w:name w:val="标题 3 字符"/>
    <w:basedOn w:val="16"/>
    <w:link w:val="7"/>
    <w:qFormat/>
    <w:uiPriority w:val="9"/>
    <w:rPr>
      <w:rFonts w:ascii="Times New Roman" w:hAnsi="Times New Roman"/>
      <w:b/>
      <w:bCs/>
      <w:kern w:val="2"/>
      <w:sz w:val="32"/>
      <w:szCs w:val="32"/>
    </w:rPr>
  </w:style>
  <w:style w:type="paragraph" w:customStyle="1" w:styleId="33">
    <w:name w:val="TOC 标题2"/>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WPSOffice手动目录 1"/>
    <w:qFormat/>
    <w:uiPriority w:val="0"/>
    <w:pPr>
      <w:ind w:leftChars="0"/>
    </w:pPr>
    <w:rPr>
      <w:rFonts w:asciiTheme="minorHAnsi" w:hAnsiTheme="minorHAnsi" w:eastAsiaTheme="minorEastAsia" w:cstheme="minorBidi"/>
      <w:sz w:val="20"/>
      <w:szCs w:val="20"/>
    </w:rPr>
  </w:style>
  <w:style w:type="paragraph" w:customStyle="1" w:styleId="35">
    <w:name w:val="WPSOffice手动目录 2"/>
    <w:qFormat/>
    <w:uiPriority w:val="0"/>
    <w:pPr>
      <w:ind w:leftChars="200"/>
    </w:pPr>
    <w:rPr>
      <w:rFonts w:asciiTheme="minorHAnsi" w:hAnsiTheme="minorHAnsi" w:eastAsiaTheme="minorEastAsia" w:cstheme="minorBidi"/>
      <w:sz w:val="20"/>
      <w:szCs w:val="20"/>
    </w:rPr>
  </w:style>
  <w:style w:type="paragraph" w:customStyle="1" w:styleId="36">
    <w:name w:val="WPSOffice手动目录 3"/>
    <w:qFormat/>
    <w:uiPriority w:val="0"/>
    <w:pPr>
      <w:ind w:leftChars="4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2ASWAN\2023&#24180;&#37096;&#38376;&#20915;&#31639;\2023&#24180;&#20915;&#31639;&#20844;&#24320;\&#22270;&#34920;.xls"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D:\2ASWAN\2023&#24180;&#37096;&#38376;&#20915;&#31639;\2023&#24180;&#20915;&#31639;&#20844;&#24320;\&#22270;&#34920;.xls"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3.xlsx"/></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1.xlsx"/></Relationships>
</file>

<file path=word/charts/_rels/chart6.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ASWAN\2023&#24180;&#37096;&#38376;&#20915;&#31639;\2023&#24180;&#20915;&#31639;&#20844;&#24320;\&#22270;&#349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rPr lang="en-US" altLang="zh-CN"/>
              <a:t>2023</a:t>
            </a:r>
            <a:r>
              <a:rPr altLang="en-US"/>
              <a:t>年和</a:t>
            </a:r>
            <a:r>
              <a:rPr lang="en-US" altLang="zh-CN"/>
              <a:t>2024</a:t>
            </a:r>
            <a:r>
              <a:rPr altLang="en-US"/>
              <a:t>年收入支出对比图</a:t>
            </a:r>
            <a:endParaRPr altLang="en-US"/>
          </a:p>
        </c:rich>
      </c:tx>
      <c:layout/>
      <c:overlay val="false"/>
      <c:spPr>
        <a:noFill/>
        <a:ln>
          <a:noFill/>
        </a:ln>
        <a:effectLst/>
      </c:spPr>
    </c:title>
    <c:autoTitleDeleted val="false"/>
    <c:plotArea>
      <c:layout/>
      <c:barChart>
        <c:barDir val="col"/>
        <c:grouping val="clustered"/>
        <c:varyColors val="false"/>
        <c:ser>
          <c:idx val="0"/>
          <c:order val="0"/>
          <c:tx>
            <c:strRef>
              <c:f>Sheet1!$B$1</c:f>
              <c:strCache>
                <c:ptCount val="1"/>
                <c:pt idx="0">
                  <c:v>2023年</c:v>
                </c:pt>
              </c:strCache>
            </c:strRef>
          </c:tx>
          <c:spPr>
            <a:solidFill>
              <a:schemeClr val="accent1"/>
            </a:solidFill>
            <a:ln>
              <a:noFill/>
            </a:ln>
            <a:effectLst/>
          </c:spPr>
          <c:invertIfNegative val="false"/>
          <c:dLbls>
            <c:dLbl>
              <c:idx val="0"/>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386.2</a:t>
                    </a:r>
                    <a:r>
                      <a:rPr lang="en-US" altLang="zh-CN"/>
                      <a:t>0</a:t>
                    </a:r>
                    <a:endParaRPr lang="en-US" altLang="zh-CN"/>
                  </a:p>
                </c:rich>
              </c:tx>
              <c:dLblPos val="outEnd"/>
              <c:showLegendKey val="false"/>
              <c:showVal val="true"/>
              <c:showCatName val="false"/>
              <c:showSerName val="false"/>
              <c:showPercent val="false"/>
              <c:showBubbleSize val="false"/>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386.2</a:t>
                    </a:r>
                    <a:r>
                      <a:rPr lang="en-US" altLang="zh-CN"/>
                      <a:t>0</a:t>
                    </a:r>
                    <a:endParaRPr lang="en-US" altLang="zh-CN"/>
                  </a:p>
                </c:rich>
              </c:tx>
              <c:dLblPos val="outEnd"/>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收入（万元）</c:v>
                </c:pt>
                <c:pt idx="1">
                  <c:v>支出（万元）</c:v>
                </c:pt>
              </c:strCache>
            </c:strRef>
          </c:cat>
          <c:val>
            <c:numRef>
              <c:f>Sheet1!$B$2:$B$3</c:f>
              <c:numCache>
                <c:formatCode>General</c:formatCode>
                <c:ptCount val="2"/>
                <c:pt idx="0">
                  <c:v>386.2</c:v>
                </c:pt>
                <c:pt idx="1">
                  <c:v>386.2</c:v>
                </c:pt>
              </c:numCache>
            </c:numRef>
          </c:val>
        </c:ser>
        <c:ser>
          <c:idx val="1"/>
          <c:order val="1"/>
          <c:tx>
            <c:strRef>
              <c:f>Sheet1!$C$1</c:f>
              <c:strCache>
                <c:ptCount val="1"/>
                <c:pt idx="0">
                  <c:v>2024年</c:v>
                </c:pt>
              </c:strCache>
            </c:strRef>
          </c:tx>
          <c:spPr>
            <a:solidFill>
              <a:schemeClr val="accent2"/>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收入（万元）</c:v>
                </c:pt>
                <c:pt idx="1">
                  <c:v>支出（万元）</c:v>
                </c:pt>
              </c:strCache>
            </c:strRef>
          </c:cat>
          <c:val>
            <c:numRef>
              <c:f>Sheet1!$C$2:$C$3</c:f>
              <c:numCache>
                <c:formatCode>General</c:formatCode>
                <c:ptCount val="2"/>
                <c:pt idx="0">
                  <c:v>290.68</c:v>
                </c:pt>
                <c:pt idx="1">
                  <c:v>290.68</c:v>
                </c:pt>
              </c:numCache>
            </c:numRef>
          </c:val>
        </c:ser>
        <c:dLbls>
          <c:showLegendKey val="false"/>
          <c:showVal val="true"/>
          <c:showCatName val="false"/>
          <c:showSerName val="false"/>
          <c:showPercent val="false"/>
          <c:showBubbleSize val="false"/>
        </c:dLbls>
        <c:gapWidth val="246"/>
        <c:overlap val="-28"/>
        <c:axId val="192274635"/>
        <c:axId val="949723098"/>
      </c:barChart>
      <c:catAx>
        <c:axId val="192274635"/>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49723098"/>
        <c:crosses val="autoZero"/>
        <c:auto val="true"/>
        <c:lblAlgn val="ctr"/>
        <c:lblOffset val="100"/>
        <c:noMultiLvlLbl val="false"/>
      </c:catAx>
      <c:valAx>
        <c:axId val="949723098"/>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92274635"/>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收入金额（万元）</a:t>
            </a:r>
          </a:p>
        </c:rich>
      </c:tx>
      <c:layout>
        <c:manualLayout>
          <c:xMode val="edge"/>
          <c:yMode val="edge"/>
          <c:x val="0.342236842105263"/>
          <c:y val="0.0277777777777778"/>
        </c:manualLayout>
      </c:layout>
      <c:overlay val="false"/>
      <c:spPr>
        <a:noFill/>
        <a:ln>
          <a:noFill/>
        </a:ln>
        <a:effectLst/>
      </c:spPr>
    </c:title>
    <c:autoTitleDeleted val="false"/>
    <c:plotArea>
      <c:layout/>
      <c:pieChart>
        <c:varyColors val="true"/>
        <c:ser>
          <c:idx val="0"/>
          <c:order val="0"/>
          <c:tx>
            <c:strRef>
              <c:f>[图表.xls]Sheet1!$D$44</c:f>
              <c:strCache>
                <c:ptCount val="1"/>
                <c:pt idx="0">
                  <c:v>收入金额（万元）</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Pt>
            <c:idx val="4"/>
            <c:bubble3D val="false"/>
            <c:spPr>
              <a:solidFill>
                <a:schemeClr val="accent5"/>
              </a:solidFill>
              <a:ln>
                <a:solidFill>
                  <a:schemeClr val="bg1"/>
                </a:solidFill>
              </a:ln>
              <a:effectLst/>
            </c:spPr>
          </c:dPt>
          <c:dPt>
            <c:idx val="5"/>
            <c:bubble3D val="false"/>
            <c:spPr>
              <a:solidFill>
                <a:schemeClr val="accent6"/>
              </a:solidFill>
              <a:ln>
                <a:solidFill>
                  <a:schemeClr val="bg1"/>
                </a:solidFill>
              </a:ln>
              <a:effectLst/>
            </c:spPr>
          </c:dPt>
          <c:dPt>
            <c:idx val="6"/>
            <c:bubble3D val="false"/>
            <c:spPr>
              <a:solidFill>
                <a:schemeClr val="accent1">
                  <a:lumMod val="60000"/>
                </a:schemeClr>
              </a:solidFill>
              <a:ln>
                <a:solidFill>
                  <a:schemeClr val="bg1"/>
                </a:solidFill>
              </a:ln>
              <a:effectLst/>
            </c:spPr>
          </c:dPt>
          <c:dLbls>
            <c:dLbl>
              <c:idx val="0"/>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290.68</a:t>
                    </a:r>
                    <a:endParaRPr lang="en-US" altLang="zh-CN"/>
                  </a:p>
                </c:rich>
              </c:tx>
              <c:dLblPos val="bestFit"/>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[图表.xls]Sheet1!$C$45:$C$51</c:f>
              <c:strCache>
                <c:ptCount val="7"/>
                <c:pt idx="0">
                  <c:v>一般公共预算财政拨款收入</c:v>
                </c:pt>
                <c:pt idx="1">
                  <c:v>政府性基金预算财政拨款收入</c:v>
                </c:pt>
                <c:pt idx="2">
                  <c:v>上级补助收入</c:v>
                </c:pt>
                <c:pt idx="3">
                  <c:v>事业收入</c:v>
                </c:pt>
                <c:pt idx="4">
                  <c:v>经营收入</c:v>
                </c:pt>
                <c:pt idx="5">
                  <c:v>附属单位上缴收入</c:v>
                </c:pt>
                <c:pt idx="6">
                  <c:v>其他收入</c:v>
                </c:pt>
              </c:strCache>
            </c:strRef>
          </c:cat>
          <c:val>
            <c:numRef>
              <c:f>[图表.xls]Sheet1!$D$45:$D$51</c:f>
              <c:numCache>
                <c:formatCode>#,##0.00_ </c:formatCode>
                <c:ptCount val="7"/>
                <c:pt idx="0">
                  <c:v>386.2</c:v>
                </c:pt>
                <c:pt idx="1">
                  <c:v>0</c:v>
                </c:pt>
                <c:pt idx="2">
                  <c:v>0</c:v>
                </c:pt>
                <c:pt idx="3">
                  <c:v>0</c:v>
                </c:pt>
                <c:pt idx="4">
                  <c:v>0</c:v>
                </c:pt>
                <c:pt idx="5">
                  <c:v>0</c:v>
                </c:pt>
                <c:pt idx="6">
                  <c:v>0</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pieChart>
        <c:varyColors val="true"/>
        <c:ser>
          <c:idx val="0"/>
          <c:order val="0"/>
          <c:tx>
            <c:strRef>
              <c:f>[图表.xls]Sheet1!$D$64</c:f>
              <c:strCache>
                <c:ptCount val="1"/>
                <c:pt idx="0">
                  <c:v>支出金额（万元）</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Pt>
            <c:idx val="4"/>
            <c:bubble3D val="false"/>
            <c:spPr>
              <a:solidFill>
                <a:schemeClr val="accent5"/>
              </a:solidFill>
              <a:ln>
                <a:solidFill>
                  <a:schemeClr val="bg1"/>
                </a:solidFill>
              </a:ln>
              <a:effectLst/>
            </c:spPr>
          </c:dPt>
          <c:dLbls>
            <c:dLbl>
              <c:idx val="0"/>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290.68</a:t>
                    </a:r>
                    <a:r>
                      <a:t>, 100%</a:t>
                    </a:r>
                  </a:p>
                </c:rich>
              </c:tx>
              <c:dLblPos val="bestFit"/>
              <c:showLegendKey val="false"/>
              <c:showVal val="true"/>
              <c:showCatName val="false"/>
              <c:showSerName val="false"/>
              <c:showPercent val="tru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[图表.xls]Sheet1!$C$65:$C$69</c:f>
              <c:strCache>
                <c:ptCount val="5"/>
                <c:pt idx="0">
                  <c:v>基本支出</c:v>
                </c:pt>
                <c:pt idx="1">
                  <c:v>项目支出</c:v>
                </c:pt>
                <c:pt idx="2">
                  <c:v>上缴上级支出</c:v>
                </c:pt>
                <c:pt idx="3">
                  <c:v>经营支出</c:v>
                </c:pt>
                <c:pt idx="4">
                  <c:v>对附属单位补助支出</c:v>
                </c:pt>
              </c:strCache>
            </c:strRef>
          </c:cat>
          <c:val>
            <c:numRef>
              <c:f>[图表.xls]Sheet1!$D$65:$D$69</c:f>
              <c:numCache>
                <c:formatCode>#,##0.00_ </c:formatCode>
                <c:ptCount val="5"/>
                <c:pt idx="0">
                  <c:v>386.2</c:v>
                </c:pt>
                <c:pt idx="1">
                  <c:v>0</c:v>
                </c:pt>
                <c:pt idx="2">
                  <c:v>0</c:v>
                </c:pt>
                <c:pt idx="3">
                  <c:v>0</c:v>
                </c:pt>
                <c:pt idx="4">
                  <c:v>0</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a:t>
            </a:r>
          </a:p>
        </c:rich>
      </c:tx>
      <c:layout/>
      <c:overlay val="false"/>
      <c:spPr>
        <a:noFill/>
        <a:ln>
          <a:noFill/>
        </a:ln>
        <a:effectLst/>
      </c:spPr>
    </c:title>
    <c:autoTitleDeleted val="false"/>
    <c:plotArea>
      <c:layout/>
      <c:barChart>
        <c:barDir val="col"/>
        <c:grouping val="clustered"/>
        <c:varyColors val="false"/>
        <c:ser>
          <c:idx val="0"/>
          <c:order val="0"/>
          <c:tx>
            <c:strRef>
              <c:f>Sheet1!$B$1</c:f>
              <c:strCache>
                <c:ptCount val="1"/>
                <c:pt idx="0">
                  <c:v>2023年</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Sheet1!$A$2:$A$5</c:f>
              <c:strCache>
                <c:ptCount val="4"/>
                <c:pt idx="0">
                  <c:v>收入（万元）</c:v>
                </c:pt>
                <c:pt idx="1">
                  <c:v>收入减少（万元）</c:v>
                </c:pt>
                <c:pt idx="2">
                  <c:v>支出（万元）</c:v>
                </c:pt>
                <c:pt idx="3">
                  <c:v>支出减少（万元）</c:v>
                </c:pt>
              </c:strCache>
            </c:strRef>
          </c:cat>
          <c:val>
            <c:numRef>
              <c:f>Sheet1!$B$2:$B$5</c:f>
              <c:numCache>
                <c:formatCode>General</c:formatCode>
                <c:ptCount val="4"/>
                <c:pt idx="0">
                  <c:v>386.2</c:v>
                </c:pt>
                <c:pt idx="2">
                  <c:v>386.2</c:v>
                </c:pt>
              </c:numCache>
            </c:numRef>
          </c:val>
        </c:ser>
        <c:ser>
          <c:idx val="1"/>
          <c:order val="1"/>
          <c:tx>
            <c:strRef>
              <c:f>Sheet1!$C$1</c:f>
              <c:strCache>
                <c:ptCount val="1"/>
                <c:pt idx="0">
                  <c:v>2024年</c:v>
                </c:pt>
              </c:strCache>
            </c:strRef>
          </c:tx>
          <c:spPr>
            <a:solidFill>
              <a:schemeClr val="accent2"/>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Sheet1!$A$2:$A$5</c:f>
              <c:strCache>
                <c:ptCount val="4"/>
                <c:pt idx="0">
                  <c:v>收入（万元）</c:v>
                </c:pt>
                <c:pt idx="1">
                  <c:v>收入减少（万元）</c:v>
                </c:pt>
                <c:pt idx="2">
                  <c:v>支出（万元）</c:v>
                </c:pt>
                <c:pt idx="3">
                  <c:v>支出减少（万元）</c:v>
                </c:pt>
              </c:strCache>
            </c:strRef>
          </c:cat>
          <c:val>
            <c:numRef>
              <c:f>Sheet1!$C$2:$C$5</c:f>
              <c:numCache>
                <c:formatCode>General</c:formatCode>
                <c:ptCount val="4"/>
                <c:pt idx="0">
                  <c:v>290.68</c:v>
                </c:pt>
                <c:pt idx="1">
                  <c:v>95.52</c:v>
                </c:pt>
                <c:pt idx="2">
                  <c:v>290.68</c:v>
                </c:pt>
                <c:pt idx="3">
                  <c:v>95.52</c:v>
                </c:pt>
              </c:numCache>
            </c:numRef>
          </c:val>
        </c:ser>
        <c:ser>
          <c:idx val="2"/>
          <c:order val="2"/>
          <c:tx>
            <c:strRef>
              <c:f>Sheet1!#REF!</c:f>
              <c:strCache>
                <c:ptCount val="1"/>
                <c:pt idx="0">
                  <c:v/>
                </c:pt>
              </c:strCache>
            </c:strRef>
          </c:tx>
          <c:spPr>
            <a:solidFill>
              <a:schemeClr val="accent3"/>
            </a:solidFill>
            <a:ln>
              <a:noFill/>
            </a:ln>
            <a:effectLst/>
          </c:spPr>
          <c:invertIfNegative val="false"/>
          <c:dLbls>
            <c:dLbl>
              <c:idx val="0"/>
              <c:delete val="true"/>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Sheet1!$A$2:$A$5</c:f>
              <c:strCache>
                <c:ptCount val="4"/>
                <c:pt idx="0">
                  <c:v>收入（万元）</c:v>
                </c:pt>
                <c:pt idx="1">
                  <c:v>收入减少（万元）</c:v>
                </c:pt>
                <c:pt idx="2">
                  <c:v>支出（万元）</c:v>
                </c:pt>
                <c:pt idx="3">
                  <c:v>支出减少（万元）</c:v>
                </c:pt>
              </c:strCache>
            </c:strRef>
          </c:cat>
          <c:val>
            <c:numRef>
              <c:f>Sheet1!#REF!</c:f>
              <c:numCache>
                <c:formatCode>General</c:formatCode>
                <c:ptCount val="1"/>
                <c:pt idx="0">
                  <c:v>1</c:v>
                </c:pt>
              </c:numCache>
            </c:numRef>
          </c:val>
        </c:ser>
        <c:dLbls>
          <c:showLegendKey val="false"/>
          <c:showVal val="true"/>
          <c:showCatName val="false"/>
          <c:showSerName val="false"/>
          <c:showPercent val="false"/>
          <c:showBubbleSize val="false"/>
        </c:dLbls>
        <c:gapWidth val="246"/>
        <c:overlap val="-28"/>
        <c:axId val="323047571"/>
        <c:axId val="165811739"/>
      </c:barChart>
      <c:catAx>
        <c:axId val="323047571"/>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65811739"/>
        <c:crosses val="autoZero"/>
        <c:auto val="true"/>
        <c:lblAlgn val="ctr"/>
        <c:lblOffset val="100"/>
        <c:noMultiLvlLbl val="false"/>
      </c:catAx>
      <c:valAx>
        <c:axId val="165811739"/>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23047571"/>
        <c:crosses val="autoZero"/>
        <c:crossBetween val="between"/>
      </c:valAx>
      <c:spPr>
        <a:noFill/>
        <a:ln>
          <a:noFill/>
        </a:ln>
        <a:effectLst/>
      </c:spPr>
    </c:plotArea>
    <c:legend>
      <c:legendPos val="b"/>
      <c:legendEntry>
        <c:idx val="2"/>
        <c:delete val="true"/>
      </c:legendEntry>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 一般公共预算财政拨款支出决算变动情况</a:t>
            </a:r>
          </a:p>
        </c:rich>
      </c:tx>
      <c:layout/>
      <c:overlay val="false"/>
      <c:spPr>
        <a:noFill/>
        <a:ln>
          <a:noFill/>
        </a:ln>
        <a:effectLst/>
      </c:spPr>
    </c:title>
    <c:autoTitleDeleted val="false"/>
    <c:plotArea>
      <c:layout/>
      <c:barChart>
        <c:barDir val="col"/>
        <c:grouping val="clustered"/>
        <c:varyColors val="false"/>
        <c:ser>
          <c:idx val="0"/>
          <c:order val="0"/>
          <c:tx>
            <c:strRef>
              <c:f>Sheet1!#REF!</c:f>
              <c:strCache>
                <c:ptCount val="1"/>
                <c:pt idx="0">
                  <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Sheet1!$A$1:$A$3</c:f>
              <c:strCache>
                <c:ptCount val="3"/>
                <c:pt idx="0">
                  <c:v>2024年支出（万元）</c:v>
                </c:pt>
                <c:pt idx="1">
                  <c:v>与2023年支出比减少（万元）</c:v>
                </c:pt>
                <c:pt idx="2">
                  <c:v>下降幅度（%）</c:v>
                </c:pt>
              </c:strCache>
            </c:strRef>
          </c:cat>
          <c:val>
            <c:numRef>
              <c:f>Sheet1!$B$1:$B$3</c:f>
              <c:numCache>
                <c:formatCode>General</c:formatCode>
                <c:ptCount val="3"/>
                <c:pt idx="0">
                  <c:v>290.68</c:v>
                </c:pt>
                <c:pt idx="1">
                  <c:v>95.52</c:v>
                </c:pt>
                <c:pt idx="2" c:formatCode="0.0%">
                  <c:v>0.247</c:v>
                </c:pt>
              </c:numCache>
            </c:numRef>
          </c:val>
        </c:ser>
        <c:dLbls>
          <c:showLegendKey val="false"/>
          <c:showVal val="true"/>
          <c:showCatName val="false"/>
          <c:showSerName val="false"/>
          <c:showPercent val="false"/>
          <c:showBubbleSize val="false"/>
        </c:dLbls>
        <c:gapWidth val="246"/>
        <c:overlap val="-28"/>
        <c:axId val="584498066"/>
        <c:axId val="299518363"/>
      </c:barChart>
      <c:catAx>
        <c:axId val="584498066"/>
        <c:scaling>
          <c:orientation val="minMax"/>
        </c:scaling>
        <c:delete val="false"/>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99518363"/>
        <c:crosses val="autoZero"/>
        <c:auto val="true"/>
        <c:lblAlgn val="ctr"/>
        <c:lblOffset val="100"/>
        <c:noMultiLvlLbl val="false"/>
      </c:catAx>
      <c:valAx>
        <c:axId val="299518363"/>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out"/>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84498066"/>
        <c:crosses val="autoZero"/>
        <c:crossBetween val="between"/>
      </c:valAx>
      <c:dTable>
        <c:showHorzBorder val="true"/>
        <c:showVertBorder val="true"/>
        <c:showOutline val="true"/>
        <c:showKeys val="true"/>
        <c:spPr>
          <a:noFill/>
          <a:ln w="9525" cap="flat" cmpd="sng" algn="ctr">
            <a:solidFill>
              <a:schemeClr val="tx1">
                <a:lumMod val="15000"/>
                <a:lumOff val="85000"/>
              </a:schemeClr>
            </a:solidFill>
            <a:round/>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pieChart>
        <c:varyColors val="true"/>
        <c:ser>
          <c:idx val="0"/>
          <c:order val="0"/>
          <c:tx>
            <c:strRef>
              <c:f>[图表.xls]Sheet1!$D$125</c:f>
              <c:strCache>
                <c:ptCount val="1"/>
                <c:pt idx="0">
                  <c:v>支出金额（万元）</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Pt>
            <c:idx val="4"/>
            <c:bubble3D val="false"/>
            <c:spPr>
              <a:solidFill>
                <a:schemeClr val="accent5"/>
              </a:solidFill>
              <a:ln>
                <a:solidFill>
                  <a:schemeClr val="bg1"/>
                </a:solidFill>
              </a:ln>
              <a:effectLst/>
            </c:spPr>
          </c:dPt>
          <c:dPt>
            <c:idx val="5"/>
            <c:bubble3D val="false"/>
            <c:spPr>
              <a:solidFill>
                <a:schemeClr val="accent6"/>
              </a:solidFill>
              <a:ln>
                <a:solidFill>
                  <a:schemeClr val="bg1"/>
                </a:solidFill>
              </a:ln>
              <a:effectLst/>
            </c:spPr>
          </c:dPt>
          <c:dPt>
            <c:idx val="6"/>
            <c:bubble3D val="false"/>
            <c:spPr>
              <a:solidFill>
                <a:schemeClr val="accent1">
                  <a:lumMod val="60000"/>
                </a:schemeClr>
              </a:solidFill>
              <a:ln>
                <a:solidFill>
                  <a:schemeClr val="bg1"/>
                </a:solidFill>
              </a:ln>
              <a:effectLst/>
            </c:spPr>
          </c:dPt>
          <c:dLbls>
            <c:dLbl>
              <c:idx val="4"/>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290.68</a:t>
                    </a:r>
                    <a:endParaRPr lang="en-US" altLang="zh-CN"/>
                  </a:p>
                </c:rich>
              </c:tx>
              <c:dLblPos val="bestFit"/>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[图表.xls]Sheet1!$C$126:$C$132</c:f>
              <c:strCache>
                <c:ptCount val="7"/>
                <c:pt idx="0">
                  <c:v>一般公共服务支出万元</c:v>
                </c:pt>
                <c:pt idx="1">
                  <c:v>教育支出</c:v>
                </c:pt>
                <c:pt idx="2">
                  <c:v>科学技术支出</c:v>
                </c:pt>
                <c:pt idx="3">
                  <c:v>文化旅游体育与传媒支出</c:v>
                </c:pt>
                <c:pt idx="4">
                  <c:v>社会保障和就业支出</c:v>
                </c:pt>
                <c:pt idx="5">
                  <c:v>卫生健康支出</c:v>
                </c:pt>
                <c:pt idx="6">
                  <c:v>住房保障支出</c:v>
                </c:pt>
              </c:strCache>
            </c:strRef>
          </c:cat>
          <c:val>
            <c:numRef>
              <c:f>[图表.xls]Sheet1!$D$126:$D$132</c:f>
              <c:numCache>
                <c:formatCode>_ * #,##0.00_ ;_ * \-#,##0.00_ ;_ * "-"??_ ;_ @_ </c:formatCode>
                <c:ptCount val="7"/>
                <c:pt idx="0">
                  <c:v>0</c:v>
                </c:pt>
                <c:pt idx="1">
                  <c:v>0</c:v>
                </c:pt>
                <c:pt idx="2">
                  <c:v>0</c:v>
                </c:pt>
                <c:pt idx="3">
                  <c:v>0</c:v>
                </c:pt>
                <c:pt idx="4">
                  <c:v>386.2</c:v>
                </c:pt>
                <c:pt idx="5">
                  <c:v>0</c:v>
                </c:pt>
                <c:pt idx="6">
                  <c:v>0</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15</Pages>
  <Words>3347</Words>
  <Characters>3756</Characters>
  <Lines>54</Lines>
  <Paragraphs>15</Paragraphs>
  <TotalTime>29</TotalTime>
  <ScaleCrop>false</ScaleCrop>
  <LinksUpToDate>false</LinksUpToDate>
  <CharactersWithSpaces>3981</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2020-08-09T01:49:00Z</dcterms:created>
  <dc:creator>曹颖</dc:creator>
  <cp:lastModifiedBy>user</cp:lastModifiedBy>
  <cp:lastPrinted>2023-08-04T02:35:00Z</cp:lastPrinted>
  <dcterms:modified xsi:type="dcterms:W3CDTF">2025-09-08T17:53:08Z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8B3D4F83599E440984F168F95F3A3729_13</vt:lpwstr>
  </property>
  <property fmtid="{D5CDD505-2E9C-101B-9397-08002B2CF9AE}" pid="4" name="KSOTemplateDocerSaveRecord">
    <vt:lpwstr>eyJoZGlkIjoiMTUzNmNjZDUyOTdiMjQyNDc3MTkzZDhhOWM1YWE0NjMiLCJ1c2VySWQiOiIxNjM5MTAxNzIyIn0=</vt:lpwstr>
  </property>
</Properties>
</file>