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rFonts w:hint="default" w:ascii="Times New Roman" w:hAnsi="Times New Roman" w:cs="Times New Roman"/>
        </w:rPr>
      </w:pPr>
      <w:bookmarkStart w:id="0" w:name="_Toc15306267"/>
    </w:p>
    <w:p>
      <w:pPr>
        <w:spacing w:line="600" w:lineRule="exact"/>
        <w:jc w:val="left"/>
        <w:outlineLvl w:val="0"/>
        <w:rPr>
          <w:rFonts w:hint="default" w:ascii="Times New Roman" w:hAnsi="Times New Roman" w:eastAsia="方正小标宋简体" w:cs="Times New Roman"/>
          <w:szCs w:val="21"/>
        </w:rPr>
      </w:pPr>
    </w:p>
    <w:p>
      <w:pPr>
        <w:spacing w:line="600" w:lineRule="exact"/>
        <w:jc w:val="center"/>
        <w:outlineLvl w:val="0"/>
        <w:rPr>
          <w:rFonts w:hint="default" w:ascii="Times New Roman" w:hAnsi="Times New Roman" w:eastAsia="方正小标宋简体" w:cs="Times New Roman"/>
          <w:sz w:val="72"/>
          <w:szCs w:val="72"/>
        </w:rPr>
      </w:pPr>
    </w:p>
    <w:p>
      <w:pPr>
        <w:spacing w:line="600" w:lineRule="exact"/>
        <w:jc w:val="center"/>
        <w:outlineLvl w:val="0"/>
        <w:rPr>
          <w:rFonts w:hint="default" w:ascii="Times New Roman" w:hAnsi="Times New Roman" w:eastAsia="方正小标宋简体" w:cs="Times New Roman"/>
          <w:sz w:val="72"/>
          <w:szCs w:val="72"/>
        </w:rPr>
      </w:pPr>
    </w:p>
    <w:p>
      <w:pPr>
        <w:adjustRightInd w:val="0"/>
        <w:snapToGrid w:val="0"/>
        <w:spacing w:line="360" w:lineRule="auto"/>
        <w:jc w:val="center"/>
        <w:outlineLvl w:val="0"/>
        <w:rPr>
          <w:rFonts w:hint="default" w:ascii="Times New Roman" w:hAnsi="Times New Roman" w:eastAsia="方正小标宋简体" w:cs="Times New Roman"/>
          <w:sz w:val="72"/>
          <w:szCs w:val="72"/>
        </w:rPr>
      </w:pPr>
      <w:bookmarkStart w:id="1" w:name="_Toc15396597"/>
      <w:bookmarkStart w:id="2" w:name="_Toc15396475"/>
      <w:bookmarkStart w:id="3" w:name="_Toc15377193"/>
      <w:bookmarkStart w:id="4" w:name="_Toc15377425"/>
      <w:bookmarkStart w:id="5" w:name="_Toc15378441"/>
      <w:r>
        <w:rPr>
          <w:rFonts w:hint="default" w:ascii="Times New Roman" w:hAnsi="Times New Roman" w:eastAsia="方正小标宋简体" w:cs="Times New Roman"/>
          <w:sz w:val="72"/>
          <w:szCs w:val="72"/>
        </w:rPr>
        <w:t>2024年度</w:t>
      </w:r>
      <w:bookmarkEnd w:id="1"/>
      <w:bookmarkEnd w:id="2"/>
      <w:bookmarkEnd w:id="3"/>
      <w:bookmarkEnd w:id="4"/>
      <w:bookmarkEnd w:id="5"/>
    </w:p>
    <w:bookmarkEnd w:id="0"/>
    <w:p>
      <w:pPr>
        <w:adjustRightInd w:val="0"/>
        <w:snapToGrid w:val="0"/>
        <w:spacing w:line="360" w:lineRule="auto"/>
        <w:jc w:val="center"/>
        <w:outlineLvl w:val="0"/>
        <w:rPr>
          <w:rFonts w:hint="default" w:ascii="Times New Roman" w:hAnsi="Times New Roman" w:eastAsia="方正小标宋简体" w:cs="Times New Roman"/>
          <w:sz w:val="72"/>
          <w:szCs w:val="72"/>
        </w:rPr>
      </w:pPr>
      <w:bookmarkStart w:id="6" w:name="_Toc15396476"/>
      <w:bookmarkStart w:id="7" w:name="_Toc15396598"/>
      <w:bookmarkStart w:id="8" w:name="_Toc15306268"/>
      <w:bookmarkStart w:id="9" w:name="_Toc15377194"/>
      <w:bookmarkStart w:id="10" w:name="_Toc15378442"/>
      <w:bookmarkStart w:id="11" w:name="_Toc15377426"/>
      <w:r>
        <w:rPr>
          <w:rFonts w:hint="default" w:ascii="Times New Roman" w:hAnsi="Times New Roman" w:eastAsia="方正小标宋简体" w:cs="Times New Roman"/>
          <w:sz w:val="72"/>
          <w:szCs w:val="72"/>
        </w:rPr>
        <w:t>四川省有色金属工业公司单位决算</w:t>
      </w:r>
      <w:bookmarkEnd w:id="6"/>
      <w:bookmarkEnd w:id="7"/>
      <w:bookmarkEnd w:id="8"/>
      <w:bookmarkEnd w:id="9"/>
      <w:bookmarkEnd w:id="10"/>
      <w:bookmarkEnd w:id="11"/>
    </w:p>
    <w:p>
      <w:pPr>
        <w:widowControl/>
        <w:jc w:val="center"/>
        <w:rPr>
          <w:rFonts w:hint="default" w:ascii="Times New Roman" w:hAnsi="Times New Roman" w:eastAsia="黑体" w:cs="Times New Roman"/>
          <w:sz w:val="48"/>
          <w:szCs w:val="48"/>
        </w:rPr>
      </w:pPr>
      <w:r>
        <w:rPr>
          <w:rFonts w:hint="default" w:ascii="Times New Roman" w:hAnsi="Times New Roman" w:eastAsia="方正小标宋简体" w:cs="Times New Roman"/>
          <w:sz w:val="36"/>
          <w:szCs w:val="36"/>
        </w:rPr>
        <w:br w:type="page"/>
      </w:r>
      <w:r>
        <w:rPr>
          <w:rFonts w:hint="default" w:ascii="Times New Roman" w:hAnsi="Times New Roman" w:eastAsia="黑体" w:cs="Times New Roman"/>
          <w:sz w:val="48"/>
          <w:szCs w:val="48"/>
        </w:rPr>
        <w:t>目录</w:t>
      </w:r>
    </w:p>
    <w:p>
      <w:pPr>
        <w:widowControl/>
        <w:jc w:val="center"/>
        <w:rPr>
          <w:rFonts w:hint="default" w:ascii="Times New Roman" w:hAnsi="Times New Roman" w:eastAsia="黑体" w:cs="Times New Roman"/>
          <w:sz w:val="28"/>
          <w:szCs w:val="28"/>
        </w:rPr>
      </w:pPr>
    </w:p>
    <w:p>
      <w:pPr>
        <w:pStyle w:val="13"/>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公开时间：2025年9月12日</w:t>
      </w:r>
    </w:p>
    <w:p>
      <w:pPr>
        <w:rPr>
          <w:rFonts w:hint="default" w:ascii="Times New Roman" w:hAnsi="Times New Roman" w:cs="Times New Roman"/>
        </w:rPr>
      </w:pPr>
    </w:p>
    <w:p>
      <w:pPr>
        <w:keepNext w:val="0"/>
        <w:keepLines w:val="0"/>
        <w:pageBreakBefore w:val="0"/>
        <w:widowControl w:val="0"/>
        <w:tabs>
          <w:tab w:val="right" w:leader="dot" w:pos="8296"/>
        </w:tabs>
        <w:kinsoku/>
        <w:wordWrap/>
        <w:overflowPunct/>
        <w:topLinePunct w:val="0"/>
        <w:autoSpaceDE/>
        <w:autoSpaceDN/>
        <w:bidi w:val="0"/>
        <w:adjustRightInd w:val="0"/>
        <w:snapToGrid w:val="0"/>
        <w:spacing w:line="560" w:lineRule="exact"/>
        <w:jc w:val="distribute"/>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第一部分 </w:t>
      </w:r>
      <w:r>
        <w:rPr>
          <w:rFonts w:hint="default" w:ascii="Times New Roman" w:hAnsi="Times New Roman" w:eastAsia="黑体" w:cs="Times New Roman"/>
          <w:sz w:val="32"/>
          <w:szCs w:val="32"/>
          <w:lang w:eastAsia="zh-CN"/>
        </w:rPr>
        <w:t>单位</w:t>
      </w:r>
      <w:r>
        <w:rPr>
          <w:rFonts w:hint="default" w:ascii="Times New Roman" w:hAnsi="Times New Roman" w:eastAsia="黑体" w:cs="Times New Roman"/>
          <w:sz w:val="32"/>
          <w:szCs w:val="32"/>
        </w:rPr>
        <w:t>概况</w:t>
      </w:r>
      <w:r>
        <w:rPr>
          <w:rFonts w:hint="default" w:ascii="Times New Roman" w:hAnsi="Times New Roman" w:cs="Times New Roman"/>
          <w:sz w:val="32"/>
          <w:szCs w:val="32"/>
        </w:rPr>
        <w:t>...................................................................4</w:t>
      </w:r>
    </w:p>
    <w:p>
      <w:pPr>
        <w:keepNext w:val="0"/>
        <w:keepLines w:val="0"/>
        <w:pageBreakBefore w:val="0"/>
        <w:widowControl w:val="0"/>
        <w:tabs>
          <w:tab w:val="right" w:leader="dot" w:pos="8296"/>
        </w:tabs>
        <w:kinsoku/>
        <w:wordWrap/>
        <w:overflowPunct/>
        <w:topLinePunct w:val="0"/>
        <w:autoSpaceDE/>
        <w:autoSpaceDN/>
        <w:bidi w:val="0"/>
        <w:adjustRightInd w:val="0"/>
        <w:snapToGrid w:val="0"/>
        <w:spacing w:line="560" w:lineRule="exact"/>
        <w:ind w:firstLine="640" w:firstLineChars="200"/>
        <w:jc w:val="distribute"/>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w:t>
      </w:r>
      <w:r>
        <w:rPr>
          <w:rFonts w:hint="default" w:ascii="Times New Roman" w:hAnsi="Times New Roman" w:eastAsia="仿宋_GB2312" w:cs="Times New Roman"/>
          <w:sz w:val="32"/>
          <w:szCs w:val="32"/>
          <w:lang w:eastAsia="zh-CN"/>
        </w:rPr>
        <w:t>主要</w:t>
      </w:r>
      <w:r>
        <w:rPr>
          <w:rFonts w:hint="default" w:ascii="Times New Roman" w:hAnsi="Times New Roman" w:eastAsia="仿宋_GB2312" w:cs="Times New Roman"/>
          <w:sz w:val="32"/>
          <w:szCs w:val="32"/>
        </w:rPr>
        <w:t>职责</w:t>
      </w:r>
      <w:r>
        <w:rPr>
          <w:rFonts w:hint="default" w:ascii="Times New Roman" w:hAnsi="Times New Roman" w:cs="Times New Roman"/>
          <w:sz w:val="32"/>
          <w:szCs w:val="32"/>
        </w:rPr>
        <w:t>......................................................................4</w:t>
      </w:r>
    </w:p>
    <w:p>
      <w:pPr>
        <w:keepNext w:val="0"/>
        <w:keepLines w:val="0"/>
        <w:pageBreakBefore w:val="0"/>
        <w:widowControl w:val="0"/>
        <w:tabs>
          <w:tab w:val="right" w:leader="dot" w:pos="8296"/>
        </w:tabs>
        <w:kinsoku/>
        <w:wordWrap/>
        <w:overflowPunct/>
        <w:topLinePunct w:val="0"/>
        <w:autoSpaceDE/>
        <w:autoSpaceDN/>
        <w:bidi w:val="0"/>
        <w:adjustRightInd w:val="0"/>
        <w:snapToGrid w:val="0"/>
        <w:spacing w:line="560" w:lineRule="exact"/>
        <w:ind w:firstLine="640" w:firstLineChars="200"/>
        <w:jc w:val="distribute"/>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二、机构设置</w:t>
      </w:r>
      <w:r>
        <w:rPr>
          <w:rFonts w:hint="default" w:ascii="Times New Roman" w:hAnsi="Times New Roman" w:cs="Times New Roman"/>
          <w:sz w:val="32"/>
          <w:szCs w:val="32"/>
        </w:rPr>
        <w:t>.......................................................................4</w:t>
      </w:r>
    </w:p>
    <w:p>
      <w:pPr>
        <w:keepNext w:val="0"/>
        <w:keepLines w:val="0"/>
        <w:pageBreakBefore w:val="0"/>
        <w:widowControl w:val="0"/>
        <w:tabs>
          <w:tab w:val="right" w:leader="dot" w:pos="8296"/>
        </w:tabs>
        <w:kinsoku/>
        <w:wordWrap/>
        <w:overflowPunct/>
        <w:topLinePunct w:val="0"/>
        <w:autoSpaceDE/>
        <w:autoSpaceDN/>
        <w:bidi w:val="0"/>
        <w:adjustRightInd w:val="0"/>
        <w:snapToGrid w:val="0"/>
        <w:spacing w:line="560" w:lineRule="exact"/>
        <w:jc w:val="distribute"/>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第二部分 2024年度</w:t>
      </w:r>
      <w:r>
        <w:rPr>
          <w:rFonts w:hint="default" w:ascii="Times New Roman" w:hAnsi="Times New Roman" w:eastAsia="黑体" w:cs="Times New Roman"/>
          <w:sz w:val="32"/>
          <w:szCs w:val="32"/>
          <w:lang w:eastAsia="zh-CN"/>
        </w:rPr>
        <w:t>单位</w:t>
      </w:r>
      <w:r>
        <w:rPr>
          <w:rFonts w:hint="default" w:ascii="Times New Roman" w:hAnsi="Times New Roman" w:eastAsia="黑体" w:cs="Times New Roman"/>
          <w:sz w:val="32"/>
          <w:szCs w:val="32"/>
        </w:rPr>
        <w:t>决算情况说明</w:t>
      </w:r>
      <w:r>
        <w:rPr>
          <w:rFonts w:hint="default" w:ascii="Times New Roman" w:hAnsi="Times New Roman" w:cs="Times New Roman"/>
          <w:sz w:val="32"/>
          <w:szCs w:val="32"/>
        </w:rPr>
        <w:t>...................................5</w:t>
      </w:r>
    </w:p>
    <w:p>
      <w:pPr>
        <w:keepNext w:val="0"/>
        <w:keepLines w:val="0"/>
        <w:pageBreakBefore w:val="0"/>
        <w:widowControl w:val="0"/>
        <w:tabs>
          <w:tab w:val="right" w:leader="dot" w:pos="8296"/>
        </w:tabs>
        <w:kinsoku/>
        <w:wordWrap/>
        <w:overflowPunct/>
        <w:topLinePunct w:val="0"/>
        <w:autoSpaceDE/>
        <w:autoSpaceDN/>
        <w:bidi w:val="0"/>
        <w:adjustRightInd w:val="0"/>
        <w:snapToGrid w:val="0"/>
        <w:spacing w:line="560" w:lineRule="exact"/>
        <w:ind w:firstLine="640" w:firstLineChars="200"/>
        <w:jc w:val="distribute"/>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一、收入支出决算总体情况说明</w:t>
      </w:r>
      <w:r>
        <w:rPr>
          <w:rFonts w:hint="default" w:ascii="Times New Roman" w:hAnsi="Times New Roman" w:cs="Times New Roman"/>
          <w:sz w:val="32"/>
          <w:szCs w:val="32"/>
        </w:rPr>
        <w:t>......................</w:t>
      </w:r>
      <w:r>
        <w:rPr>
          <w:rFonts w:hint="default" w:ascii="Times New Roman" w:hAnsi="Times New Roman" w:cs="Times New Roman"/>
          <w:sz w:val="32"/>
          <w:szCs w:val="32"/>
        </w:rPr>
        <w:t>............</w:t>
      </w:r>
      <w:r>
        <w:rPr>
          <w:rFonts w:hint="default" w:ascii="Times New Roman" w:hAnsi="Times New Roman" w:cs="Times New Roman"/>
          <w:sz w:val="32"/>
          <w:szCs w:val="32"/>
        </w:rPr>
        <w:t>.....5</w:t>
      </w:r>
    </w:p>
    <w:p>
      <w:pPr>
        <w:keepNext w:val="0"/>
        <w:keepLines w:val="0"/>
        <w:pageBreakBefore w:val="0"/>
        <w:widowControl w:val="0"/>
        <w:tabs>
          <w:tab w:val="right" w:leader="dot" w:pos="8296"/>
        </w:tabs>
        <w:kinsoku/>
        <w:wordWrap/>
        <w:overflowPunct/>
        <w:topLinePunct w:val="0"/>
        <w:autoSpaceDE/>
        <w:autoSpaceDN/>
        <w:bidi w:val="0"/>
        <w:adjustRightInd w:val="0"/>
        <w:snapToGrid w:val="0"/>
        <w:spacing w:line="560" w:lineRule="exact"/>
        <w:ind w:firstLine="640" w:firstLineChars="200"/>
        <w:jc w:val="distribute"/>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二、收入决算情况说明</w:t>
      </w:r>
      <w:r>
        <w:rPr>
          <w:rFonts w:hint="default" w:ascii="Times New Roman" w:hAnsi="Times New Roman" w:cs="Times New Roman"/>
          <w:sz w:val="32"/>
          <w:szCs w:val="32"/>
        </w:rPr>
        <w:t>......................................................5</w:t>
      </w:r>
    </w:p>
    <w:p>
      <w:pPr>
        <w:keepNext w:val="0"/>
        <w:keepLines w:val="0"/>
        <w:pageBreakBefore w:val="0"/>
        <w:widowControl w:val="0"/>
        <w:tabs>
          <w:tab w:val="right" w:leader="dot" w:pos="8296"/>
        </w:tabs>
        <w:kinsoku/>
        <w:wordWrap/>
        <w:overflowPunct/>
        <w:topLinePunct w:val="0"/>
        <w:autoSpaceDE/>
        <w:autoSpaceDN/>
        <w:bidi w:val="0"/>
        <w:adjustRightInd w:val="0"/>
        <w:snapToGrid w:val="0"/>
        <w:spacing w:line="560" w:lineRule="exact"/>
        <w:ind w:firstLine="640" w:firstLineChars="200"/>
        <w:jc w:val="distribute"/>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三、支出决算情况说明</w:t>
      </w:r>
      <w:r>
        <w:rPr>
          <w:rFonts w:hint="default" w:ascii="Times New Roman" w:hAnsi="Times New Roman" w:cs="Times New Roman"/>
          <w:sz w:val="32"/>
          <w:szCs w:val="32"/>
        </w:rPr>
        <w:t>......................................................6</w:t>
      </w:r>
    </w:p>
    <w:p>
      <w:pPr>
        <w:keepNext w:val="0"/>
        <w:keepLines w:val="0"/>
        <w:pageBreakBefore w:val="0"/>
        <w:widowControl w:val="0"/>
        <w:tabs>
          <w:tab w:val="right" w:leader="dot" w:pos="8296"/>
        </w:tabs>
        <w:kinsoku/>
        <w:wordWrap/>
        <w:overflowPunct/>
        <w:topLinePunct w:val="0"/>
        <w:autoSpaceDE/>
        <w:autoSpaceDN/>
        <w:bidi w:val="0"/>
        <w:adjustRightInd w:val="0"/>
        <w:snapToGrid w:val="0"/>
        <w:spacing w:line="560" w:lineRule="exact"/>
        <w:ind w:firstLine="640" w:firstLineChars="200"/>
        <w:jc w:val="distribute"/>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四、财政拨款收入支出决算总体情况说明</w:t>
      </w:r>
      <w:r>
        <w:rPr>
          <w:rFonts w:hint="default" w:ascii="Times New Roman" w:hAnsi="Times New Roman" w:cs="Times New Roman"/>
          <w:sz w:val="32"/>
          <w:szCs w:val="32"/>
        </w:rPr>
        <w:t>......................6</w:t>
      </w:r>
    </w:p>
    <w:p>
      <w:pPr>
        <w:keepNext w:val="0"/>
        <w:keepLines w:val="0"/>
        <w:pageBreakBefore w:val="0"/>
        <w:widowControl w:val="0"/>
        <w:tabs>
          <w:tab w:val="right" w:leader="dot" w:pos="8296"/>
        </w:tabs>
        <w:kinsoku/>
        <w:wordWrap/>
        <w:overflowPunct/>
        <w:topLinePunct w:val="0"/>
        <w:autoSpaceDE/>
        <w:autoSpaceDN/>
        <w:bidi w:val="0"/>
        <w:adjustRightInd w:val="0"/>
        <w:snapToGrid w:val="0"/>
        <w:spacing w:line="560" w:lineRule="exact"/>
        <w:ind w:firstLine="640" w:firstLineChars="200"/>
        <w:jc w:val="distribute"/>
        <w:textAlignment w:val="auto"/>
        <w:rPr>
          <w:rFonts w:hint="eastAsia" w:ascii="Times New Roman" w:hAnsi="Times New Roman" w:eastAsia="宋体" w:cs="Times New Roman"/>
          <w:sz w:val="32"/>
          <w:szCs w:val="32"/>
          <w:lang w:eastAsia="zh-CN"/>
        </w:rPr>
      </w:pPr>
      <w:r>
        <w:rPr>
          <w:rFonts w:hint="default" w:ascii="Times New Roman" w:hAnsi="Times New Roman" w:eastAsia="仿宋_GB2312" w:cs="Times New Roman"/>
          <w:sz w:val="32"/>
          <w:szCs w:val="32"/>
        </w:rPr>
        <w:t>五、一般公共预算财政拨款支出决算情况说明</w:t>
      </w:r>
      <w:r>
        <w:rPr>
          <w:rFonts w:hint="default" w:ascii="Times New Roman" w:hAnsi="Times New Roman" w:cs="Times New Roman"/>
          <w:sz w:val="32"/>
          <w:szCs w:val="32"/>
        </w:rPr>
        <w:t>..............</w:t>
      </w:r>
      <w:r>
        <w:rPr>
          <w:rFonts w:hint="eastAsia" w:cs="Times New Roman"/>
          <w:sz w:val="32"/>
          <w:szCs w:val="32"/>
          <w:lang w:val="en-US" w:eastAsia="zh-CN"/>
        </w:rPr>
        <w:t>7</w:t>
      </w:r>
    </w:p>
    <w:p>
      <w:pPr>
        <w:keepNext w:val="0"/>
        <w:keepLines w:val="0"/>
        <w:pageBreakBefore w:val="0"/>
        <w:widowControl w:val="0"/>
        <w:tabs>
          <w:tab w:val="right" w:leader="dot" w:pos="8296"/>
        </w:tabs>
        <w:kinsoku/>
        <w:wordWrap/>
        <w:overflowPunct/>
        <w:topLinePunct w:val="0"/>
        <w:autoSpaceDE/>
        <w:autoSpaceDN/>
        <w:bidi w:val="0"/>
        <w:adjustRightInd w:val="0"/>
        <w:snapToGrid w:val="0"/>
        <w:spacing w:line="560" w:lineRule="exact"/>
        <w:ind w:firstLine="640" w:firstLineChars="200"/>
        <w:jc w:val="distribute"/>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六、一般公共预算财政拨款基本支出决算情况说明</w:t>
      </w:r>
      <w:r>
        <w:rPr>
          <w:rFonts w:hint="default" w:ascii="Times New Roman" w:hAnsi="Times New Roman" w:cs="Times New Roman"/>
          <w:sz w:val="32"/>
          <w:szCs w:val="32"/>
        </w:rPr>
        <w:t>.......8</w:t>
      </w:r>
    </w:p>
    <w:p>
      <w:pPr>
        <w:keepNext w:val="0"/>
        <w:keepLines w:val="0"/>
        <w:pageBreakBefore w:val="0"/>
        <w:widowControl w:val="0"/>
        <w:tabs>
          <w:tab w:val="right" w:leader="dot" w:pos="8296"/>
        </w:tabs>
        <w:kinsoku/>
        <w:wordWrap/>
        <w:overflowPunct/>
        <w:topLinePunct w:val="0"/>
        <w:autoSpaceDE/>
        <w:autoSpaceDN/>
        <w:bidi w:val="0"/>
        <w:adjustRightInd w:val="0"/>
        <w:snapToGrid w:val="0"/>
        <w:spacing w:line="560" w:lineRule="exact"/>
        <w:ind w:firstLine="640" w:firstLineChars="200"/>
        <w:jc w:val="distribute"/>
        <w:textAlignment w:val="auto"/>
        <w:rPr>
          <w:rFonts w:hint="eastAsia" w:ascii="Times New Roman" w:hAnsi="Times New Roman" w:eastAsia="宋体" w:cs="Times New Roman"/>
          <w:sz w:val="32"/>
          <w:szCs w:val="32"/>
          <w:lang w:eastAsia="zh-CN"/>
        </w:rPr>
      </w:pPr>
      <w:r>
        <w:rPr>
          <w:rFonts w:hint="default" w:ascii="Times New Roman" w:hAnsi="Times New Roman" w:eastAsia="仿宋_GB2312" w:cs="Times New Roman"/>
          <w:sz w:val="32"/>
          <w:szCs w:val="32"/>
        </w:rPr>
        <w:t>七、财政拨款“三公”经费支出决算情况说明</w:t>
      </w:r>
      <w:r>
        <w:rPr>
          <w:rFonts w:hint="default" w:ascii="Times New Roman" w:hAnsi="Times New Roman" w:cs="Times New Roman"/>
          <w:sz w:val="32"/>
          <w:szCs w:val="32"/>
        </w:rPr>
        <w:t>...................</w:t>
      </w:r>
      <w:r>
        <w:rPr>
          <w:rFonts w:hint="eastAsia" w:cs="Times New Roman"/>
          <w:sz w:val="32"/>
          <w:szCs w:val="32"/>
          <w:lang w:val="en-US" w:eastAsia="zh-CN"/>
        </w:rPr>
        <w:t>9</w:t>
      </w:r>
    </w:p>
    <w:p>
      <w:pPr>
        <w:keepNext w:val="0"/>
        <w:keepLines w:val="0"/>
        <w:pageBreakBefore w:val="0"/>
        <w:widowControl w:val="0"/>
        <w:tabs>
          <w:tab w:val="right" w:leader="dot" w:pos="8296"/>
        </w:tabs>
        <w:kinsoku/>
        <w:wordWrap/>
        <w:overflowPunct/>
        <w:topLinePunct w:val="0"/>
        <w:autoSpaceDE/>
        <w:autoSpaceDN/>
        <w:bidi w:val="0"/>
        <w:adjustRightInd w:val="0"/>
        <w:snapToGrid w:val="0"/>
        <w:spacing w:line="560" w:lineRule="exact"/>
        <w:ind w:firstLine="640" w:firstLineChars="200"/>
        <w:jc w:val="distribute"/>
        <w:textAlignment w:val="auto"/>
        <w:rPr>
          <w:rFonts w:hint="default" w:ascii="Times New Roman" w:hAnsi="Times New Roman" w:eastAsia="宋体" w:cs="Times New Roman"/>
          <w:sz w:val="32"/>
          <w:szCs w:val="32"/>
          <w:lang w:val="en-US" w:eastAsia="zh-CN"/>
        </w:rPr>
      </w:pPr>
      <w:r>
        <w:rPr>
          <w:rFonts w:hint="default" w:ascii="Times New Roman" w:hAnsi="Times New Roman" w:eastAsia="仿宋_GB2312" w:cs="Times New Roman"/>
          <w:sz w:val="32"/>
          <w:szCs w:val="32"/>
        </w:rPr>
        <w:t>八、政府性基金预算支出决算情况说明</w:t>
      </w:r>
      <w:r>
        <w:rPr>
          <w:rFonts w:hint="default" w:ascii="Times New Roman" w:hAnsi="Times New Roman" w:cs="Times New Roman"/>
          <w:sz w:val="32"/>
          <w:szCs w:val="32"/>
        </w:rPr>
        <w:t>.........................</w:t>
      </w:r>
      <w:r>
        <w:rPr>
          <w:rFonts w:hint="eastAsia" w:cs="Times New Roman"/>
          <w:sz w:val="32"/>
          <w:szCs w:val="32"/>
          <w:lang w:val="en-US" w:eastAsia="zh-CN"/>
        </w:rPr>
        <w:t>10</w:t>
      </w:r>
      <w:bookmarkStart w:id="67" w:name="_GoBack"/>
      <w:bookmarkEnd w:id="67"/>
    </w:p>
    <w:p>
      <w:pPr>
        <w:keepNext w:val="0"/>
        <w:keepLines w:val="0"/>
        <w:pageBreakBefore w:val="0"/>
        <w:widowControl w:val="0"/>
        <w:tabs>
          <w:tab w:val="right" w:leader="dot" w:pos="8296"/>
        </w:tabs>
        <w:kinsoku/>
        <w:wordWrap/>
        <w:overflowPunct/>
        <w:topLinePunct w:val="0"/>
        <w:autoSpaceDE/>
        <w:autoSpaceDN/>
        <w:bidi w:val="0"/>
        <w:adjustRightInd w:val="0"/>
        <w:snapToGrid w:val="0"/>
        <w:spacing w:line="560" w:lineRule="exact"/>
        <w:ind w:firstLine="640" w:firstLineChars="200"/>
        <w:jc w:val="distribute"/>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九、国有资本经营预算支出决算情况说明</w:t>
      </w:r>
      <w:r>
        <w:rPr>
          <w:rFonts w:hint="default" w:ascii="Times New Roman" w:hAnsi="Times New Roman" w:cs="Times New Roman"/>
          <w:sz w:val="32"/>
          <w:szCs w:val="32"/>
        </w:rPr>
        <w:t>.....................10</w:t>
      </w:r>
    </w:p>
    <w:p>
      <w:pPr>
        <w:keepNext w:val="0"/>
        <w:keepLines w:val="0"/>
        <w:pageBreakBefore w:val="0"/>
        <w:widowControl w:val="0"/>
        <w:tabs>
          <w:tab w:val="right" w:leader="dot" w:pos="8296"/>
        </w:tabs>
        <w:kinsoku/>
        <w:wordWrap/>
        <w:overflowPunct/>
        <w:topLinePunct w:val="0"/>
        <w:autoSpaceDE/>
        <w:autoSpaceDN/>
        <w:bidi w:val="0"/>
        <w:adjustRightInd w:val="0"/>
        <w:snapToGrid w:val="0"/>
        <w:spacing w:line="560" w:lineRule="exact"/>
        <w:ind w:firstLine="640" w:firstLineChars="200"/>
        <w:jc w:val="distribute"/>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十、其他重要事项的情况说明</w:t>
      </w:r>
      <w:r>
        <w:rPr>
          <w:rFonts w:hint="default" w:ascii="Times New Roman" w:hAnsi="Times New Roman" w:cs="Times New Roman"/>
          <w:sz w:val="32"/>
          <w:szCs w:val="32"/>
        </w:rPr>
        <w:t>........................................10</w:t>
      </w:r>
    </w:p>
    <w:p>
      <w:pPr>
        <w:keepNext w:val="0"/>
        <w:keepLines w:val="0"/>
        <w:pageBreakBefore w:val="0"/>
        <w:widowControl w:val="0"/>
        <w:tabs>
          <w:tab w:val="right" w:leader="dot" w:pos="8296"/>
        </w:tabs>
        <w:kinsoku/>
        <w:wordWrap/>
        <w:overflowPunct/>
        <w:topLinePunct w:val="0"/>
        <w:autoSpaceDE/>
        <w:autoSpaceDN/>
        <w:bidi w:val="0"/>
        <w:adjustRightInd w:val="0"/>
        <w:snapToGrid w:val="0"/>
        <w:spacing w:line="560" w:lineRule="exact"/>
        <w:jc w:val="distribute"/>
        <w:textAlignment w:val="auto"/>
        <w:rPr>
          <w:rFonts w:hint="eastAsia" w:ascii="Times New Roman" w:hAnsi="Times New Roman" w:eastAsia="宋体" w:cs="Times New Roman"/>
          <w:sz w:val="32"/>
          <w:szCs w:val="32"/>
          <w:lang w:val="en-US" w:eastAsia="zh-CN"/>
        </w:rPr>
      </w:pPr>
      <w:r>
        <w:rPr>
          <w:rFonts w:hint="default" w:ascii="Times New Roman" w:hAnsi="Times New Roman" w:eastAsia="黑体" w:cs="Times New Roman"/>
          <w:sz w:val="32"/>
          <w:szCs w:val="32"/>
        </w:rPr>
        <w:t>第三部分 名词解释</w:t>
      </w:r>
      <w:r>
        <w:rPr>
          <w:rFonts w:hint="default" w:ascii="Times New Roman" w:hAnsi="Times New Roman" w:cs="Times New Roman"/>
          <w:sz w:val="32"/>
          <w:szCs w:val="32"/>
        </w:rPr>
        <w:t>................................................................</w:t>
      </w:r>
      <w:r>
        <w:rPr>
          <w:rFonts w:hint="default" w:ascii="Times New Roman" w:hAnsi="Times New Roman" w:cs="Times New Roman"/>
          <w:sz w:val="32"/>
          <w:szCs w:val="32"/>
        </w:rPr>
        <w:t>.</w:t>
      </w:r>
      <w:r>
        <w:rPr>
          <w:rFonts w:hint="default" w:ascii="Times New Roman" w:hAnsi="Times New Roman" w:cs="Times New Roman"/>
          <w:sz w:val="32"/>
          <w:szCs w:val="32"/>
        </w:rPr>
        <w:t>1</w:t>
      </w:r>
      <w:r>
        <w:rPr>
          <w:rFonts w:hint="eastAsia" w:cs="Times New Roman"/>
          <w:sz w:val="32"/>
          <w:szCs w:val="32"/>
          <w:lang w:val="en-US" w:eastAsia="zh-CN"/>
        </w:rPr>
        <w:t>2</w:t>
      </w:r>
    </w:p>
    <w:p>
      <w:pPr>
        <w:keepNext w:val="0"/>
        <w:keepLines w:val="0"/>
        <w:pageBreakBefore w:val="0"/>
        <w:widowControl w:val="0"/>
        <w:tabs>
          <w:tab w:val="right" w:leader="dot" w:pos="8296"/>
        </w:tabs>
        <w:kinsoku/>
        <w:wordWrap/>
        <w:overflowPunct/>
        <w:topLinePunct w:val="0"/>
        <w:autoSpaceDE/>
        <w:autoSpaceDN/>
        <w:bidi w:val="0"/>
        <w:adjustRightInd w:val="0"/>
        <w:snapToGrid w:val="0"/>
        <w:spacing w:line="560" w:lineRule="exact"/>
        <w:jc w:val="distribute"/>
        <w:textAlignment w:val="auto"/>
        <w:rPr>
          <w:rFonts w:hint="eastAsia" w:ascii="Times New Roman" w:hAnsi="Times New Roman" w:eastAsia="宋体" w:cs="Times New Roman"/>
          <w:sz w:val="32"/>
          <w:szCs w:val="32"/>
          <w:lang w:val="en-US" w:eastAsia="zh-CN"/>
        </w:rPr>
      </w:pPr>
      <w:r>
        <w:rPr>
          <w:rFonts w:hint="default" w:ascii="Times New Roman" w:hAnsi="Times New Roman" w:eastAsia="黑体" w:cs="Times New Roman"/>
          <w:sz w:val="32"/>
          <w:szCs w:val="32"/>
        </w:rPr>
        <w:t>第四部分 附件</w:t>
      </w:r>
      <w:r>
        <w:rPr>
          <w:rFonts w:hint="default" w:ascii="Times New Roman" w:hAnsi="Times New Roman" w:cs="Times New Roman"/>
          <w:sz w:val="32"/>
          <w:szCs w:val="32"/>
        </w:rPr>
        <w:t>...................................................................</w:t>
      </w:r>
      <w:r>
        <w:rPr>
          <w:rFonts w:hint="default" w:ascii="Times New Roman" w:hAnsi="Times New Roman" w:cs="Times New Roman"/>
          <w:sz w:val="32"/>
          <w:szCs w:val="32"/>
        </w:rPr>
        <w:t>....</w:t>
      </w:r>
      <w:r>
        <w:rPr>
          <w:rFonts w:hint="default" w:ascii="Times New Roman" w:hAnsi="Times New Roman" w:cs="Times New Roman"/>
          <w:sz w:val="32"/>
          <w:szCs w:val="32"/>
        </w:rPr>
        <w:t>..1</w:t>
      </w:r>
      <w:r>
        <w:rPr>
          <w:rFonts w:hint="eastAsia" w:cs="Times New Roman"/>
          <w:sz w:val="32"/>
          <w:szCs w:val="32"/>
          <w:lang w:val="en-US" w:eastAsia="zh-CN"/>
        </w:rPr>
        <w:t>3</w:t>
      </w:r>
    </w:p>
    <w:p>
      <w:pPr>
        <w:keepNext w:val="0"/>
        <w:keepLines w:val="0"/>
        <w:pageBreakBefore w:val="0"/>
        <w:widowControl w:val="0"/>
        <w:tabs>
          <w:tab w:val="right" w:leader="dot" w:pos="8296"/>
        </w:tabs>
        <w:kinsoku/>
        <w:wordWrap/>
        <w:overflowPunct/>
        <w:topLinePunct w:val="0"/>
        <w:autoSpaceDE/>
        <w:autoSpaceDN/>
        <w:bidi w:val="0"/>
        <w:adjustRightInd w:val="0"/>
        <w:snapToGrid w:val="0"/>
        <w:spacing w:line="560" w:lineRule="exact"/>
        <w:jc w:val="distribute"/>
        <w:textAlignment w:val="auto"/>
        <w:rPr>
          <w:rFonts w:hint="eastAsia" w:ascii="Times New Roman" w:hAnsi="Times New Roman" w:eastAsia="宋体" w:cs="Times New Roman"/>
          <w:sz w:val="32"/>
          <w:szCs w:val="32"/>
          <w:lang w:val="en-US" w:eastAsia="zh-CN"/>
        </w:rPr>
      </w:pPr>
      <w:r>
        <w:rPr>
          <w:rFonts w:hint="default" w:ascii="Times New Roman" w:hAnsi="Times New Roman" w:eastAsia="黑体" w:cs="Times New Roman"/>
          <w:sz w:val="32"/>
          <w:szCs w:val="32"/>
        </w:rPr>
        <w:t>第五部分 附表</w:t>
      </w:r>
      <w:r>
        <w:rPr>
          <w:rFonts w:hint="default" w:ascii="Times New Roman" w:hAnsi="Times New Roman" w:cs="Times New Roman"/>
          <w:sz w:val="32"/>
          <w:szCs w:val="32"/>
        </w:rPr>
        <w:t>.........................................................................1</w:t>
      </w:r>
      <w:r>
        <w:rPr>
          <w:rFonts w:hint="eastAsia" w:cs="Times New Roman"/>
          <w:sz w:val="32"/>
          <w:szCs w:val="32"/>
          <w:lang w:val="en-US" w:eastAsia="zh-CN"/>
        </w:rPr>
        <w:t>4</w:t>
      </w:r>
    </w:p>
    <w:p>
      <w:pPr>
        <w:tabs>
          <w:tab w:val="right" w:leader="dot" w:pos="8296"/>
        </w:tabs>
        <w:adjustRightInd w:val="0"/>
        <w:snapToGrid w:val="0"/>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一、收入支出决算总表</w:t>
      </w:r>
    </w:p>
    <w:p>
      <w:pPr>
        <w:tabs>
          <w:tab w:val="right" w:leader="dot" w:pos="8296"/>
        </w:tabs>
        <w:adjustRightInd w:val="0"/>
        <w:snapToGrid w:val="0"/>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二、收入决算表</w:t>
      </w:r>
    </w:p>
    <w:p>
      <w:pPr>
        <w:tabs>
          <w:tab w:val="right" w:leader="dot" w:pos="8296"/>
        </w:tabs>
        <w:adjustRightInd w:val="0"/>
        <w:snapToGrid w:val="0"/>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三、支出决算表</w:t>
      </w:r>
    </w:p>
    <w:p>
      <w:pPr>
        <w:tabs>
          <w:tab w:val="right" w:leader="dot" w:pos="8296"/>
        </w:tabs>
        <w:adjustRightInd w:val="0"/>
        <w:snapToGrid w:val="0"/>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四、财政拨款收入支出决算总表</w:t>
      </w:r>
    </w:p>
    <w:p>
      <w:pPr>
        <w:tabs>
          <w:tab w:val="right" w:leader="dot" w:pos="8296"/>
        </w:tabs>
        <w:adjustRightInd w:val="0"/>
        <w:snapToGrid w:val="0"/>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五、财政拨款支出决算明细表</w:t>
      </w:r>
    </w:p>
    <w:p>
      <w:pPr>
        <w:tabs>
          <w:tab w:val="right" w:leader="dot" w:pos="8296"/>
        </w:tabs>
        <w:adjustRightInd w:val="0"/>
        <w:snapToGrid w:val="0"/>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六、一般公共预算财政拨款支出决算表</w:t>
      </w:r>
    </w:p>
    <w:p>
      <w:pPr>
        <w:tabs>
          <w:tab w:val="right" w:leader="dot" w:pos="8296"/>
        </w:tabs>
        <w:adjustRightInd w:val="0"/>
        <w:snapToGrid w:val="0"/>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七、一般公共预算财政拨款支出决算明细表</w:t>
      </w:r>
    </w:p>
    <w:p>
      <w:pPr>
        <w:tabs>
          <w:tab w:val="right" w:leader="dot" w:pos="8296"/>
        </w:tabs>
        <w:adjustRightInd w:val="0"/>
        <w:snapToGrid w:val="0"/>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八、一般公共预算财政拨款基本支出决算明细表</w:t>
      </w:r>
    </w:p>
    <w:p>
      <w:pPr>
        <w:tabs>
          <w:tab w:val="right" w:leader="dot" w:pos="8296"/>
        </w:tabs>
        <w:adjustRightInd w:val="0"/>
        <w:snapToGrid w:val="0"/>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九、一般公共预算财政拨款项目支出决算表</w:t>
      </w:r>
    </w:p>
    <w:p>
      <w:pPr>
        <w:tabs>
          <w:tab w:val="right" w:leader="dot" w:pos="8296"/>
        </w:tabs>
        <w:adjustRightInd w:val="0"/>
        <w:snapToGrid w:val="0"/>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十、政府性基金预算财政拨款收入支出决算表</w:t>
      </w:r>
    </w:p>
    <w:p>
      <w:pPr>
        <w:tabs>
          <w:tab w:val="right" w:leader="dot" w:pos="8296"/>
        </w:tabs>
        <w:adjustRightInd w:val="0"/>
        <w:snapToGrid w:val="0"/>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十一、国有资本经营预算财政拨款收入支出决算表</w:t>
      </w:r>
    </w:p>
    <w:p>
      <w:pPr>
        <w:tabs>
          <w:tab w:val="right" w:leader="dot" w:pos="8296"/>
        </w:tabs>
        <w:adjustRightInd w:val="0"/>
        <w:snapToGrid w:val="0"/>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十二、国有资本经营预算财政拨款支出决算表</w:t>
      </w:r>
    </w:p>
    <w:p>
      <w:pPr>
        <w:tabs>
          <w:tab w:val="right" w:leader="dot" w:pos="8296"/>
        </w:tabs>
        <w:adjustRightInd w:val="0"/>
        <w:snapToGrid w:val="0"/>
        <w:spacing w:line="560" w:lineRule="exact"/>
        <w:ind w:firstLine="640" w:firstLineChars="200"/>
        <w:jc w:val="left"/>
        <w:rPr>
          <w:rFonts w:hint="default" w:ascii="Times New Roman" w:hAnsi="Times New Roman" w:cs="Times New Roman"/>
          <w:sz w:val="32"/>
          <w:szCs w:val="32"/>
        </w:rPr>
      </w:pPr>
      <w:r>
        <w:rPr>
          <w:rFonts w:hint="default" w:ascii="Times New Roman" w:hAnsi="Times New Roman" w:eastAsia="仿宋_GB2312" w:cs="Times New Roman"/>
          <w:sz w:val="32"/>
          <w:szCs w:val="32"/>
        </w:rPr>
        <w:t>十三、财政拨款“三公”经费支出决算表</w:t>
      </w:r>
    </w:p>
    <w:p>
      <w:pPr>
        <w:widowControl/>
        <w:spacing w:line="440" w:lineRule="exact"/>
        <w:jc w:val="left"/>
        <w:rPr>
          <w:rFonts w:hint="default" w:ascii="Times New Roman" w:hAnsi="Times New Roman" w:eastAsia="仿宋" w:cs="Times New Roman"/>
          <w:bCs/>
          <w:kern w:val="44"/>
          <w:sz w:val="24"/>
        </w:rPr>
      </w:pPr>
      <w:bookmarkStart w:id="12" w:name="_Toc15377196"/>
      <w:bookmarkStart w:id="13" w:name="_Toc15396599"/>
      <w:r>
        <w:rPr>
          <w:rFonts w:hint="default" w:ascii="Times New Roman" w:hAnsi="Times New Roman" w:eastAsia="仿宋" w:cs="Times New Roman"/>
          <w:b/>
          <w:sz w:val="24"/>
        </w:rPr>
        <w:br w:type="page"/>
      </w:r>
    </w:p>
    <w:p>
      <w:pPr>
        <w:pStyle w:val="5"/>
        <w:jc w:val="center"/>
        <w:rPr>
          <w:rStyle w:val="20"/>
          <w:rFonts w:hint="default" w:ascii="Times New Roman" w:hAnsi="Times New Roman" w:eastAsia="黑体" w:cs="Times New Roman"/>
          <w:b/>
          <w:bCs w:val="0"/>
        </w:rPr>
      </w:pPr>
      <w:r>
        <w:rPr>
          <w:rFonts w:hint="default" w:ascii="Times New Roman" w:hAnsi="Times New Roman" w:eastAsia="黑体" w:cs="Times New Roman"/>
          <w:b w:val="0"/>
        </w:rPr>
        <w:t>第一部分 单位</w:t>
      </w:r>
      <w:r>
        <w:rPr>
          <w:rStyle w:val="20"/>
          <w:rFonts w:hint="default" w:ascii="Times New Roman" w:hAnsi="Times New Roman" w:eastAsia="黑体" w:cs="Times New Roman"/>
          <w:b w:val="0"/>
          <w:bCs w:val="0"/>
        </w:rPr>
        <w:t>概况</w:t>
      </w:r>
      <w:bookmarkEnd w:id="12"/>
      <w:bookmarkEnd w:id="13"/>
    </w:p>
    <w:p>
      <w:pPr>
        <w:widowControl/>
        <w:jc w:val="left"/>
        <w:rPr>
          <w:rFonts w:hint="default" w:ascii="Times New Roman" w:hAnsi="Times New Roman" w:eastAsia="黑体" w:cs="Times New Roman"/>
          <w:sz w:val="32"/>
          <w:szCs w:val="32"/>
        </w:rPr>
      </w:pPr>
    </w:p>
    <w:p>
      <w:pPr>
        <w:pStyle w:val="6"/>
        <w:numPr>
          <w:ilvl w:val="0"/>
          <w:numId w:val="1"/>
        </w:numPr>
        <w:rPr>
          <w:rStyle w:val="21"/>
          <w:rFonts w:hint="default" w:ascii="Times New Roman" w:hAnsi="Times New Roman" w:eastAsia="黑体" w:cs="Times New Roman"/>
          <w:b w:val="0"/>
          <w:bCs w:val="0"/>
        </w:rPr>
      </w:pPr>
      <w:bookmarkStart w:id="14" w:name="_Toc15396600"/>
      <w:bookmarkStart w:id="15" w:name="_Toc15377197"/>
      <w:r>
        <w:rPr>
          <w:rStyle w:val="21"/>
          <w:rFonts w:hint="default" w:ascii="Times New Roman" w:hAnsi="Times New Roman" w:eastAsia="黑体" w:cs="Times New Roman"/>
          <w:b w:val="0"/>
          <w:bCs w:val="0"/>
        </w:rPr>
        <w:t>主要职责</w:t>
      </w:r>
    </w:p>
    <w:p>
      <w:pPr>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围绕有色金属开展矿藏研究，有色金属勘探及采选。</w:t>
      </w:r>
    </w:p>
    <w:p>
      <w:pPr>
        <w:rPr>
          <w:rFonts w:hint="default" w:ascii="Times New Roman" w:hAnsi="Times New Roman" w:cs="Times New Roman"/>
        </w:rPr>
      </w:pPr>
    </w:p>
    <w:p>
      <w:pPr>
        <w:pStyle w:val="6"/>
        <w:rPr>
          <w:rFonts w:hint="default" w:ascii="Times New Roman" w:hAnsi="Times New Roman" w:eastAsia="黑体" w:cs="Times New Roman"/>
          <w:b w:val="0"/>
        </w:rPr>
      </w:pPr>
      <w:r>
        <w:rPr>
          <w:rFonts w:hint="default" w:ascii="Times New Roman" w:hAnsi="Times New Roman" w:eastAsia="黑体" w:cs="Times New Roman"/>
          <w:b w:val="0"/>
        </w:rPr>
        <w:t>二、机构设置</w:t>
      </w:r>
    </w:p>
    <w:p>
      <w:pPr>
        <w:snapToGrid w:val="0"/>
        <w:spacing w:line="560" w:lineRule="exact"/>
        <w:ind w:firstLine="640" w:firstLineChars="200"/>
        <w:rPr>
          <w:rFonts w:hint="default" w:ascii="Times New Roman" w:hAnsi="Times New Roman" w:cs="Times New Roman"/>
          <w:sz w:val="32"/>
          <w:szCs w:val="32"/>
        </w:rPr>
      </w:pPr>
      <w:r>
        <w:rPr>
          <w:rFonts w:hint="default" w:ascii="Times New Roman" w:hAnsi="Times New Roman" w:eastAsia="仿宋_GB2312" w:cs="Times New Roman"/>
          <w:sz w:val="32"/>
          <w:szCs w:val="32"/>
        </w:rPr>
        <w:t>本年机构设置无变化，内设1个工作机构，在职职工1人，与去年同期比较无增减变动。</w:t>
      </w:r>
    </w:p>
    <w:p>
      <w:pPr>
        <w:rPr>
          <w:rFonts w:hint="default" w:ascii="Times New Roman" w:hAnsi="Times New Roman" w:cs="Times New Roman"/>
        </w:rPr>
      </w:pPr>
    </w:p>
    <w:bookmarkEnd w:id="14"/>
    <w:bookmarkEnd w:id="15"/>
    <w:p>
      <w:pPr>
        <w:snapToGrid w:val="0"/>
        <w:spacing w:line="560" w:lineRule="exact"/>
        <w:ind w:firstLine="640" w:firstLineChars="200"/>
        <w:rPr>
          <w:rFonts w:hint="default" w:ascii="Times New Roman" w:hAnsi="Times New Roman" w:cs="Times New Roman"/>
        </w:rPr>
      </w:pPr>
      <w:r>
        <w:rPr>
          <w:rFonts w:hint="default" w:ascii="Times New Roman" w:hAnsi="Times New Roman" w:eastAsia="仿宋" w:cs="Times New Roman"/>
          <w:sz w:val="32"/>
          <w:szCs w:val="32"/>
        </w:rPr>
        <w:br w:type="page"/>
      </w:r>
    </w:p>
    <w:p>
      <w:pPr>
        <w:pStyle w:val="5"/>
        <w:ind w:right="440"/>
        <w:jc w:val="center"/>
        <w:rPr>
          <w:rStyle w:val="20"/>
          <w:rFonts w:hint="default" w:ascii="Times New Roman" w:hAnsi="Times New Roman" w:eastAsia="黑体" w:cs="Times New Roman"/>
          <w:b w:val="0"/>
          <w:bCs/>
        </w:rPr>
      </w:pPr>
      <w:bookmarkStart w:id="16" w:name="_Toc15396602"/>
      <w:bookmarkStart w:id="17" w:name="_Toc15377204"/>
      <w:r>
        <w:rPr>
          <w:rFonts w:hint="default" w:ascii="Times New Roman" w:hAnsi="Times New Roman" w:eastAsia="黑体" w:cs="Times New Roman"/>
          <w:b w:val="0"/>
        </w:rPr>
        <w:t>第二部分 2024年度</w:t>
      </w:r>
      <w:r>
        <w:rPr>
          <w:rStyle w:val="20"/>
          <w:rFonts w:hint="default" w:ascii="Times New Roman" w:hAnsi="Times New Roman" w:eastAsia="黑体" w:cs="Times New Roman"/>
          <w:b w:val="0"/>
          <w:bCs/>
        </w:rPr>
        <w:t>单位决算情况说明</w:t>
      </w:r>
      <w:bookmarkEnd w:id="16"/>
      <w:bookmarkEnd w:id="17"/>
    </w:p>
    <w:p>
      <w:pPr>
        <w:rPr>
          <w:rFonts w:hint="default" w:ascii="Times New Roman" w:hAnsi="Times New Roman" w:cs="Times New Roman"/>
        </w:rPr>
      </w:pPr>
    </w:p>
    <w:p>
      <w:pPr>
        <w:pStyle w:val="32"/>
        <w:numPr>
          <w:ilvl w:val="0"/>
          <w:numId w:val="2"/>
        </w:numPr>
        <w:spacing w:line="600" w:lineRule="exact"/>
        <w:ind w:firstLineChars="0"/>
        <w:outlineLvl w:val="1"/>
        <w:rPr>
          <w:rStyle w:val="21"/>
          <w:rFonts w:hint="default" w:ascii="Times New Roman" w:hAnsi="Times New Roman" w:eastAsia="黑体" w:cs="Times New Roman"/>
          <w:b w:val="0"/>
        </w:rPr>
      </w:pPr>
      <w:bookmarkStart w:id="18" w:name="_Toc15396603"/>
      <w:bookmarkStart w:id="19" w:name="_Toc15377205"/>
      <w:r>
        <w:rPr>
          <w:rFonts w:hint="default" w:ascii="Times New Roman" w:hAnsi="Times New Roman" w:eastAsia="黑体" w:cs="Times New Roman"/>
          <w:sz w:val="32"/>
          <w:szCs w:val="32"/>
        </w:rPr>
        <w:t>收</w:t>
      </w:r>
      <w:r>
        <w:rPr>
          <w:rStyle w:val="21"/>
          <w:rFonts w:hint="default" w:ascii="Times New Roman" w:hAnsi="Times New Roman" w:eastAsia="黑体" w:cs="Times New Roman"/>
          <w:b w:val="0"/>
        </w:rPr>
        <w:t>入支出决算总体情况说明</w:t>
      </w:r>
      <w:bookmarkEnd w:id="18"/>
      <w:bookmarkEnd w:id="19"/>
    </w:p>
    <w:p>
      <w:pPr>
        <w:spacing w:line="60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2024年度收、支总计16.95万元。与2023年</w:t>
      </w:r>
      <w:r>
        <w:rPr>
          <w:rFonts w:hint="default" w:ascii="Times New Roman" w:hAnsi="Times New Roman" w:eastAsia="仿宋" w:cs="Times New Roman"/>
          <w:sz w:val="32"/>
          <w:szCs w:val="32"/>
          <w:lang w:eastAsia="zh-CN"/>
        </w:rPr>
        <w:t>度</w:t>
      </w:r>
      <w:r>
        <w:rPr>
          <w:rFonts w:hint="default" w:ascii="Times New Roman" w:hAnsi="Times New Roman" w:eastAsia="仿宋" w:cs="Times New Roman"/>
          <w:sz w:val="32"/>
          <w:szCs w:val="32"/>
        </w:rPr>
        <w:t>相比，收、支总额持平，未发生变化。</w:t>
      </w:r>
    </w:p>
    <w:p>
      <w:pPr>
        <w:pStyle w:val="8"/>
        <w:spacing w:before="93"/>
        <w:rPr>
          <w:rFonts w:hint="default" w:ascii="Times New Roman" w:hAnsi="Times New Roman" w:cs="Times New Roman"/>
        </w:rPr>
      </w:pPr>
      <w:r>
        <w:rPr>
          <w:rFonts w:hint="default" w:ascii="Times New Roman" w:hAnsi="Times New Roman" w:cs="Times New Roman"/>
        </w:rPr>
        <w:drawing>
          <wp:inline distT="0" distB="0" distL="114300" distR="114300">
            <wp:extent cx="4572000" cy="2600325"/>
            <wp:effectExtent l="4445" t="4445" r="14605" b="5080"/>
            <wp:docPr id="102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8"/>
        <w:spacing w:beforeLines="0"/>
        <w:ind w:firstLine="640" w:firstLineChars="200"/>
        <w:rPr>
          <w:rFonts w:hint="default" w:ascii="Times New Roman" w:hAnsi="Times New Roman" w:eastAsia="仿宋" w:cs="Times New Roman"/>
          <w:sz w:val="32"/>
          <w:szCs w:val="32"/>
        </w:rPr>
      </w:pPr>
    </w:p>
    <w:p>
      <w:pPr>
        <w:pStyle w:val="32"/>
        <w:numPr>
          <w:ilvl w:val="0"/>
          <w:numId w:val="2"/>
        </w:numPr>
        <w:spacing w:line="600" w:lineRule="exact"/>
        <w:ind w:firstLineChars="0"/>
        <w:outlineLvl w:val="1"/>
        <w:rPr>
          <w:rStyle w:val="21"/>
          <w:rFonts w:hint="default" w:ascii="Times New Roman" w:hAnsi="Times New Roman" w:eastAsia="黑体" w:cs="Times New Roman"/>
          <w:b w:val="0"/>
        </w:rPr>
      </w:pPr>
      <w:bookmarkStart w:id="20" w:name="_Toc15377206"/>
      <w:bookmarkStart w:id="21" w:name="_Toc15396604"/>
      <w:r>
        <w:rPr>
          <w:rFonts w:hint="default" w:ascii="Times New Roman" w:hAnsi="Times New Roman" w:eastAsia="黑体" w:cs="Times New Roman"/>
          <w:sz w:val="32"/>
          <w:szCs w:val="32"/>
        </w:rPr>
        <w:t>收</w:t>
      </w:r>
      <w:r>
        <w:rPr>
          <w:rStyle w:val="21"/>
          <w:rFonts w:hint="default" w:ascii="Times New Roman" w:hAnsi="Times New Roman" w:eastAsia="黑体" w:cs="Times New Roman"/>
          <w:b w:val="0"/>
        </w:rPr>
        <w:t>入决算情况说明</w:t>
      </w:r>
      <w:bookmarkEnd w:id="20"/>
      <w:bookmarkEnd w:id="21"/>
    </w:p>
    <w:p>
      <w:pPr>
        <w:spacing w:line="600" w:lineRule="exact"/>
        <w:ind w:firstLine="640" w:firstLineChars="200"/>
        <w:outlineLvl w:val="1"/>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2024年本年收入合计16.95万元，其中：一般公共预算财政拨款收入16.95万元，占100%。</w:t>
      </w:r>
    </w:p>
    <w:p>
      <w:pPr>
        <w:ind w:firstLine="420" w:firstLineChars="200"/>
        <w:outlineLvl w:val="1"/>
        <w:rPr>
          <w:rFonts w:hint="default" w:ascii="Times New Roman" w:hAnsi="Times New Roman" w:eastAsia="仿宋" w:cs="Times New Roman"/>
          <w:sz w:val="32"/>
          <w:szCs w:val="32"/>
        </w:rPr>
      </w:pPr>
      <w:r>
        <w:rPr>
          <w:rFonts w:hint="default" w:ascii="Times New Roman" w:hAnsi="Times New Roman" w:cs="Times New Roman"/>
        </w:rPr>
        <w:drawing>
          <wp:inline distT="0" distB="0" distL="114300" distR="114300">
            <wp:extent cx="4298950" cy="1917700"/>
            <wp:effectExtent l="0" t="0" r="6350" b="6350"/>
            <wp:docPr id="2"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true"/>
                    </pic:cNvPicPr>
                  </pic:nvPicPr>
                  <pic:blipFill>
                    <a:blip r:embed="rId9"/>
                    <a:stretch>
                      <a:fillRect/>
                    </a:stretch>
                  </pic:blipFill>
                  <pic:spPr>
                    <a:xfrm>
                      <a:off x="0" y="0"/>
                      <a:ext cx="4298950" cy="1917700"/>
                    </a:xfrm>
                    <a:prstGeom prst="rect">
                      <a:avLst/>
                    </a:prstGeom>
                    <a:noFill/>
                    <a:ln>
                      <a:noFill/>
                    </a:ln>
                  </pic:spPr>
                </pic:pic>
              </a:graphicData>
            </a:graphic>
          </wp:inline>
        </w:drawing>
      </w:r>
    </w:p>
    <w:p>
      <w:pPr>
        <w:pStyle w:val="32"/>
        <w:numPr>
          <w:ilvl w:val="0"/>
          <w:numId w:val="2"/>
        </w:numPr>
        <w:spacing w:line="600" w:lineRule="exact"/>
        <w:ind w:firstLineChars="0"/>
        <w:outlineLvl w:val="1"/>
        <w:rPr>
          <w:rStyle w:val="21"/>
          <w:rFonts w:hint="default" w:ascii="Times New Roman" w:hAnsi="Times New Roman" w:eastAsia="黑体" w:cs="Times New Roman"/>
          <w:b w:val="0"/>
        </w:rPr>
      </w:pPr>
      <w:bookmarkStart w:id="22" w:name="_Toc15377207"/>
      <w:bookmarkStart w:id="23" w:name="_Toc15396605"/>
      <w:r>
        <w:rPr>
          <w:rFonts w:hint="default" w:ascii="Times New Roman" w:hAnsi="Times New Roman" w:eastAsia="黑体" w:cs="Times New Roman"/>
          <w:sz w:val="32"/>
          <w:szCs w:val="32"/>
        </w:rPr>
        <w:t>支</w:t>
      </w:r>
      <w:r>
        <w:rPr>
          <w:rStyle w:val="21"/>
          <w:rFonts w:hint="default" w:ascii="Times New Roman" w:hAnsi="Times New Roman" w:eastAsia="黑体" w:cs="Times New Roman"/>
          <w:b w:val="0"/>
        </w:rPr>
        <w:t>出决算情况说明</w:t>
      </w:r>
      <w:bookmarkEnd w:id="22"/>
      <w:bookmarkEnd w:id="23"/>
    </w:p>
    <w:p>
      <w:pPr>
        <w:spacing w:line="600" w:lineRule="exact"/>
        <w:ind w:firstLine="640" w:firstLineChars="200"/>
        <w:outlineLvl w:val="1"/>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2024年本年支出合计16.95万元，其中：基本支出16.95万元，占100%。</w:t>
      </w:r>
    </w:p>
    <w:p>
      <w:pPr>
        <w:ind w:firstLine="420" w:firstLineChars="200"/>
        <w:rPr>
          <w:rFonts w:hint="default" w:ascii="Times New Roman" w:hAnsi="Times New Roman" w:eastAsia="仿宋" w:cs="Times New Roman"/>
          <w:sz w:val="32"/>
          <w:szCs w:val="32"/>
          <w:shd w:val="pct10" w:color="auto" w:fill="FFFFFF"/>
        </w:rPr>
      </w:pPr>
      <w:r>
        <w:rPr>
          <w:rFonts w:hint="default" w:ascii="Times New Roman" w:hAnsi="Times New Roman" w:cs="Times New Roman"/>
        </w:rPr>
        <w:drawing>
          <wp:inline distT="0" distB="0" distL="114300" distR="114300">
            <wp:extent cx="4603750" cy="2755900"/>
            <wp:effectExtent l="0" t="0" r="6350" b="6350"/>
            <wp:docPr id="3"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true"/>
                    </pic:cNvPicPr>
                  </pic:nvPicPr>
                  <pic:blipFill>
                    <a:blip r:embed="rId10"/>
                    <a:stretch>
                      <a:fillRect/>
                    </a:stretch>
                  </pic:blipFill>
                  <pic:spPr>
                    <a:xfrm>
                      <a:off x="0" y="0"/>
                      <a:ext cx="4603750" cy="2755900"/>
                    </a:xfrm>
                    <a:prstGeom prst="rect">
                      <a:avLst/>
                    </a:prstGeom>
                    <a:noFill/>
                    <a:ln>
                      <a:noFill/>
                    </a:ln>
                  </pic:spPr>
                </pic:pic>
              </a:graphicData>
            </a:graphic>
          </wp:inline>
        </w:drawing>
      </w:r>
    </w:p>
    <w:p>
      <w:pPr>
        <w:spacing w:line="600" w:lineRule="exact"/>
        <w:ind w:firstLine="640" w:firstLineChars="200"/>
        <w:outlineLvl w:val="1"/>
        <w:rPr>
          <w:rFonts w:hint="default" w:ascii="Times New Roman" w:hAnsi="Times New Roman" w:eastAsia="黑体" w:cs="Times New Roman"/>
          <w:sz w:val="32"/>
          <w:szCs w:val="32"/>
        </w:rPr>
      </w:pPr>
      <w:bookmarkStart w:id="24" w:name="_Toc15396606"/>
      <w:bookmarkStart w:id="25" w:name="_Toc15377208"/>
    </w:p>
    <w:p>
      <w:pPr>
        <w:spacing w:line="600" w:lineRule="exact"/>
        <w:ind w:firstLine="640" w:firstLineChars="200"/>
        <w:outlineLvl w:val="1"/>
        <w:rPr>
          <w:rStyle w:val="21"/>
          <w:rFonts w:hint="default" w:ascii="Times New Roman" w:hAnsi="Times New Roman" w:eastAsia="黑体" w:cs="Times New Roman"/>
          <w:b w:val="0"/>
        </w:rPr>
      </w:pPr>
      <w:r>
        <w:rPr>
          <w:rFonts w:hint="default" w:ascii="Times New Roman" w:hAnsi="Times New Roman" w:eastAsia="黑体" w:cs="Times New Roman"/>
          <w:sz w:val="32"/>
          <w:szCs w:val="32"/>
        </w:rPr>
        <w:t>四、财</w:t>
      </w:r>
      <w:r>
        <w:rPr>
          <w:rStyle w:val="21"/>
          <w:rFonts w:hint="default" w:ascii="Times New Roman" w:hAnsi="Times New Roman" w:eastAsia="黑体" w:cs="Times New Roman"/>
          <w:b w:val="0"/>
        </w:rPr>
        <w:t>政拨款收入支出决算总体情况说明</w:t>
      </w:r>
      <w:bookmarkEnd w:id="24"/>
      <w:bookmarkEnd w:id="25"/>
    </w:p>
    <w:p>
      <w:pPr>
        <w:spacing w:line="600" w:lineRule="exact"/>
        <w:ind w:firstLine="640"/>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2024年财政拨款收、支总计16.95万元。与2023年相比，财政拨款收、支总额持平，未发生变化</w:t>
      </w:r>
      <w:r>
        <w:rPr>
          <w:rFonts w:hint="default" w:ascii="Times New Roman" w:hAnsi="Times New Roman" w:eastAsia="仿宋" w:cs="Times New Roman"/>
          <w:sz w:val="32"/>
          <w:szCs w:val="32"/>
          <w:lang w:eastAsia="zh-CN"/>
        </w:rPr>
        <w:t>。</w:t>
      </w:r>
    </w:p>
    <w:p>
      <w:pPr>
        <w:ind w:firstLine="420" w:firstLineChars="200"/>
        <w:rPr>
          <w:rFonts w:hint="default" w:ascii="Times New Roman" w:hAnsi="Times New Roman" w:eastAsia="仿宋" w:cs="Times New Roman"/>
          <w:b/>
          <w:sz w:val="32"/>
          <w:szCs w:val="32"/>
        </w:rPr>
      </w:pPr>
      <w:r>
        <w:rPr>
          <w:rFonts w:hint="default" w:ascii="Times New Roman" w:hAnsi="Times New Roman" w:cs="Times New Roman"/>
        </w:rPr>
        <w:drawing>
          <wp:inline distT="0" distB="0" distL="114300" distR="114300">
            <wp:extent cx="4572000" cy="2414905"/>
            <wp:effectExtent l="4445" t="4445" r="14605" b="19050"/>
            <wp:docPr id="205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outlineLvl w:val="1"/>
        <w:rPr>
          <w:rFonts w:hint="default" w:ascii="Times New Roman" w:hAnsi="Times New Roman" w:eastAsia="黑体" w:cs="Times New Roman"/>
          <w:sz w:val="32"/>
          <w:szCs w:val="32"/>
        </w:rPr>
      </w:pPr>
      <w:bookmarkStart w:id="26" w:name="_Toc15377209"/>
      <w:bookmarkStart w:id="27" w:name="_Toc15396607"/>
    </w:p>
    <w:p>
      <w:pPr>
        <w:spacing w:line="600" w:lineRule="exact"/>
        <w:ind w:firstLine="640" w:firstLineChars="200"/>
        <w:outlineLvl w:val="1"/>
        <w:rPr>
          <w:rStyle w:val="21"/>
          <w:rFonts w:hint="default" w:ascii="Times New Roman" w:hAnsi="Times New Roman" w:eastAsia="黑体" w:cs="Times New Roman"/>
          <w:b w:val="0"/>
        </w:rPr>
      </w:pPr>
      <w:r>
        <w:rPr>
          <w:rFonts w:hint="default" w:ascii="Times New Roman" w:hAnsi="Times New Roman" w:eastAsia="黑体" w:cs="Times New Roman"/>
          <w:sz w:val="32"/>
          <w:szCs w:val="32"/>
        </w:rPr>
        <w:t>五、</w:t>
      </w:r>
      <w:r>
        <w:rPr>
          <w:rFonts w:hint="default" w:ascii="Times New Roman" w:hAnsi="Times New Roman" w:eastAsia="黑体" w:cs="Times New Roman"/>
          <w:b/>
          <w:sz w:val="32"/>
          <w:szCs w:val="32"/>
        </w:rPr>
        <w:t>一</w:t>
      </w:r>
      <w:r>
        <w:rPr>
          <w:rStyle w:val="21"/>
          <w:rFonts w:hint="default" w:ascii="Times New Roman" w:hAnsi="Times New Roman" w:eastAsia="黑体" w:cs="Times New Roman"/>
          <w:b w:val="0"/>
        </w:rPr>
        <w:t>般公共预算财政拨款支出决算情况说明</w:t>
      </w:r>
      <w:bookmarkEnd w:id="26"/>
      <w:bookmarkEnd w:id="27"/>
    </w:p>
    <w:p>
      <w:pPr>
        <w:spacing w:line="600" w:lineRule="exact"/>
        <w:ind w:firstLine="642" w:firstLineChars="200"/>
        <w:outlineLvl w:val="2"/>
        <w:rPr>
          <w:rFonts w:hint="default" w:ascii="Times New Roman" w:hAnsi="Times New Roman" w:eastAsia="仿宋" w:cs="Times New Roman"/>
          <w:b/>
          <w:sz w:val="32"/>
          <w:szCs w:val="32"/>
        </w:rPr>
      </w:pPr>
      <w:bookmarkStart w:id="28" w:name="_Toc15377210"/>
      <w:r>
        <w:rPr>
          <w:rFonts w:hint="default" w:ascii="Times New Roman" w:hAnsi="Times New Roman" w:eastAsia="仿宋" w:cs="Times New Roman"/>
          <w:b/>
          <w:sz w:val="32"/>
          <w:szCs w:val="32"/>
        </w:rPr>
        <w:t>（一）一般公共预算财政拨款支出决算总体情况</w:t>
      </w:r>
      <w:bookmarkEnd w:id="28"/>
    </w:p>
    <w:p>
      <w:pPr>
        <w:spacing w:line="60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2024年一般公共预算财政拨款支出16.95万元，占本年支出合计的100%。与2023年相比持平，未发生变化。</w:t>
      </w:r>
    </w:p>
    <w:p>
      <w:pPr>
        <w:ind w:firstLine="420" w:firstLineChars="200"/>
        <w:rPr>
          <w:rFonts w:hint="default" w:ascii="Times New Roman" w:hAnsi="Times New Roman" w:eastAsia="仿宋" w:cs="Times New Roman"/>
          <w:sz w:val="32"/>
          <w:szCs w:val="32"/>
        </w:rPr>
      </w:pPr>
      <w:r>
        <w:rPr>
          <w:rFonts w:hint="default" w:ascii="Times New Roman" w:hAnsi="Times New Roman" w:cs="Times New Roman"/>
        </w:rPr>
        <w:drawing>
          <wp:inline distT="0" distB="0" distL="114300" distR="114300">
            <wp:extent cx="4571365" cy="2357755"/>
            <wp:effectExtent l="4445" t="4445" r="15240" b="19050"/>
            <wp:docPr id="307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2" w:firstLineChars="200"/>
        <w:outlineLvl w:val="2"/>
        <w:rPr>
          <w:rFonts w:hint="default" w:ascii="Times New Roman" w:hAnsi="Times New Roman" w:eastAsia="仿宋" w:cs="Times New Roman"/>
          <w:b/>
          <w:sz w:val="32"/>
          <w:szCs w:val="32"/>
        </w:rPr>
      </w:pPr>
      <w:bookmarkStart w:id="29" w:name="_Toc15377211"/>
      <w:r>
        <w:rPr>
          <w:rFonts w:hint="default" w:ascii="Times New Roman" w:hAnsi="Times New Roman" w:eastAsia="仿宋" w:cs="Times New Roman"/>
          <w:b/>
          <w:sz w:val="32"/>
          <w:szCs w:val="32"/>
        </w:rPr>
        <w:t>（二）一般公共预算财政拨款支出决算结构情况</w:t>
      </w:r>
      <w:bookmarkEnd w:id="29"/>
    </w:p>
    <w:p>
      <w:pPr>
        <w:spacing w:line="600" w:lineRule="exact"/>
        <w:ind w:firstLine="64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2024年一般公共预算财政拨款支出16.95万元，主要用于以下方面:</w:t>
      </w:r>
      <w:r>
        <w:rPr>
          <w:rFonts w:hint="default" w:ascii="Times New Roman" w:hAnsi="Times New Roman" w:eastAsia="仿宋" w:cs="Times New Roman"/>
          <w:b/>
          <w:bCs/>
          <w:sz w:val="32"/>
          <w:szCs w:val="32"/>
        </w:rPr>
        <w:t>卫生健康支出</w:t>
      </w:r>
      <w:r>
        <w:rPr>
          <w:rFonts w:hint="default" w:ascii="Times New Roman" w:hAnsi="Times New Roman" w:eastAsia="仿宋" w:cs="Times New Roman"/>
          <w:sz w:val="32"/>
          <w:szCs w:val="32"/>
        </w:rPr>
        <w:t>0.54万元，占3%；</w:t>
      </w:r>
      <w:r>
        <w:rPr>
          <w:rFonts w:hint="default" w:ascii="Times New Roman" w:hAnsi="Times New Roman" w:eastAsia="仿宋" w:cs="Times New Roman"/>
          <w:b/>
          <w:sz w:val="32"/>
          <w:szCs w:val="32"/>
        </w:rPr>
        <w:t>资源勘探工业信息等支出</w:t>
      </w:r>
      <w:r>
        <w:rPr>
          <w:rFonts w:hint="default" w:ascii="Times New Roman" w:hAnsi="Times New Roman" w:eastAsia="仿宋" w:cs="Times New Roman"/>
          <w:sz w:val="32"/>
          <w:szCs w:val="32"/>
        </w:rPr>
        <w:t>15.7万元，占93%；</w:t>
      </w:r>
      <w:r>
        <w:rPr>
          <w:rFonts w:hint="default" w:ascii="Times New Roman" w:hAnsi="Times New Roman" w:eastAsia="仿宋" w:cs="Times New Roman"/>
          <w:b/>
          <w:bCs/>
          <w:sz w:val="32"/>
          <w:szCs w:val="32"/>
        </w:rPr>
        <w:t>住房保障支出</w:t>
      </w:r>
      <w:r>
        <w:rPr>
          <w:rFonts w:hint="default" w:ascii="Times New Roman" w:hAnsi="Times New Roman" w:eastAsia="仿宋" w:cs="Times New Roman"/>
          <w:sz w:val="32"/>
          <w:szCs w:val="32"/>
        </w:rPr>
        <w:t>0.71万元，占4%。</w:t>
      </w:r>
    </w:p>
    <w:p>
      <w:pPr>
        <w:pStyle w:val="8"/>
        <w:spacing w:before="93"/>
        <w:rPr>
          <w:rFonts w:hint="default" w:ascii="Times New Roman" w:hAnsi="Times New Roman" w:cs="Times New Roman"/>
        </w:rPr>
      </w:pPr>
      <w:r>
        <w:rPr>
          <w:rFonts w:hint="default" w:ascii="Times New Roman" w:hAnsi="Times New Roman" w:cs="Times New Roman"/>
        </w:rPr>
        <w:drawing>
          <wp:inline distT="0" distB="0" distL="114300" distR="114300">
            <wp:extent cx="5273675" cy="2987040"/>
            <wp:effectExtent l="4445" t="4445" r="17780" b="18415"/>
            <wp:docPr id="409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pStyle w:val="8"/>
        <w:spacing w:beforeLines="0"/>
        <w:ind w:firstLine="640" w:firstLineChars="200"/>
        <w:rPr>
          <w:rFonts w:hint="default" w:ascii="Times New Roman" w:hAnsi="Times New Roman" w:eastAsia="仿宋" w:cs="Times New Roman"/>
          <w:sz w:val="32"/>
          <w:szCs w:val="32"/>
        </w:rPr>
      </w:pPr>
    </w:p>
    <w:p>
      <w:pPr>
        <w:spacing w:line="600" w:lineRule="exact"/>
        <w:ind w:firstLine="642" w:firstLineChars="200"/>
        <w:outlineLvl w:val="2"/>
        <w:rPr>
          <w:rFonts w:hint="default" w:ascii="Times New Roman" w:hAnsi="Times New Roman" w:eastAsia="仿宋" w:cs="Times New Roman"/>
          <w:b/>
          <w:sz w:val="32"/>
          <w:szCs w:val="32"/>
        </w:rPr>
      </w:pPr>
      <w:bookmarkStart w:id="30" w:name="_Toc15377212"/>
      <w:r>
        <w:rPr>
          <w:rFonts w:hint="default" w:ascii="Times New Roman" w:hAnsi="Times New Roman" w:eastAsia="仿宋" w:cs="Times New Roman"/>
          <w:b/>
          <w:sz w:val="32"/>
          <w:szCs w:val="32"/>
        </w:rPr>
        <w:t>（三）一般公共预算财政拨款支出决算具体情况</w:t>
      </w:r>
      <w:bookmarkEnd w:id="30"/>
    </w:p>
    <w:p>
      <w:pPr>
        <w:spacing w:line="600" w:lineRule="exact"/>
        <w:ind w:firstLine="642" w:firstLineChars="200"/>
        <w:outlineLvl w:val="2"/>
        <w:rPr>
          <w:rFonts w:hint="default" w:ascii="Times New Roman" w:hAnsi="Times New Roman" w:eastAsia="仿宋" w:cs="Times New Roman"/>
          <w:sz w:val="32"/>
          <w:szCs w:val="32"/>
        </w:rPr>
      </w:pPr>
      <w:bookmarkStart w:id="31" w:name="_Toc15377444"/>
      <w:bookmarkStart w:id="32" w:name="_Toc15377213"/>
      <w:bookmarkStart w:id="33" w:name="_Toc15378460"/>
      <w:r>
        <w:rPr>
          <w:rFonts w:hint="default" w:ascii="Times New Roman" w:hAnsi="Times New Roman" w:eastAsia="仿宋" w:cs="Times New Roman"/>
          <w:b/>
          <w:sz w:val="32"/>
          <w:szCs w:val="32"/>
        </w:rPr>
        <w:t>2024年一般公共预算支出决算数为16.95</w:t>
      </w:r>
      <w:r>
        <w:rPr>
          <w:rFonts w:hint="default" w:ascii="Times New Roman" w:hAnsi="Times New Roman" w:eastAsia="仿宋" w:cs="Times New Roman"/>
          <w:sz w:val="32"/>
          <w:szCs w:val="32"/>
        </w:rPr>
        <w:t>，</w:t>
      </w:r>
      <w:r>
        <w:rPr>
          <w:rStyle w:val="17"/>
          <w:rFonts w:hint="default" w:ascii="Times New Roman" w:hAnsi="Times New Roman" w:eastAsia="仿宋" w:cs="Times New Roman"/>
          <w:bCs/>
          <w:sz w:val="32"/>
          <w:szCs w:val="32"/>
        </w:rPr>
        <w:t>完成预算100.00%。其中：</w:t>
      </w:r>
      <w:bookmarkEnd w:id="31"/>
      <w:bookmarkEnd w:id="32"/>
      <w:bookmarkEnd w:id="33"/>
    </w:p>
    <w:p>
      <w:pPr>
        <w:spacing w:line="600" w:lineRule="exact"/>
        <w:ind w:firstLine="642" w:firstLineChars="200"/>
        <w:rPr>
          <w:rFonts w:hint="default" w:ascii="Times New Roman" w:hAnsi="Times New Roman" w:eastAsia="仿宋" w:cs="Times New Roman"/>
          <w:b/>
          <w:sz w:val="32"/>
          <w:szCs w:val="32"/>
        </w:rPr>
      </w:pPr>
      <w:r>
        <w:rPr>
          <w:rStyle w:val="17"/>
          <w:rFonts w:hint="default" w:ascii="Times New Roman" w:hAnsi="Times New Roman" w:eastAsia="仿宋" w:cs="Times New Roman"/>
          <w:bCs/>
          <w:sz w:val="32"/>
          <w:szCs w:val="32"/>
        </w:rPr>
        <w:t>1.</w:t>
      </w:r>
      <w:r>
        <w:rPr>
          <w:rFonts w:hint="default" w:ascii="Times New Roman" w:hAnsi="Times New Roman" w:eastAsia="仿宋" w:cs="Times New Roman"/>
          <w:b/>
          <w:bCs/>
          <w:sz w:val="32"/>
          <w:szCs w:val="32"/>
        </w:rPr>
        <w:t>卫生健康</w:t>
      </w:r>
      <w:r>
        <w:rPr>
          <w:rStyle w:val="17"/>
          <w:rFonts w:hint="default" w:ascii="Times New Roman" w:hAnsi="Times New Roman" w:eastAsia="仿宋" w:cs="Times New Roman"/>
          <w:bCs/>
          <w:sz w:val="32"/>
          <w:szCs w:val="32"/>
        </w:rPr>
        <w:t>（类）行政事业单位医疗（款）事业单位医疗（项）:</w:t>
      </w:r>
      <w:r>
        <w:rPr>
          <w:rStyle w:val="17"/>
          <w:rFonts w:hint="default" w:ascii="Times New Roman" w:hAnsi="Times New Roman" w:eastAsia="仿宋" w:cs="Times New Roman"/>
          <w:b w:val="0"/>
          <w:bCs/>
          <w:sz w:val="32"/>
          <w:szCs w:val="32"/>
        </w:rPr>
        <w:t>支出决算为0.54万元，完成预算100%。</w:t>
      </w:r>
    </w:p>
    <w:p>
      <w:pPr>
        <w:spacing w:line="600" w:lineRule="exact"/>
        <w:ind w:firstLine="642" w:firstLineChars="200"/>
        <w:rPr>
          <w:rStyle w:val="17"/>
          <w:rFonts w:hint="default" w:ascii="Times New Roman" w:hAnsi="Times New Roman" w:eastAsia="仿宋" w:cs="Times New Roman"/>
          <w:b w:val="0"/>
          <w:bCs/>
          <w:sz w:val="32"/>
          <w:szCs w:val="32"/>
        </w:rPr>
      </w:pPr>
      <w:r>
        <w:rPr>
          <w:rStyle w:val="17"/>
          <w:rFonts w:hint="default" w:ascii="Times New Roman" w:hAnsi="Times New Roman" w:eastAsia="仿宋" w:cs="Times New Roman"/>
          <w:bCs/>
          <w:sz w:val="32"/>
          <w:szCs w:val="32"/>
        </w:rPr>
        <w:t>2.资源勘探工业信息（类）资源勘探开发（款）有色金属矿勘探和采选（项）:</w:t>
      </w:r>
      <w:r>
        <w:rPr>
          <w:rStyle w:val="17"/>
          <w:rFonts w:hint="default" w:ascii="Times New Roman" w:hAnsi="Times New Roman" w:eastAsia="仿宋" w:cs="Times New Roman"/>
          <w:b w:val="0"/>
          <w:bCs/>
          <w:sz w:val="32"/>
          <w:szCs w:val="32"/>
        </w:rPr>
        <w:t>支出决算为15.7万元，完成预算100%。</w:t>
      </w:r>
    </w:p>
    <w:p>
      <w:pPr>
        <w:spacing w:line="600" w:lineRule="exact"/>
        <w:ind w:firstLine="642" w:firstLineChars="200"/>
        <w:rPr>
          <w:rFonts w:hint="default" w:ascii="Times New Roman" w:hAnsi="Times New Roman" w:eastAsia="仿宋" w:cs="Times New Roman"/>
          <w:b/>
          <w:sz w:val="32"/>
          <w:szCs w:val="32"/>
        </w:rPr>
      </w:pPr>
      <w:r>
        <w:rPr>
          <w:rStyle w:val="17"/>
          <w:rFonts w:hint="default" w:ascii="Times New Roman" w:hAnsi="Times New Roman" w:eastAsia="仿宋" w:cs="Times New Roman"/>
          <w:bCs/>
          <w:sz w:val="32"/>
          <w:szCs w:val="32"/>
        </w:rPr>
        <w:t>3.住房保障（类）住房改革支出（款）住房公积金（项）:</w:t>
      </w:r>
      <w:r>
        <w:rPr>
          <w:rStyle w:val="17"/>
          <w:rFonts w:hint="default" w:ascii="Times New Roman" w:hAnsi="Times New Roman" w:eastAsia="仿宋" w:cs="Times New Roman"/>
          <w:b w:val="0"/>
          <w:bCs/>
          <w:sz w:val="32"/>
          <w:szCs w:val="32"/>
        </w:rPr>
        <w:t>支出决算为0.71万元，完成预算100%。</w:t>
      </w:r>
    </w:p>
    <w:p>
      <w:pPr>
        <w:tabs>
          <w:tab w:val="right" w:pos="8306"/>
        </w:tabs>
        <w:spacing w:line="600" w:lineRule="exact"/>
        <w:ind w:firstLine="640"/>
        <w:outlineLvl w:val="1"/>
        <w:rPr>
          <w:rFonts w:hint="default" w:ascii="Times New Roman" w:hAnsi="Times New Roman" w:eastAsia="黑体" w:cs="Times New Roman"/>
          <w:sz w:val="32"/>
          <w:szCs w:val="32"/>
        </w:rPr>
      </w:pPr>
      <w:bookmarkStart w:id="34" w:name="_Toc15377214"/>
      <w:bookmarkStart w:id="35" w:name="_Toc15396608"/>
    </w:p>
    <w:p>
      <w:pPr>
        <w:tabs>
          <w:tab w:val="right" w:pos="8306"/>
        </w:tabs>
        <w:spacing w:line="600" w:lineRule="exact"/>
        <w:ind w:firstLine="640"/>
        <w:outlineLvl w:val="1"/>
        <w:rPr>
          <w:rStyle w:val="21"/>
          <w:rFonts w:hint="default" w:ascii="Times New Roman" w:hAnsi="Times New Roman" w:cs="Times New Roman"/>
        </w:rPr>
      </w:pPr>
      <w:r>
        <w:rPr>
          <w:rFonts w:hint="default" w:ascii="Times New Roman" w:hAnsi="Times New Roman" w:eastAsia="黑体" w:cs="Times New Roman"/>
          <w:sz w:val="32"/>
          <w:szCs w:val="32"/>
        </w:rPr>
        <w:t>六</w:t>
      </w:r>
      <w:r>
        <w:rPr>
          <w:rFonts w:hint="default" w:ascii="Times New Roman" w:hAnsi="Times New Roman" w:eastAsia="黑体" w:cs="Times New Roman"/>
          <w:b/>
          <w:sz w:val="32"/>
          <w:szCs w:val="32"/>
        </w:rPr>
        <w:t>、一</w:t>
      </w:r>
      <w:r>
        <w:rPr>
          <w:rStyle w:val="21"/>
          <w:rFonts w:hint="default" w:ascii="Times New Roman" w:hAnsi="Times New Roman" w:eastAsia="黑体" w:cs="Times New Roman"/>
          <w:b w:val="0"/>
        </w:rPr>
        <w:t>般公共预算财政拨款基本支出决算情况说明</w:t>
      </w:r>
      <w:bookmarkEnd w:id="34"/>
      <w:bookmarkEnd w:id="35"/>
      <w:r>
        <w:rPr>
          <w:rStyle w:val="21"/>
          <w:rFonts w:hint="default" w:ascii="Times New Roman" w:hAnsi="Times New Roman" w:eastAsia="黑体" w:cs="Times New Roman"/>
          <w:b w:val="0"/>
        </w:rPr>
        <w:tab/>
      </w:r>
    </w:p>
    <w:p>
      <w:pPr>
        <w:spacing w:line="600" w:lineRule="exact"/>
        <w:ind w:firstLine="645"/>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2024年一般公共预算财政拨款基本支出16.95万元，其中：</w:t>
      </w:r>
    </w:p>
    <w:p>
      <w:pPr>
        <w:spacing w:line="600" w:lineRule="exact"/>
        <w:ind w:firstLine="645"/>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人员经费16.95万元，主要包括：基本工资、津贴补贴、奖金、绩效工资、医疗费补助、住房公积金等。</w:t>
      </w:r>
    </w:p>
    <w:p>
      <w:pPr>
        <w:spacing w:line="600" w:lineRule="exact"/>
        <w:ind w:firstLine="645"/>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公用经费0万元。</w:t>
      </w:r>
    </w:p>
    <w:p>
      <w:pPr>
        <w:spacing w:line="600" w:lineRule="exact"/>
        <w:ind w:firstLine="640"/>
        <w:outlineLvl w:val="1"/>
        <w:rPr>
          <w:rFonts w:hint="default" w:ascii="Times New Roman" w:hAnsi="Times New Roman" w:eastAsia="黑体" w:cs="Times New Roman"/>
          <w:sz w:val="32"/>
          <w:szCs w:val="32"/>
        </w:rPr>
      </w:pPr>
      <w:bookmarkStart w:id="36" w:name="_Toc15396609"/>
      <w:bookmarkStart w:id="37" w:name="_Toc15377215"/>
    </w:p>
    <w:p>
      <w:pPr>
        <w:spacing w:line="600" w:lineRule="exact"/>
        <w:ind w:firstLine="640"/>
        <w:outlineLvl w:val="1"/>
        <w:rPr>
          <w:rStyle w:val="21"/>
          <w:rFonts w:hint="default" w:ascii="Times New Roman" w:hAnsi="Times New Roman" w:eastAsia="黑体" w:cs="Times New Roman"/>
          <w:b w:val="0"/>
        </w:rPr>
      </w:pPr>
      <w:r>
        <w:rPr>
          <w:rFonts w:hint="default" w:ascii="Times New Roman" w:hAnsi="Times New Roman" w:eastAsia="黑体" w:cs="Times New Roman"/>
          <w:sz w:val="32"/>
          <w:szCs w:val="32"/>
        </w:rPr>
        <w:t>七、</w:t>
      </w:r>
      <w:r>
        <w:rPr>
          <w:rStyle w:val="21"/>
          <w:rFonts w:hint="default" w:ascii="Times New Roman" w:hAnsi="Times New Roman" w:eastAsia="黑体" w:cs="Times New Roman"/>
          <w:b w:val="0"/>
        </w:rPr>
        <w:t>财政拨款</w:t>
      </w:r>
      <w:r>
        <w:rPr>
          <w:rStyle w:val="21"/>
          <w:rFonts w:hint="default" w:ascii="Times New Roman" w:hAnsi="Times New Roman" w:eastAsia="黑体" w:cs="Times New Roman"/>
        </w:rPr>
        <w:t>“</w:t>
      </w:r>
      <w:r>
        <w:rPr>
          <w:rStyle w:val="21"/>
          <w:rFonts w:hint="default" w:ascii="Times New Roman" w:hAnsi="Times New Roman" w:eastAsia="黑体" w:cs="Times New Roman"/>
          <w:b w:val="0"/>
        </w:rPr>
        <w:t>三公”经费支出决算情况说明</w:t>
      </w:r>
      <w:bookmarkEnd w:id="36"/>
      <w:bookmarkEnd w:id="37"/>
    </w:p>
    <w:p>
      <w:pPr>
        <w:spacing w:line="600" w:lineRule="exact"/>
        <w:ind w:firstLine="640"/>
        <w:outlineLvl w:val="2"/>
        <w:rPr>
          <w:rFonts w:hint="default" w:ascii="Times New Roman" w:hAnsi="Times New Roman" w:eastAsia="仿宋" w:cs="Times New Roman"/>
          <w:b/>
          <w:sz w:val="32"/>
          <w:szCs w:val="32"/>
        </w:rPr>
      </w:pPr>
      <w:bookmarkStart w:id="38" w:name="_Toc15377216"/>
      <w:r>
        <w:rPr>
          <w:rFonts w:hint="default" w:ascii="Times New Roman" w:hAnsi="Times New Roman" w:eastAsia="仿宋" w:cs="Times New Roman"/>
          <w:b/>
          <w:sz w:val="32"/>
          <w:szCs w:val="32"/>
        </w:rPr>
        <w:t>（一）“三公”经费财政拨款支出决算总体情况说明</w:t>
      </w:r>
      <w:bookmarkEnd w:id="38"/>
    </w:p>
    <w:p>
      <w:pPr>
        <w:spacing w:line="600" w:lineRule="exact"/>
        <w:ind w:firstLine="64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2024年“三公”经费财政拨款支出决算为0万元。较上年</w:t>
      </w:r>
      <w:r>
        <w:rPr>
          <w:rFonts w:hint="default" w:ascii="Times New Roman" w:hAnsi="Times New Roman" w:eastAsia="仿宋" w:cs="Times New Roman"/>
          <w:b w:val="0"/>
          <w:bCs w:val="0"/>
          <w:sz w:val="32"/>
          <w:szCs w:val="32"/>
        </w:rPr>
        <w:t>无增减变动，决算数与预算数持平。</w:t>
      </w:r>
    </w:p>
    <w:p>
      <w:pPr>
        <w:spacing w:line="600" w:lineRule="exact"/>
        <w:ind w:firstLine="640"/>
        <w:outlineLvl w:val="2"/>
        <w:rPr>
          <w:rFonts w:hint="default" w:ascii="Times New Roman" w:hAnsi="Times New Roman" w:eastAsia="仿宋" w:cs="Times New Roman"/>
          <w:b/>
          <w:sz w:val="32"/>
          <w:szCs w:val="32"/>
        </w:rPr>
      </w:pPr>
      <w:bookmarkStart w:id="39" w:name="_Toc15377217"/>
      <w:r>
        <w:rPr>
          <w:rFonts w:hint="default" w:ascii="Times New Roman" w:hAnsi="Times New Roman" w:eastAsia="仿宋" w:cs="Times New Roman"/>
          <w:b/>
          <w:sz w:val="32"/>
          <w:szCs w:val="32"/>
        </w:rPr>
        <w:t>（二）“三公”经费财政拨款支出决算具体情况说明</w:t>
      </w:r>
      <w:bookmarkEnd w:id="39"/>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2024年“三公”经费财政拨款支出决算中，因公出国（境）费支出决算0万元；公务用车购置及运行维护费支出决算0万元；公务接待费支出决算0万元。具体情况如下：</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1.因公出国（境）经费支出0</w:t>
      </w:r>
      <w:r>
        <w:rPr>
          <w:rFonts w:hint="default" w:ascii="Times New Roman" w:hAnsi="Times New Roman" w:eastAsia="仿宋_GB2312" w:cs="Times New Roman"/>
          <w:sz w:val="32"/>
          <w:szCs w:val="32"/>
        </w:rPr>
        <w:t>万元。全年安排因公出国（境）团组0次，出国（境）0人。因公出国（境）支出决算</w:t>
      </w:r>
      <w:r>
        <w:rPr>
          <w:rFonts w:hint="default" w:ascii="Times New Roman" w:hAnsi="Times New Roman" w:eastAsia="仿宋_GB2312" w:cs="Times New Roman"/>
          <w:sz w:val="32"/>
          <w:szCs w:val="32"/>
          <w:lang w:eastAsia="zh-CN"/>
        </w:rPr>
        <w:t>与</w:t>
      </w:r>
      <w:r>
        <w:rPr>
          <w:rFonts w:hint="default" w:ascii="Times New Roman" w:hAnsi="Times New Roman" w:eastAsia="仿宋_GB2312" w:cs="Times New Roman"/>
          <w:sz w:val="32"/>
          <w:szCs w:val="32"/>
          <w:lang w:val="en-US" w:eastAsia="zh-CN"/>
        </w:rPr>
        <w:t>2023年度决算数持平</w:t>
      </w:r>
      <w:r>
        <w:rPr>
          <w:rFonts w:hint="default" w:ascii="Times New Roman" w:hAnsi="Times New Roman" w:eastAsia="仿宋_GB2312" w:cs="Times New Roman"/>
          <w:sz w:val="32"/>
          <w:szCs w:val="32"/>
        </w:rPr>
        <w:t>。</w:t>
      </w:r>
    </w:p>
    <w:p>
      <w:pPr>
        <w:spacing w:line="600" w:lineRule="exact"/>
        <w:ind w:firstLine="64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2.公务用车购置及运行维护费支出0</w:t>
      </w:r>
      <w:r>
        <w:rPr>
          <w:rFonts w:hint="default" w:ascii="Times New Roman" w:hAnsi="Times New Roman" w:eastAsia="仿宋_GB2312" w:cs="Times New Roman"/>
          <w:sz w:val="32"/>
          <w:szCs w:val="32"/>
        </w:rPr>
        <w:t>万元</w:t>
      </w:r>
      <w:r>
        <w:rPr>
          <w:rStyle w:val="17"/>
          <w:rFonts w:hint="default" w:ascii="Times New Roman" w:hAnsi="Times New Roman" w:eastAsia="仿宋" w:cs="Times New Roman"/>
          <w:b w:val="0"/>
          <w:bCs/>
          <w:sz w:val="32"/>
          <w:szCs w:val="32"/>
        </w:rPr>
        <w:t>。</w:t>
      </w:r>
      <w:r>
        <w:rPr>
          <w:rFonts w:hint="default" w:ascii="Times New Roman" w:hAnsi="Times New Roman" w:eastAsia="仿宋_GB2312" w:cs="Times New Roman"/>
          <w:sz w:val="32"/>
          <w:szCs w:val="32"/>
        </w:rPr>
        <w:t>公务用车购置及运行维护费支出决算</w:t>
      </w:r>
      <w:r>
        <w:rPr>
          <w:rFonts w:hint="default" w:ascii="Times New Roman" w:hAnsi="Times New Roman" w:eastAsia="仿宋_GB2312" w:cs="Times New Roman"/>
          <w:sz w:val="32"/>
          <w:szCs w:val="32"/>
          <w:highlight w:val="none"/>
        </w:rPr>
        <w:t>与2023年度决算数持平。</w:t>
      </w:r>
    </w:p>
    <w:p>
      <w:pPr>
        <w:spacing w:line="600" w:lineRule="exact"/>
        <w:ind w:firstLine="640"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sz w:val="32"/>
          <w:szCs w:val="32"/>
        </w:rPr>
        <w:t>其中：</w:t>
      </w:r>
      <w:r>
        <w:rPr>
          <w:rFonts w:hint="default" w:ascii="Times New Roman" w:hAnsi="Times New Roman" w:eastAsia="仿宋_GB2312" w:cs="Times New Roman"/>
          <w:b/>
          <w:sz w:val="32"/>
          <w:szCs w:val="32"/>
        </w:rPr>
        <w:t>公务用车购置支出0</w:t>
      </w:r>
      <w:r>
        <w:rPr>
          <w:rFonts w:hint="default" w:ascii="Times New Roman" w:hAnsi="Times New Roman" w:eastAsia="仿宋_GB2312" w:cs="Times New Roman"/>
          <w:sz w:val="32"/>
          <w:szCs w:val="32"/>
        </w:rPr>
        <w:t>万元。全年按规定更新购置公务用车0辆，其中：轿车0辆、金额0万元，越野车0辆、金额0万元，载客汽车0辆、金额0万元。截</w:t>
      </w:r>
      <w:r>
        <w:rPr>
          <w:rFonts w:hint="default" w:ascii="Times New Roman" w:hAnsi="Times New Roman" w:eastAsia="仿宋_GB2312" w:cs="Times New Roman"/>
          <w:sz w:val="32"/>
          <w:szCs w:val="32"/>
          <w:highlight w:val="none"/>
        </w:rPr>
        <w:t>至202</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年1</w:t>
      </w:r>
      <w:r>
        <w:rPr>
          <w:rFonts w:hint="default" w:ascii="Times New Roman" w:hAnsi="Times New Roman" w:eastAsia="仿宋_GB2312" w:cs="Times New Roman"/>
          <w:sz w:val="32"/>
          <w:szCs w:val="32"/>
        </w:rPr>
        <w:t>2月</w:t>
      </w:r>
      <w:r>
        <w:rPr>
          <w:rFonts w:hint="eastAsia" w:eastAsia="仿宋_GB2312" w:cs="Times New Roman"/>
          <w:sz w:val="32"/>
          <w:szCs w:val="32"/>
          <w:lang w:val="en-US" w:eastAsia="zh-CN"/>
        </w:rPr>
        <w:t>31日</w:t>
      </w:r>
      <w:r>
        <w:rPr>
          <w:rFonts w:hint="default" w:ascii="Times New Roman" w:hAnsi="Times New Roman" w:eastAsia="仿宋_GB2312" w:cs="Times New Roman"/>
          <w:sz w:val="32"/>
          <w:szCs w:val="32"/>
        </w:rPr>
        <w:t>，单位共有公务用车0辆，其中：轿车0辆、越野车0辆、载客汽车0辆。</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公务用车运行维护费支出</w:t>
      </w:r>
      <w:r>
        <w:rPr>
          <w:rFonts w:hint="default" w:ascii="Times New Roman" w:hAnsi="Times New Roman" w:eastAsia="仿宋_GB2312" w:cs="Times New Roman"/>
          <w:sz w:val="32"/>
          <w:szCs w:val="32"/>
        </w:rPr>
        <w:t>0万元。</w:t>
      </w:r>
    </w:p>
    <w:p>
      <w:pPr>
        <w:spacing w:line="600" w:lineRule="exact"/>
        <w:ind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sz w:val="32"/>
          <w:szCs w:val="32"/>
        </w:rPr>
        <w:t>3.公务接待费支出</w:t>
      </w:r>
      <w:r>
        <w:rPr>
          <w:rFonts w:hint="default" w:ascii="Times New Roman" w:hAnsi="Times New Roman" w:eastAsia="仿宋_GB2312" w:cs="Times New Roman"/>
          <w:sz w:val="32"/>
          <w:szCs w:val="32"/>
        </w:rPr>
        <w:t>0万元</w:t>
      </w:r>
      <w:r>
        <w:rPr>
          <w:rStyle w:val="17"/>
          <w:rFonts w:hint="default" w:ascii="Times New Roman" w:hAnsi="Times New Roman" w:eastAsia="仿宋" w:cs="Times New Roman"/>
          <w:b w:val="0"/>
          <w:bCs/>
          <w:sz w:val="32"/>
          <w:szCs w:val="32"/>
        </w:rPr>
        <w:t>。</w:t>
      </w:r>
      <w:r>
        <w:rPr>
          <w:rFonts w:hint="default" w:ascii="Times New Roman" w:hAnsi="Times New Roman" w:eastAsia="仿宋_GB2312" w:cs="Times New Roman"/>
          <w:sz w:val="32"/>
          <w:szCs w:val="32"/>
        </w:rPr>
        <w:t>公务接待费支出决算</w:t>
      </w:r>
      <w:r>
        <w:rPr>
          <w:rFonts w:hint="default" w:ascii="Times New Roman" w:hAnsi="Times New Roman" w:eastAsia="仿宋_GB2312" w:cs="Times New Roman"/>
          <w:sz w:val="32"/>
          <w:szCs w:val="32"/>
          <w:highlight w:val="none"/>
        </w:rPr>
        <w:t>与2023年度决算数持平。其中：</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 w:cs="Times New Roman"/>
          <w:b/>
          <w:sz w:val="32"/>
          <w:szCs w:val="32"/>
        </w:rPr>
        <w:t>国内公务接待支出</w:t>
      </w:r>
      <w:r>
        <w:rPr>
          <w:rFonts w:hint="default" w:ascii="Times New Roman" w:hAnsi="Times New Roman" w:eastAsia="仿宋" w:cs="Times New Roman"/>
          <w:sz w:val="32"/>
          <w:szCs w:val="32"/>
        </w:rPr>
        <w:t>0</w:t>
      </w:r>
      <w:r>
        <w:rPr>
          <w:rFonts w:hint="default" w:ascii="Times New Roman" w:hAnsi="Times New Roman" w:eastAsia="仿宋_GB2312" w:cs="Times New Roman"/>
          <w:sz w:val="32"/>
          <w:szCs w:val="32"/>
        </w:rPr>
        <w:t>万元。国内公务接待0批次，0人次（不包括陪同人员），共计支出0万元。</w:t>
      </w:r>
    </w:p>
    <w:p>
      <w:pPr>
        <w:spacing w:line="600" w:lineRule="exact"/>
        <w:ind w:firstLine="642" w:firstLineChars="200"/>
        <w:rPr>
          <w:rFonts w:hint="default" w:ascii="Times New Roman" w:hAnsi="Times New Roman" w:eastAsia="仿宋_GB2312" w:cs="Times New Roman"/>
          <w:sz w:val="32"/>
          <w:szCs w:val="32"/>
        </w:rPr>
      </w:pPr>
      <w:r>
        <w:rPr>
          <w:rFonts w:hint="default" w:ascii="Times New Roman" w:hAnsi="Times New Roman" w:eastAsia="仿宋" w:cs="Times New Roman"/>
          <w:b/>
          <w:sz w:val="32"/>
          <w:szCs w:val="32"/>
        </w:rPr>
        <w:t>外事接待支出</w:t>
      </w:r>
      <w:r>
        <w:rPr>
          <w:rFonts w:hint="default" w:ascii="Times New Roman" w:hAnsi="Times New Roman" w:eastAsia="仿宋" w:cs="Times New Roman"/>
          <w:sz w:val="32"/>
          <w:szCs w:val="32"/>
        </w:rPr>
        <w:t>0</w:t>
      </w:r>
      <w:r>
        <w:rPr>
          <w:rFonts w:hint="default" w:ascii="Times New Roman" w:hAnsi="Times New Roman" w:eastAsia="仿宋_GB2312" w:cs="Times New Roman"/>
          <w:sz w:val="32"/>
          <w:szCs w:val="32"/>
        </w:rPr>
        <w:t>万元。外事接待0批次，0人次（不包括陪同人员），共计支出0万元。</w:t>
      </w:r>
    </w:p>
    <w:p>
      <w:pPr>
        <w:spacing w:line="600" w:lineRule="exact"/>
        <w:ind w:firstLine="640"/>
        <w:outlineLvl w:val="1"/>
        <w:rPr>
          <w:rFonts w:hint="default" w:ascii="Times New Roman" w:hAnsi="Times New Roman" w:eastAsia="黑体" w:cs="Times New Roman"/>
          <w:sz w:val="32"/>
          <w:szCs w:val="32"/>
        </w:rPr>
      </w:pPr>
      <w:bookmarkStart w:id="40" w:name="_Toc15396610"/>
      <w:bookmarkStart w:id="41" w:name="_Toc15377218"/>
    </w:p>
    <w:p>
      <w:pPr>
        <w:spacing w:line="600" w:lineRule="exact"/>
        <w:ind w:firstLine="640"/>
        <w:outlineLvl w:val="1"/>
        <w:rPr>
          <w:rStyle w:val="21"/>
          <w:rFonts w:hint="default" w:ascii="Times New Roman" w:hAnsi="Times New Roman" w:eastAsia="黑体" w:cs="Times New Roman"/>
        </w:rPr>
      </w:pPr>
      <w:r>
        <w:rPr>
          <w:rFonts w:hint="default" w:ascii="Times New Roman" w:hAnsi="Times New Roman" w:eastAsia="黑体" w:cs="Times New Roman"/>
          <w:sz w:val="32"/>
          <w:szCs w:val="32"/>
        </w:rPr>
        <w:t>八、</w:t>
      </w:r>
      <w:r>
        <w:rPr>
          <w:rStyle w:val="21"/>
          <w:rFonts w:hint="default" w:ascii="Times New Roman" w:hAnsi="Times New Roman" w:eastAsia="黑体" w:cs="Times New Roman"/>
          <w:b w:val="0"/>
        </w:rPr>
        <w:t>政府性基金预算支出决算情况说明</w:t>
      </w:r>
      <w:bookmarkEnd w:id="40"/>
      <w:bookmarkEnd w:id="41"/>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2024年政府性基金预算财政拨款支出0万元。</w:t>
      </w:r>
    </w:p>
    <w:p>
      <w:pPr>
        <w:pStyle w:val="2"/>
        <w:rPr>
          <w:rFonts w:hint="default"/>
        </w:rPr>
      </w:pPr>
    </w:p>
    <w:p>
      <w:pPr>
        <w:numPr>
          <w:ilvl w:val="0"/>
          <w:numId w:val="3"/>
        </w:numPr>
        <w:spacing w:line="600" w:lineRule="exact"/>
        <w:ind w:firstLine="640"/>
        <w:outlineLvl w:val="1"/>
        <w:rPr>
          <w:rStyle w:val="21"/>
          <w:rFonts w:hint="default" w:ascii="Times New Roman" w:hAnsi="Times New Roman" w:eastAsia="黑体" w:cs="Times New Roman"/>
          <w:b w:val="0"/>
        </w:rPr>
      </w:pPr>
      <w:bookmarkStart w:id="42" w:name="_Toc15377219"/>
      <w:bookmarkStart w:id="43" w:name="_Toc15396611"/>
      <w:r>
        <w:rPr>
          <w:rStyle w:val="21"/>
          <w:rFonts w:hint="default" w:ascii="Times New Roman" w:hAnsi="Times New Roman" w:eastAsia="黑体" w:cs="Times New Roman"/>
          <w:b w:val="0"/>
        </w:rPr>
        <w:t>国有资本经营预算支出决算情况说明</w:t>
      </w:r>
      <w:bookmarkEnd w:id="42"/>
      <w:bookmarkEnd w:id="43"/>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2024年国有资本经营预算财政拨款支出0万元。</w:t>
      </w:r>
    </w:p>
    <w:p>
      <w:pPr>
        <w:pStyle w:val="2"/>
        <w:rPr>
          <w:rFonts w:hint="default"/>
        </w:rPr>
      </w:pPr>
    </w:p>
    <w:p>
      <w:pPr>
        <w:numPr>
          <w:ilvl w:val="0"/>
          <w:numId w:val="3"/>
        </w:numPr>
        <w:spacing w:line="600" w:lineRule="exact"/>
        <w:ind w:firstLine="640"/>
        <w:outlineLvl w:val="1"/>
        <w:rPr>
          <w:rStyle w:val="21"/>
          <w:rFonts w:hint="default" w:ascii="Times New Roman" w:hAnsi="Times New Roman" w:eastAsia="黑体" w:cs="Times New Roman"/>
          <w:b w:val="0"/>
        </w:rPr>
      </w:pPr>
      <w:bookmarkStart w:id="44" w:name="_Toc15396612"/>
      <w:bookmarkStart w:id="45" w:name="_Toc15377221"/>
      <w:r>
        <w:rPr>
          <w:rStyle w:val="21"/>
          <w:rFonts w:hint="default" w:ascii="Times New Roman" w:hAnsi="Times New Roman" w:eastAsia="黑体" w:cs="Times New Roman"/>
          <w:b w:val="0"/>
        </w:rPr>
        <w:t>其他重要事项的情况说明</w:t>
      </w:r>
      <w:bookmarkEnd w:id="44"/>
      <w:bookmarkEnd w:id="45"/>
    </w:p>
    <w:p>
      <w:pPr>
        <w:spacing w:line="600" w:lineRule="exact"/>
        <w:ind w:firstLine="642" w:firstLineChars="200"/>
        <w:outlineLvl w:val="2"/>
        <w:rPr>
          <w:rFonts w:hint="default" w:ascii="Times New Roman" w:hAnsi="Times New Roman" w:eastAsia="仿宋" w:cs="Times New Roman"/>
          <w:sz w:val="32"/>
          <w:szCs w:val="32"/>
        </w:rPr>
      </w:pPr>
      <w:bookmarkStart w:id="46" w:name="_Toc15377222"/>
      <w:r>
        <w:rPr>
          <w:rFonts w:hint="default" w:ascii="Times New Roman" w:hAnsi="Times New Roman" w:eastAsia="仿宋" w:cs="Times New Roman"/>
          <w:b/>
          <w:sz w:val="32"/>
          <w:szCs w:val="32"/>
        </w:rPr>
        <w:t>（一）机关运行经费支出情况</w:t>
      </w:r>
      <w:bookmarkEnd w:id="46"/>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2024年，四川省有色金属工业公司</w:t>
      </w:r>
      <w:r>
        <w:rPr>
          <w:rFonts w:hint="default" w:ascii="Times New Roman" w:hAnsi="Times New Roman" w:eastAsia="仿宋_GB2312" w:cs="Times New Roman"/>
          <w:sz w:val="32"/>
          <w:szCs w:val="32"/>
        </w:rPr>
        <w:t>机关运行经费支出0万元，与2023年</w:t>
      </w:r>
      <w:r>
        <w:rPr>
          <w:rFonts w:hint="default" w:ascii="Times New Roman" w:hAnsi="Times New Roman" w:eastAsia="仿宋_GB2312" w:cs="Times New Roman"/>
          <w:sz w:val="32"/>
          <w:szCs w:val="32"/>
          <w:lang w:eastAsia="zh-CN"/>
        </w:rPr>
        <w:t>度</w:t>
      </w:r>
      <w:r>
        <w:rPr>
          <w:rFonts w:hint="default" w:ascii="Times New Roman" w:hAnsi="Times New Roman" w:eastAsia="仿宋_GB2312" w:cs="Times New Roman"/>
          <w:sz w:val="32"/>
          <w:szCs w:val="32"/>
        </w:rPr>
        <w:t>决算数持平。</w:t>
      </w:r>
    </w:p>
    <w:p>
      <w:pPr>
        <w:autoSpaceDE w:val="0"/>
        <w:autoSpaceDN w:val="0"/>
        <w:adjustRightInd w:val="0"/>
        <w:spacing w:line="600" w:lineRule="exact"/>
        <w:ind w:firstLine="642" w:firstLineChars="200"/>
        <w:jc w:val="left"/>
        <w:outlineLvl w:val="2"/>
        <w:rPr>
          <w:rFonts w:hint="default" w:ascii="Times New Roman" w:hAnsi="Times New Roman" w:eastAsia="仿宋" w:cs="Times New Roman"/>
          <w:b/>
          <w:sz w:val="32"/>
          <w:szCs w:val="32"/>
        </w:rPr>
      </w:pPr>
      <w:bookmarkStart w:id="47" w:name="_Toc15377223"/>
      <w:r>
        <w:rPr>
          <w:rFonts w:hint="default" w:ascii="Times New Roman" w:hAnsi="Times New Roman" w:eastAsia="仿宋" w:cs="Times New Roman"/>
          <w:b/>
          <w:sz w:val="32"/>
          <w:szCs w:val="32"/>
        </w:rPr>
        <w:t>（二）政府采购支出情况</w:t>
      </w:r>
      <w:bookmarkEnd w:id="47"/>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2024年，四川省有色金属工业公司政府采购支出总额0万元，其中：政府采购货物支出0万元、政府采购工程支出0万元、政府采购服务支出0万元。授予中小企业合同金额0万元，其中：授予小微企业合同金额0万元。</w:t>
      </w:r>
    </w:p>
    <w:p>
      <w:pPr>
        <w:autoSpaceDE w:val="0"/>
        <w:autoSpaceDN w:val="0"/>
        <w:adjustRightInd w:val="0"/>
        <w:spacing w:line="600" w:lineRule="exact"/>
        <w:ind w:firstLine="642" w:firstLineChars="200"/>
        <w:jc w:val="left"/>
        <w:outlineLvl w:val="2"/>
        <w:rPr>
          <w:rFonts w:hint="default" w:ascii="Times New Roman" w:hAnsi="Times New Roman" w:eastAsia="仿宋" w:cs="Times New Roman"/>
          <w:b/>
          <w:sz w:val="32"/>
          <w:szCs w:val="32"/>
        </w:rPr>
      </w:pPr>
      <w:bookmarkStart w:id="48" w:name="_Toc15377224"/>
      <w:r>
        <w:rPr>
          <w:rFonts w:hint="default" w:ascii="Times New Roman" w:hAnsi="Times New Roman" w:eastAsia="仿宋" w:cs="Times New Roman"/>
          <w:b/>
          <w:sz w:val="32"/>
          <w:szCs w:val="32"/>
        </w:rPr>
        <w:t>（三）国有资产占有使用情况</w:t>
      </w:r>
      <w:bookmarkEnd w:id="48"/>
    </w:p>
    <w:p>
      <w:pPr>
        <w:autoSpaceDE w:val="0"/>
        <w:autoSpaceDN w:val="0"/>
        <w:adjustRightInd w:val="0"/>
        <w:spacing w:line="60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截至2024年12月31日，四川省有色金属工业公司共有车辆0辆，其中：主要</w:t>
      </w:r>
      <w:r>
        <w:rPr>
          <w:rFonts w:hint="eastAsia" w:eastAsia="仿宋_GB2312" w:cs="Times New Roman"/>
          <w:sz w:val="32"/>
          <w:szCs w:val="32"/>
          <w:lang w:eastAsia="zh-CN"/>
        </w:rPr>
        <w:t>负责人</w:t>
      </w:r>
      <w:r>
        <w:rPr>
          <w:rFonts w:hint="default" w:ascii="Times New Roman" w:hAnsi="Times New Roman" w:eastAsia="仿宋_GB2312" w:cs="Times New Roman"/>
          <w:sz w:val="32"/>
          <w:szCs w:val="32"/>
        </w:rPr>
        <w:t>用车0辆、机要通信用车0辆、应急保障用车0辆、其他用车0辆。单价100万元</w:t>
      </w:r>
      <w:r>
        <w:rPr>
          <w:rFonts w:hint="eastAsia" w:eastAsia="仿宋_GB2312" w:cs="Times New Roman"/>
          <w:sz w:val="32"/>
          <w:szCs w:val="32"/>
          <w:lang w:eastAsia="zh-CN"/>
        </w:rPr>
        <w:t>（含）</w:t>
      </w:r>
      <w:r>
        <w:rPr>
          <w:rFonts w:hint="default" w:ascii="Times New Roman" w:hAnsi="Times New Roman" w:eastAsia="仿宋_GB2312" w:cs="Times New Roman"/>
          <w:sz w:val="32"/>
          <w:szCs w:val="32"/>
        </w:rPr>
        <w:t>以上设备</w:t>
      </w:r>
      <w:r>
        <w:rPr>
          <w:rFonts w:hint="eastAsia" w:eastAsia="仿宋_GB2312" w:cs="Times New Roman"/>
          <w:sz w:val="32"/>
          <w:szCs w:val="32"/>
          <w:lang w:eastAsia="zh-CN"/>
        </w:rPr>
        <w:t>（不含车辆）</w:t>
      </w:r>
      <w:r>
        <w:rPr>
          <w:rFonts w:hint="default" w:ascii="Times New Roman" w:hAnsi="Times New Roman" w:eastAsia="仿宋_GB2312" w:cs="Times New Roman"/>
          <w:sz w:val="32"/>
          <w:szCs w:val="32"/>
        </w:rPr>
        <w:t>0台（套）。</w:t>
      </w:r>
    </w:p>
    <w:p>
      <w:pPr>
        <w:autoSpaceDE w:val="0"/>
        <w:autoSpaceDN w:val="0"/>
        <w:adjustRightInd w:val="0"/>
        <w:spacing w:line="600" w:lineRule="exact"/>
        <w:ind w:firstLine="642" w:firstLineChars="200"/>
        <w:jc w:val="left"/>
        <w:outlineLvl w:val="2"/>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（四）预算绩效管理情况</w:t>
      </w:r>
    </w:p>
    <w:p>
      <w:pPr>
        <w:pStyle w:val="8"/>
        <w:spacing w:before="93"/>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根据预算绩效管理要求，本单位在2024年度预算编制阶段，组织对0个项目开展了预算事前绩效评估，对0个项目编制了绩效目标，预算执行过程中，选取0个项目开展绩效监控，组织对0个项目开展绩效自评。</w:t>
      </w:r>
    </w:p>
    <w:p>
      <w:pPr>
        <w:pStyle w:val="8"/>
        <w:spacing w:before="93"/>
        <w:ind w:firstLine="640" w:firstLineChars="200"/>
        <w:rPr>
          <w:rFonts w:hint="default" w:ascii="Times New Roman" w:hAnsi="Times New Roman" w:cs="Times New Roman"/>
          <w:sz w:val="32"/>
          <w:szCs w:val="32"/>
        </w:rPr>
      </w:pPr>
    </w:p>
    <w:p>
      <w:pPr>
        <w:pStyle w:val="8"/>
        <w:spacing w:before="93"/>
        <w:ind w:firstLine="640" w:firstLineChars="200"/>
        <w:rPr>
          <w:rFonts w:hint="default" w:ascii="Times New Roman" w:hAnsi="Times New Roman" w:cs="Times New Roman"/>
          <w:sz w:val="32"/>
          <w:szCs w:val="32"/>
        </w:rPr>
      </w:pPr>
    </w:p>
    <w:p>
      <w:pPr>
        <w:pStyle w:val="8"/>
        <w:spacing w:before="93"/>
        <w:ind w:firstLine="640" w:firstLineChars="200"/>
        <w:rPr>
          <w:rFonts w:hint="default" w:ascii="Times New Roman" w:hAnsi="Times New Roman" w:cs="Times New Roman"/>
          <w:sz w:val="32"/>
          <w:szCs w:val="32"/>
        </w:rPr>
      </w:pPr>
    </w:p>
    <w:p>
      <w:pPr>
        <w:pStyle w:val="8"/>
        <w:spacing w:before="93"/>
        <w:ind w:firstLine="640" w:firstLineChars="200"/>
        <w:rPr>
          <w:rFonts w:hint="default" w:ascii="Times New Roman" w:hAnsi="Times New Roman" w:cs="Times New Roman"/>
          <w:sz w:val="32"/>
          <w:szCs w:val="32"/>
        </w:rPr>
      </w:pPr>
    </w:p>
    <w:p>
      <w:pPr>
        <w:pStyle w:val="8"/>
        <w:spacing w:before="93"/>
        <w:ind w:firstLine="640" w:firstLineChars="200"/>
        <w:rPr>
          <w:rFonts w:hint="default" w:ascii="Times New Roman" w:hAnsi="Times New Roman" w:cs="Times New Roman"/>
          <w:sz w:val="32"/>
          <w:szCs w:val="32"/>
        </w:rPr>
      </w:pPr>
    </w:p>
    <w:p>
      <w:pPr>
        <w:pStyle w:val="8"/>
        <w:spacing w:before="93"/>
        <w:ind w:firstLine="640" w:firstLineChars="200"/>
        <w:rPr>
          <w:rFonts w:hint="default" w:ascii="Times New Roman" w:hAnsi="Times New Roman" w:cs="Times New Roman"/>
          <w:sz w:val="32"/>
          <w:szCs w:val="32"/>
        </w:rPr>
      </w:pPr>
    </w:p>
    <w:p>
      <w:pPr>
        <w:pStyle w:val="8"/>
        <w:spacing w:before="93"/>
        <w:ind w:firstLine="640" w:firstLineChars="200"/>
        <w:rPr>
          <w:rFonts w:hint="default" w:ascii="Times New Roman" w:hAnsi="Times New Roman" w:cs="Times New Roman"/>
          <w:sz w:val="32"/>
          <w:szCs w:val="32"/>
        </w:rPr>
      </w:pPr>
    </w:p>
    <w:p>
      <w:pPr>
        <w:pStyle w:val="8"/>
        <w:spacing w:before="93"/>
        <w:ind w:firstLine="640" w:firstLineChars="200"/>
        <w:rPr>
          <w:rFonts w:hint="default" w:ascii="Times New Roman" w:hAnsi="Times New Roman" w:cs="Times New Roman"/>
          <w:sz w:val="32"/>
          <w:szCs w:val="32"/>
        </w:rPr>
      </w:pPr>
    </w:p>
    <w:p>
      <w:pPr>
        <w:pStyle w:val="8"/>
        <w:spacing w:before="93"/>
        <w:ind w:firstLine="640" w:firstLineChars="200"/>
        <w:rPr>
          <w:rFonts w:hint="default" w:ascii="Times New Roman" w:hAnsi="Times New Roman" w:cs="Times New Roman"/>
          <w:sz w:val="32"/>
          <w:szCs w:val="32"/>
        </w:rPr>
      </w:pPr>
    </w:p>
    <w:p>
      <w:pPr>
        <w:pStyle w:val="8"/>
        <w:spacing w:before="93"/>
        <w:ind w:firstLine="640" w:firstLineChars="200"/>
        <w:rPr>
          <w:rFonts w:hint="default" w:ascii="Times New Roman" w:hAnsi="Times New Roman" w:cs="Times New Roman"/>
          <w:sz w:val="32"/>
          <w:szCs w:val="32"/>
        </w:rPr>
      </w:pPr>
    </w:p>
    <w:p>
      <w:pPr>
        <w:pStyle w:val="8"/>
        <w:spacing w:before="93"/>
        <w:ind w:firstLine="640" w:firstLineChars="200"/>
        <w:rPr>
          <w:rFonts w:hint="default" w:ascii="Times New Roman" w:hAnsi="Times New Roman" w:cs="Times New Roman"/>
          <w:sz w:val="32"/>
          <w:szCs w:val="32"/>
        </w:rPr>
      </w:pPr>
    </w:p>
    <w:p>
      <w:pPr>
        <w:numPr>
          <w:ilvl w:val="0"/>
          <w:numId w:val="4"/>
        </w:numPr>
        <w:spacing w:line="600" w:lineRule="exact"/>
        <w:ind w:firstLine="660" w:firstLineChars="150"/>
        <w:jc w:val="center"/>
        <w:outlineLvl w:val="0"/>
        <w:rPr>
          <w:rStyle w:val="20"/>
          <w:rFonts w:hint="default" w:ascii="Times New Roman" w:hAnsi="Times New Roman" w:eastAsia="黑体" w:cs="Times New Roman"/>
          <w:b w:val="0"/>
        </w:rPr>
      </w:pPr>
      <w:bookmarkStart w:id="49" w:name="_Toc15396613"/>
      <w:bookmarkStart w:id="50" w:name="_Toc15377225"/>
      <w:r>
        <w:rPr>
          <w:rFonts w:hint="default" w:ascii="Times New Roman" w:hAnsi="Times New Roman" w:eastAsia="黑体" w:cs="Times New Roman"/>
          <w:sz w:val="44"/>
          <w:szCs w:val="44"/>
        </w:rPr>
        <w:t>名</w:t>
      </w:r>
      <w:r>
        <w:rPr>
          <w:rStyle w:val="20"/>
          <w:rFonts w:hint="default" w:ascii="Times New Roman" w:hAnsi="Times New Roman" w:eastAsia="黑体" w:cs="Times New Roman"/>
          <w:b w:val="0"/>
        </w:rPr>
        <w:t>词解释</w:t>
      </w:r>
      <w:bookmarkEnd w:id="49"/>
      <w:bookmarkEnd w:id="50"/>
    </w:p>
    <w:p>
      <w:pPr>
        <w:spacing w:line="600" w:lineRule="exact"/>
        <w:jc w:val="left"/>
        <w:rPr>
          <w:rFonts w:hint="default" w:ascii="Times New Roman" w:hAnsi="Times New Roman" w:cs="Times New Roman"/>
          <w:b/>
          <w:sz w:val="44"/>
          <w:szCs w:val="44"/>
        </w:rPr>
      </w:pPr>
    </w:p>
    <w:p>
      <w:pPr>
        <w:pStyle w:val="30"/>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1.财政拨款收入：指单位从同级财政部门取得的财政预算资金。</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2.卫生健康（类）行政事业单位医疗（款）事业单位医疗（项）：指本单位为在职在编职工缴纳的职工基本医疗保险费。</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3.资源勘探工业信息等（类）资源勘探开发（款）有色金属矿勘探和采选（项）：指本单位保障机构开展日常工作的基本支出。</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4.住房保障（类）住房改革（款）住房公积金（项）：指本单位按人力资源和社会保障部、财政部规定的基本工资和津贴补贴以及规定比例为职工缴纳的住房公积金。</w:t>
      </w:r>
    </w:p>
    <w:p>
      <w:pPr>
        <w:spacing w:line="600" w:lineRule="exact"/>
        <w:jc w:val="center"/>
        <w:outlineLvl w:val="0"/>
        <w:rPr>
          <w:rStyle w:val="20"/>
          <w:rFonts w:hint="default" w:ascii="Times New Roman" w:hAnsi="Times New Roman" w:eastAsia="黑体" w:cs="Times New Roman"/>
          <w:b w:val="0"/>
        </w:rPr>
      </w:pPr>
      <w:bookmarkStart w:id="51" w:name="_Toc15377226"/>
      <w:r>
        <w:rPr>
          <w:rFonts w:hint="default" w:ascii="Times New Roman" w:hAnsi="Times New Roman" w:cs="Times New Roman"/>
          <w:b/>
          <w:sz w:val="44"/>
          <w:szCs w:val="44"/>
        </w:rPr>
        <w:br w:type="page"/>
      </w:r>
      <w:bookmarkStart w:id="52" w:name="_Toc15396614"/>
      <w:r>
        <w:rPr>
          <w:rFonts w:hint="default" w:ascii="Times New Roman" w:hAnsi="Times New Roman" w:eastAsia="黑体" w:cs="Times New Roman"/>
          <w:sz w:val="44"/>
          <w:szCs w:val="44"/>
        </w:rPr>
        <w:t>第</w:t>
      </w:r>
      <w:r>
        <w:rPr>
          <w:rStyle w:val="20"/>
          <w:rFonts w:hint="default" w:ascii="Times New Roman" w:hAnsi="Times New Roman" w:eastAsia="黑体" w:cs="Times New Roman"/>
          <w:b w:val="0"/>
        </w:rPr>
        <w:t>四部分 附件</w:t>
      </w:r>
      <w:bookmarkEnd w:id="52"/>
    </w:p>
    <w:p>
      <w:pPr>
        <w:spacing w:line="572" w:lineRule="exact"/>
        <w:jc w:val="left"/>
        <w:outlineLvl w:val="0"/>
        <w:rPr>
          <w:rFonts w:hint="default" w:ascii="Times New Roman" w:hAnsi="Times New Roman" w:eastAsia="仿宋_GB2312" w:cs="Times New Roman"/>
          <w:sz w:val="32"/>
          <w:szCs w:val="32"/>
        </w:rPr>
      </w:pPr>
    </w:p>
    <w:p>
      <w:pPr>
        <w:spacing w:line="600" w:lineRule="exact"/>
        <w:jc w:val="left"/>
        <w:outlineLvl w:val="0"/>
        <w:rPr>
          <w:rFonts w:hint="default" w:ascii="Times New Roman" w:hAnsi="Times New Roman" w:eastAsia="仿宋_GB2312" w:cs="Times New Roman"/>
          <w:kern w:val="0"/>
          <w:sz w:val="32"/>
          <w:szCs w:val="32"/>
        </w:rPr>
      </w:pPr>
      <w:bookmarkStart w:id="53" w:name="_Toc15396618"/>
    </w:p>
    <w:p>
      <w:pPr>
        <w:pStyle w:val="8"/>
        <w:spacing w:before="93"/>
        <w:jc w:val="center"/>
        <w:rPr>
          <w:rFonts w:hint="eastAsia" w:ascii="仿宋_GB2312" w:hAnsi="仿宋_GB2312" w:eastAsia="仿宋_GB2312" w:cs="仿宋_GB2312"/>
          <w:b w:val="0"/>
          <w:bCs w:val="0"/>
          <w:sz w:val="32"/>
          <w:szCs w:val="32"/>
        </w:rPr>
      </w:pPr>
      <w:r>
        <w:rPr>
          <w:rFonts w:hint="default" w:ascii="Times New Roman" w:hAnsi="Times New Roman" w:eastAsia="仿宋_GB2312" w:cs="Times New Roman"/>
          <w:b w:val="0"/>
          <w:bCs w:val="0"/>
          <w:sz w:val="32"/>
          <w:szCs w:val="32"/>
        </w:rPr>
        <w:t>本单位2024年度无项目支出。</w:t>
      </w:r>
    </w:p>
    <w:p>
      <w:pPr>
        <w:pStyle w:val="8"/>
        <w:spacing w:before="93"/>
        <w:rPr>
          <w:rFonts w:hint="default" w:ascii="Times New Roman" w:hAnsi="Times New Roman" w:cs="Times New Roman"/>
          <w:sz w:val="32"/>
          <w:szCs w:val="32"/>
        </w:rPr>
      </w:pPr>
    </w:p>
    <w:p>
      <w:pPr>
        <w:pStyle w:val="8"/>
        <w:spacing w:before="93"/>
        <w:rPr>
          <w:rFonts w:hint="default" w:ascii="Times New Roman" w:hAnsi="Times New Roman" w:cs="Times New Roman"/>
          <w:sz w:val="32"/>
          <w:szCs w:val="32"/>
        </w:rPr>
      </w:pPr>
    </w:p>
    <w:p>
      <w:pPr>
        <w:pStyle w:val="8"/>
        <w:spacing w:before="93"/>
        <w:rPr>
          <w:rFonts w:hint="default" w:ascii="Times New Roman" w:hAnsi="Times New Roman" w:cs="Times New Roman"/>
          <w:sz w:val="32"/>
          <w:szCs w:val="32"/>
        </w:rPr>
      </w:pPr>
    </w:p>
    <w:p>
      <w:pPr>
        <w:pStyle w:val="8"/>
        <w:spacing w:before="93"/>
        <w:rPr>
          <w:rFonts w:hint="default" w:ascii="Times New Roman" w:hAnsi="Times New Roman" w:cs="Times New Roman"/>
          <w:sz w:val="32"/>
          <w:szCs w:val="32"/>
        </w:rPr>
      </w:pPr>
    </w:p>
    <w:p>
      <w:pPr>
        <w:pStyle w:val="8"/>
        <w:spacing w:before="93"/>
        <w:rPr>
          <w:rFonts w:hint="default" w:ascii="Times New Roman" w:hAnsi="Times New Roman" w:cs="Times New Roman"/>
          <w:sz w:val="32"/>
          <w:szCs w:val="32"/>
        </w:rPr>
      </w:pPr>
    </w:p>
    <w:p>
      <w:pPr>
        <w:pStyle w:val="8"/>
        <w:spacing w:before="93"/>
        <w:rPr>
          <w:rFonts w:hint="default" w:ascii="Times New Roman" w:hAnsi="Times New Roman" w:cs="Times New Roman"/>
          <w:sz w:val="32"/>
          <w:szCs w:val="32"/>
        </w:rPr>
      </w:pPr>
    </w:p>
    <w:p>
      <w:pPr>
        <w:pStyle w:val="8"/>
        <w:spacing w:before="93"/>
        <w:rPr>
          <w:rFonts w:hint="default" w:ascii="Times New Roman" w:hAnsi="Times New Roman" w:cs="Times New Roman"/>
          <w:sz w:val="32"/>
          <w:szCs w:val="32"/>
        </w:rPr>
      </w:pPr>
    </w:p>
    <w:p>
      <w:pPr>
        <w:pStyle w:val="8"/>
        <w:spacing w:before="93"/>
        <w:rPr>
          <w:rFonts w:hint="default" w:ascii="Times New Roman" w:hAnsi="Times New Roman" w:cs="Times New Roman"/>
          <w:sz w:val="32"/>
          <w:szCs w:val="32"/>
        </w:rPr>
      </w:pPr>
    </w:p>
    <w:p>
      <w:pPr>
        <w:pStyle w:val="8"/>
        <w:spacing w:before="93"/>
        <w:rPr>
          <w:rFonts w:hint="default" w:ascii="Times New Roman" w:hAnsi="Times New Roman" w:cs="Times New Roman"/>
          <w:sz w:val="32"/>
          <w:szCs w:val="32"/>
        </w:rPr>
      </w:pPr>
    </w:p>
    <w:p>
      <w:pPr>
        <w:pStyle w:val="8"/>
        <w:spacing w:before="93"/>
        <w:rPr>
          <w:rFonts w:hint="default" w:ascii="Times New Roman" w:hAnsi="Times New Roman" w:cs="Times New Roman"/>
          <w:sz w:val="32"/>
          <w:szCs w:val="32"/>
        </w:rPr>
      </w:pPr>
    </w:p>
    <w:p>
      <w:pPr>
        <w:pStyle w:val="8"/>
        <w:spacing w:before="93"/>
        <w:rPr>
          <w:rFonts w:hint="default" w:ascii="Times New Roman" w:hAnsi="Times New Roman" w:cs="Times New Roman"/>
          <w:sz w:val="32"/>
          <w:szCs w:val="32"/>
        </w:rPr>
      </w:pPr>
    </w:p>
    <w:p>
      <w:pPr>
        <w:pStyle w:val="8"/>
        <w:spacing w:before="93"/>
        <w:rPr>
          <w:rFonts w:hint="default" w:ascii="Times New Roman" w:hAnsi="Times New Roman" w:cs="Times New Roman"/>
          <w:sz w:val="32"/>
          <w:szCs w:val="32"/>
        </w:rPr>
      </w:pPr>
    </w:p>
    <w:p>
      <w:pPr>
        <w:pStyle w:val="8"/>
        <w:spacing w:before="93"/>
        <w:rPr>
          <w:rFonts w:hint="default" w:ascii="Times New Roman" w:hAnsi="Times New Roman" w:cs="Times New Roman"/>
          <w:sz w:val="32"/>
          <w:szCs w:val="32"/>
        </w:rPr>
      </w:pPr>
    </w:p>
    <w:p>
      <w:pPr>
        <w:pStyle w:val="8"/>
        <w:spacing w:before="93"/>
        <w:rPr>
          <w:rFonts w:hint="default" w:ascii="Times New Roman" w:hAnsi="Times New Roman" w:cs="Times New Roman"/>
          <w:sz w:val="32"/>
          <w:szCs w:val="32"/>
        </w:rPr>
      </w:pPr>
    </w:p>
    <w:p>
      <w:pPr>
        <w:spacing w:line="600" w:lineRule="exact"/>
        <w:jc w:val="center"/>
        <w:outlineLvl w:val="0"/>
        <w:rPr>
          <w:rFonts w:hint="default" w:ascii="Times New Roman" w:hAnsi="Times New Roman" w:eastAsia="黑体" w:cs="Times New Roman"/>
          <w:sz w:val="44"/>
          <w:szCs w:val="44"/>
        </w:rPr>
      </w:pPr>
    </w:p>
    <w:p>
      <w:pPr>
        <w:spacing w:line="600" w:lineRule="exact"/>
        <w:jc w:val="center"/>
        <w:outlineLvl w:val="0"/>
        <w:rPr>
          <w:rFonts w:hint="default" w:ascii="Times New Roman" w:hAnsi="Times New Roman" w:eastAsia="仿宋" w:cs="Times New Roman"/>
        </w:rPr>
      </w:pPr>
      <w:r>
        <w:rPr>
          <w:rFonts w:hint="default" w:ascii="Times New Roman" w:hAnsi="Times New Roman" w:eastAsia="黑体" w:cs="Times New Roman"/>
          <w:sz w:val="44"/>
          <w:szCs w:val="44"/>
        </w:rPr>
        <w:t>第</w:t>
      </w:r>
      <w:r>
        <w:rPr>
          <w:rStyle w:val="20"/>
          <w:rFonts w:hint="default" w:ascii="Times New Roman" w:hAnsi="Times New Roman" w:eastAsia="黑体" w:cs="Times New Roman"/>
          <w:b w:val="0"/>
        </w:rPr>
        <w:t>五部分 附表</w:t>
      </w:r>
      <w:bookmarkStart w:id="54" w:name="_Toc15396619"/>
    </w:p>
    <w:p>
      <w:pPr>
        <w:pStyle w:val="6"/>
        <w:rPr>
          <w:rFonts w:hint="default" w:ascii="Times New Roman" w:hAnsi="Times New Roman" w:eastAsia="仿宋" w:cs="Times New Roman"/>
        </w:rPr>
      </w:pPr>
      <w:r>
        <w:rPr>
          <w:rFonts w:hint="default" w:ascii="Times New Roman" w:hAnsi="Times New Roman" w:eastAsia="仿宋" w:cs="Times New Roman"/>
          <w:b w:val="0"/>
        </w:rPr>
        <w:t>一、收</w:t>
      </w:r>
      <w:r>
        <w:rPr>
          <w:rStyle w:val="21"/>
          <w:rFonts w:hint="default" w:ascii="Times New Roman" w:hAnsi="Times New Roman" w:eastAsia="仿宋" w:cs="Times New Roman"/>
          <w:b w:val="0"/>
          <w:bCs w:val="0"/>
        </w:rPr>
        <w:t>入支出决算总表</w:t>
      </w:r>
      <w:bookmarkEnd w:id="54"/>
    </w:p>
    <w:p>
      <w:pPr>
        <w:pStyle w:val="6"/>
        <w:rPr>
          <w:rFonts w:hint="default" w:ascii="Times New Roman" w:hAnsi="Times New Roman" w:eastAsia="仿宋" w:cs="Times New Roman"/>
        </w:rPr>
      </w:pPr>
      <w:bookmarkStart w:id="55" w:name="_Toc15396620"/>
      <w:r>
        <w:rPr>
          <w:rFonts w:hint="default" w:ascii="Times New Roman" w:hAnsi="Times New Roman" w:eastAsia="仿宋" w:cs="Times New Roman"/>
          <w:b w:val="0"/>
        </w:rPr>
        <w:t>二、收</w:t>
      </w:r>
      <w:r>
        <w:rPr>
          <w:rStyle w:val="21"/>
          <w:rFonts w:hint="default" w:ascii="Times New Roman" w:hAnsi="Times New Roman" w:eastAsia="仿宋" w:cs="Times New Roman"/>
          <w:b w:val="0"/>
          <w:bCs w:val="0"/>
        </w:rPr>
        <w:t>入决算表</w:t>
      </w:r>
      <w:bookmarkEnd w:id="55"/>
    </w:p>
    <w:p>
      <w:pPr>
        <w:pStyle w:val="6"/>
        <w:rPr>
          <w:rFonts w:hint="default" w:ascii="Times New Roman" w:hAnsi="Times New Roman" w:eastAsia="仿宋" w:cs="Times New Roman"/>
        </w:rPr>
      </w:pPr>
      <w:bookmarkStart w:id="56" w:name="_Toc15396621"/>
      <w:r>
        <w:rPr>
          <w:rStyle w:val="21"/>
          <w:rFonts w:hint="default" w:ascii="Times New Roman" w:hAnsi="Times New Roman" w:eastAsia="仿宋" w:cs="Times New Roman"/>
          <w:b w:val="0"/>
          <w:bCs w:val="0"/>
        </w:rPr>
        <w:t>三、</w:t>
      </w:r>
      <w:r>
        <w:rPr>
          <w:rFonts w:hint="default" w:ascii="Times New Roman" w:hAnsi="Times New Roman" w:eastAsia="仿宋" w:cs="Times New Roman"/>
          <w:b w:val="0"/>
        </w:rPr>
        <w:t>支</w:t>
      </w:r>
      <w:r>
        <w:rPr>
          <w:rStyle w:val="21"/>
          <w:rFonts w:hint="default" w:ascii="Times New Roman" w:hAnsi="Times New Roman" w:eastAsia="仿宋" w:cs="Times New Roman"/>
          <w:b w:val="0"/>
          <w:bCs w:val="0"/>
        </w:rPr>
        <w:t>出决算表</w:t>
      </w:r>
      <w:bookmarkEnd w:id="56"/>
    </w:p>
    <w:p>
      <w:pPr>
        <w:pStyle w:val="6"/>
        <w:rPr>
          <w:rFonts w:hint="default" w:ascii="Times New Roman" w:hAnsi="Times New Roman" w:eastAsia="仿宋" w:cs="Times New Roman"/>
          <w:b w:val="0"/>
        </w:rPr>
      </w:pPr>
      <w:bookmarkStart w:id="57" w:name="_Toc15396622"/>
      <w:r>
        <w:rPr>
          <w:rStyle w:val="21"/>
          <w:rFonts w:hint="default" w:ascii="Times New Roman" w:hAnsi="Times New Roman" w:eastAsia="仿宋" w:cs="Times New Roman"/>
          <w:b w:val="0"/>
          <w:bCs w:val="0"/>
        </w:rPr>
        <w:t>四、</w:t>
      </w:r>
      <w:r>
        <w:rPr>
          <w:rFonts w:hint="default" w:ascii="Times New Roman" w:hAnsi="Times New Roman" w:eastAsia="仿宋" w:cs="Times New Roman"/>
          <w:b w:val="0"/>
        </w:rPr>
        <w:t>财</w:t>
      </w:r>
      <w:r>
        <w:rPr>
          <w:rStyle w:val="21"/>
          <w:rFonts w:hint="default" w:ascii="Times New Roman" w:hAnsi="Times New Roman" w:eastAsia="仿宋" w:cs="Times New Roman"/>
          <w:b w:val="0"/>
          <w:bCs w:val="0"/>
        </w:rPr>
        <w:t>政拨款收入支出决算总表</w:t>
      </w:r>
      <w:bookmarkEnd w:id="57"/>
    </w:p>
    <w:p>
      <w:pPr>
        <w:pStyle w:val="6"/>
        <w:rPr>
          <w:rStyle w:val="21"/>
          <w:rFonts w:hint="default" w:ascii="Times New Roman" w:hAnsi="Times New Roman" w:eastAsia="仿宋" w:cs="Times New Roman"/>
          <w:b w:val="0"/>
          <w:bCs w:val="0"/>
        </w:rPr>
      </w:pPr>
      <w:bookmarkStart w:id="58" w:name="_Toc15396623"/>
      <w:r>
        <w:rPr>
          <w:rStyle w:val="21"/>
          <w:rFonts w:hint="default" w:ascii="Times New Roman" w:hAnsi="Times New Roman" w:eastAsia="仿宋" w:cs="Times New Roman"/>
          <w:b w:val="0"/>
          <w:bCs w:val="0"/>
        </w:rPr>
        <w:t>五、</w:t>
      </w:r>
      <w:r>
        <w:rPr>
          <w:rFonts w:hint="default" w:ascii="Times New Roman" w:hAnsi="Times New Roman" w:eastAsia="仿宋" w:cs="Times New Roman"/>
          <w:b w:val="0"/>
        </w:rPr>
        <w:t>财</w:t>
      </w:r>
      <w:r>
        <w:rPr>
          <w:rStyle w:val="21"/>
          <w:rFonts w:hint="default" w:ascii="Times New Roman" w:hAnsi="Times New Roman" w:eastAsia="仿宋" w:cs="Times New Roman"/>
          <w:b w:val="0"/>
          <w:bCs w:val="0"/>
        </w:rPr>
        <w:t>政拨款支出决算明细表</w:t>
      </w:r>
      <w:bookmarkEnd w:id="58"/>
      <w:bookmarkStart w:id="59" w:name="_Toc15396624"/>
    </w:p>
    <w:p>
      <w:pPr>
        <w:pStyle w:val="6"/>
        <w:rPr>
          <w:rFonts w:hint="default" w:ascii="Times New Roman" w:hAnsi="Times New Roman" w:eastAsia="仿宋" w:cs="Times New Roman"/>
        </w:rPr>
      </w:pPr>
      <w:r>
        <w:rPr>
          <w:rStyle w:val="21"/>
          <w:rFonts w:hint="default" w:ascii="Times New Roman" w:hAnsi="Times New Roman" w:eastAsia="仿宋" w:cs="Times New Roman"/>
          <w:b w:val="0"/>
          <w:bCs w:val="0"/>
        </w:rPr>
        <w:t>六、</w:t>
      </w:r>
      <w:r>
        <w:rPr>
          <w:rFonts w:hint="default" w:ascii="Times New Roman" w:hAnsi="Times New Roman" w:eastAsia="仿宋" w:cs="Times New Roman"/>
          <w:b w:val="0"/>
        </w:rPr>
        <w:t>一</w:t>
      </w:r>
      <w:r>
        <w:rPr>
          <w:rStyle w:val="21"/>
          <w:rFonts w:hint="default" w:ascii="Times New Roman" w:hAnsi="Times New Roman" w:eastAsia="仿宋" w:cs="Times New Roman"/>
          <w:b w:val="0"/>
          <w:bCs w:val="0"/>
        </w:rPr>
        <w:t>般公共预算财政拨款支出决算表</w:t>
      </w:r>
      <w:bookmarkEnd w:id="59"/>
    </w:p>
    <w:p>
      <w:pPr>
        <w:pStyle w:val="6"/>
        <w:rPr>
          <w:rFonts w:hint="default" w:ascii="Times New Roman" w:hAnsi="Times New Roman" w:eastAsia="仿宋" w:cs="Times New Roman"/>
        </w:rPr>
      </w:pPr>
      <w:bookmarkStart w:id="60" w:name="_Toc15396625"/>
      <w:r>
        <w:rPr>
          <w:rStyle w:val="21"/>
          <w:rFonts w:hint="default" w:ascii="Times New Roman" w:hAnsi="Times New Roman" w:eastAsia="仿宋" w:cs="Times New Roman"/>
          <w:b w:val="0"/>
          <w:bCs w:val="0"/>
        </w:rPr>
        <w:t>七、</w:t>
      </w:r>
      <w:r>
        <w:rPr>
          <w:rFonts w:hint="default" w:ascii="Times New Roman" w:hAnsi="Times New Roman" w:eastAsia="仿宋" w:cs="Times New Roman"/>
          <w:b w:val="0"/>
        </w:rPr>
        <w:t>一</w:t>
      </w:r>
      <w:r>
        <w:rPr>
          <w:rStyle w:val="21"/>
          <w:rFonts w:hint="default" w:ascii="Times New Roman" w:hAnsi="Times New Roman" w:eastAsia="仿宋" w:cs="Times New Roman"/>
          <w:b w:val="0"/>
          <w:bCs w:val="0"/>
        </w:rPr>
        <w:t>般公共预算财政拨款支出决算明细表</w:t>
      </w:r>
      <w:bookmarkEnd w:id="60"/>
    </w:p>
    <w:p>
      <w:pPr>
        <w:pStyle w:val="6"/>
        <w:rPr>
          <w:rFonts w:hint="default" w:ascii="Times New Roman" w:hAnsi="Times New Roman" w:eastAsia="仿宋" w:cs="Times New Roman"/>
        </w:rPr>
      </w:pPr>
      <w:bookmarkStart w:id="61" w:name="_Toc15396626"/>
      <w:r>
        <w:rPr>
          <w:rStyle w:val="21"/>
          <w:rFonts w:hint="default" w:ascii="Times New Roman" w:hAnsi="Times New Roman" w:eastAsia="仿宋" w:cs="Times New Roman"/>
          <w:b w:val="0"/>
          <w:bCs w:val="0"/>
        </w:rPr>
        <w:t>八、</w:t>
      </w:r>
      <w:r>
        <w:rPr>
          <w:rFonts w:hint="default" w:ascii="Times New Roman" w:hAnsi="Times New Roman" w:eastAsia="仿宋" w:cs="Times New Roman"/>
          <w:b w:val="0"/>
        </w:rPr>
        <w:t>一</w:t>
      </w:r>
      <w:r>
        <w:rPr>
          <w:rStyle w:val="21"/>
          <w:rFonts w:hint="default" w:ascii="Times New Roman" w:hAnsi="Times New Roman" w:eastAsia="仿宋" w:cs="Times New Roman"/>
          <w:b w:val="0"/>
          <w:bCs w:val="0"/>
        </w:rPr>
        <w:t>般公共预算财政拨款基本支出决算表</w:t>
      </w:r>
      <w:bookmarkEnd w:id="61"/>
    </w:p>
    <w:p>
      <w:pPr>
        <w:pStyle w:val="6"/>
        <w:rPr>
          <w:rFonts w:hint="default" w:ascii="Times New Roman" w:hAnsi="Times New Roman" w:eastAsia="仿宋" w:cs="Times New Roman"/>
        </w:rPr>
      </w:pPr>
      <w:bookmarkStart w:id="62" w:name="_Toc15396627"/>
      <w:r>
        <w:rPr>
          <w:rStyle w:val="21"/>
          <w:rFonts w:hint="default" w:ascii="Times New Roman" w:hAnsi="Times New Roman" w:eastAsia="仿宋" w:cs="Times New Roman"/>
          <w:b w:val="0"/>
          <w:bCs w:val="0"/>
        </w:rPr>
        <w:t>九、</w:t>
      </w:r>
      <w:r>
        <w:rPr>
          <w:rFonts w:hint="default" w:ascii="Times New Roman" w:hAnsi="Times New Roman" w:eastAsia="仿宋" w:cs="Times New Roman"/>
          <w:b w:val="0"/>
        </w:rPr>
        <w:t>一</w:t>
      </w:r>
      <w:r>
        <w:rPr>
          <w:rStyle w:val="21"/>
          <w:rFonts w:hint="default" w:ascii="Times New Roman" w:hAnsi="Times New Roman" w:eastAsia="仿宋" w:cs="Times New Roman"/>
          <w:b w:val="0"/>
          <w:bCs w:val="0"/>
        </w:rPr>
        <w:t>般公共预算财政拨款项目支出决算表</w:t>
      </w:r>
      <w:bookmarkEnd w:id="62"/>
    </w:p>
    <w:p>
      <w:pPr>
        <w:pStyle w:val="6"/>
        <w:rPr>
          <w:rFonts w:hint="default" w:ascii="Times New Roman" w:hAnsi="Times New Roman" w:eastAsia="仿宋" w:cs="Times New Roman"/>
        </w:rPr>
      </w:pPr>
      <w:bookmarkStart w:id="63" w:name="_Toc15396628"/>
      <w:r>
        <w:rPr>
          <w:rStyle w:val="21"/>
          <w:rFonts w:hint="default" w:ascii="Times New Roman" w:hAnsi="Times New Roman" w:eastAsia="仿宋" w:cs="Times New Roman"/>
          <w:b w:val="0"/>
          <w:bCs w:val="0"/>
        </w:rPr>
        <w:t>十、</w:t>
      </w:r>
      <w:bookmarkEnd w:id="63"/>
      <w:r>
        <w:rPr>
          <w:rFonts w:hint="default" w:ascii="Times New Roman" w:hAnsi="Times New Roman" w:eastAsia="仿宋" w:cs="Times New Roman"/>
          <w:b w:val="0"/>
        </w:rPr>
        <w:t>政</w:t>
      </w:r>
      <w:r>
        <w:rPr>
          <w:rStyle w:val="21"/>
          <w:rFonts w:hint="default" w:ascii="Times New Roman" w:hAnsi="Times New Roman" w:eastAsia="仿宋" w:cs="Times New Roman"/>
          <w:b w:val="0"/>
          <w:bCs w:val="0"/>
        </w:rPr>
        <w:t>府性基金预算财政拨款收入支出决算表</w:t>
      </w:r>
    </w:p>
    <w:p>
      <w:pPr>
        <w:pStyle w:val="6"/>
        <w:rPr>
          <w:rFonts w:hint="default" w:ascii="Times New Roman" w:hAnsi="Times New Roman" w:eastAsia="仿宋" w:cs="Times New Roman"/>
        </w:rPr>
      </w:pPr>
      <w:bookmarkStart w:id="64" w:name="_Toc15396629"/>
      <w:r>
        <w:rPr>
          <w:rStyle w:val="21"/>
          <w:rFonts w:hint="default" w:ascii="Times New Roman" w:hAnsi="Times New Roman" w:eastAsia="仿宋" w:cs="Times New Roman"/>
          <w:b w:val="0"/>
          <w:bCs w:val="0"/>
        </w:rPr>
        <w:t>十一、</w:t>
      </w:r>
      <w:bookmarkEnd w:id="64"/>
      <w:r>
        <w:rPr>
          <w:rFonts w:hint="default" w:ascii="Times New Roman" w:hAnsi="Times New Roman" w:eastAsia="仿宋" w:cs="Times New Roman"/>
          <w:b w:val="0"/>
        </w:rPr>
        <w:t>国</w:t>
      </w:r>
      <w:r>
        <w:rPr>
          <w:rStyle w:val="21"/>
          <w:rFonts w:hint="default" w:ascii="Times New Roman" w:hAnsi="Times New Roman" w:eastAsia="仿宋" w:cs="Times New Roman"/>
          <w:b w:val="0"/>
          <w:bCs w:val="0"/>
        </w:rPr>
        <w:t>有资本经营预算财政拨款收入支出决算表</w:t>
      </w:r>
    </w:p>
    <w:p>
      <w:pPr>
        <w:pStyle w:val="6"/>
        <w:rPr>
          <w:rFonts w:hint="default" w:ascii="Times New Roman" w:hAnsi="Times New Roman" w:eastAsia="仿宋" w:cs="Times New Roman"/>
        </w:rPr>
      </w:pPr>
      <w:bookmarkStart w:id="65" w:name="_Toc15396630"/>
      <w:r>
        <w:rPr>
          <w:rStyle w:val="21"/>
          <w:rFonts w:hint="default" w:ascii="Times New Roman" w:hAnsi="Times New Roman" w:eastAsia="仿宋" w:cs="Times New Roman"/>
          <w:b w:val="0"/>
          <w:bCs w:val="0"/>
        </w:rPr>
        <w:t>十二、</w:t>
      </w:r>
      <w:bookmarkEnd w:id="65"/>
      <w:r>
        <w:rPr>
          <w:rStyle w:val="21"/>
          <w:rFonts w:hint="default" w:ascii="Times New Roman" w:hAnsi="Times New Roman" w:eastAsia="仿宋" w:cs="Times New Roman"/>
          <w:b w:val="0"/>
          <w:bCs w:val="0"/>
        </w:rPr>
        <w:t>国有资本经营预算财政拨款支出决算表</w:t>
      </w:r>
    </w:p>
    <w:p>
      <w:pPr>
        <w:pStyle w:val="6"/>
        <w:rPr>
          <w:rFonts w:hint="default" w:ascii="Times New Roman" w:hAnsi="Times New Roman" w:cs="Times New Roman"/>
        </w:rPr>
      </w:pPr>
      <w:bookmarkStart w:id="66" w:name="_Toc15396631"/>
      <w:r>
        <w:rPr>
          <w:rStyle w:val="21"/>
          <w:rFonts w:hint="default" w:ascii="Times New Roman" w:hAnsi="Times New Roman" w:eastAsia="仿宋" w:cs="Times New Roman"/>
          <w:b w:val="0"/>
          <w:bCs w:val="0"/>
        </w:rPr>
        <w:t>十三、</w:t>
      </w:r>
      <w:bookmarkEnd w:id="66"/>
      <w:r>
        <w:rPr>
          <w:rStyle w:val="21"/>
          <w:rFonts w:hint="default" w:ascii="Times New Roman" w:hAnsi="Times New Roman" w:eastAsia="仿宋" w:cs="Times New Roman"/>
          <w:b w:val="0"/>
          <w:bCs w:val="0"/>
        </w:rPr>
        <w:t>财政拨款“三公”经费支出决算表</w:t>
      </w:r>
      <w:bookmarkEnd w:id="51"/>
      <w:bookmarkEnd w:id="53"/>
    </w:p>
    <w:sectPr>
      <w:headerReference r:id="rId4" w:type="first"/>
      <w:footerReference r:id="rId6" w:type="first"/>
      <w:headerReference r:id="rId3" w:type="default"/>
      <w:footerReference r:id="rId5" w:type="default"/>
      <w:pgSz w:w="11906" w:h="16838"/>
      <w:pgMar w:top="1440" w:right="1803" w:bottom="1440" w:left="1803" w:header="851" w:footer="1417"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- 17 -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FgAAAGRycy9QSwECFAAUAAAA&#10;CACHTuJAs0lY7tAAAAAFAQAADwAAAAAAAAABACAAAAA4AAAAZHJzL2Rvd25yZXYueG1sUEsBAhQA&#10;FAAAAAgAh07iQHZIUkvIAgAA7AUAAA4AAAAAAAAAAQAgAAAANQ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- 17 -</w:t>
                    </w:r>
                    <w:r>
                      <w:fldChar w:fldCharType="end"/>
                    </w:r>
                  </w:p>
                </w:txbxContent>
              </v:textbox>
            </v:shape>
          </w:pict>
        </mc:Fallback>
      </mc:AlternateContent>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BYAAABkcnMvUEsBAhQAFAAA&#10;AAgAh07iQLNJWO7QAAAABQEAAA8AAAAAAAAAAQAgAAAAOAAAAGRycy9kb3ducmV2LnhtbFBLAQIU&#10;ABQAAAAIAIdO4kDNW69xyQIAAOwFAAAOAAAAAAAAAAEAIAAAADUBAABkcnMvZTJvRG9jLnhtbFBL&#10;BQYAAAAABgAGAFkBAABwBg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wMzU1ZWUwZTI3OGIyZWJmOGI1NTBiYjE3YjYzZGU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166FC"/>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10FA"/>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36B15"/>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9E7743"/>
    <w:rsid w:val="062A7173"/>
    <w:rsid w:val="09BE5ED9"/>
    <w:rsid w:val="0A2032A3"/>
    <w:rsid w:val="0B8A37D8"/>
    <w:rsid w:val="0D8153D3"/>
    <w:rsid w:val="0E8412D6"/>
    <w:rsid w:val="0F104BA8"/>
    <w:rsid w:val="0F421593"/>
    <w:rsid w:val="10C055FF"/>
    <w:rsid w:val="113C258A"/>
    <w:rsid w:val="118107EC"/>
    <w:rsid w:val="11DD6519"/>
    <w:rsid w:val="16BB723D"/>
    <w:rsid w:val="18015F3F"/>
    <w:rsid w:val="1BE8440E"/>
    <w:rsid w:val="1C7E375B"/>
    <w:rsid w:val="1D155CEE"/>
    <w:rsid w:val="1FF54895"/>
    <w:rsid w:val="1FFF1BD2"/>
    <w:rsid w:val="20F57F95"/>
    <w:rsid w:val="22F46432"/>
    <w:rsid w:val="23EB3B62"/>
    <w:rsid w:val="240371BF"/>
    <w:rsid w:val="24B3237F"/>
    <w:rsid w:val="25711CC6"/>
    <w:rsid w:val="25C741E6"/>
    <w:rsid w:val="27842671"/>
    <w:rsid w:val="27BD1079"/>
    <w:rsid w:val="29FD04D3"/>
    <w:rsid w:val="2ABE7A3E"/>
    <w:rsid w:val="2CA234A8"/>
    <w:rsid w:val="2D1B6E28"/>
    <w:rsid w:val="2EFA178C"/>
    <w:rsid w:val="30B46D73"/>
    <w:rsid w:val="319F7F4E"/>
    <w:rsid w:val="32785E1F"/>
    <w:rsid w:val="35747E49"/>
    <w:rsid w:val="35A54D29"/>
    <w:rsid w:val="36ED4C29"/>
    <w:rsid w:val="383D272C"/>
    <w:rsid w:val="384D443F"/>
    <w:rsid w:val="39AE70AB"/>
    <w:rsid w:val="3A3353AC"/>
    <w:rsid w:val="3B61694D"/>
    <w:rsid w:val="3C0C0783"/>
    <w:rsid w:val="3CF3291C"/>
    <w:rsid w:val="3F9F3A96"/>
    <w:rsid w:val="3FF2894F"/>
    <w:rsid w:val="45AC2B2E"/>
    <w:rsid w:val="48072F3E"/>
    <w:rsid w:val="48BF60AB"/>
    <w:rsid w:val="493C27E9"/>
    <w:rsid w:val="496F39ED"/>
    <w:rsid w:val="49FF41D3"/>
    <w:rsid w:val="4B691DBA"/>
    <w:rsid w:val="4BE068DB"/>
    <w:rsid w:val="4BF6002B"/>
    <w:rsid w:val="4C16C1EE"/>
    <w:rsid w:val="4E5F7533"/>
    <w:rsid w:val="4E9C290A"/>
    <w:rsid w:val="4ECE2238"/>
    <w:rsid w:val="4ED70A2A"/>
    <w:rsid w:val="4F4784AA"/>
    <w:rsid w:val="4FFA5E08"/>
    <w:rsid w:val="51DB4B86"/>
    <w:rsid w:val="53FFF1E5"/>
    <w:rsid w:val="55333C3E"/>
    <w:rsid w:val="55824AE4"/>
    <w:rsid w:val="57D76369"/>
    <w:rsid w:val="5B3B68B4"/>
    <w:rsid w:val="5BF64648"/>
    <w:rsid w:val="5C001496"/>
    <w:rsid w:val="5EB41F5E"/>
    <w:rsid w:val="5EDAF700"/>
    <w:rsid w:val="5FBECA12"/>
    <w:rsid w:val="5FF35DE0"/>
    <w:rsid w:val="615A3A28"/>
    <w:rsid w:val="62423315"/>
    <w:rsid w:val="64CA39A1"/>
    <w:rsid w:val="65A76BCF"/>
    <w:rsid w:val="674F82E0"/>
    <w:rsid w:val="67C66234"/>
    <w:rsid w:val="685D1550"/>
    <w:rsid w:val="687250AD"/>
    <w:rsid w:val="69630ADE"/>
    <w:rsid w:val="6AEF42D4"/>
    <w:rsid w:val="6B1D5931"/>
    <w:rsid w:val="6C4A05C8"/>
    <w:rsid w:val="6D376489"/>
    <w:rsid w:val="6D3B1A89"/>
    <w:rsid w:val="6E76C633"/>
    <w:rsid w:val="6EBE76A4"/>
    <w:rsid w:val="6FC67E5D"/>
    <w:rsid w:val="71991215"/>
    <w:rsid w:val="71BF4EC2"/>
    <w:rsid w:val="72734D90"/>
    <w:rsid w:val="73ED5DA0"/>
    <w:rsid w:val="7412278C"/>
    <w:rsid w:val="752469A9"/>
    <w:rsid w:val="76B7F14B"/>
    <w:rsid w:val="7797C5C3"/>
    <w:rsid w:val="77D91A61"/>
    <w:rsid w:val="77DF8130"/>
    <w:rsid w:val="77F25516"/>
    <w:rsid w:val="79E7B28D"/>
    <w:rsid w:val="7AB71E92"/>
    <w:rsid w:val="7BFFC3BB"/>
    <w:rsid w:val="7D7F34D4"/>
    <w:rsid w:val="7DC40443"/>
    <w:rsid w:val="7F35595B"/>
    <w:rsid w:val="7F7E84C2"/>
    <w:rsid w:val="7F9F20EE"/>
    <w:rsid w:val="7FDD8B70"/>
    <w:rsid w:val="7FFF4CF2"/>
    <w:rsid w:val="837A44B4"/>
    <w:rsid w:val="8F5650B9"/>
    <w:rsid w:val="9E3A10E2"/>
    <w:rsid w:val="AB3FF9C5"/>
    <w:rsid w:val="AFFB1ED7"/>
    <w:rsid w:val="B6DEE9E2"/>
    <w:rsid w:val="BF1EFED0"/>
    <w:rsid w:val="BFED6DE1"/>
    <w:rsid w:val="C58D8C0A"/>
    <w:rsid w:val="CBFD3F71"/>
    <w:rsid w:val="D6FD860C"/>
    <w:rsid w:val="DAEFE2AA"/>
    <w:rsid w:val="DBBBC91C"/>
    <w:rsid w:val="DFAFAB11"/>
    <w:rsid w:val="EE7EBDA8"/>
    <w:rsid w:val="EFF7E47E"/>
    <w:rsid w:val="F2E1F9D4"/>
    <w:rsid w:val="F5F08760"/>
    <w:rsid w:val="F69F87F3"/>
    <w:rsid w:val="F717F8FD"/>
    <w:rsid w:val="F77D3F79"/>
    <w:rsid w:val="F7880819"/>
    <w:rsid w:val="F7BE195B"/>
    <w:rsid w:val="F7FBC08D"/>
    <w:rsid w:val="F9F1B8F1"/>
    <w:rsid w:val="FCF78C38"/>
    <w:rsid w:val="FDFFB746"/>
    <w:rsid w:val="FFBFFDC8"/>
    <w:rsid w:val="FFDB57FF"/>
    <w:rsid w:val="FFFFB04D"/>
    <w:rsid w:val="FFFFF7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1"/>
    <w:unhideWhenUsed/>
    <w:qFormat/>
    <w:uiPriority w:val="9"/>
    <w:pPr>
      <w:keepNext/>
      <w:keepLines/>
      <w:spacing w:before="260" w:after="260" w:line="416" w:lineRule="auto"/>
      <w:outlineLvl w:val="1"/>
    </w:pPr>
    <w:rPr>
      <w:rFonts w:ascii="Cambria" w:hAnsi="Cambria"/>
      <w:b/>
      <w:bCs/>
      <w:sz w:val="32"/>
      <w:szCs w:val="32"/>
    </w:rPr>
  </w:style>
  <w:style w:type="paragraph" w:styleId="7">
    <w:name w:val="heading 3"/>
    <w:basedOn w:val="1"/>
    <w:next w:val="1"/>
    <w:link w:val="2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200" w:leftChars="200"/>
    </w:pPr>
    <w:rPr>
      <w:rFonts w:ascii="仿宋_GB2312"/>
      <w:szCs w:val="32"/>
    </w:rPr>
  </w:style>
  <w:style w:type="paragraph" w:styleId="8">
    <w:name w:val="Body Text"/>
    <w:basedOn w:val="1"/>
    <w:link w:val="19"/>
    <w:qFormat/>
    <w:uiPriority w:val="99"/>
    <w:pPr>
      <w:spacing w:beforeLines="30"/>
    </w:pPr>
    <w:rPr>
      <w:rFonts w:ascii="仿宋_GB2312" w:eastAsia="仿宋_GB2312"/>
      <w:kern w:val="0"/>
      <w:sz w:val="3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23"/>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5"/>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u w:val="single"/>
    </w:rPr>
  </w:style>
  <w:style w:type="character" w:customStyle="1" w:styleId="19">
    <w:name w:val="正文文本 Char"/>
    <w:link w:val="8"/>
    <w:qFormat/>
    <w:locked/>
    <w:uiPriority w:val="99"/>
    <w:rPr>
      <w:rFonts w:ascii="仿宋_GB2312" w:hAnsi="Times New Roman" w:eastAsia="仿宋_GB2312"/>
      <w:sz w:val="24"/>
    </w:rPr>
  </w:style>
  <w:style w:type="character" w:customStyle="1" w:styleId="20">
    <w:name w:val="标题 1 Char"/>
    <w:basedOn w:val="16"/>
    <w:link w:val="5"/>
    <w:qFormat/>
    <w:uiPriority w:val="9"/>
    <w:rPr>
      <w:rFonts w:ascii="Times New Roman" w:hAnsi="Times New Roman"/>
      <w:b/>
      <w:bCs/>
      <w:kern w:val="44"/>
      <w:sz w:val="44"/>
      <w:szCs w:val="44"/>
    </w:rPr>
  </w:style>
  <w:style w:type="character" w:customStyle="1" w:styleId="21">
    <w:name w:val="标题 2 Char"/>
    <w:basedOn w:val="16"/>
    <w:link w:val="6"/>
    <w:qFormat/>
    <w:uiPriority w:val="9"/>
    <w:rPr>
      <w:rFonts w:ascii="Cambria" w:hAnsi="Cambria" w:eastAsia="宋体" w:cs="Times New Roman"/>
      <w:b/>
      <w:bCs/>
      <w:kern w:val="2"/>
      <w:sz w:val="32"/>
      <w:szCs w:val="32"/>
    </w:rPr>
  </w:style>
  <w:style w:type="character" w:customStyle="1" w:styleId="22">
    <w:name w:val="标题 3 Char"/>
    <w:basedOn w:val="16"/>
    <w:link w:val="7"/>
    <w:qFormat/>
    <w:uiPriority w:val="9"/>
    <w:rPr>
      <w:rFonts w:ascii="Times New Roman" w:hAnsi="Times New Roman"/>
      <w:b/>
      <w:bCs/>
      <w:kern w:val="2"/>
      <w:sz w:val="32"/>
      <w:szCs w:val="32"/>
    </w:rPr>
  </w:style>
  <w:style w:type="character" w:customStyle="1" w:styleId="23">
    <w:name w:val="批注框文本 Char"/>
    <w:basedOn w:val="16"/>
    <w:link w:val="10"/>
    <w:semiHidden/>
    <w:qFormat/>
    <w:uiPriority w:val="99"/>
    <w:rPr>
      <w:rFonts w:ascii="Times New Roman" w:hAnsi="Times New Roman"/>
      <w:kern w:val="2"/>
      <w:sz w:val="18"/>
      <w:szCs w:val="18"/>
    </w:rPr>
  </w:style>
  <w:style w:type="character" w:customStyle="1" w:styleId="24">
    <w:name w:val="页脚 Char"/>
    <w:link w:val="11"/>
    <w:qFormat/>
    <w:locked/>
    <w:uiPriority w:val="99"/>
    <w:rPr>
      <w:sz w:val="18"/>
    </w:rPr>
  </w:style>
  <w:style w:type="character" w:customStyle="1" w:styleId="25">
    <w:name w:val="页眉 Char"/>
    <w:link w:val="12"/>
    <w:semiHidden/>
    <w:qFormat/>
    <w:locked/>
    <w:uiPriority w:val="99"/>
    <w:rPr>
      <w:sz w:val="18"/>
    </w:rPr>
  </w:style>
  <w:style w:type="character" w:customStyle="1" w:styleId="26">
    <w:name w:val="Footer Char"/>
    <w:basedOn w:val="16"/>
    <w:semiHidden/>
    <w:qFormat/>
    <w:uiPriority w:val="99"/>
    <w:rPr>
      <w:rFonts w:ascii="Times New Roman" w:hAnsi="Times New Roman"/>
      <w:sz w:val="18"/>
      <w:szCs w:val="18"/>
    </w:rPr>
  </w:style>
  <w:style w:type="character" w:customStyle="1" w:styleId="27">
    <w:name w:val="Header Char"/>
    <w:basedOn w:val="16"/>
    <w:semiHidden/>
    <w:qFormat/>
    <w:uiPriority w:val="99"/>
    <w:rPr>
      <w:rFonts w:ascii="Times New Roman" w:hAnsi="Times New Roman"/>
      <w:sz w:val="18"/>
      <w:szCs w:val="18"/>
    </w:rPr>
  </w:style>
  <w:style w:type="character" w:customStyle="1" w:styleId="28">
    <w:name w:val="Body Text Char"/>
    <w:basedOn w:val="16"/>
    <w:semiHidden/>
    <w:qFormat/>
    <w:uiPriority w:val="99"/>
    <w:rPr>
      <w:rFonts w:ascii="Times New Roman" w:hAnsi="Times New Roman"/>
      <w:szCs w:val="24"/>
    </w:rPr>
  </w:style>
  <w:style w:type="paragraph" w:customStyle="1" w:styleId="29">
    <w:name w:val="TOC 标题1"/>
    <w:basedOn w:val="5"/>
    <w:next w:val="1"/>
    <w:unhideWhenUsed/>
    <w:qFormat/>
    <w:uiPriority w:val="39"/>
    <w:pPr>
      <w:widowControl/>
      <w:spacing w:before="480" w:after="0" w:line="276" w:lineRule="auto"/>
      <w:jc w:val="left"/>
      <w:outlineLvl w:val="9"/>
    </w:pPr>
    <w:rPr>
      <w:rFonts w:ascii="Cambria" w:hAnsi="Cambria"/>
      <w:color w:val="366091"/>
      <w:kern w:val="0"/>
      <w:sz w:val="28"/>
      <w:szCs w:val="28"/>
    </w:rPr>
  </w:style>
  <w:style w:type="paragraph" w:customStyle="1" w:styleId="3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31">
    <w:name w:val="TOC 标题2"/>
    <w:basedOn w:val="5"/>
    <w:next w:val="1"/>
    <w:unhideWhenUsed/>
    <w:qFormat/>
    <w:uiPriority w:val="39"/>
    <w:pPr>
      <w:widowControl/>
      <w:spacing w:before="480" w:after="0" w:line="276" w:lineRule="auto"/>
      <w:jc w:val="left"/>
      <w:outlineLvl w:val="9"/>
    </w:pPr>
    <w:rPr>
      <w:rFonts w:ascii="Cambria" w:hAnsi="Cambria"/>
      <w:color w:val="366091"/>
      <w:kern w:val="0"/>
      <w:sz w:val="28"/>
      <w:szCs w:val="28"/>
    </w:rPr>
  </w:style>
  <w:style w:type="paragraph" w:styleId="3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image" Target="media/image2.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Users\XS\Desktop\&#23435;&#26607;&#22478;&#24037;&#20316;&#25991;&#20214;&#22841;\1&#30719;&#25237;&#38598;&#22242;\&#32463;&#20449;&#21381;&#20915;&#31639;\&#20915;&#31639;&#22270;&#349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Users\XS\Desktop\&#23435;&#26607;&#22478;&#24037;&#20316;&#25991;&#20214;&#22841;\1&#30719;&#25237;&#38598;&#22242;\&#32463;&#20449;&#21381;&#20915;&#31639;\&#20915;&#31639;&#22270;&#349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Users\XS\Desktop\&#23435;&#26607;&#22478;&#24037;&#20316;&#25991;&#20214;&#22841;\1&#30719;&#25237;&#38598;&#22242;\&#32463;&#20449;&#21381;&#20915;&#31639;\&#20915;&#31639;&#22270;&#34920;.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Users\XS\Desktop\&#23435;&#26607;&#22478;&#24037;&#20316;&#25991;&#20214;&#22841;\1&#30719;&#25237;&#38598;&#22242;\&#32463;&#20449;&#21381;&#20915;&#31639;\&#20915;&#31639;&#22270;&#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图</a:t>
            </a:r>
            <a:r>
              <a:rPr lang="en-US" altLang="zh-CN" sz="1400" b="0" i="0" u="none" strike="noStrike" baseline="0">
                <a:solidFill>
                  <a:srgbClr val="333333"/>
                </a:solidFill>
                <a:latin typeface="Calibri" panose="020F0502020204030204" pitchFamily="2" charset="0"/>
                <a:ea typeface="Calibri" panose="020F0502020204030204" pitchFamily="2" charset="0"/>
                <a:cs typeface="Calibri" panose="020F0502020204030204" pitchFamily="2" charset="0"/>
              </a:rPr>
              <a:t>1</a:t>
            </a:r>
            <a:r>
              <a:rPr altLang="en-US" sz="1400" b="0" i="0" u="none" strike="noStrike" baseline="0">
                <a:solidFill>
                  <a:srgbClr val="333333"/>
                </a:solidFill>
                <a:latin typeface="宋体" panose="02010600030101010101" charset="-122"/>
                <a:ea typeface="宋体" panose="02010600030101010101" charset="-122"/>
                <a:cs typeface="宋体" panose="02010600030101010101" charset="-122"/>
              </a:rPr>
              <a:t>：</a:t>
            </a:r>
            <a:r>
              <a:rPr sz="1400" b="0" i="0" u="none" strike="noStrike" baseline="0">
                <a:solidFill>
                  <a:srgbClr val="333333"/>
                </a:solidFill>
                <a:latin typeface="宋体" panose="02010600030101010101" charset="-122"/>
                <a:ea typeface="宋体" panose="02010600030101010101" charset="-122"/>
                <a:cs typeface="宋体" panose="02010600030101010101" charset="-122"/>
              </a:rPr>
              <a:t>收、支决算总计变动情况图</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false"/>
      <c:spPr>
        <a:noFill/>
        <a:ln>
          <a:noFill/>
        </a:ln>
        <a:effectLst/>
      </c:spPr>
    </c:title>
    <c:autoTitleDeleted val="false"/>
    <c:plotArea>
      <c:layout>
        <c:manualLayout>
          <c:layoutTarget val="inner"/>
          <c:xMode val="edge"/>
          <c:yMode val="edge"/>
          <c:x val="0.0357777777777778"/>
          <c:y val="0.322916666666667"/>
          <c:w val="0.907277777777778"/>
          <c:h val="0.529027777777778"/>
        </c:manualLayout>
      </c:layout>
      <c:barChart>
        <c:barDir val="col"/>
        <c:grouping val="clustered"/>
        <c:varyColors val="false"/>
        <c:ser>
          <c:idx val="0"/>
          <c:order val="0"/>
          <c:tx>
            <c:strRef>
              <c:f>[决算图表.xlsx]Sheet1!$A$4</c:f>
              <c:strCache>
                <c:ptCount val="1"/>
                <c:pt idx="0">
                  <c:v>收入</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multiLvlStrRef>
              <c:f>[决算图表.xlsx]Sheet1!$B$1:$C$3</c:f>
              <c:multiLvlStrCache>
                <c:ptCount val="2"/>
                <c:lvl>
                  <c:pt idx="0">
                    <c:v>2023年</c:v>
                  </c:pt>
                  <c:pt idx="1">
                    <c:v>2024年</c:v>
                  </c:pt>
                </c:lvl>
                <c:lvl>
                  <c:pt idx="1">
                    <c:v>单位：万元</c:v>
                  </c:pt>
                </c:lvl>
                <c:lvl/>
              </c:multiLvlStrCache>
            </c:multiLvlStrRef>
          </c:cat>
          <c:val>
            <c:numRef>
              <c:f>[决算图表.xlsx]Sheet1!$B$4:$C$4</c:f>
              <c:numCache>
                <c:formatCode>General</c:formatCode>
                <c:ptCount val="2"/>
                <c:pt idx="0">
                  <c:v>16.95</c:v>
                </c:pt>
                <c:pt idx="1">
                  <c:v>16.95</c:v>
                </c:pt>
              </c:numCache>
            </c:numRef>
          </c:val>
        </c:ser>
        <c:ser>
          <c:idx val="1"/>
          <c:order val="1"/>
          <c:tx>
            <c:strRef>
              <c:f>[决算图表.xlsx]Sheet1!$A$5</c:f>
              <c:strCache>
                <c:ptCount val="1"/>
                <c:pt idx="0">
                  <c:v>支出</c:v>
                </c:pt>
              </c:strCache>
            </c:strRef>
          </c:tx>
          <c:spPr>
            <a:solidFill>
              <a:schemeClr val="accent2"/>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multiLvlStrRef>
              <c:f>[决算图表.xlsx]Sheet1!$B$1:$C$3</c:f>
              <c:multiLvlStrCache>
                <c:ptCount val="2"/>
                <c:lvl>
                  <c:pt idx="0">
                    <c:v>2023年</c:v>
                  </c:pt>
                  <c:pt idx="1">
                    <c:v>2024年</c:v>
                  </c:pt>
                </c:lvl>
                <c:lvl>
                  <c:pt idx="1">
                    <c:v>单位：万元</c:v>
                  </c:pt>
                </c:lvl>
                <c:lvl/>
              </c:multiLvlStrCache>
            </c:multiLvlStrRef>
          </c:cat>
          <c:val>
            <c:numRef>
              <c:f>[决算图表.xlsx]Sheet1!$B$5:$C$5</c:f>
              <c:numCache>
                <c:formatCode>General</c:formatCode>
                <c:ptCount val="2"/>
                <c:pt idx="0">
                  <c:v>16.95</c:v>
                </c:pt>
                <c:pt idx="1">
                  <c:v>16.95</c:v>
                </c:pt>
              </c:numCache>
            </c:numRef>
          </c:val>
        </c:ser>
        <c:dLbls>
          <c:showLegendKey val="false"/>
          <c:showVal val="false"/>
          <c:showCatName val="false"/>
          <c:showSerName val="false"/>
          <c:showPercent val="false"/>
          <c:showBubbleSize val="false"/>
        </c:dLbls>
        <c:gapWidth val="219"/>
        <c:overlap val="-27"/>
        <c:axId val="83427328"/>
        <c:axId val="83428864"/>
      </c:barChart>
      <c:catAx>
        <c:axId val="83427328"/>
        <c:scaling>
          <c:orientation val="minMax"/>
        </c:scaling>
        <c:delete val="false"/>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3428864"/>
        <c:crosses val="autoZero"/>
        <c:auto val="true"/>
        <c:lblAlgn val="ctr"/>
        <c:lblOffset val="100"/>
        <c:noMultiLvlLbl val="false"/>
      </c:catAx>
      <c:valAx>
        <c:axId val="83428864"/>
        <c:scaling>
          <c:orientation val="minMax"/>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none"/>
        <c:minorTickMark val="none"/>
        <c:tickLblPos val="nextTo"/>
        <c:spPr>
          <a:noFill/>
          <a:ln w="6350"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3427328"/>
        <c:crosses val="autoZero"/>
        <c:crossBetween val="between"/>
      </c:valAx>
      <c:spPr>
        <a:noFill/>
        <a:ln>
          <a:noFill/>
        </a:ln>
        <a:effectLst/>
      </c:spPr>
    </c:plotArea>
    <c:legend>
      <c:legendPos val="b"/>
      <c:layout>
        <c:manualLayout>
          <c:xMode val="edge"/>
          <c:yMode val="edge"/>
          <c:x val="0.41325"/>
          <c:y val="0.895"/>
          <c:w val="0.17325"/>
          <c:h val="0.077"/>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图4：财政拨款收、支决算总计变动情况</a:t>
            </a:r>
            <a:endParaRPr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overlay val="false"/>
      <c:spPr>
        <a:noFill/>
        <a:ln>
          <a:noFill/>
        </a:ln>
        <a:effectLst/>
      </c:spPr>
    </c:title>
    <c:autoTitleDeleted val="false"/>
    <c:plotArea>
      <c:layout/>
      <c:barChart>
        <c:barDir val="col"/>
        <c:grouping val="clustered"/>
        <c:varyColors val="false"/>
        <c:ser>
          <c:idx val="0"/>
          <c:order val="0"/>
          <c:tx>
            <c:strRef>
              <c:f>[决算图表.xlsx]Sheet2!$B$2:$B$4</c:f>
              <c:strCache>
                <c:ptCount val="1"/>
                <c:pt idx="0">
                  <c:v>2024年</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[决算图表.xlsx]Sheet2!$A$5:$A$7</c:f>
              <c:strCache>
                <c:ptCount val="3"/>
                <c:pt idx="0">
                  <c:v>收入</c:v>
                </c:pt>
                <c:pt idx="1">
                  <c:v>支出</c:v>
                </c:pt>
                <c:pt idx="2">
                  <c:v>增减变动</c:v>
                </c:pt>
              </c:strCache>
            </c:strRef>
          </c:cat>
          <c:val>
            <c:numRef>
              <c:f>[决算图表.xlsx]Sheet2!$B$5:$B$7</c:f>
              <c:numCache>
                <c:formatCode>General</c:formatCode>
                <c:ptCount val="3"/>
                <c:pt idx="0">
                  <c:v>16.95</c:v>
                </c:pt>
                <c:pt idx="1">
                  <c:v>16.95</c:v>
                </c:pt>
                <c:pt idx="2">
                  <c:v>0</c:v>
                </c:pt>
              </c:numCache>
            </c:numRef>
          </c:val>
        </c:ser>
        <c:ser>
          <c:idx val="1"/>
          <c:order val="1"/>
          <c:tx>
            <c:strRef>
              <c:f>[决算图表.xlsx]Sheet2!$C$2:$C$4</c:f>
              <c:strCache>
                <c:ptCount val="1"/>
                <c:pt idx="0">
                  <c:v>2023年</c:v>
                </c:pt>
              </c:strCache>
            </c:strRef>
          </c:tx>
          <c:spPr>
            <a:solidFill>
              <a:schemeClr val="accent2"/>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[决算图表.xlsx]Sheet2!$A$5:$A$7</c:f>
              <c:strCache>
                <c:ptCount val="3"/>
                <c:pt idx="0">
                  <c:v>收入</c:v>
                </c:pt>
                <c:pt idx="1">
                  <c:v>支出</c:v>
                </c:pt>
                <c:pt idx="2">
                  <c:v>增减变动</c:v>
                </c:pt>
              </c:strCache>
            </c:strRef>
          </c:cat>
          <c:val>
            <c:numRef>
              <c:f>[决算图表.xlsx]Sheet2!$C$5:$C$7</c:f>
              <c:numCache>
                <c:formatCode>General</c:formatCode>
                <c:ptCount val="3"/>
                <c:pt idx="0">
                  <c:v>16.95</c:v>
                </c:pt>
                <c:pt idx="1">
                  <c:v>16.95</c:v>
                </c:pt>
                <c:pt idx="2">
                  <c:v>0</c:v>
                </c:pt>
              </c:numCache>
            </c:numRef>
          </c:val>
        </c:ser>
        <c:dLbls>
          <c:showLegendKey val="false"/>
          <c:showVal val="false"/>
          <c:showCatName val="false"/>
          <c:showSerName val="false"/>
          <c:showPercent val="false"/>
          <c:showBubbleSize val="false"/>
        </c:dLbls>
        <c:gapWidth val="219"/>
        <c:overlap val="-27"/>
        <c:axId val="83459456"/>
        <c:axId val="83489920"/>
      </c:barChart>
      <c:catAx>
        <c:axId val="83459456"/>
        <c:scaling>
          <c:orientation val="minMax"/>
        </c:scaling>
        <c:delete val="false"/>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3489920"/>
        <c:crosses val="autoZero"/>
        <c:auto val="true"/>
        <c:lblAlgn val="ctr"/>
        <c:lblOffset val="100"/>
        <c:noMultiLvlLbl val="false"/>
      </c:catAx>
      <c:valAx>
        <c:axId val="83489920"/>
        <c:scaling>
          <c:orientation val="minMax"/>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none"/>
        <c:minorTickMark val="none"/>
        <c:tickLblPos val="nextTo"/>
        <c:spPr>
          <a:noFill/>
          <a:ln w="6350"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3459456"/>
        <c:crosses val="autoZero"/>
        <c:crossBetween val="between"/>
      </c:valAx>
      <c:spPr>
        <a:noFill/>
        <a:ln>
          <a:noFill/>
        </a:ln>
        <a:effectLst/>
      </c:spPr>
    </c:plotArea>
    <c:legend>
      <c:legendPos val="b"/>
      <c:layout>
        <c:manualLayout>
          <c:xMode val="edge"/>
          <c:yMode val="edge"/>
          <c:x val="0.3875"/>
          <c:y val="0.886"/>
          <c:w val="0.2245"/>
          <c:h val="0.08375"/>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图5：一般公共预算财政拨款支出决算变动情况</a:t>
            </a:r>
            <a:endParaRPr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manualLayout>
          <c:xMode val="edge"/>
          <c:yMode val="edge"/>
          <c:x val="0.111527777777778"/>
          <c:y val="0.0548234390992835"/>
        </c:manualLayout>
      </c:layout>
      <c:overlay val="false"/>
      <c:spPr>
        <a:noFill/>
        <a:ln>
          <a:noFill/>
        </a:ln>
        <a:effectLst/>
      </c:spPr>
    </c:title>
    <c:autoTitleDeleted val="false"/>
    <c:plotArea>
      <c:layout/>
      <c:barChart>
        <c:barDir val="col"/>
        <c:grouping val="clustered"/>
        <c:varyColors val="false"/>
        <c:ser>
          <c:idx val="0"/>
          <c:order val="0"/>
          <c:tx>
            <c:strRef>
              <c:f>[决算图表.xlsx]Sheet3!$A$4</c:f>
              <c:strCache>
                <c:ptCount val="1"/>
                <c:pt idx="0">
                  <c:v>一般公共预算财政拨款支出</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[决算图表.xlsx]Sheet3!$B$3:$D$3</c:f>
              <c:strCache>
                <c:ptCount val="3"/>
                <c:pt idx="0">
                  <c:v>2024年</c:v>
                </c:pt>
                <c:pt idx="1">
                  <c:v>2023年</c:v>
                </c:pt>
                <c:pt idx="2">
                  <c:v>增减变动</c:v>
                </c:pt>
              </c:strCache>
            </c:strRef>
          </c:cat>
          <c:val>
            <c:numRef>
              <c:f>[决算图表.xlsx]Sheet3!$B$4:$D$4</c:f>
              <c:numCache>
                <c:formatCode>General</c:formatCode>
                <c:ptCount val="3"/>
                <c:pt idx="0">
                  <c:v>16.95</c:v>
                </c:pt>
                <c:pt idx="1">
                  <c:v>16.95</c:v>
                </c:pt>
                <c:pt idx="2">
                  <c:v>0</c:v>
                </c:pt>
              </c:numCache>
            </c:numRef>
          </c:val>
        </c:ser>
        <c:dLbls>
          <c:showLegendKey val="false"/>
          <c:showVal val="false"/>
          <c:showCatName val="false"/>
          <c:showSerName val="false"/>
          <c:showPercent val="false"/>
          <c:showBubbleSize val="false"/>
        </c:dLbls>
        <c:gapWidth val="219"/>
        <c:overlap val="-27"/>
        <c:axId val="83518592"/>
        <c:axId val="83520128"/>
      </c:barChart>
      <c:catAx>
        <c:axId val="83518592"/>
        <c:scaling>
          <c:orientation val="minMax"/>
        </c:scaling>
        <c:delete val="false"/>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3520128"/>
        <c:crosses val="autoZero"/>
        <c:auto val="true"/>
        <c:lblAlgn val="ctr"/>
        <c:lblOffset val="100"/>
        <c:noMultiLvlLbl val="false"/>
      </c:catAx>
      <c:valAx>
        <c:axId val="83520128"/>
        <c:scaling>
          <c:orientation val="minMax"/>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none"/>
        <c:minorTickMark val="none"/>
        <c:tickLblPos val="nextTo"/>
        <c:spPr>
          <a:noFill/>
          <a:ln w="6350"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3518592"/>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图6：一般公共预算财政拨款支出决算结构</a:t>
            </a:r>
          </a:p>
        </c:rich>
      </c:tx>
      <c:layout/>
      <c:overlay val="false"/>
      <c:spPr>
        <a:noFill/>
        <a:ln>
          <a:noFill/>
        </a:ln>
        <a:effectLst/>
      </c:spPr>
    </c:title>
    <c:autoTitleDeleted val="false"/>
    <c:plotArea>
      <c:layout/>
      <c:pieChart>
        <c:varyColors val="true"/>
        <c:ser>
          <c:idx val="0"/>
          <c:order val="0"/>
          <c:tx>
            <c:strRef>
              <c:f>[决算图表.xlsx]Sheet4!$B$2</c:f>
              <c:strCache>
                <c:ptCount val="1"/>
                <c:pt idx="0">
                  <c:v>2022年金额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[决算图表.xlsx]Sheet4!$A$3:$A$5</c:f>
              <c:strCache>
                <c:ptCount val="3"/>
                <c:pt idx="0">
                  <c:v>卫生健康支出</c:v>
                </c:pt>
                <c:pt idx="1">
                  <c:v>资源勘探工业信息等支出</c:v>
                </c:pt>
                <c:pt idx="2">
                  <c:v>住房保障支出</c:v>
                </c:pt>
              </c:strCache>
            </c:strRef>
          </c:cat>
          <c:val>
            <c:numRef>
              <c:f>[决算图表.xlsx]Sheet4!$B$3:$B$5</c:f>
              <c:numCache>
                <c:formatCode>General</c:formatCode>
                <c:ptCount val="3"/>
                <c:pt idx="0">
                  <c:v>0.54</c:v>
                </c:pt>
                <c:pt idx="1" c:formatCode="0.00_ ">
                  <c:v>15.7</c:v>
                </c:pt>
                <c:pt idx="2">
                  <c:v>0.71</c:v>
                </c:pt>
              </c:numCache>
            </c:numRef>
          </c:val>
        </c:ser>
        <c:ser>
          <c:idx val="1"/>
          <c:order val="1"/>
          <c:tx>
            <c:strRef>
              <c:f>[决算图表.xlsx]Sheet4!$C$2</c:f>
              <c:strCache>
                <c:ptCount val="1"/>
                <c:pt idx="0">
                  <c:v>占比</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[决算图表.xlsx]Sheet4!$A$3:$A$5</c:f>
              <c:strCache>
                <c:ptCount val="3"/>
                <c:pt idx="0">
                  <c:v>卫生健康支出</c:v>
                </c:pt>
                <c:pt idx="1">
                  <c:v>资源勘探工业信息等支出</c:v>
                </c:pt>
                <c:pt idx="2">
                  <c:v>住房保障支出</c:v>
                </c:pt>
              </c:strCache>
            </c:strRef>
          </c:cat>
          <c:val>
            <c:numRef>
              <c:f>[决算图表.xlsx]Sheet4!$C$3:$C$5</c:f>
              <c:numCache>
                <c:formatCode>0.00%</c:formatCode>
                <c:ptCount val="3"/>
                <c:pt idx="0">
                  <c:v>0.0470383275261324</c:v>
                </c:pt>
                <c:pt idx="1">
                  <c:v>1.36759581881533</c:v>
                </c:pt>
                <c:pt idx="2">
                  <c:v>0.0619466898954704</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wrap="square"/>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14</Pages>
  <Words>2589</Words>
  <Characters>3701</Characters>
  <Lines>10</Lines>
  <Paragraphs>7</Paragraphs>
  <TotalTime>2</TotalTime>
  <ScaleCrop>false</ScaleCrop>
  <LinksUpToDate>false</LinksUpToDate>
  <CharactersWithSpaces>3711</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2020-08-06T09:49:00Z</dcterms:created>
  <dc:creator>曹颖</dc:creator>
  <cp:lastModifiedBy>user</cp:lastModifiedBy>
  <cp:lastPrinted>2023-08-01T10:35:00Z</cp:lastPrinted>
  <dcterms:modified xsi:type="dcterms:W3CDTF">2025-09-10T10:39:00Z</dcterms:modified>
  <dc:title>四川省***</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D03F7196176D4A6FA54FD0DF171C9DA8_13</vt:lpwstr>
  </property>
  <property fmtid="{D5CDD505-2E9C-101B-9397-08002B2CF9AE}" pid="4" name="KSOTemplateDocerSaveRecord">
    <vt:lpwstr>eyJoZGlkIjoiNTgwMzU1ZWUwZTI3OGIyZWJmOGI1NTBiYjE3YjYzZGUiLCJ1c2VySWQiOiI2MjgzMzU4MDkifQ==</vt:lpwstr>
  </property>
</Properties>
</file>