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highlight w:val="none"/>
        </w:rPr>
      </w:pPr>
      <w:bookmarkStart w:id="0" w:name="_Toc15377425"/>
      <w:bookmarkStart w:id="1" w:name="_Toc15377193"/>
      <w:bookmarkStart w:id="2" w:name="_Toc15396597"/>
      <w:bookmarkStart w:id="3" w:name="_Toc15396475"/>
      <w:bookmarkStart w:id="4" w:name="_Toc15378441"/>
      <w:bookmarkStart w:id="5" w:name="_Toc15306267"/>
    </w:p>
    <w:p>
      <w:pPr>
        <w:pStyle w:val="15"/>
        <w:rPr>
          <w:rFonts w:ascii="Times New Roman" w:hAnsi="Times New Roman"/>
          <w:highlight w:val="none"/>
        </w:rPr>
      </w:pPr>
    </w:p>
    <w:p>
      <w:pPr>
        <w:pStyle w:val="9"/>
      </w:pPr>
    </w:p>
    <w:p>
      <w:pPr>
        <w:pStyle w:val="7"/>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7"/>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7"/>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7"/>
        <w:jc w:val="center"/>
        <w:rPr>
          <w:rFonts w:hint="eastAsia" w:ascii="Times New Roman" w:hAnsi="Times New Roman" w:eastAsia="方正小标宋简体" w:cs="Times New Roman"/>
          <w:color w:val="auto"/>
          <w:kern w:val="2"/>
          <w:sz w:val="44"/>
          <w:szCs w:val="44"/>
          <w:highlight w:val="none"/>
          <w:lang w:val="en-US" w:eastAsia="zh-CN" w:bidi="ar-SA"/>
        </w:rPr>
      </w:pPr>
    </w:p>
    <w:bookmarkEnd w:id="0"/>
    <w:bookmarkEnd w:id="1"/>
    <w:bookmarkEnd w:id="2"/>
    <w:bookmarkEnd w:id="3"/>
    <w:bookmarkEnd w:id="4"/>
    <w:p>
      <w:pPr>
        <w:pStyle w:val="7"/>
        <w:jc w:val="center"/>
        <w:rPr>
          <w:rFonts w:hint="eastAsia" w:ascii="Times New Roman" w:eastAsia="方正小标宋简体" w:cs="Times New Roman"/>
          <w:color w:val="auto"/>
          <w:kern w:val="2"/>
          <w:sz w:val="44"/>
          <w:szCs w:val="44"/>
          <w:highlight w:val="none"/>
          <w:lang w:val="en-US" w:eastAsia="zh-CN" w:bidi="ar-SA"/>
        </w:rPr>
      </w:pPr>
      <w:bookmarkStart w:id="6" w:name="_Toc15396476"/>
      <w:bookmarkStart w:id="7" w:name="_Toc15377426"/>
      <w:bookmarkStart w:id="8" w:name="_Toc15378442"/>
      <w:bookmarkStart w:id="9" w:name="_Toc15396598"/>
      <w:bookmarkStart w:id="10" w:name="_Toc15377194"/>
      <w:r>
        <w:rPr>
          <w:rFonts w:hint="eastAsia" w:ascii="Times New Roman" w:hAnsi="Times New Roman" w:eastAsia="方正小标宋简体" w:cs="Times New Roman"/>
          <w:color w:val="auto"/>
          <w:kern w:val="2"/>
          <w:sz w:val="44"/>
          <w:szCs w:val="44"/>
          <w:highlight w:val="none"/>
          <w:lang w:val="en-US" w:eastAsia="zh-CN" w:bidi="ar-SA"/>
        </w:rPr>
        <w:t>2024年度四川省</w:t>
      </w:r>
      <w:bookmarkEnd w:id="5"/>
      <w:bookmarkStart w:id="11" w:name="_Toc15306268"/>
      <w:r>
        <w:rPr>
          <w:rFonts w:hint="eastAsia" w:ascii="Times New Roman" w:eastAsia="方正小标宋简体" w:cs="Times New Roman"/>
          <w:color w:val="auto"/>
          <w:kern w:val="2"/>
          <w:sz w:val="44"/>
          <w:szCs w:val="44"/>
          <w:highlight w:val="none"/>
          <w:lang w:val="en-US" w:eastAsia="zh-CN" w:bidi="ar-SA"/>
        </w:rPr>
        <w:t>电子产品监督检验所</w:t>
      </w:r>
    </w:p>
    <w:p>
      <w:pPr>
        <w:pStyle w:val="7"/>
        <w:jc w:val="center"/>
        <w:rPr>
          <w:rFonts w:hint="eastAsia" w:ascii="Times New Roman" w:hAnsi="Times New Roman" w:eastAsia="方正小标宋简体" w:cs="Times New Roman"/>
          <w:color w:val="auto"/>
          <w:kern w:val="2"/>
          <w:sz w:val="44"/>
          <w:szCs w:val="44"/>
          <w:highlight w:val="none"/>
          <w:lang w:val="en-US" w:eastAsia="zh-CN" w:bidi="ar-SA"/>
        </w:rPr>
      </w:pPr>
      <w:r>
        <w:rPr>
          <w:rFonts w:hint="eastAsia" w:ascii="Times New Roman" w:eastAsia="方正小标宋简体" w:cs="Times New Roman"/>
          <w:color w:val="auto"/>
          <w:kern w:val="2"/>
          <w:sz w:val="44"/>
          <w:szCs w:val="44"/>
          <w:highlight w:val="none"/>
          <w:lang w:val="en-US" w:eastAsia="zh-CN" w:bidi="ar-SA"/>
        </w:rPr>
        <w:t>单位</w:t>
      </w:r>
      <w:r>
        <w:rPr>
          <w:rFonts w:hint="eastAsia" w:ascii="Times New Roman" w:hAnsi="Times New Roman" w:eastAsia="方正小标宋简体" w:cs="Times New Roman"/>
          <w:color w:val="auto"/>
          <w:kern w:val="2"/>
          <w:sz w:val="44"/>
          <w:szCs w:val="44"/>
          <w:highlight w:val="none"/>
          <w:lang w:val="en-US" w:eastAsia="zh-CN" w:bidi="ar-SA"/>
        </w:rPr>
        <w:t>决算</w:t>
      </w:r>
      <w:bookmarkEnd w:id="6"/>
      <w:bookmarkEnd w:id="7"/>
      <w:bookmarkEnd w:id="8"/>
      <w:bookmarkEnd w:id="9"/>
      <w:bookmarkEnd w:id="10"/>
      <w:bookmarkEnd w:id="11"/>
    </w:p>
    <w:p>
      <w:pPr>
        <w:widowControl/>
        <w:jc w:val="center"/>
        <w:rPr>
          <w:rFonts w:hint="eastAsia" w:ascii="Times New Roman" w:hAnsi="Times New Roman" w:eastAsia="黑体"/>
          <w:color w:val="auto"/>
          <w:sz w:val="48"/>
          <w:szCs w:val="48"/>
          <w:highlight w:val="none"/>
        </w:rPr>
        <w:sectPr>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p>
    <w:p>
      <w:pPr>
        <w:widowControl/>
        <w:jc w:val="center"/>
        <w:rPr>
          <w:rFonts w:ascii="Times New Roman" w:hAnsi="Times New Roman" w:eastAsia="黑体"/>
          <w:color w:val="auto"/>
          <w:sz w:val="48"/>
          <w:szCs w:val="48"/>
          <w:highlight w:val="none"/>
        </w:rPr>
      </w:pPr>
      <w:r>
        <w:rPr>
          <w:rFonts w:hint="eastAsia" w:ascii="Times New Roman" w:hAnsi="Times New Roman" w:eastAsia="黑体"/>
          <w:color w:val="auto"/>
          <w:sz w:val="48"/>
          <w:szCs w:val="48"/>
          <w:highlight w:val="none"/>
        </w:rPr>
        <w:t>目录</w:t>
      </w:r>
    </w:p>
    <w:p>
      <w:pPr>
        <w:widowControl/>
        <w:jc w:val="center"/>
        <w:rPr>
          <w:rFonts w:ascii="Times New Roman" w:hAnsi="Times New Roman" w:eastAsia="黑体" w:cstheme="minorBidi"/>
          <w:color w:val="auto"/>
          <w:sz w:val="28"/>
          <w:szCs w:val="28"/>
          <w:highlight w:val="none"/>
        </w:rPr>
      </w:pPr>
    </w:p>
    <w:p>
      <w:pPr>
        <w:pStyle w:val="14"/>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25</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9</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12</w:t>
      </w:r>
      <w:r>
        <w:rPr>
          <w:rFonts w:hint="eastAsia" w:ascii="Times New Roman" w:hAnsi="Times New Roman" w:eastAsia="仿宋_GB2312" w:cs="仿宋_GB2312"/>
          <w:color w:val="auto"/>
          <w:sz w:val="32"/>
          <w:szCs w:val="32"/>
          <w:highlight w:val="none"/>
        </w:rPr>
        <w:t>日</w:t>
      </w:r>
    </w:p>
    <w:p>
      <w:pPr>
        <w:rPr>
          <w:rFonts w:ascii="Times New Roman" w:hAnsi="Times New Roman"/>
          <w:color w:val="auto"/>
          <w:highlight w:val="none"/>
        </w:rPr>
      </w:pPr>
    </w:p>
    <w:p>
      <w:pPr>
        <w:pStyle w:val="14"/>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 xml:space="preserve">第一部分 </w:t>
      </w:r>
      <w:r>
        <w:rPr>
          <w:rFonts w:hint="eastAsia" w:ascii="Times New Roman" w:hAnsi="Times New Roman" w:eastAsia="黑体" w:cs="黑体"/>
          <w:color w:val="auto"/>
          <w:sz w:val="32"/>
          <w:szCs w:val="32"/>
          <w:highlight w:val="none"/>
          <w:lang w:val="en-US" w:eastAsia="zh-CN"/>
        </w:rPr>
        <w:t>单位</w:t>
      </w:r>
      <w:r>
        <w:rPr>
          <w:rFonts w:hint="eastAsia" w:ascii="Times New Roman" w:hAnsi="Times New Roman" w:eastAsia="黑体" w:cs="黑体"/>
          <w:color w:val="auto"/>
          <w:sz w:val="32"/>
          <w:szCs w:val="32"/>
          <w:highlight w:val="none"/>
        </w:rPr>
        <w:t>概况</w:t>
      </w:r>
      <w:r>
        <w:rPr>
          <w:rFonts w:hint="eastAsia" w:ascii="Times New Roman" w:hAnsi="Times New Roman" w:eastAsia="黑体" w:cs="黑体"/>
          <w:color w:val="auto"/>
          <w:sz w:val="32"/>
          <w:szCs w:val="32"/>
          <w:highlight w:val="none"/>
          <w:lang w:val="en-US" w:eastAsia="zh-CN"/>
        </w:rPr>
        <w:t>...................................................................3</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一、</w:t>
      </w:r>
      <w:r>
        <w:rPr>
          <w:rFonts w:hint="eastAsia" w:eastAsia="仿宋_GB2312" w:cs="仿宋_GB2312"/>
          <w:color w:val="auto"/>
          <w:sz w:val="32"/>
          <w:szCs w:val="32"/>
          <w:highlight w:val="none"/>
          <w:lang w:val="en-US" w:eastAsia="zh-CN"/>
        </w:rPr>
        <w:t>单位</w:t>
      </w:r>
      <w:r>
        <w:rPr>
          <w:rFonts w:hint="eastAsia" w:ascii="Times New Roman" w:hAnsi="Times New Roman" w:eastAsia="仿宋_GB2312" w:cs="仿宋_GB2312"/>
          <w:color w:val="auto"/>
          <w:sz w:val="32"/>
          <w:szCs w:val="32"/>
          <w:highlight w:val="none"/>
          <w:lang w:eastAsia="zh-CN"/>
        </w:rPr>
        <w:t>职责</w:t>
      </w:r>
      <w:r>
        <w:rPr>
          <w:rFonts w:hint="eastAsia" w:eastAsia="仿宋_GB2312" w:cs="仿宋_GB2312"/>
          <w:color w:val="auto"/>
          <w:sz w:val="32"/>
          <w:szCs w:val="32"/>
          <w:highlight w:val="none"/>
          <w:lang w:val="en-US" w:eastAsia="zh-CN"/>
        </w:rPr>
        <w:t>.....................................................................3</w:t>
      </w:r>
    </w:p>
    <w:p>
      <w:pPr>
        <w:pStyle w:val="16"/>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机构设置</w:t>
      </w:r>
      <w:r>
        <w:rPr>
          <w:rFonts w:hint="eastAsia" w:eastAsia="仿宋_GB2312" w:cs="仿宋_GB2312"/>
          <w:color w:val="auto"/>
          <w:sz w:val="32"/>
          <w:szCs w:val="32"/>
          <w:highlight w:val="none"/>
          <w:lang w:val="en-US" w:eastAsia="zh-CN"/>
        </w:rPr>
        <w:t>.....................................................................4</w:t>
      </w:r>
    </w:p>
    <w:p>
      <w:pPr>
        <w:pStyle w:val="14"/>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第二部分</w:t>
      </w:r>
      <w:r>
        <w:rPr>
          <w:rFonts w:hint="eastAsia" w:ascii="Times New Roman" w:hAnsi="Times New Roman" w:eastAsia="黑体" w:cs="黑体"/>
          <w:color w:val="auto"/>
          <w:sz w:val="32"/>
          <w:szCs w:val="32"/>
          <w:highlight w:val="none"/>
          <w:lang w:val="en-US" w:eastAsia="zh-CN"/>
        </w:rPr>
        <w:t xml:space="preserve"> 2024年度单位</w:t>
      </w:r>
      <w:r>
        <w:rPr>
          <w:rFonts w:hint="eastAsia" w:ascii="Times New Roman" w:hAnsi="Times New Roman" w:eastAsia="黑体" w:cs="黑体"/>
          <w:color w:val="auto"/>
          <w:sz w:val="32"/>
          <w:szCs w:val="32"/>
          <w:highlight w:val="none"/>
        </w:rPr>
        <w:t>决算情况说明</w:t>
      </w:r>
      <w:r>
        <w:rPr>
          <w:rFonts w:hint="eastAsia" w:ascii="Times New Roman" w:hAnsi="Times New Roman" w:eastAsia="黑体" w:cs="黑体"/>
          <w:color w:val="auto"/>
          <w:sz w:val="32"/>
          <w:szCs w:val="32"/>
          <w:highlight w:val="none"/>
          <w:lang w:val="en-US" w:eastAsia="zh-CN"/>
        </w:rPr>
        <w:t>..................................5</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一、收入支出决算总体情况说明</w:t>
      </w:r>
      <w:r>
        <w:rPr>
          <w:rFonts w:hint="eastAsia" w:eastAsia="仿宋_GB2312" w:cs="仿宋_GB2312"/>
          <w:color w:val="auto"/>
          <w:sz w:val="32"/>
          <w:szCs w:val="32"/>
          <w:highlight w:val="none"/>
          <w:lang w:val="en-US" w:eastAsia="zh-CN"/>
        </w:rPr>
        <w:t>.....................................5</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二、收入决算情况说明</w:t>
      </w:r>
      <w:r>
        <w:rPr>
          <w:rFonts w:hint="eastAsia" w:eastAsia="仿宋_GB2312" w:cs="仿宋_GB2312"/>
          <w:color w:val="auto"/>
          <w:sz w:val="32"/>
          <w:szCs w:val="32"/>
          <w:highlight w:val="none"/>
          <w:lang w:val="en-US" w:eastAsia="zh-CN"/>
        </w:rPr>
        <w:t>.....................................................5</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三、支出决算情况说明</w:t>
      </w:r>
      <w:r>
        <w:rPr>
          <w:rFonts w:hint="eastAsia" w:eastAsia="仿宋_GB2312" w:cs="仿宋_GB2312"/>
          <w:color w:val="auto"/>
          <w:sz w:val="32"/>
          <w:szCs w:val="32"/>
          <w:highlight w:val="none"/>
          <w:lang w:val="en-US" w:eastAsia="zh-CN"/>
        </w:rPr>
        <w:t>.....................................................6</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四、财政拨款收入支出决算总体情况说明</w:t>
      </w:r>
      <w:r>
        <w:rPr>
          <w:rFonts w:hint="eastAsia" w:eastAsia="仿宋_GB2312" w:cs="仿宋_GB2312"/>
          <w:color w:val="auto"/>
          <w:sz w:val="32"/>
          <w:szCs w:val="32"/>
          <w:highlight w:val="none"/>
          <w:lang w:val="en-US" w:eastAsia="zh-CN"/>
        </w:rPr>
        <w:t>.....................7</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五、一般公共预算财政拨款支出决算情况说明</w:t>
      </w:r>
      <w:r>
        <w:rPr>
          <w:rFonts w:hint="eastAsia" w:eastAsia="仿宋_GB2312" w:cs="仿宋_GB2312"/>
          <w:color w:val="auto"/>
          <w:sz w:val="32"/>
          <w:szCs w:val="32"/>
          <w:highlight w:val="none"/>
          <w:lang w:val="en-US" w:eastAsia="zh-CN"/>
        </w:rPr>
        <w:t>.............7</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六、一般公共预算财政拨款基本支出决算情况说明</w:t>
      </w:r>
      <w:r>
        <w:rPr>
          <w:rFonts w:hint="eastAsia" w:eastAsia="仿宋_GB2312" w:cs="仿宋_GB2312"/>
          <w:color w:val="auto"/>
          <w:sz w:val="32"/>
          <w:szCs w:val="32"/>
          <w:highlight w:val="none"/>
          <w:lang w:val="en-US" w:eastAsia="zh-CN"/>
        </w:rPr>
        <w:t>.....9</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七、财政拨款</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三公”经费支出决算情况说明</w:t>
      </w:r>
      <w:r>
        <w:rPr>
          <w:rFonts w:hint="eastAsia" w:eastAsia="仿宋_GB2312" w:cs="仿宋_GB2312"/>
          <w:color w:val="auto"/>
          <w:sz w:val="32"/>
          <w:szCs w:val="32"/>
          <w:highlight w:val="none"/>
          <w:lang w:val="en-US" w:eastAsia="zh-CN"/>
        </w:rPr>
        <w:t>.............9</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八、政府性基金预算支出决算情况说明</w:t>
      </w:r>
      <w:r>
        <w:rPr>
          <w:rFonts w:hint="eastAsia" w:eastAsia="仿宋_GB2312" w:cs="仿宋_GB2312"/>
          <w:color w:val="auto"/>
          <w:sz w:val="32"/>
          <w:szCs w:val="32"/>
          <w:highlight w:val="none"/>
          <w:lang w:val="en-US" w:eastAsia="zh-CN"/>
        </w:rPr>
        <w:t>........................11</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九、</w:t>
      </w:r>
      <w:r>
        <w:rPr>
          <w:rFonts w:hint="eastAsia" w:ascii="Times New Roman" w:hAnsi="Times New Roman" w:eastAsia="仿宋_GB2312" w:cs="仿宋_GB2312"/>
          <w:color w:val="auto"/>
          <w:sz w:val="32"/>
          <w:szCs w:val="32"/>
          <w:highlight w:val="none"/>
          <w:lang w:eastAsia="zh-CN"/>
        </w:rPr>
        <w:t>国</w:t>
      </w:r>
      <w:r>
        <w:rPr>
          <w:rFonts w:hint="eastAsia" w:ascii="Times New Roman" w:hAnsi="Times New Roman" w:eastAsia="仿宋_GB2312" w:cs="仿宋_GB2312"/>
          <w:color w:val="auto"/>
          <w:sz w:val="32"/>
          <w:szCs w:val="32"/>
          <w:highlight w:val="none"/>
        </w:rPr>
        <w:t>有资本经营预算支出决算情况说明</w:t>
      </w:r>
      <w:r>
        <w:rPr>
          <w:rFonts w:hint="eastAsia" w:eastAsia="仿宋_GB2312" w:cs="仿宋_GB2312"/>
          <w:color w:val="auto"/>
          <w:sz w:val="32"/>
          <w:szCs w:val="32"/>
          <w:highlight w:val="none"/>
          <w:lang w:val="en-US" w:eastAsia="zh-CN"/>
        </w:rPr>
        <w:t>....................11</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eastAsia="zh-CN"/>
        </w:rPr>
        <w:t>十</w:t>
      </w:r>
      <w:r>
        <w:rPr>
          <w:rFonts w:hint="eastAsia" w:ascii="Times New Roman" w:hAnsi="Times New Roman" w:eastAsia="仿宋_GB2312" w:cs="仿宋_GB2312"/>
          <w:color w:val="auto"/>
          <w:sz w:val="32"/>
          <w:szCs w:val="32"/>
          <w:highlight w:val="none"/>
        </w:rPr>
        <w:t>、其他重要事项的情况说明</w:t>
      </w:r>
      <w:r>
        <w:rPr>
          <w:rFonts w:hint="eastAsia" w:eastAsia="仿宋_GB2312" w:cs="仿宋_GB2312"/>
          <w:color w:val="auto"/>
          <w:sz w:val="32"/>
          <w:szCs w:val="32"/>
          <w:highlight w:val="none"/>
          <w:lang w:val="en-US" w:eastAsia="zh-CN"/>
        </w:rPr>
        <w:t>........................................11</w:t>
      </w:r>
    </w:p>
    <w:p>
      <w:pPr>
        <w:pStyle w:val="14"/>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第三部分 名词解释</w:t>
      </w:r>
      <w:r>
        <w:rPr>
          <w:rFonts w:hint="eastAsia" w:ascii="Times New Roman" w:hAnsi="Times New Roman" w:eastAsia="黑体" w:cs="黑体"/>
          <w:color w:val="auto"/>
          <w:sz w:val="32"/>
          <w:szCs w:val="32"/>
          <w:highlight w:val="none"/>
          <w:lang w:val="en-US" w:eastAsia="zh-CN"/>
        </w:rPr>
        <w:t>.................................................................13</w:t>
      </w:r>
    </w:p>
    <w:p>
      <w:pPr>
        <w:pStyle w:val="14"/>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kern w:val="2"/>
          <w:sz w:val="32"/>
          <w:szCs w:val="32"/>
          <w:highlight w:val="none"/>
          <w:lang w:val="en-US" w:eastAsia="zh-CN" w:bidi="ar-SA"/>
        </w:rPr>
      </w:pPr>
      <w:r>
        <w:rPr>
          <w:rFonts w:hint="eastAsia" w:ascii="Times New Roman" w:hAnsi="Times New Roman" w:eastAsia="黑体" w:cs="黑体"/>
          <w:color w:val="auto"/>
          <w:sz w:val="32"/>
          <w:szCs w:val="32"/>
          <w:highlight w:val="none"/>
        </w:rPr>
        <w:t>第四部分 附件</w:t>
      </w:r>
      <w:r>
        <w:rPr>
          <w:rFonts w:hint="eastAsia" w:ascii="Times New Roman" w:hAnsi="Times New Roman" w:eastAsia="黑体" w:cs="黑体"/>
          <w:color w:val="auto"/>
          <w:sz w:val="32"/>
          <w:szCs w:val="32"/>
          <w:highlight w:val="none"/>
          <w:lang w:val="en-US" w:eastAsia="zh-CN"/>
        </w:rPr>
        <w:t>.........................................................................16</w:t>
      </w:r>
    </w:p>
    <w:p>
      <w:pPr>
        <w:pStyle w:val="14"/>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w:t>
      </w:r>
      <w:r>
        <w:rPr>
          <w:rFonts w:hint="eastAsia" w:ascii="Times New Roman" w:hAnsi="Times New Roman" w:eastAsia="黑体" w:cs="黑体"/>
          <w:color w:val="auto"/>
          <w:sz w:val="32"/>
          <w:szCs w:val="32"/>
          <w:highlight w:val="none"/>
          <w:lang w:val="en-US" w:eastAsia="zh-CN"/>
        </w:rPr>
        <w:t>五</w:t>
      </w:r>
      <w:r>
        <w:rPr>
          <w:rFonts w:hint="eastAsia" w:ascii="Times New Roman" w:hAnsi="Times New Roman" w:eastAsia="黑体" w:cs="黑体"/>
          <w:color w:val="auto"/>
          <w:sz w:val="32"/>
          <w:szCs w:val="32"/>
          <w:highlight w:val="none"/>
        </w:rPr>
        <w:t>部分 附表</w:t>
      </w:r>
      <w:r>
        <w:rPr>
          <w:rFonts w:hint="eastAsia" w:ascii="Times New Roman" w:hAnsi="Times New Roman" w:eastAsia="黑体" w:cs="黑体"/>
          <w:color w:val="auto"/>
          <w:sz w:val="32"/>
          <w:szCs w:val="32"/>
          <w:highlight w:val="none"/>
          <w:lang w:val="en-US" w:eastAsia="zh-CN"/>
        </w:rPr>
        <w:t>.........................................................................23</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一、收入支出决算总表</w:t>
      </w:r>
      <w:r>
        <w:rPr>
          <w:rFonts w:hint="eastAsia" w:eastAsia="仿宋_GB2312" w:cs="仿宋_GB2312"/>
          <w:color w:val="auto"/>
          <w:sz w:val="32"/>
          <w:szCs w:val="32"/>
          <w:highlight w:val="none"/>
          <w:lang w:val="en-US" w:eastAsia="zh-CN"/>
        </w:rPr>
        <w:t>....................................................24</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二、收入决算表</w:t>
      </w:r>
      <w:r>
        <w:rPr>
          <w:rFonts w:hint="eastAsia" w:eastAsia="仿宋_GB2312" w:cs="仿宋_GB2312"/>
          <w:color w:val="auto"/>
          <w:sz w:val="32"/>
          <w:szCs w:val="32"/>
          <w:highlight w:val="none"/>
          <w:lang w:val="en-US" w:eastAsia="zh-CN"/>
        </w:rPr>
        <w:t>................................................................25</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三、支出决算表</w:t>
      </w:r>
      <w:r>
        <w:rPr>
          <w:rFonts w:hint="eastAsia" w:eastAsia="仿宋_GB2312" w:cs="仿宋_GB2312"/>
          <w:color w:val="auto"/>
          <w:sz w:val="32"/>
          <w:szCs w:val="32"/>
          <w:highlight w:val="none"/>
          <w:lang w:val="en-US" w:eastAsia="zh-CN"/>
        </w:rPr>
        <w:t>................................................................27</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四、财政拨款收入支出决算总表</w:t>
      </w:r>
      <w:r>
        <w:rPr>
          <w:rFonts w:hint="eastAsia" w:eastAsia="仿宋_GB2312" w:cs="仿宋_GB2312"/>
          <w:color w:val="auto"/>
          <w:sz w:val="32"/>
          <w:szCs w:val="32"/>
          <w:highlight w:val="none"/>
          <w:lang w:val="en-US" w:eastAsia="zh-CN"/>
        </w:rPr>
        <w:t>...................................28</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五、财政拨款支出决算明细表</w:t>
      </w:r>
      <w:r>
        <w:rPr>
          <w:rFonts w:hint="eastAsia" w:eastAsia="仿宋_GB2312" w:cs="仿宋_GB2312"/>
          <w:color w:val="auto"/>
          <w:sz w:val="32"/>
          <w:szCs w:val="32"/>
          <w:highlight w:val="none"/>
          <w:lang w:val="en-US" w:eastAsia="zh-CN"/>
        </w:rPr>
        <w:t>.......................................30</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六、一般公共预算财政拨款支出决算表</w:t>
      </w:r>
      <w:r>
        <w:rPr>
          <w:rFonts w:hint="eastAsia" w:eastAsia="仿宋_GB2312" w:cs="仿宋_GB2312"/>
          <w:color w:val="auto"/>
          <w:sz w:val="32"/>
          <w:szCs w:val="32"/>
          <w:highlight w:val="none"/>
          <w:lang w:val="en-US" w:eastAsia="zh-CN"/>
        </w:rPr>
        <w:t>.......................35</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七、一般公共预算财政拨款支出决算明细表</w:t>
      </w:r>
      <w:r>
        <w:rPr>
          <w:rFonts w:hint="eastAsia" w:eastAsia="仿宋_GB2312" w:cs="仿宋_GB2312"/>
          <w:color w:val="auto"/>
          <w:sz w:val="32"/>
          <w:szCs w:val="32"/>
          <w:highlight w:val="none"/>
          <w:lang w:val="en-US" w:eastAsia="zh-CN"/>
        </w:rPr>
        <w:t>...............36</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八、一般公共预算财政拨款基本支出决算</w:t>
      </w:r>
      <w:r>
        <w:rPr>
          <w:rFonts w:hint="eastAsia" w:ascii="Times New Roman" w:hAnsi="Times New Roman" w:eastAsia="仿宋_GB2312" w:cs="仿宋_GB2312"/>
          <w:color w:val="auto"/>
          <w:sz w:val="32"/>
          <w:szCs w:val="32"/>
          <w:highlight w:val="none"/>
          <w:lang w:eastAsia="zh-CN"/>
        </w:rPr>
        <w:t>明细</w:t>
      </w:r>
      <w:r>
        <w:rPr>
          <w:rFonts w:hint="eastAsia" w:ascii="Times New Roman" w:hAnsi="Times New Roman" w:eastAsia="仿宋_GB2312" w:cs="仿宋_GB2312"/>
          <w:color w:val="auto"/>
          <w:sz w:val="32"/>
          <w:szCs w:val="32"/>
          <w:highlight w:val="none"/>
        </w:rPr>
        <w:t>表</w:t>
      </w:r>
      <w:r>
        <w:rPr>
          <w:rFonts w:hint="eastAsia" w:eastAsia="仿宋_GB2312" w:cs="仿宋_GB2312"/>
          <w:color w:val="auto"/>
          <w:sz w:val="32"/>
          <w:szCs w:val="32"/>
          <w:highlight w:val="none"/>
          <w:lang w:val="en-US" w:eastAsia="zh-CN"/>
        </w:rPr>
        <w:t>.......46</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九、一般公共预算财政拨款项目支出决算表</w:t>
      </w:r>
      <w:r>
        <w:rPr>
          <w:rFonts w:hint="eastAsia" w:eastAsia="仿宋_GB2312" w:cs="仿宋_GB2312"/>
          <w:color w:val="auto"/>
          <w:sz w:val="32"/>
          <w:szCs w:val="32"/>
          <w:highlight w:val="none"/>
          <w:lang w:val="en-US" w:eastAsia="zh-CN"/>
        </w:rPr>
        <w:t>...............48</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十、政府性基金预算财政拨款收入支出决算表</w:t>
      </w:r>
      <w:r>
        <w:rPr>
          <w:rFonts w:hint="eastAsia" w:eastAsia="仿宋_GB2312" w:cs="仿宋_GB2312"/>
          <w:color w:val="auto"/>
          <w:sz w:val="32"/>
          <w:szCs w:val="32"/>
          <w:highlight w:val="none"/>
          <w:lang w:val="en-US" w:eastAsia="zh-CN"/>
        </w:rPr>
        <w:t>...........49</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十一、国有资本经营预算财政拨款收入支出决算表</w:t>
      </w:r>
      <w:r>
        <w:rPr>
          <w:rFonts w:hint="eastAsia" w:eastAsia="仿宋_GB2312" w:cs="仿宋_GB2312"/>
          <w:color w:val="auto"/>
          <w:sz w:val="32"/>
          <w:szCs w:val="32"/>
          <w:highlight w:val="none"/>
          <w:lang w:val="en-US" w:eastAsia="zh-CN"/>
        </w:rPr>
        <w:t>...50</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十二、</w:t>
      </w:r>
      <w:r>
        <w:rPr>
          <w:rFonts w:hint="eastAsia" w:ascii="Times New Roman" w:hAnsi="Times New Roman" w:eastAsia="仿宋_GB2312" w:cs="仿宋_GB2312"/>
          <w:color w:val="auto"/>
          <w:sz w:val="32"/>
          <w:szCs w:val="32"/>
          <w:highlight w:val="none"/>
          <w:lang w:val="en-US" w:eastAsia="zh-CN"/>
        </w:rPr>
        <w:t>国有资本经营预算财政拨款支出决算表</w:t>
      </w:r>
      <w:r>
        <w:rPr>
          <w:rFonts w:hint="eastAsia" w:eastAsia="仿宋_GB2312" w:cs="仿宋_GB2312"/>
          <w:color w:val="auto"/>
          <w:sz w:val="32"/>
          <w:szCs w:val="32"/>
          <w:highlight w:val="none"/>
          <w:lang w:val="en-US" w:eastAsia="zh-CN"/>
        </w:rPr>
        <w:t>...........51</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十三、财政拨款“三公”经费支出决算表</w:t>
      </w:r>
      <w:r>
        <w:rPr>
          <w:rFonts w:hint="eastAsia" w:eastAsia="仿宋_GB2312" w:cs="仿宋_GB2312"/>
          <w:color w:val="auto"/>
          <w:sz w:val="32"/>
          <w:szCs w:val="32"/>
          <w:highlight w:val="none"/>
          <w:lang w:val="en-US" w:eastAsia="zh-CN"/>
        </w:rPr>
        <w:t>...................52</w:t>
      </w:r>
    </w:p>
    <w:p>
      <w:pPr>
        <w:keepNext w:val="0"/>
        <w:keepLines w:val="0"/>
        <w:pageBreakBefore w:val="0"/>
        <w:widowControl/>
        <w:kinsoku/>
        <w:wordWrap/>
        <w:overflowPunct/>
        <w:topLinePunct w:val="0"/>
        <w:autoSpaceDE/>
        <w:autoSpaceDN/>
        <w:bidi w:val="0"/>
        <w:spacing w:line="560" w:lineRule="exact"/>
        <w:jc w:val="left"/>
        <w:textAlignment w:val="auto"/>
        <w:rPr>
          <w:rFonts w:hint="eastAsia" w:ascii="Times New Roman" w:hAnsi="Times New Roman" w:eastAsia="仿宋_GB2312" w:cs="仿宋_GB2312"/>
          <w:bCs/>
          <w:color w:val="auto"/>
          <w:kern w:val="44"/>
          <w:sz w:val="32"/>
          <w:szCs w:val="32"/>
          <w:highlight w:val="none"/>
        </w:rPr>
      </w:pPr>
      <w:bookmarkStart w:id="12" w:name="_Toc15377196"/>
      <w:bookmarkStart w:id="13" w:name="_Toc15396599"/>
      <w:r>
        <w:rPr>
          <w:rFonts w:hint="eastAsia" w:ascii="Times New Roman" w:hAnsi="Times New Roman" w:eastAsia="仿宋_GB2312" w:cs="仿宋_GB2312"/>
          <w:b/>
          <w:color w:val="auto"/>
          <w:sz w:val="32"/>
          <w:szCs w:val="32"/>
          <w:highlight w:val="none"/>
        </w:rPr>
        <w:br w:type="page"/>
      </w:r>
    </w:p>
    <w:p>
      <w:pPr>
        <w:pStyle w:val="4"/>
        <w:jc w:val="center"/>
        <w:rPr>
          <w:rFonts w:ascii="Times New Roman" w:hAnsi="Times New Roman" w:eastAsia="黑体"/>
          <w:color w:val="auto"/>
          <w:sz w:val="32"/>
          <w:szCs w:val="32"/>
          <w:highlight w:val="none"/>
        </w:rPr>
      </w:pPr>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31"/>
          <w:rFonts w:hint="eastAsia" w:eastAsia="方正小标宋简体" w:cs="方正小标宋简体"/>
          <w:b w:val="0"/>
          <w:bCs w:val="0"/>
          <w:color w:val="auto"/>
          <w:highlight w:val="none"/>
          <w:lang w:val="en-US" w:eastAsia="zh-CN"/>
        </w:rPr>
        <w:t>单位</w:t>
      </w:r>
      <w:r>
        <w:rPr>
          <w:rStyle w:val="31"/>
          <w:rFonts w:hint="eastAsia" w:ascii="Times New Roman" w:hAnsi="Times New Roman" w:eastAsia="方正小标宋简体" w:cs="方正小标宋简体"/>
          <w:b w:val="0"/>
          <w:bCs w:val="0"/>
          <w:color w:val="auto"/>
          <w:highlight w:val="none"/>
        </w:rPr>
        <w:t>概况</w:t>
      </w:r>
      <w:bookmarkEnd w:id="12"/>
      <w:bookmarkEnd w:id="13"/>
    </w:p>
    <w:p>
      <w:pPr>
        <w:pStyle w:val="5"/>
        <w:numPr>
          <w:ilvl w:val="0"/>
          <w:numId w:val="2"/>
        </w:numPr>
        <w:rPr>
          <w:rFonts w:hint="eastAsia" w:ascii="Times New Roman" w:hAnsi="Times New Roman" w:eastAsia="黑体"/>
          <w:b w:val="0"/>
          <w:color w:val="auto"/>
          <w:highlight w:val="none"/>
          <w:lang w:eastAsia="zh-CN"/>
        </w:rPr>
      </w:pPr>
      <w:r>
        <w:rPr>
          <w:rFonts w:hint="eastAsia" w:ascii="Times New Roman" w:hAnsi="Times New Roman" w:eastAsia="黑体"/>
          <w:b w:val="0"/>
          <w:color w:val="auto"/>
          <w:highlight w:val="none"/>
          <w:lang w:val="en-US" w:eastAsia="zh-CN"/>
        </w:rPr>
        <w:t>单位</w:t>
      </w:r>
      <w:r>
        <w:rPr>
          <w:rFonts w:hint="eastAsia" w:ascii="Times New Roman" w:hAnsi="Times New Roman" w:eastAsia="黑体"/>
          <w:b w:val="0"/>
          <w:color w:val="auto"/>
          <w:highlight w:val="none"/>
          <w:lang w:eastAsia="zh-CN"/>
        </w:rPr>
        <w:t>职责</w:t>
      </w:r>
    </w:p>
    <w:p>
      <w:pPr>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四川省电子产品监督检验所成立于1975年，是经四川省机构编制委员会批准成立的全额拨款事业单位，现为公益二类事业单位；原隶属省四机局、省电子工业厅、省信息产业厅，现隶属省经济和信息化厅。四川省电子产品监督检验所与四川省软件和信息系统工程测评中心、四川省电子产品质量监督检验站、中国赛宝（四川）实验室为一个单位。是专业从事电子信息产品检测、CCC强制性产品检测认证、商用密码应用安全性评估、网络安全等级保护测评、软件产品测试、信息系统工程测评、工业控制系统安全评估、安防产品及安防系统工程测评和信息安全风险评估等公正的、权威的、公益性的第三方实验室。</w:t>
      </w:r>
    </w:p>
    <w:p>
      <w:pPr>
        <w:ind w:firstLine="640" w:firstLineChars="200"/>
        <w:rPr>
          <w:rFonts w:hint="eastAsia"/>
          <w:lang w:eastAsia="zh-CN"/>
        </w:rPr>
      </w:pPr>
      <w:r>
        <w:rPr>
          <w:rFonts w:hint="eastAsia" w:ascii="Times New Roman" w:hAnsi="Times New Roman" w:eastAsia="仿宋_GB2312" w:cs="仿宋_GB2312"/>
          <w:color w:val="auto"/>
          <w:kern w:val="2"/>
          <w:sz w:val="32"/>
          <w:szCs w:val="32"/>
          <w:highlight w:val="none"/>
          <w:lang w:val="en-US" w:eastAsia="zh-CN" w:bidi="ar-SA"/>
        </w:rPr>
        <w:t>单位成立以来，始终坚持科学、公正、保密、高效的原则，以严谨的工作态度和专业的技术水准，积极面向社会开展检验检测业务。具备按国家标准、行业标准和企业标准、国际标准，对电子、电器等产品及信息技术领域开展各种检测评价和分析的能力，具有CNAS、CMA 、CCC、网络安全等级保护测评机构、商用密码应用安全性评估机构、工业信息安全测试评估机构、安全技术防范系统工程检测、信息安全风险评估一级服务资质、信息系统安全运维二级服务资质、中国人民解放军总装备部认可的军用实验室等资质。</w:t>
      </w:r>
    </w:p>
    <w:p>
      <w:pPr>
        <w:pStyle w:val="5"/>
        <w:rPr>
          <w:rStyle w:val="32"/>
          <w:rFonts w:ascii="Times New Roman" w:hAnsi="Times New Roman"/>
          <w:b w:val="0"/>
          <w:bCs w:val="0"/>
          <w:color w:val="auto"/>
          <w:highlight w:val="none"/>
        </w:rPr>
      </w:pPr>
      <w:bookmarkStart w:id="14" w:name="_Toc15377200"/>
      <w:bookmarkStart w:id="15" w:name="_Toc15396601"/>
      <w:r>
        <w:rPr>
          <w:rFonts w:hint="eastAsia" w:ascii="Times New Roman" w:hAnsi="Times New Roman" w:eastAsia="黑体"/>
          <w:b w:val="0"/>
          <w:color w:val="auto"/>
          <w:highlight w:val="none"/>
        </w:rPr>
        <w:t>二、机</w:t>
      </w:r>
      <w:r>
        <w:rPr>
          <w:rStyle w:val="32"/>
          <w:rFonts w:hint="eastAsia" w:ascii="Times New Roman" w:hAnsi="Times New Roman" w:eastAsia="黑体"/>
          <w:b w:val="0"/>
          <w:bCs w:val="0"/>
          <w:color w:val="auto"/>
          <w:highlight w:val="none"/>
        </w:rPr>
        <w:t>构设置</w:t>
      </w:r>
      <w:bookmarkEnd w:id="14"/>
      <w:bookmarkEnd w:id="15"/>
    </w:p>
    <w:p>
      <w:pPr>
        <w:keepNext w:val="0"/>
        <w:keepLines w:val="0"/>
        <w:pageBreakBefore w:val="0"/>
        <w:widowControl/>
        <w:suppressAutoHyphens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四川省电子产品监督检验所设有党委办公室、行政部、</w:t>
      </w:r>
    </w:p>
    <w:p>
      <w:pPr>
        <w:numPr>
          <w:ilvl w:val="0"/>
          <w:numId w:val="0"/>
        </w:numPr>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电子电器检测事业部、软件和网络安全测评事业部、安防检测事业部、工业信息安全测评事业部、质量技术部、资产管理部、科技研究发展中心、内审部共10个部门。</w:t>
      </w:r>
    </w:p>
    <w:p>
      <w:pPr>
        <w:widowControl/>
        <w:jc w:val="left"/>
        <w:rPr>
          <w:rFonts w:ascii="Times New Roman" w:hAnsi="Times New Roman" w:eastAsia="仿宋"/>
          <w:color w:val="auto"/>
          <w:kern w:val="0"/>
          <w:sz w:val="32"/>
          <w:szCs w:val="32"/>
          <w:highlight w:val="none"/>
        </w:rPr>
      </w:pPr>
      <w:r>
        <w:rPr>
          <w:rFonts w:ascii="Times New Roman" w:hAnsi="Times New Roman" w:eastAsia="仿宋"/>
          <w:color w:val="auto"/>
          <w:sz w:val="32"/>
          <w:szCs w:val="32"/>
          <w:highlight w:val="none"/>
        </w:rPr>
        <w:br w:type="page"/>
      </w:r>
    </w:p>
    <w:p>
      <w:pPr>
        <w:pStyle w:val="4"/>
        <w:jc w:val="center"/>
        <w:rPr>
          <w:rFonts w:hint="eastAsia" w:ascii="Times New Roman" w:hAnsi="Times New Roman" w:eastAsia="方正小标宋简体" w:cs="方正小标宋简体"/>
          <w:b w:val="0"/>
          <w:color w:val="auto"/>
          <w:highlight w:val="none"/>
        </w:rPr>
      </w:pPr>
      <w:bookmarkStart w:id="16" w:name="_Toc15377204"/>
      <w:bookmarkStart w:id="17" w:name="_Toc15396602"/>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eastAsia="方正小标宋简体" w:cs="方正小标宋简体"/>
          <w:b w:val="0"/>
          <w:color w:val="auto"/>
          <w:highlight w:val="none"/>
          <w:lang w:val="en-US" w:eastAsia="zh-CN"/>
        </w:rPr>
        <w:t>单位</w:t>
      </w:r>
      <w:r>
        <w:rPr>
          <w:rFonts w:hint="eastAsia" w:ascii="Times New Roman" w:hAnsi="Times New Roman" w:eastAsia="方正小标宋简体" w:cs="方正小标宋简体"/>
          <w:b w:val="0"/>
          <w:color w:val="auto"/>
          <w:highlight w:val="none"/>
        </w:rPr>
        <w:t>决算情况说明</w:t>
      </w:r>
      <w:bookmarkEnd w:id="16"/>
      <w:bookmarkEnd w:id="17"/>
    </w:p>
    <w:p>
      <w:pPr>
        <w:rPr>
          <w:rFonts w:ascii="Times New Roman" w:hAnsi="Times New Roman"/>
          <w:color w:val="auto"/>
          <w:highlight w:val="none"/>
        </w:rPr>
      </w:pPr>
    </w:p>
    <w:p>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2"/>
          <w:rFonts w:hint="eastAsia" w:ascii="Times New Roman" w:hAnsi="Times New Roman" w:eastAsia="黑体"/>
          <w:b w:val="0"/>
          <w:color w:val="auto"/>
          <w:highlight w:val="none"/>
        </w:rPr>
      </w:pPr>
      <w:bookmarkStart w:id="18" w:name="_Toc15377205"/>
      <w:bookmarkStart w:id="19" w:name="_Toc15396603"/>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32"/>
          <w:rFonts w:hint="eastAsia" w:ascii="Times New Roman" w:hAnsi="Times New Roman" w:eastAsia="黑体"/>
          <w:b w:val="0"/>
          <w:color w:val="auto"/>
          <w:highlight w:val="none"/>
        </w:rPr>
        <w:t>入支出决算总体情况说明</w:t>
      </w:r>
      <w:bookmarkEnd w:id="18"/>
      <w:bookmarkEnd w:id="19"/>
    </w:p>
    <w:p>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2024年度收入</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支出</w:t>
      </w:r>
      <w:r>
        <w:rPr>
          <w:rFonts w:hint="default" w:ascii="Times New Roman" w:hAnsi="Times New Roman" w:eastAsia="仿宋_GB2312" w:cs="Times New Roman"/>
          <w:color w:val="auto"/>
          <w:sz w:val="32"/>
          <w:szCs w:val="32"/>
          <w:highlight w:val="none"/>
        </w:rPr>
        <w:t>总计</w:t>
      </w:r>
      <w:r>
        <w:rPr>
          <w:rFonts w:hint="default" w:ascii="Times New Roman" w:hAnsi="Times New Roman" w:eastAsia="仿宋_GB2312" w:cs="Times New Roman"/>
          <w:color w:val="auto"/>
          <w:sz w:val="32"/>
          <w:szCs w:val="32"/>
          <w:highlight w:val="none"/>
          <w:lang w:eastAsia="zh-CN"/>
        </w:rPr>
        <w:t>均为</w:t>
      </w:r>
      <w:r>
        <w:rPr>
          <w:rFonts w:hint="default" w:ascii="Times New Roman" w:hAnsi="Times New Roman" w:eastAsia="仿宋_GB2312" w:cs="Times New Roman"/>
          <w:color w:val="auto"/>
          <w:sz w:val="32"/>
          <w:szCs w:val="32"/>
          <w:highlight w:val="none"/>
          <w:lang w:val="en-US" w:eastAsia="zh-CN"/>
        </w:rPr>
        <w:t>2866.13</w:t>
      </w:r>
      <w:r>
        <w:rPr>
          <w:rFonts w:hint="default" w:ascii="Times New Roman" w:hAnsi="Times New Roman" w:eastAsia="仿宋_GB2312" w:cs="Times New Roman"/>
          <w:color w:val="auto"/>
          <w:sz w:val="32"/>
          <w:szCs w:val="32"/>
          <w:highlight w:val="none"/>
        </w:rPr>
        <w:t>万元。与</w:t>
      </w:r>
      <w:r>
        <w:rPr>
          <w:rFonts w:hint="default" w:ascii="Times New Roman" w:hAnsi="Times New Roman" w:eastAsia="仿宋_GB2312" w:cs="Times New Roman"/>
          <w:color w:val="auto"/>
          <w:sz w:val="32"/>
          <w:szCs w:val="32"/>
          <w:highlight w:val="none"/>
          <w:lang w:eastAsia="zh-CN"/>
        </w:rPr>
        <w:t>202</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相比，</w:t>
      </w:r>
      <w:r>
        <w:rPr>
          <w:rFonts w:hint="default" w:ascii="Times New Roman" w:hAnsi="Times New Roman" w:eastAsia="仿宋_GB2312" w:cs="Times New Roman"/>
          <w:color w:val="auto"/>
          <w:sz w:val="32"/>
          <w:szCs w:val="32"/>
          <w:highlight w:val="none"/>
          <w:lang w:eastAsia="zh-CN"/>
        </w:rPr>
        <w:t>收入</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支出</w:t>
      </w:r>
      <w:r>
        <w:rPr>
          <w:rFonts w:hint="default" w:ascii="Times New Roman" w:hAnsi="Times New Roman" w:eastAsia="仿宋_GB2312" w:cs="Times New Roman"/>
          <w:color w:val="auto"/>
          <w:sz w:val="32"/>
          <w:szCs w:val="32"/>
          <w:highlight w:val="none"/>
        </w:rPr>
        <w:t>总计各增加</w:t>
      </w:r>
      <w:r>
        <w:rPr>
          <w:rFonts w:hint="default" w:ascii="Times New Roman" w:hAnsi="Times New Roman" w:eastAsia="仿宋_GB2312" w:cs="Times New Roman"/>
          <w:color w:val="auto"/>
          <w:sz w:val="32"/>
          <w:szCs w:val="32"/>
          <w:highlight w:val="none"/>
          <w:lang w:val="en-US" w:eastAsia="zh-CN"/>
        </w:rPr>
        <w:t>393.88</w:t>
      </w:r>
      <w:r>
        <w:rPr>
          <w:rFonts w:hint="default" w:ascii="Times New Roman" w:hAnsi="Times New Roman" w:eastAsia="仿宋_GB2312" w:cs="Times New Roman"/>
          <w:color w:val="auto"/>
          <w:sz w:val="32"/>
          <w:szCs w:val="32"/>
          <w:highlight w:val="none"/>
        </w:rPr>
        <w:t>万元，增长</w:t>
      </w:r>
      <w:r>
        <w:rPr>
          <w:rFonts w:hint="default" w:ascii="Times New Roman" w:hAnsi="Times New Roman" w:eastAsia="仿宋_GB2312" w:cs="Times New Roman"/>
          <w:color w:val="auto"/>
          <w:sz w:val="32"/>
          <w:szCs w:val="32"/>
          <w:highlight w:val="none"/>
          <w:lang w:val="en-US" w:eastAsia="zh-CN"/>
        </w:rPr>
        <w:t>15.9</w:t>
      </w:r>
      <w:r>
        <w:rPr>
          <w:rFonts w:hint="default" w:ascii="Times New Roman" w:hAnsi="Times New Roman" w:eastAsia="仿宋_GB2312" w:cs="Times New Roman"/>
          <w:color w:val="auto"/>
          <w:sz w:val="32"/>
          <w:szCs w:val="32"/>
          <w:highlight w:val="none"/>
        </w:rPr>
        <w:t>%。主要变动原因</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一</w:t>
      </w:r>
      <w:r>
        <w:rPr>
          <w:rFonts w:hint="default" w:ascii="Times New Roman" w:hAnsi="Times New Roman" w:eastAsia="仿宋_GB2312" w:cs="Times New Roman"/>
          <w:color w:val="auto"/>
          <w:sz w:val="32"/>
          <w:szCs w:val="32"/>
          <w:highlight w:val="none"/>
        </w:rPr>
        <w:t>是</w:t>
      </w:r>
      <w:r>
        <w:rPr>
          <w:rFonts w:hint="default" w:ascii="Times New Roman" w:hAnsi="Times New Roman" w:eastAsia="仿宋" w:cs="Times New Roman"/>
          <w:color w:val="auto"/>
          <w:sz w:val="32"/>
          <w:szCs w:val="32"/>
          <w:highlight w:val="none"/>
          <w:lang w:val="en-US" w:eastAsia="zh-CN"/>
        </w:rPr>
        <w:t>公招4名工作人员，增加相应人员经费和日常公用经费；二是离休、退休各1名人员去世，增加丧葬抚恤金。</w:t>
      </w:r>
    </w:p>
    <w:p>
      <w:pPr>
        <w:pStyle w:val="30"/>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1"/>
        <w:rPr>
          <w:rFonts w:hint="eastAsia" w:ascii="Times New Roman" w:hAnsi="Times New Roman" w:eastAsia="仿宋_GB2312" w:cs="仿宋_GB2312"/>
          <w:color w:val="auto"/>
          <w:sz w:val="32"/>
          <w:szCs w:val="32"/>
          <w:highlight w:val="none"/>
        </w:rPr>
      </w:pPr>
      <w:r>
        <w:rPr>
          <w:rFonts w:hint="eastAsia" w:ascii="Times New Roman" w:hAnsi="Times New Roman" w:eastAsia="仿宋" w:cs="Times New Roman"/>
          <w:color w:val="auto"/>
          <w:sz w:val="32"/>
          <w:szCs w:val="32"/>
          <w:highlight w:val="none"/>
          <w:lang w:eastAsia="zh-CN"/>
        </w:rPr>
        <w:object>
          <v:shape id="_x0000_i1025" o:spt="75" type="#_x0000_t75" style="height:238.5pt;width:398.65pt;" o:ole="t" filled="f" o:preferrelative="t" stroked="f" coordsize="21600,21600">
            <v:path/>
            <v:fill on="f" focussize="0,0"/>
            <v:stroke on="f"/>
            <v:imagedata r:id="rId9" o:title=""/>
            <o:lock v:ext="edit" aspectratio="t"/>
            <w10:wrap type="none"/>
            <w10:anchorlock/>
          </v:shape>
          <o:OLEObject Type="Embed" ProgID="Excel.Chart.8" ShapeID="_x0000_i1025" DrawAspect="Content" ObjectID="_1468075725" r:id="rId8">
            <o:LockedField>false</o:LockedField>
          </o:OLEObject>
        </w:object>
      </w: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w:t>
      </w:r>
    </w:p>
    <w:p>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20" w:name="_Toc15377206"/>
      <w:bookmarkStart w:id="21" w:name="_Toc15396604"/>
      <w:r>
        <w:rPr>
          <w:rFonts w:hint="eastAsia" w:ascii="Times New Roman" w:hAnsi="Times New Roman" w:eastAsia="黑体"/>
          <w:color w:val="auto"/>
          <w:sz w:val="32"/>
          <w:szCs w:val="32"/>
          <w:highlight w:val="none"/>
          <w:lang w:eastAsia="zh-CN"/>
        </w:rPr>
        <w:t>二、收入决算情况说明</w:t>
      </w:r>
      <w:bookmarkEnd w:id="20"/>
      <w:bookmarkEnd w:id="21"/>
    </w:p>
    <w:p>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2024年度本年收入合计</w:t>
      </w:r>
      <w:r>
        <w:rPr>
          <w:rFonts w:hint="eastAsia" w:eastAsia="仿宋_GB2312" w:cs="仿宋_GB2312"/>
          <w:color w:val="auto"/>
          <w:sz w:val="32"/>
          <w:szCs w:val="32"/>
          <w:highlight w:val="none"/>
          <w:lang w:val="en-US" w:eastAsia="zh-CN"/>
        </w:rPr>
        <w:t>2675.82</w:t>
      </w:r>
      <w:r>
        <w:rPr>
          <w:rFonts w:hint="eastAsia" w:ascii="Times New Roman" w:hAnsi="Times New Roman" w:eastAsia="仿宋_GB2312" w:cs="仿宋_GB2312"/>
          <w:color w:val="auto"/>
          <w:sz w:val="32"/>
          <w:szCs w:val="32"/>
          <w:highlight w:val="none"/>
          <w:lang w:eastAsia="zh-CN"/>
        </w:rPr>
        <w:t>万元，其中：一般公共预算财政拨款收入</w:t>
      </w:r>
      <w:r>
        <w:rPr>
          <w:rFonts w:hint="eastAsia" w:eastAsia="仿宋_GB2312" w:cs="仿宋_GB2312"/>
          <w:color w:val="auto"/>
          <w:sz w:val="32"/>
          <w:szCs w:val="32"/>
          <w:highlight w:val="none"/>
          <w:lang w:val="en-US" w:eastAsia="zh-CN"/>
        </w:rPr>
        <w:t>449.51</w:t>
      </w:r>
      <w:r>
        <w:rPr>
          <w:rFonts w:hint="eastAsia" w:ascii="Times New Roman" w:hAnsi="Times New Roman" w:eastAsia="仿宋_GB2312" w:cs="仿宋_GB2312"/>
          <w:color w:val="auto"/>
          <w:sz w:val="32"/>
          <w:szCs w:val="32"/>
          <w:highlight w:val="none"/>
          <w:lang w:eastAsia="zh-CN"/>
        </w:rPr>
        <w:t>万元，占</w:t>
      </w:r>
      <w:r>
        <w:rPr>
          <w:rFonts w:hint="eastAsia" w:eastAsia="仿宋_GB2312" w:cs="仿宋_GB2312"/>
          <w:color w:val="auto"/>
          <w:sz w:val="32"/>
          <w:szCs w:val="32"/>
          <w:highlight w:val="none"/>
          <w:lang w:val="en-US" w:eastAsia="zh-CN"/>
        </w:rPr>
        <w:t>16.8</w:t>
      </w:r>
      <w:r>
        <w:rPr>
          <w:rFonts w:hint="eastAsia" w:ascii="Times New Roman" w:hAnsi="Times New Roman" w:eastAsia="仿宋_GB2312" w:cs="仿宋_GB2312"/>
          <w:color w:val="auto"/>
          <w:sz w:val="32"/>
          <w:szCs w:val="32"/>
          <w:highlight w:val="none"/>
          <w:lang w:eastAsia="zh-CN"/>
        </w:rPr>
        <w:t>%；事业收入</w:t>
      </w:r>
      <w:r>
        <w:rPr>
          <w:rFonts w:hint="eastAsia" w:eastAsia="仿宋_GB2312" w:cs="仿宋_GB2312"/>
          <w:color w:val="auto"/>
          <w:sz w:val="32"/>
          <w:szCs w:val="32"/>
          <w:highlight w:val="none"/>
          <w:lang w:val="en-US" w:eastAsia="zh-CN"/>
        </w:rPr>
        <w:t>2173.82</w:t>
      </w:r>
      <w:r>
        <w:rPr>
          <w:rFonts w:hint="eastAsia" w:ascii="Times New Roman" w:hAnsi="Times New Roman" w:eastAsia="仿宋_GB2312" w:cs="仿宋_GB2312"/>
          <w:color w:val="auto"/>
          <w:sz w:val="32"/>
          <w:szCs w:val="32"/>
          <w:highlight w:val="none"/>
          <w:lang w:eastAsia="zh-CN"/>
        </w:rPr>
        <w:t>万元，占</w:t>
      </w:r>
      <w:r>
        <w:rPr>
          <w:rFonts w:hint="eastAsia" w:eastAsia="仿宋_GB2312" w:cs="仿宋_GB2312"/>
          <w:color w:val="auto"/>
          <w:sz w:val="32"/>
          <w:szCs w:val="32"/>
          <w:highlight w:val="none"/>
          <w:lang w:val="en-US" w:eastAsia="zh-CN"/>
        </w:rPr>
        <w:t>81.2</w:t>
      </w:r>
      <w:r>
        <w:rPr>
          <w:rFonts w:hint="eastAsia" w:ascii="Times New Roman" w:hAnsi="Times New Roman" w:eastAsia="仿宋_GB2312" w:cs="仿宋_GB2312"/>
          <w:color w:val="auto"/>
          <w:sz w:val="32"/>
          <w:szCs w:val="32"/>
          <w:highlight w:val="none"/>
          <w:lang w:eastAsia="zh-CN"/>
        </w:rPr>
        <w:t>%；其他收入</w:t>
      </w:r>
      <w:r>
        <w:rPr>
          <w:rFonts w:hint="eastAsia" w:eastAsia="仿宋_GB2312" w:cs="仿宋_GB2312"/>
          <w:color w:val="auto"/>
          <w:sz w:val="32"/>
          <w:szCs w:val="32"/>
          <w:highlight w:val="none"/>
          <w:lang w:val="en-US" w:eastAsia="zh-CN"/>
        </w:rPr>
        <w:t>52.49</w:t>
      </w:r>
      <w:r>
        <w:rPr>
          <w:rFonts w:hint="eastAsia" w:ascii="Times New Roman" w:hAnsi="Times New Roman" w:eastAsia="仿宋_GB2312" w:cs="仿宋_GB2312"/>
          <w:color w:val="auto"/>
          <w:sz w:val="32"/>
          <w:szCs w:val="32"/>
          <w:highlight w:val="none"/>
          <w:lang w:eastAsia="zh-CN"/>
        </w:rPr>
        <w:t>万元，占</w:t>
      </w:r>
      <w:r>
        <w:rPr>
          <w:rFonts w:hint="eastAsia" w:eastAsia="仿宋_GB2312" w:cs="仿宋_GB2312"/>
          <w:color w:val="auto"/>
          <w:sz w:val="32"/>
          <w:szCs w:val="32"/>
          <w:highlight w:val="none"/>
          <w:lang w:val="en-US" w:eastAsia="zh-CN"/>
        </w:rPr>
        <w:t>2</w:t>
      </w:r>
      <w:r>
        <w:rPr>
          <w:rFonts w:hint="eastAsia" w:ascii="Times New Roman" w:hAnsi="Times New Roman" w:eastAsia="仿宋_GB2312" w:cs="仿宋_GB2312"/>
          <w:color w:val="auto"/>
          <w:sz w:val="32"/>
          <w:szCs w:val="32"/>
          <w:highlight w:val="none"/>
          <w:lang w:eastAsia="zh-CN"/>
        </w:rPr>
        <w:t>%。</w:t>
      </w:r>
    </w:p>
    <w:p>
      <w:pPr>
        <w:pStyle w:val="30"/>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1"/>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 w:cs="Times New Roman"/>
          <w:color w:val="auto"/>
          <w:sz w:val="32"/>
          <w:szCs w:val="32"/>
          <w:highlight w:val="none"/>
          <w:lang w:eastAsia="zh-CN"/>
        </w:rPr>
        <w:object>
          <v:shape id="_x0000_i1026" o:spt="75" type="#_x0000_t75" style="height:249.95pt;width:409.8pt;" o:ole="t" filled="f" o:preferrelative="t" stroked="f" coordsize="21600,21600">
            <v:path/>
            <v:fill on="f" focussize="0,0"/>
            <v:stroke on="f"/>
            <v:imagedata r:id="rId11" o:title=""/>
            <o:lock v:ext="edit" aspectratio="t"/>
            <w10:wrap type="none"/>
            <w10:anchorlock/>
          </v:shape>
          <o:OLEObject Type="Embed" ProgID="Excel.Chart.8" ShapeID="_x0000_i1026" DrawAspect="Content" ObjectID="_1468075726" r:id="rId10">
            <o:LockedField>false</o:LockedField>
          </o:OLEObject>
        </w:object>
      </w:r>
    </w:p>
    <w:p>
      <w:pPr>
        <w:jc w:val="center"/>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w:t>
      </w:r>
    </w:p>
    <w:p>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2"/>
          <w:rFonts w:hint="eastAsia" w:ascii="Times New Roman" w:hAnsi="Times New Roman" w:eastAsia="黑体"/>
          <w:b w:val="0"/>
          <w:color w:val="auto"/>
          <w:highlight w:val="none"/>
        </w:rPr>
      </w:pPr>
      <w:bookmarkStart w:id="22" w:name="_Toc15377207"/>
      <w:bookmarkStart w:id="23" w:name="_Toc15396605"/>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32"/>
          <w:rFonts w:hint="eastAsia" w:ascii="Times New Roman" w:hAnsi="Times New Roman" w:eastAsia="黑体"/>
          <w:b w:val="0"/>
          <w:color w:val="auto"/>
          <w:highlight w:val="none"/>
        </w:rPr>
        <w:t>出决算情况说明</w:t>
      </w:r>
      <w:bookmarkEnd w:id="22"/>
      <w:bookmarkEnd w:id="23"/>
    </w:p>
    <w:p>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2024年度本年支出合计</w:t>
      </w:r>
      <w:r>
        <w:rPr>
          <w:rFonts w:hint="eastAsia" w:eastAsia="仿宋_GB2312" w:cs="仿宋_GB2312"/>
          <w:color w:val="auto"/>
          <w:sz w:val="32"/>
          <w:szCs w:val="32"/>
          <w:highlight w:val="none"/>
          <w:lang w:val="en-US" w:eastAsia="zh-CN"/>
        </w:rPr>
        <w:t>2790.52</w:t>
      </w:r>
      <w:r>
        <w:rPr>
          <w:rFonts w:hint="eastAsia" w:ascii="Times New Roman" w:hAnsi="Times New Roman" w:eastAsia="仿宋_GB2312" w:cs="仿宋_GB2312"/>
          <w:color w:val="auto"/>
          <w:sz w:val="32"/>
          <w:szCs w:val="32"/>
          <w:highlight w:val="none"/>
          <w:lang w:eastAsia="zh-CN"/>
        </w:rPr>
        <w:t>万元，其中：基本支出</w:t>
      </w:r>
      <w:r>
        <w:rPr>
          <w:rFonts w:hint="eastAsia" w:eastAsia="仿宋_GB2312" w:cs="仿宋_GB2312"/>
          <w:color w:val="auto"/>
          <w:sz w:val="32"/>
          <w:szCs w:val="32"/>
          <w:highlight w:val="none"/>
          <w:lang w:val="en-US" w:eastAsia="zh-CN"/>
        </w:rPr>
        <w:t>2558.41</w:t>
      </w:r>
      <w:r>
        <w:rPr>
          <w:rFonts w:hint="eastAsia" w:ascii="Times New Roman" w:hAnsi="Times New Roman" w:eastAsia="仿宋_GB2312" w:cs="仿宋_GB2312"/>
          <w:color w:val="auto"/>
          <w:sz w:val="32"/>
          <w:szCs w:val="32"/>
          <w:highlight w:val="none"/>
          <w:lang w:eastAsia="zh-CN"/>
        </w:rPr>
        <w:t>万元，占</w:t>
      </w:r>
      <w:r>
        <w:rPr>
          <w:rFonts w:hint="eastAsia" w:eastAsia="仿宋_GB2312" w:cs="仿宋_GB2312"/>
          <w:color w:val="auto"/>
          <w:sz w:val="32"/>
          <w:szCs w:val="32"/>
          <w:highlight w:val="none"/>
          <w:lang w:val="en-US" w:eastAsia="zh-CN"/>
        </w:rPr>
        <w:t>91.7</w:t>
      </w:r>
      <w:r>
        <w:rPr>
          <w:rFonts w:hint="eastAsia" w:ascii="Times New Roman" w:hAnsi="Times New Roman" w:eastAsia="仿宋_GB2312" w:cs="仿宋_GB2312"/>
          <w:color w:val="auto"/>
          <w:sz w:val="32"/>
          <w:szCs w:val="32"/>
          <w:highlight w:val="none"/>
          <w:lang w:eastAsia="zh-CN"/>
        </w:rPr>
        <w:t>%；项目支出</w:t>
      </w:r>
      <w:r>
        <w:rPr>
          <w:rFonts w:hint="eastAsia" w:eastAsia="仿宋_GB2312" w:cs="仿宋_GB2312"/>
          <w:color w:val="auto"/>
          <w:sz w:val="32"/>
          <w:szCs w:val="32"/>
          <w:highlight w:val="none"/>
          <w:lang w:val="en-US" w:eastAsia="zh-CN"/>
        </w:rPr>
        <w:t>232.11</w:t>
      </w:r>
      <w:r>
        <w:rPr>
          <w:rFonts w:hint="eastAsia" w:ascii="Times New Roman" w:hAnsi="Times New Roman" w:eastAsia="仿宋_GB2312" w:cs="仿宋_GB2312"/>
          <w:color w:val="auto"/>
          <w:sz w:val="32"/>
          <w:szCs w:val="32"/>
          <w:highlight w:val="none"/>
          <w:lang w:eastAsia="zh-CN"/>
        </w:rPr>
        <w:t>万元，占</w:t>
      </w:r>
      <w:r>
        <w:rPr>
          <w:rFonts w:hint="eastAsia" w:eastAsia="仿宋_GB2312" w:cs="仿宋_GB2312"/>
          <w:color w:val="auto"/>
          <w:sz w:val="32"/>
          <w:szCs w:val="32"/>
          <w:highlight w:val="none"/>
          <w:lang w:val="en-US" w:eastAsia="zh-CN"/>
        </w:rPr>
        <w:t>8.3</w:t>
      </w:r>
      <w:r>
        <w:rPr>
          <w:rFonts w:hint="eastAsia" w:ascii="Times New Roman" w:hAnsi="Times New Roman" w:eastAsia="仿宋_GB2312" w:cs="仿宋_GB2312"/>
          <w:color w:val="auto"/>
          <w:sz w:val="32"/>
          <w:szCs w:val="32"/>
          <w:highlight w:val="none"/>
          <w:lang w:eastAsia="zh-CN"/>
        </w:rPr>
        <w:t>%。</w:t>
      </w:r>
    </w:p>
    <w:p>
      <w:pPr>
        <w:pStyle w:val="30"/>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1"/>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 w:cs="Times New Roman"/>
          <w:color w:val="auto"/>
          <w:sz w:val="32"/>
          <w:szCs w:val="32"/>
          <w:highlight w:val="none"/>
          <w:lang w:eastAsia="zh-CN"/>
        </w:rPr>
        <w:object>
          <v:shape id="_x0000_i1027" o:spt="75" type="#_x0000_t75" style="height:264.3pt;width:412.95pt;" o:ole="t" filled="f" o:preferrelative="t" stroked="f" coordsize="21600,21600">
            <v:path/>
            <v:fill on="f" focussize="0,0"/>
            <v:stroke on="f"/>
            <v:imagedata r:id="rId13" o:title=""/>
            <o:lock v:ext="edit" aspectratio="t"/>
            <w10:wrap type="none"/>
            <w10:anchorlock/>
          </v:shape>
          <o:OLEObject Type="Embed" ProgID="Excel.Chart.8" ShapeID="_x0000_i1027" DrawAspect="Content" ObjectID="_1468075727" r:id="rId12">
            <o:LockedField>false</o:LockedField>
          </o:OLEObject>
        </w:object>
      </w:r>
    </w:p>
    <w:p>
      <w:pPr>
        <w:jc w:val="center"/>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w:t>
      </w:r>
    </w:p>
    <w:p>
      <w:pPr>
        <w:spacing w:line="600" w:lineRule="exact"/>
        <w:ind w:firstLine="640" w:firstLineChars="200"/>
        <w:outlineLvl w:val="1"/>
        <w:rPr>
          <w:rStyle w:val="32"/>
          <w:rFonts w:ascii="Times New Roman" w:hAnsi="Times New Roman" w:eastAsia="黑体"/>
          <w:b w:val="0"/>
          <w:color w:val="auto"/>
          <w:highlight w:val="none"/>
        </w:rPr>
      </w:pPr>
      <w:bookmarkStart w:id="24" w:name="_Toc15396606"/>
      <w:bookmarkStart w:id="25" w:name="_Toc15377208"/>
      <w:r>
        <w:rPr>
          <w:rFonts w:hint="eastAsia" w:ascii="Times New Roman" w:hAnsi="Times New Roman" w:eastAsia="黑体"/>
          <w:color w:val="auto"/>
          <w:sz w:val="32"/>
          <w:szCs w:val="32"/>
          <w:highlight w:val="none"/>
        </w:rPr>
        <w:t>四、财</w:t>
      </w:r>
      <w:r>
        <w:rPr>
          <w:rStyle w:val="32"/>
          <w:rFonts w:hint="eastAsia" w:ascii="Times New Roman" w:hAnsi="Times New Roman" w:eastAsia="黑体"/>
          <w:b w:val="0"/>
          <w:color w:val="auto"/>
          <w:highlight w:val="none"/>
        </w:rPr>
        <w:t>政拨款收入支出决算总体情况说明</w:t>
      </w:r>
      <w:bookmarkEnd w:id="24"/>
      <w:bookmarkEnd w:id="25"/>
    </w:p>
    <w:p>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kern w:val="2"/>
          <w:sz w:val="32"/>
          <w:szCs w:val="32"/>
          <w:highlight w:val="none"/>
          <w:lang w:val="en-US" w:eastAsia="zh-CN" w:bidi="ar-SA"/>
        </w:rPr>
        <w:t>2024年度财政拨款收入、支出总计均为449.51万元。与2023年度相比，财政拨款收入总计、支出总计各增加72.05万元，增长19.1%。主要变动原因：</w:t>
      </w:r>
      <w:r>
        <w:rPr>
          <w:rFonts w:hint="default" w:ascii="Times New Roman" w:hAnsi="Times New Roman" w:eastAsia="仿宋_GB2312" w:cs="Times New Roman"/>
          <w:color w:val="auto"/>
          <w:sz w:val="32"/>
          <w:szCs w:val="32"/>
          <w:highlight w:val="none"/>
          <w:lang w:val="en-US" w:eastAsia="zh-CN"/>
        </w:rPr>
        <w:t>一</w:t>
      </w:r>
      <w:r>
        <w:rPr>
          <w:rFonts w:hint="default" w:ascii="Times New Roman" w:hAnsi="Times New Roman" w:eastAsia="仿宋_GB2312" w:cs="Times New Roman"/>
          <w:color w:val="auto"/>
          <w:sz w:val="32"/>
          <w:szCs w:val="32"/>
          <w:highlight w:val="none"/>
        </w:rPr>
        <w:t>是</w:t>
      </w:r>
      <w:r>
        <w:rPr>
          <w:rFonts w:hint="default" w:ascii="Times New Roman" w:hAnsi="Times New Roman" w:eastAsia="仿宋_GB2312" w:cs="Times New Roman"/>
          <w:color w:val="auto"/>
          <w:sz w:val="32"/>
          <w:szCs w:val="32"/>
          <w:highlight w:val="none"/>
          <w:lang w:val="en-US" w:eastAsia="zh-CN"/>
        </w:rPr>
        <w:t>公招4名工作人员，增加相应人员经费和日常公用经费；二是1名离休人员去世，增加丧葬抚恤金。</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 w:cs="Times New Roman"/>
          <w:color w:val="auto"/>
          <w:sz w:val="32"/>
          <w:szCs w:val="32"/>
          <w:highlight w:val="none"/>
          <w:lang w:eastAsia="zh-CN"/>
        </w:rPr>
        <w:object>
          <v:shape id="_x0000_i1028" o:spt="75" type="#_x0000_t75" style="height:230.55pt;width:431.65pt;" o:ole="t" filled="f" o:preferrelative="t" stroked="f" coordsize="21600,21600">
            <v:path/>
            <v:fill on="f" focussize="0,0"/>
            <v:stroke on="f"/>
            <v:imagedata r:id="rId15" o:title=""/>
            <o:lock v:ext="edit" aspectratio="t"/>
            <w10:wrap type="none"/>
            <w10:anchorlock/>
          </v:shape>
          <o:OLEObject Type="Embed" ProgID="Excel.Chart.8" ShapeID="_x0000_i1028" DrawAspect="Content" ObjectID="_1468075728" r:id="rId14">
            <o:LockedField>false</o:LockedField>
          </o:OLEObject>
        </w:object>
      </w: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w:t>
      </w:r>
    </w:p>
    <w:p>
      <w:pPr>
        <w:spacing w:line="600" w:lineRule="exact"/>
        <w:ind w:firstLine="640" w:firstLineChars="200"/>
        <w:outlineLvl w:val="1"/>
        <w:rPr>
          <w:rStyle w:val="32"/>
          <w:rFonts w:ascii="Times New Roman" w:hAnsi="Times New Roman" w:eastAsia="黑体"/>
          <w:b w:val="0"/>
          <w:color w:val="auto"/>
          <w:highlight w:val="none"/>
        </w:rPr>
      </w:pPr>
      <w:bookmarkStart w:id="26" w:name="_Toc15377209"/>
      <w:bookmarkStart w:id="27" w:name="_Toc15396607"/>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32"/>
          <w:rFonts w:hint="eastAsia" w:ascii="Times New Roman" w:hAnsi="Times New Roman" w:eastAsia="黑体"/>
          <w:b w:val="0"/>
          <w:color w:val="auto"/>
          <w:highlight w:val="none"/>
        </w:rPr>
        <w:t>般公共预算财政拨款支出决算情况说明</w:t>
      </w:r>
      <w:bookmarkEnd w:id="26"/>
      <w:bookmarkEnd w:id="27"/>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28"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28"/>
    </w:p>
    <w:p>
      <w:pPr>
        <w:spacing w:line="600" w:lineRule="exact"/>
        <w:ind w:firstLine="64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2024年度一般公共预算财政拨款支出449.51万元，占本年支出合计的16.1%。与2023年度相比，一般公共预算财政拨款支出增加72.05万元，增长19.1%。主要变动原因：</w:t>
      </w:r>
      <w:r>
        <w:rPr>
          <w:rFonts w:hint="default" w:ascii="Times New Roman" w:hAnsi="Times New Roman" w:eastAsia="仿宋_GB2312" w:cs="Times New Roman"/>
          <w:color w:val="auto"/>
          <w:sz w:val="32"/>
          <w:szCs w:val="32"/>
          <w:highlight w:val="none"/>
          <w:lang w:val="en-US" w:eastAsia="zh-CN"/>
        </w:rPr>
        <w:t>一</w:t>
      </w:r>
      <w:r>
        <w:rPr>
          <w:rFonts w:hint="default" w:ascii="Times New Roman" w:hAnsi="Times New Roman" w:eastAsia="仿宋_GB2312" w:cs="Times New Roman"/>
          <w:color w:val="auto"/>
          <w:sz w:val="32"/>
          <w:szCs w:val="32"/>
          <w:highlight w:val="none"/>
        </w:rPr>
        <w:t>是</w:t>
      </w:r>
      <w:r>
        <w:rPr>
          <w:rFonts w:hint="default" w:ascii="Times New Roman" w:hAnsi="Times New Roman" w:eastAsia="仿宋_GB2312" w:cs="Times New Roman"/>
          <w:color w:val="auto"/>
          <w:sz w:val="32"/>
          <w:szCs w:val="32"/>
          <w:highlight w:val="none"/>
          <w:lang w:val="en-US" w:eastAsia="zh-CN"/>
        </w:rPr>
        <w:t>公招4名工作人员，增加相应人员经费和日常公用经费；二是1名离休人员去世，增加丧葬抚恤金。</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eastAsia="zh-CN"/>
        </w:rPr>
        <w:object>
          <v:shape id="_x0000_i1029" o:spt="75" type="#_x0000_t75" style="height:205.7pt;width:399.75pt;" o:ole="t" filled="f" o:preferrelative="t" stroked="f" coordsize="21600,21600">
            <v:path/>
            <v:fill on="f" focussize="0,0"/>
            <v:stroke on="f"/>
            <v:imagedata r:id="rId17" o:title=""/>
            <o:lock v:ext="edit" aspectratio="t"/>
            <w10:wrap type="none"/>
            <w10:anchorlock/>
          </v:shape>
          <o:OLEObject Type="Embed" ProgID="Excel.Chart.8" ShapeID="_x0000_i1029" DrawAspect="Content" ObjectID="_1468075729" r:id="rId16">
            <o:LockedField>false</o:LockedField>
          </o:OLEObject>
        </w:objec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29"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29"/>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eastAsia="仿宋_GB2312" w:cs="仿宋_GB2312"/>
          <w:color w:val="auto"/>
          <w:kern w:val="2"/>
          <w:sz w:val="32"/>
          <w:szCs w:val="32"/>
          <w:highlight w:val="none"/>
          <w:lang w:val="en-US" w:eastAsia="zh-CN" w:bidi="ar-SA"/>
        </w:rPr>
        <w:t>449.51</w:t>
      </w:r>
      <w:r>
        <w:rPr>
          <w:rFonts w:hint="eastAsia" w:ascii="Times New Roman" w:hAnsi="Times New Roman" w:eastAsia="仿宋_GB2312" w:cs="仿宋_GB2312"/>
          <w:color w:val="auto"/>
          <w:kern w:val="2"/>
          <w:sz w:val="32"/>
          <w:szCs w:val="32"/>
          <w:highlight w:val="none"/>
          <w:lang w:val="en-US" w:eastAsia="zh-CN" w:bidi="ar-SA"/>
        </w:rPr>
        <w:t>万元，主要用于以下方面</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一般公共服务支出</w:t>
      </w:r>
      <w:r>
        <w:rPr>
          <w:rFonts w:hint="eastAsia" w:eastAsia="仿宋_GB2312" w:cs="仿宋_GB2312"/>
          <w:color w:val="auto"/>
          <w:kern w:val="2"/>
          <w:sz w:val="32"/>
          <w:szCs w:val="32"/>
          <w:highlight w:val="none"/>
          <w:lang w:val="en-US" w:eastAsia="zh-CN" w:bidi="ar-SA"/>
        </w:rPr>
        <w:t>13</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2.9</w:t>
      </w:r>
      <w:r>
        <w:rPr>
          <w:rFonts w:hint="eastAsia" w:ascii="Times New Roman" w:hAnsi="Times New Roman" w:eastAsia="仿宋_GB2312" w:cs="仿宋_GB2312"/>
          <w:color w:val="auto"/>
          <w:kern w:val="2"/>
          <w:sz w:val="32"/>
          <w:szCs w:val="32"/>
          <w:highlight w:val="none"/>
          <w:lang w:val="en-US" w:eastAsia="zh-CN" w:bidi="ar-SA"/>
        </w:rPr>
        <w:t>%；社会保障和就业支出</w:t>
      </w:r>
      <w:r>
        <w:rPr>
          <w:rFonts w:hint="eastAsia" w:eastAsia="仿宋_GB2312" w:cs="仿宋_GB2312"/>
          <w:color w:val="auto"/>
          <w:kern w:val="2"/>
          <w:sz w:val="32"/>
          <w:szCs w:val="32"/>
          <w:highlight w:val="none"/>
          <w:lang w:val="en-US" w:eastAsia="zh-CN" w:bidi="ar-SA"/>
        </w:rPr>
        <w:t>44.68</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en-US" w:eastAsia="zh-CN" w:bidi="ar-SA"/>
        </w:rPr>
        <w:t>%；资源勘探工业信息等支出</w:t>
      </w:r>
      <w:r>
        <w:rPr>
          <w:rFonts w:hint="eastAsia" w:eastAsia="仿宋_GB2312" w:cs="仿宋_GB2312"/>
          <w:color w:val="auto"/>
          <w:kern w:val="2"/>
          <w:sz w:val="32"/>
          <w:szCs w:val="32"/>
          <w:highlight w:val="none"/>
          <w:lang w:val="en-US" w:eastAsia="zh-CN" w:bidi="ar-SA"/>
        </w:rPr>
        <w:t>391.83</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87.2</w:t>
      </w:r>
      <w:r>
        <w:rPr>
          <w:rFonts w:hint="eastAsia" w:ascii="Times New Roman" w:hAnsi="Times New Roman" w:eastAsia="仿宋_GB2312" w:cs="仿宋_GB2312"/>
          <w:color w:val="auto"/>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 w:cs="Times New Roman"/>
          <w:color w:val="auto"/>
          <w:sz w:val="32"/>
          <w:szCs w:val="32"/>
          <w:highlight w:val="none"/>
          <w:lang w:eastAsia="zh-CN"/>
        </w:rPr>
        <w:object>
          <v:shape id="_x0000_i1030" o:spt="75" type="#_x0000_t75" style="height:241.85pt;width:396.05pt;" o:ole="t" filled="f" o:preferrelative="t" stroked="f" coordsize="21600,21600">
            <v:path/>
            <v:fill on="f" focussize="0,0"/>
            <v:stroke on="f"/>
            <v:imagedata r:id="rId19" o:title=""/>
            <o:lock v:ext="edit" aspectratio="t"/>
            <w10:wrap type="none"/>
            <w10:anchorlock/>
          </v:shape>
          <o:OLEObject Type="Embed" ProgID="Excel.Chart.8" ShapeID="_x0000_i1030" DrawAspect="Content" ObjectID="_1468075730" r:id="rId18">
            <o:LockedField>false</o:LockedField>
          </o:OLEObject>
        </w:object>
      </w:r>
    </w:p>
    <w:p>
      <w:pPr>
        <w:spacing w:line="600" w:lineRule="exact"/>
        <w:jc w:val="center"/>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30"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30"/>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31" w:name="_Toc15378460"/>
      <w:bookmarkStart w:id="32" w:name="_Toc15377213"/>
      <w:bookmarkStart w:id="33" w:name="_Toc15377444"/>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eastAsia="仿宋_GB2312" w:cs="仿宋_GB2312"/>
          <w:color w:val="auto"/>
          <w:kern w:val="2"/>
          <w:sz w:val="32"/>
          <w:szCs w:val="32"/>
          <w:highlight w:val="none"/>
          <w:lang w:val="en-US" w:eastAsia="zh-CN" w:bidi="ar-SA"/>
        </w:rPr>
        <w:t>449.51万元</w:t>
      </w:r>
      <w:r>
        <w:rPr>
          <w:rFonts w:hint="eastAsia" w:ascii="Times New Roman" w:hAnsi="Times New Roman" w:eastAsia="仿宋_GB2312" w:cs="仿宋_GB2312"/>
          <w:color w:val="auto"/>
          <w:kern w:val="2"/>
          <w:sz w:val="32"/>
          <w:szCs w:val="32"/>
          <w:highlight w:val="none"/>
          <w:lang w:val="en-US" w:eastAsia="zh-CN" w:bidi="ar-SA"/>
        </w:rPr>
        <w:t>，完成预算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%。其中：</w:t>
      </w:r>
      <w:bookmarkEnd w:id="31"/>
      <w:bookmarkEnd w:id="32"/>
      <w:bookmarkEnd w:id="33"/>
    </w:p>
    <w:p>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.一般公共服务（类）市场监督管理事务（款）其他市场监督管理事务（项）：</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13</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2</w:t>
      </w:r>
      <w:r>
        <w:rPr>
          <w:rFonts w:hint="eastAsia" w:ascii="Times New Roman" w:hAnsi="Times New Roman" w:eastAsia="仿宋_GB2312" w:cs="仿宋_GB2312"/>
          <w:color w:val="auto"/>
          <w:kern w:val="2"/>
          <w:sz w:val="32"/>
          <w:szCs w:val="32"/>
          <w:highlight w:val="none"/>
          <w:lang w:val="en-US" w:eastAsia="zh-CN" w:bidi="ar-SA"/>
        </w:rPr>
        <w:t>.社会保障和就业（类）行政事业单位养老（款）事业单位离退休（项）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16.9</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3.社会保障和就业（类）其他社会保障和就业（款）其他社会保障和就业（项）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支出决算为27.78万元，完成预算100%。</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4.资源勘探工业信息等（类）工业和信息产业监管（款）其他工业和信息产业监管（项）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支出决算为391.83万元，完成预算100%。</w:t>
      </w:r>
    </w:p>
    <w:p>
      <w:pPr>
        <w:tabs>
          <w:tab w:val="right" w:pos="8306"/>
        </w:tabs>
        <w:spacing w:line="600" w:lineRule="exact"/>
        <w:ind w:firstLine="640"/>
        <w:outlineLvl w:val="1"/>
        <w:rPr>
          <w:rStyle w:val="32"/>
          <w:rFonts w:ascii="Times New Roman" w:hAnsi="Times New Roman"/>
          <w:color w:val="auto"/>
          <w:highlight w:val="none"/>
        </w:rPr>
      </w:pPr>
      <w:bookmarkStart w:id="34" w:name="_Toc15377214"/>
      <w:bookmarkStart w:id="35" w:name="_Toc15396608"/>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32"/>
          <w:rFonts w:hint="eastAsia" w:ascii="Times New Roman" w:hAnsi="Times New Roman" w:eastAsia="黑体"/>
          <w:b w:val="0"/>
          <w:color w:val="auto"/>
          <w:highlight w:val="none"/>
        </w:rPr>
        <w:t>般公共预算财政拨款基本支出决算情况说明</w:t>
      </w:r>
      <w:bookmarkEnd w:id="34"/>
      <w:bookmarkEnd w:id="35"/>
      <w:r>
        <w:rPr>
          <w:rStyle w:val="32"/>
          <w:rFonts w:ascii="Times New Roman" w:hAnsi="Times New Roman" w:eastAsia="黑体"/>
          <w:b w:val="0"/>
          <w:color w:val="auto"/>
          <w:highlight w:val="none"/>
        </w:rPr>
        <w:tab/>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w:t>
      </w:r>
      <w:r>
        <w:rPr>
          <w:rFonts w:hint="eastAsia" w:eastAsia="仿宋_GB2312" w:cs="仿宋_GB2312"/>
          <w:color w:val="auto"/>
          <w:kern w:val="2"/>
          <w:sz w:val="32"/>
          <w:szCs w:val="32"/>
          <w:highlight w:val="none"/>
          <w:lang w:val="en-US" w:eastAsia="zh-CN" w:bidi="ar-SA"/>
        </w:rPr>
        <w:t>436.51</w:t>
      </w:r>
      <w:r>
        <w:rPr>
          <w:rFonts w:hint="eastAsia" w:ascii="Times New Roman" w:hAnsi="Times New Roman" w:eastAsia="仿宋_GB2312" w:cs="仿宋_GB2312"/>
          <w:color w:val="auto"/>
          <w:kern w:val="2"/>
          <w:sz w:val="32"/>
          <w:szCs w:val="32"/>
          <w:highlight w:val="none"/>
          <w:lang w:val="en-US" w:eastAsia="zh-CN" w:bidi="ar-SA"/>
        </w:rPr>
        <w:t>万元，其中：</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eastAsia="仿宋_GB2312" w:cs="仿宋_GB2312"/>
          <w:color w:val="auto"/>
          <w:kern w:val="2"/>
          <w:sz w:val="32"/>
          <w:szCs w:val="32"/>
          <w:highlight w:val="none"/>
          <w:lang w:val="en-US" w:eastAsia="zh-CN" w:bidi="ar-SA"/>
        </w:rPr>
        <w:t>436.51</w:t>
      </w:r>
      <w:r>
        <w:rPr>
          <w:rFonts w:hint="eastAsia" w:ascii="Times New Roman" w:hAnsi="Times New Roman" w:eastAsia="仿宋_GB2312" w:cs="仿宋_GB2312"/>
          <w:color w:val="auto"/>
          <w:kern w:val="2"/>
          <w:sz w:val="32"/>
          <w:szCs w:val="32"/>
          <w:highlight w:val="none"/>
          <w:lang w:val="en-US" w:eastAsia="zh-CN" w:bidi="ar-SA"/>
        </w:rPr>
        <w:t>万元，主要包括：基本工资、绩效工资、</w:t>
      </w:r>
      <w:r>
        <w:rPr>
          <w:rFonts w:hint="eastAsia" w:eastAsia="仿宋_GB2312" w:cs="仿宋_GB2312"/>
          <w:color w:val="auto"/>
          <w:kern w:val="2"/>
          <w:sz w:val="32"/>
          <w:szCs w:val="32"/>
          <w:highlight w:val="none"/>
          <w:lang w:val="en-US" w:eastAsia="zh-CN" w:bidi="ar-SA"/>
        </w:rPr>
        <w:t>离休费</w:t>
      </w:r>
      <w:r>
        <w:rPr>
          <w:rFonts w:hint="eastAsia" w:ascii="Times New Roman" w:hAnsi="Times New Roman" w:eastAsia="仿宋_GB2312" w:cs="仿宋_GB2312"/>
          <w:color w:val="auto"/>
          <w:kern w:val="2"/>
          <w:sz w:val="32"/>
          <w:szCs w:val="32"/>
          <w:highlight w:val="none"/>
          <w:lang w:val="en-US" w:eastAsia="zh-CN" w:bidi="ar-SA"/>
        </w:rPr>
        <w:t>、抚恤金。</w:t>
      </w:r>
    </w:p>
    <w:p>
      <w:pPr>
        <w:pStyle w:val="2"/>
        <w:rPr>
          <w:rFonts w:hint="default"/>
          <w:lang w:val="en-US" w:eastAsia="zh-CN"/>
        </w:rPr>
      </w:pPr>
      <w:r>
        <w:rPr>
          <w:rFonts w:hint="eastAsia" w:eastAsia="仿宋_GB2312" w:cs="仿宋_GB2312"/>
          <w:color w:val="auto"/>
          <w:kern w:val="2"/>
          <w:sz w:val="32"/>
          <w:szCs w:val="32"/>
          <w:highlight w:val="none"/>
          <w:lang w:val="en-US" w:eastAsia="zh-CN" w:bidi="ar-SA"/>
        </w:rPr>
        <w:t>公用经费0万元。</w:t>
      </w:r>
    </w:p>
    <w:p>
      <w:pPr>
        <w:spacing w:line="600" w:lineRule="exact"/>
        <w:ind w:firstLine="640"/>
        <w:outlineLvl w:val="1"/>
        <w:rPr>
          <w:rStyle w:val="32"/>
          <w:rFonts w:ascii="Times New Roman" w:hAnsi="Times New Roman" w:eastAsia="黑体"/>
          <w:b w:val="0"/>
          <w:color w:val="auto"/>
          <w:highlight w:val="none"/>
        </w:rPr>
      </w:pPr>
      <w:bookmarkStart w:id="36" w:name="_Toc15377215"/>
      <w:bookmarkStart w:id="37" w:name="_Toc15396609"/>
      <w:r>
        <w:rPr>
          <w:rFonts w:hint="eastAsia" w:ascii="Times New Roman" w:hAnsi="Times New Roman" w:eastAsia="黑体"/>
          <w:color w:val="auto"/>
          <w:sz w:val="32"/>
          <w:szCs w:val="32"/>
          <w:highlight w:val="none"/>
        </w:rPr>
        <w:t>七、</w:t>
      </w:r>
      <w:r>
        <w:rPr>
          <w:rStyle w:val="32"/>
          <w:rFonts w:hint="eastAsia" w:ascii="Times New Roman" w:hAnsi="Times New Roman" w:eastAsia="黑体"/>
          <w:b w:val="0"/>
          <w:color w:val="auto"/>
          <w:highlight w:val="none"/>
        </w:rPr>
        <w:t>财政拨款</w:t>
      </w:r>
      <w:r>
        <w:rPr>
          <w:rStyle w:val="32"/>
          <w:rFonts w:hint="eastAsia" w:ascii="Times New Roman" w:hAnsi="Times New Roman" w:eastAsia="黑体"/>
          <w:color w:val="auto"/>
          <w:highlight w:val="none"/>
        </w:rPr>
        <w:t>“</w:t>
      </w:r>
      <w:r>
        <w:rPr>
          <w:rStyle w:val="32"/>
          <w:rFonts w:hint="eastAsia" w:ascii="Times New Roman" w:hAnsi="Times New Roman" w:eastAsia="黑体"/>
          <w:b w:val="0"/>
          <w:color w:val="auto"/>
          <w:highlight w:val="none"/>
        </w:rPr>
        <w:t>三公”经费支出决算情况说明</w:t>
      </w:r>
      <w:bookmarkEnd w:id="36"/>
      <w:bookmarkEnd w:id="37"/>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38"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38"/>
    </w:p>
    <w:p>
      <w:pPr>
        <w:spacing w:line="600" w:lineRule="exact"/>
        <w:ind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2"/>
          <w:sz w:val="32"/>
          <w:szCs w:val="32"/>
          <w:highlight w:val="none"/>
          <w:lang w:val="en-US" w:eastAsia="zh-CN" w:bidi="ar-SA"/>
        </w:rPr>
        <w:t>2024年度“三公”经费财政拨款支出决算0万元，与2023年度决算数持平。</w:t>
      </w:r>
      <w:r>
        <w:rPr>
          <w:rFonts w:hint="default" w:ascii="Times New Roman" w:hAnsi="Times New Roman" w:eastAsia="仿宋_GB2312" w:cs="Times New Roman"/>
          <w:color w:val="auto"/>
          <w:sz w:val="32"/>
          <w:szCs w:val="32"/>
          <w:highlight w:val="none"/>
        </w:rPr>
        <w:t>决算数与预算数持平的主要原因是</w:t>
      </w:r>
      <w:r>
        <w:rPr>
          <w:rFonts w:hint="default" w:ascii="Times New Roman" w:hAnsi="Times New Roman" w:eastAsia="仿宋_GB2312" w:cs="Times New Roman"/>
          <w:color w:val="auto"/>
          <w:sz w:val="32"/>
          <w:szCs w:val="32"/>
          <w:highlight w:val="none"/>
          <w:lang w:val="en-US" w:eastAsia="zh-CN"/>
        </w:rPr>
        <w:t>我单位上下年度均未使用财政拨款支出“三公”经费</w:t>
      </w:r>
      <w:r>
        <w:rPr>
          <w:rFonts w:hint="default" w:ascii="Times New Roman" w:hAnsi="Times New Roman" w:eastAsia="仿宋_GB2312" w:cs="Times New Roman"/>
          <w:color w:val="auto"/>
          <w:sz w:val="32"/>
          <w:szCs w:val="32"/>
          <w:highlight w:val="none"/>
        </w:rPr>
        <w:t>。</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39"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39"/>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2024年度“三公”经费财政拨款支出决算中，因公出国（境）费支出决算</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万元；公务用车购置及运行维护费支出决算</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万元；公务接待费支出决算</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具体情况如下：</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1.因公出国（境）经费支出</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全年安排因公出国（境）团组</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次，出国（境）</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人。因公出国（境）支出决算与2023年度决算数持平。主要原因是我单位上下年度均未使用财政拨款支出因公出国（境）经费。</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2.公务用车购置及运行维护费支出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公务用车购置及运行维护费支出决算与2023年度决算数持平。主要</w:t>
      </w:r>
      <w:r>
        <w:rPr>
          <w:rFonts w:hint="eastAsia" w:eastAsia="仿宋_GB2312" w:cs="仿宋_GB2312"/>
          <w:color w:val="auto"/>
          <w:kern w:val="2"/>
          <w:sz w:val="32"/>
          <w:szCs w:val="32"/>
          <w:highlight w:val="none"/>
          <w:lang w:val="en-US" w:eastAsia="zh-CN" w:bidi="ar-SA"/>
        </w:rPr>
        <w:t>原因</w:t>
      </w:r>
      <w:r>
        <w:rPr>
          <w:rFonts w:hint="eastAsia" w:ascii="Times New Roman" w:hAnsi="Times New Roman" w:eastAsia="仿宋_GB2312" w:cs="仿宋_GB2312"/>
          <w:color w:val="auto"/>
          <w:kern w:val="2"/>
          <w:sz w:val="32"/>
          <w:szCs w:val="32"/>
          <w:highlight w:val="none"/>
          <w:lang w:val="en-US" w:eastAsia="zh-CN" w:bidi="ar-SA"/>
        </w:rPr>
        <w:t>是我单位上下年度均未使用财政拨款支出公务用车运行维护费。</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其中：公务用车购置支出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万元。全年按规定更新购置公务用车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辆，其中：轿车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万元，越野车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万元，载客汽车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万元。截至2024年12月31日，单位共有公务用车</w:t>
      </w:r>
      <w:r>
        <w:rPr>
          <w:rFonts w:hint="eastAsia" w:eastAsia="仿宋_GB2312" w:cs="仿宋_GB2312"/>
          <w:color w:val="auto"/>
          <w:kern w:val="2"/>
          <w:sz w:val="32"/>
          <w:szCs w:val="32"/>
          <w:highlight w:val="none"/>
          <w:lang w:val="en-US" w:eastAsia="zh-CN" w:bidi="ar-SA"/>
        </w:rPr>
        <w:t>6</w:t>
      </w:r>
      <w:r>
        <w:rPr>
          <w:rFonts w:hint="eastAsia" w:ascii="Times New Roman" w:hAnsi="Times New Roman" w:eastAsia="仿宋_GB2312" w:cs="仿宋_GB2312"/>
          <w:color w:val="auto"/>
          <w:kern w:val="2"/>
          <w:sz w:val="32"/>
          <w:szCs w:val="32"/>
          <w:highlight w:val="none"/>
          <w:lang w:val="en-US" w:eastAsia="zh-CN" w:bidi="ar-SA"/>
        </w:rPr>
        <w:t>辆，其中：轿车5辆、越野车0辆、载客汽车0辆、商务车1辆。</w:t>
      </w:r>
    </w:p>
    <w:p>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公务用车运行维护费支出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3.</w:t>
      </w:r>
      <w:bookmarkStart w:id="40" w:name="_Toc15377218"/>
      <w:bookmarkStart w:id="41" w:name="_Toc15396610"/>
      <w:r>
        <w:rPr>
          <w:rFonts w:hint="eastAsia" w:ascii="Times New Roman" w:hAnsi="Times New Roman" w:eastAsia="仿宋_GB2312" w:cs="仿宋_GB2312"/>
          <w:b/>
          <w:bCs/>
          <w:color w:val="auto"/>
          <w:kern w:val="2"/>
          <w:sz w:val="32"/>
          <w:szCs w:val="32"/>
          <w:highlight w:val="none"/>
          <w:lang w:val="en-US" w:eastAsia="zh-CN" w:bidi="ar-SA"/>
        </w:rPr>
        <w:t>公务接待费支出</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公务接待费支出决算与2023年度决算数持平。主要原因</w:t>
      </w:r>
      <w:r>
        <w:rPr>
          <w:rFonts w:hint="eastAsia" w:eastAsia="仿宋_GB2312" w:cs="仿宋_GB2312"/>
          <w:color w:val="auto"/>
          <w:kern w:val="2"/>
          <w:sz w:val="32"/>
          <w:szCs w:val="32"/>
          <w:highlight w:val="none"/>
          <w:lang w:val="en-US" w:eastAsia="zh-CN" w:bidi="ar-SA"/>
        </w:rPr>
        <w:t>是</w:t>
      </w:r>
      <w:r>
        <w:rPr>
          <w:rFonts w:hint="eastAsia" w:ascii="Times New Roman" w:hAnsi="Times New Roman" w:eastAsia="仿宋_GB2312" w:cs="仿宋_GB2312"/>
          <w:color w:val="auto"/>
          <w:kern w:val="2"/>
          <w:sz w:val="32"/>
          <w:szCs w:val="32"/>
          <w:highlight w:val="none"/>
          <w:lang w:val="en-US" w:eastAsia="zh-CN" w:bidi="ar-SA"/>
        </w:rPr>
        <w:t>我单位上下年度均未使用财政拨款支出公务</w:t>
      </w:r>
      <w:r>
        <w:rPr>
          <w:rFonts w:hint="eastAsia" w:eastAsia="仿宋_GB2312" w:cs="仿宋_GB2312"/>
          <w:color w:val="auto"/>
          <w:kern w:val="2"/>
          <w:sz w:val="32"/>
          <w:szCs w:val="32"/>
          <w:highlight w:val="none"/>
          <w:lang w:val="en-US" w:eastAsia="zh-CN" w:bidi="ar-SA"/>
        </w:rPr>
        <w:t>接待费</w:t>
      </w:r>
      <w:r>
        <w:rPr>
          <w:rFonts w:hint="eastAsia" w:ascii="Times New Roman" w:hAnsi="Times New Roman" w:eastAsia="仿宋_GB2312" w:cs="仿宋_GB2312"/>
          <w:color w:val="auto"/>
          <w:kern w:val="2"/>
          <w:sz w:val="32"/>
          <w:szCs w:val="32"/>
          <w:highlight w:val="none"/>
          <w:lang w:val="en-US" w:eastAsia="zh-CN" w:bidi="ar-SA"/>
        </w:rPr>
        <w:t>。其中：</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国内公务接待支出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万元。国内公务接待</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批次，</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人次（不包括陪同人员），共计支出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外事接待支出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万元。外事接待</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批次，</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人次（不包括陪同人员），共计支出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w:t>
      </w:r>
    </w:p>
    <w:p>
      <w:pPr>
        <w:spacing w:line="600" w:lineRule="exact"/>
        <w:ind w:firstLine="640"/>
        <w:outlineLvl w:val="1"/>
        <w:rPr>
          <w:rStyle w:val="32"/>
          <w:rFonts w:ascii="Times New Roman" w:hAnsi="Times New Roman" w:eastAsia="黑体"/>
          <w:color w:val="auto"/>
          <w:highlight w:val="none"/>
        </w:rPr>
      </w:pPr>
      <w:r>
        <w:rPr>
          <w:rFonts w:hint="eastAsia" w:ascii="Times New Roman" w:hAnsi="Times New Roman" w:eastAsia="黑体"/>
          <w:color w:val="auto"/>
          <w:sz w:val="32"/>
          <w:szCs w:val="32"/>
          <w:highlight w:val="none"/>
        </w:rPr>
        <w:t>八、</w:t>
      </w:r>
      <w:r>
        <w:rPr>
          <w:rStyle w:val="32"/>
          <w:rFonts w:hint="eastAsia" w:ascii="Times New Roman" w:hAnsi="Times New Roman" w:eastAsia="黑体"/>
          <w:b w:val="0"/>
          <w:color w:val="auto"/>
          <w:highlight w:val="none"/>
        </w:rPr>
        <w:t>政府性基金预算支出决算情况说明</w:t>
      </w:r>
      <w:bookmarkEnd w:id="40"/>
      <w:bookmarkEnd w:id="41"/>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2024年度政府性基金预算财政拨款支出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w:t>
      </w:r>
      <w:r>
        <w:rPr>
          <w:rFonts w:hint="eastAsia" w:eastAsia="仿宋_GB2312" w:cs="仿宋_GB2312"/>
          <w:color w:val="auto"/>
          <w:kern w:val="2"/>
          <w:sz w:val="32"/>
          <w:szCs w:val="32"/>
          <w:highlight w:val="none"/>
          <w:lang w:val="en-US" w:eastAsia="zh-CN" w:bidi="ar-SA"/>
        </w:rPr>
        <w:t>。</w:t>
      </w:r>
    </w:p>
    <w:p>
      <w:pPr>
        <w:numPr>
          <w:ilvl w:val="0"/>
          <w:numId w:val="0"/>
        </w:numPr>
        <w:spacing w:line="600" w:lineRule="exact"/>
        <w:ind w:left="630" w:leftChars="0"/>
        <w:outlineLvl w:val="1"/>
        <w:rPr>
          <w:rStyle w:val="32"/>
          <w:rFonts w:ascii="Times New Roman" w:hAnsi="Times New Roman" w:eastAsia="黑体"/>
          <w:b w:val="0"/>
          <w:color w:val="auto"/>
          <w:highlight w:val="none"/>
        </w:rPr>
      </w:pPr>
      <w:bookmarkStart w:id="42" w:name="_Toc15396611"/>
      <w:bookmarkStart w:id="43" w:name="_Toc15377219"/>
      <w:r>
        <w:rPr>
          <w:rStyle w:val="32"/>
          <w:rFonts w:hint="eastAsia" w:ascii="Times New Roman" w:hAnsi="Times New Roman" w:eastAsia="黑体"/>
          <w:b w:val="0"/>
          <w:color w:val="auto"/>
          <w:highlight w:val="none"/>
          <w:lang w:eastAsia="zh-CN"/>
        </w:rPr>
        <w:t>九、</w:t>
      </w:r>
      <w:r>
        <w:rPr>
          <w:rStyle w:val="32"/>
          <w:rFonts w:hint="eastAsia" w:ascii="Times New Roman" w:hAnsi="Times New Roman" w:eastAsia="黑体"/>
          <w:b w:val="0"/>
          <w:color w:val="auto"/>
          <w:highlight w:val="none"/>
        </w:rPr>
        <w:t>国有资本经营预算支出决算情况说明</w:t>
      </w:r>
      <w:bookmarkEnd w:id="42"/>
      <w:bookmarkEnd w:id="43"/>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default" w:ascii="Times New Roman" w:hAnsi="Times New Roman" w:eastAsia="仿宋_GB2312" w:cs="Times New Roman"/>
          <w:color w:val="auto"/>
          <w:sz w:val="32"/>
          <w:szCs w:val="32"/>
          <w:highlight w:val="none"/>
          <w:lang w:eastAsia="zh-CN"/>
        </w:rPr>
        <w:t>202</w:t>
      </w:r>
      <w:r>
        <w:rPr>
          <w:rFonts w:hint="eastAsia"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国有资本经营预算</w:t>
      </w:r>
      <w:r>
        <w:rPr>
          <w:rFonts w:hint="default" w:ascii="Times New Roman" w:hAnsi="Times New Roman" w:eastAsia="仿宋_GB2312" w:cs="Times New Roman"/>
          <w:color w:val="auto"/>
          <w:sz w:val="32"/>
          <w:szCs w:val="32"/>
          <w:highlight w:val="none"/>
          <w:lang w:eastAsia="zh-CN"/>
        </w:rPr>
        <w:t>财政</w:t>
      </w:r>
      <w:r>
        <w:rPr>
          <w:rFonts w:hint="default" w:ascii="Times New Roman" w:hAnsi="Times New Roman" w:eastAsia="仿宋_GB2312" w:cs="Times New Roman"/>
          <w:color w:val="auto"/>
          <w:sz w:val="32"/>
          <w:szCs w:val="32"/>
          <w:highlight w:val="none"/>
        </w:rPr>
        <w:t>拨款支出</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p>
    <w:p>
      <w:pPr>
        <w:numPr>
          <w:ilvl w:val="0"/>
          <w:numId w:val="0"/>
        </w:numPr>
        <w:spacing w:line="600" w:lineRule="exact"/>
        <w:ind w:left="630" w:leftChars="0"/>
        <w:outlineLvl w:val="1"/>
        <w:rPr>
          <w:rStyle w:val="32"/>
          <w:rFonts w:hint="eastAsia" w:ascii="Times New Roman" w:hAnsi="Times New Roman" w:eastAsia="黑体"/>
          <w:b w:val="0"/>
          <w:color w:val="auto"/>
          <w:highlight w:val="none"/>
        </w:rPr>
      </w:pPr>
      <w:bookmarkStart w:id="44" w:name="_Toc15396612"/>
      <w:bookmarkStart w:id="45" w:name="_Toc15377221"/>
      <w:r>
        <w:rPr>
          <w:rStyle w:val="32"/>
          <w:rFonts w:hint="eastAsia" w:ascii="Times New Roman" w:hAnsi="Times New Roman" w:eastAsia="黑体"/>
          <w:b w:val="0"/>
          <w:color w:val="auto"/>
          <w:highlight w:val="none"/>
          <w:lang w:eastAsia="zh-CN"/>
        </w:rPr>
        <w:t>十、</w:t>
      </w:r>
      <w:r>
        <w:rPr>
          <w:rStyle w:val="32"/>
          <w:rFonts w:hint="eastAsia" w:ascii="Times New Roman" w:hAnsi="Times New Roman" w:eastAsia="黑体"/>
          <w:b w:val="0"/>
          <w:color w:val="auto"/>
          <w:highlight w:val="none"/>
        </w:rPr>
        <w:t>其他重要事项的情况说明</w:t>
      </w:r>
      <w:bookmarkEnd w:id="44"/>
      <w:bookmarkEnd w:id="45"/>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6" w:name="_Toc15377222"/>
      <w:r>
        <w:rPr>
          <w:rFonts w:hint="eastAsia" w:ascii="Times New Roman" w:hAnsi="Times New Roman" w:eastAsia="楷体_GB2312" w:cs="楷体_GB2312"/>
          <w:b/>
          <w:color w:val="auto"/>
          <w:sz w:val="32"/>
          <w:szCs w:val="32"/>
          <w:highlight w:val="none"/>
        </w:rPr>
        <w:t>（一）机关运行经费支出情况</w:t>
      </w:r>
      <w:bookmarkEnd w:id="46"/>
    </w:p>
    <w:p>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w:t>
      </w:r>
      <w:r>
        <w:rPr>
          <w:rFonts w:hint="eastAsia" w:ascii="仿宋_GB2312" w:eastAsia="仿宋_GB2312"/>
          <w:color w:val="auto"/>
          <w:sz w:val="32"/>
          <w:szCs w:val="32"/>
          <w:highlight w:val="none"/>
          <w:lang w:val="en-US" w:eastAsia="zh-CN"/>
        </w:rPr>
        <w:t>四川省电子产品监督检验所</w:t>
      </w:r>
      <w:r>
        <w:rPr>
          <w:rFonts w:hint="eastAsia" w:ascii="Times New Roman" w:hAnsi="Times New Roman" w:eastAsia="仿宋_GB2312" w:cs="仿宋_GB2312"/>
          <w:color w:val="auto"/>
          <w:kern w:val="2"/>
          <w:sz w:val="32"/>
          <w:szCs w:val="32"/>
          <w:highlight w:val="none"/>
          <w:lang w:val="en-US" w:eastAsia="zh-CN" w:bidi="ar-SA"/>
        </w:rPr>
        <w:t>机关运行经费支出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万元，与2023年度决算数持平。主要原因是</w:t>
      </w:r>
      <w:r>
        <w:rPr>
          <w:rFonts w:hint="eastAsia" w:ascii="仿宋_GB2312" w:eastAsia="仿宋_GB2312"/>
          <w:color w:val="auto"/>
          <w:sz w:val="32"/>
          <w:szCs w:val="32"/>
          <w:highlight w:val="none"/>
          <w:lang w:val="en-US" w:eastAsia="zh-CN"/>
        </w:rPr>
        <w:t>我单位上下年度均无财政拨款机关运行经费支出</w:t>
      </w:r>
      <w:r>
        <w:rPr>
          <w:rFonts w:hint="eastAsia" w:ascii="仿宋_GB2312" w:eastAsia="仿宋_GB2312"/>
          <w:color w:val="auto"/>
          <w:sz w:val="32"/>
          <w:szCs w:val="32"/>
          <w:highlight w:val="none"/>
          <w:lang w:eastAsia="zh-CN"/>
        </w:rPr>
        <w:t>。</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7" w:name="_Toc15377223"/>
      <w:r>
        <w:rPr>
          <w:rFonts w:hint="eastAsia" w:ascii="Times New Roman" w:hAnsi="Times New Roman" w:eastAsia="楷体_GB2312" w:cs="楷体_GB2312"/>
          <w:b/>
          <w:color w:val="auto"/>
          <w:sz w:val="32"/>
          <w:szCs w:val="32"/>
          <w:highlight w:val="none"/>
        </w:rPr>
        <w:t>（二）政府采购支出情况</w:t>
      </w:r>
      <w:bookmarkEnd w:id="47"/>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w:t>
      </w:r>
      <w:r>
        <w:rPr>
          <w:rFonts w:hint="eastAsia" w:ascii="仿宋_GB2312" w:eastAsia="仿宋_GB2312"/>
          <w:color w:val="auto"/>
          <w:sz w:val="32"/>
          <w:szCs w:val="32"/>
          <w:highlight w:val="none"/>
          <w:lang w:val="en-US" w:eastAsia="zh-CN"/>
        </w:rPr>
        <w:t>四川省电子产品监督检验所</w:t>
      </w:r>
      <w:r>
        <w:rPr>
          <w:rFonts w:hint="eastAsia" w:ascii="Times New Roman" w:hAnsi="Times New Roman" w:eastAsia="仿宋_GB2312" w:cs="仿宋_GB2312"/>
          <w:color w:val="auto"/>
          <w:kern w:val="2"/>
          <w:sz w:val="32"/>
          <w:szCs w:val="32"/>
          <w:highlight w:val="none"/>
          <w:lang w:val="en-US" w:eastAsia="zh-CN" w:bidi="ar-SA"/>
        </w:rPr>
        <w:t>政府采购支出总额</w:t>
      </w:r>
      <w:r>
        <w:rPr>
          <w:rFonts w:hint="eastAsia" w:eastAsia="仿宋_GB2312" w:cs="仿宋_GB2312"/>
          <w:color w:val="auto"/>
          <w:kern w:val="2"/>
          <w:sz w:val="32"/>
          <w:szCs w:val="32"/>
          <w:highlight w:val="none"/>
          <w:lang w:val="en-US" w:eastAsia="zh-CN" w:bidi="ar-SA"/>
        </w:rPr>
        <w:t>113.52</w:t>
      </w:r>
      <w:r>
        <w:rPr>
          <w:rFonts w:hint="eastAsia" w:ascii="Times New Roman" w:hAnsi="Times New Roman" w:eastAsia="仿宋_GB2312" w:cs="仿宋_GB2312"/>
          <w:color w:val="auto"/>
          <w:kern w:val="2"/>
          <w:sz w:val="32"/>
          <w:szCs w:val="32"/>
          <w:highlight w:val="none"/>
          <w:lang w:val="en-US" w:eastAsia="zh-CN" w:bidi="ar-SA"/>
        </w:rPr>
        <w:t>万元，其中：政府采购货物支出</w:t>
      </w:r>
      <w:r>
        <w:rPr>
          <w:rFonts w:hint="eastAsia" w:eastAsia="仿宋_GB2312" w:cs="仿宋_GB2312"/>
          <w:color w:val="auto"/>
          <w:kern w:val="2"/>
          <w:sz w:val="32"/>
          <w:szCs w:val="32"/>
          <w:highlight w:val="none"/>
          <w:lang w:val="en-US" w:eastAsia="zh-CN" w:bidi="ar-SA"/>
        </w:rPr>
        <w:t>7.72</w:t>
      </w:r>
      <w:r>
        <w:rPr>
          <w:rFonts w:hint="eastAsia" w:ascii="Times New Roman" w:hAnsi="Times New Roman" w:eastAsia="仿宋_GB2312" w:cs="仿宋_GB2312"/>
          <w:color w:val="auto"/>
          <w:kern w:val="2"/>
          <w:sz w:val="32"/>
          <w:szCs w:val="32"/>
          <w:highlight w:val="none"/>
          <w:lang w:val="en-US" w:eastAsia="zh-CN" w:bidi="ar-SA"/>
        </w:rPr>
        <w:t>万元、</w:t>
      </w:r>
      <w:r>
        <w:rPr>
          <w:rFonts w:hint="eastAsia" w:eastAsia="仿宋_GB2312" w:cs="仿宋_GB2312"/>
          <w:color w:val="auto"/>
          <w:kern w:val="2"/>
          <w:sz w:val="32"/>
          <w:szCs w:val="32"/>
          <w:highlight w:val="none"/>
          <w:lang w:val="en-US" w:eastAsia="zh-CN" w:bidi="ar-SA"/>
        </w:rPr>
        <w:t>政府采购工程支出0万元、</w:t>
      </w:r>
      <w:r>
        <w:rPr>
          <w:rFonts w:hint="eastAsia" w:ascii="Times New Roman" w:hAnsi="Times New Roman" w:eastAsia="仿宋_GB2312" w:cs="仿宋_GB2312"/>
          <w:color w:val="auto"/>
          <w:kern w:val="2"/>
          <w:sz w:val="32"/>
          <w:szCs w:val="32"/>
          <w:highlight w:val="none"/>
          <w:lang w:val="en-US" w:eastAsia="zh-CN" w:bidi="ar-SA"/>
        </w:rPr>
        <w:t>政府采购服务支出</w:t>
      </w:r>
      <w:r>
        <w:rPr>
          <w:rFonts w:hint="eastAsia" w:eastAsia="仿宋_GB2312" w:cs="仿宋_GB2312"/>
          <w:color w:val="auto"/>
          <w:kern w:val="2"/>
          <w:sz w:val="32"/>
          <w:szCs w:val="32"/>
          <w:highlight w:val="none"/>
          <w:lang w:val="en-US" w:eastAsia="zh-CN" w:bidi="ar-SA"/>
        </w:rPr>
        <w:t>105.79</w:t>
      </w:r>
      <w:r>
        <w:rPr>
          <w:rFonts w:hint="eastAsia" w:ascii="Times New Roman" w:hAnsi="Times New Roman" w:eastAsia="仿宋_GB2312" w:cs="仿宋_GB2312"/>
          <w:color w:val="auto"/>
          <w:kern w:val="2"/>
          <w:sz w:val="32"/>
          <w:szCs w:val="32"/>
          <w:highlight w:val="none"/>
          <w:lang w:val="en-US" w:eastAsia="zh-CN" w:bidi="ar-SA"/>
        </w:rPr>
        <w:t>万元。主要用于</w:t>
      </w:r>
      <w:r>
        <w:rPr>
          <w:rFonts w:hint="eastAsia" w:eastAsia="仿宋_GB2312" w:cs="仿宋_GB2312"/>
          <w:color w:val="auto"/>
          <w:kern w:val="2"/>
          <w:sz w:val="32"/>
          <w:szCs w:val="32"/>
          <w:highlight w:val="none"/>
          <w:lang w:val="en-US" w:eastAsia="zh-CN" w:bidi="ar-SA"/>
        </w:rPr>
        <w:t>购置办公设备、购置实验室专用设备</w:t>
      </w:r>
      <w:r>
        <w:rPr>
          <w:rFonts w:hint="eastAsia" w:ascii="Times New Roman" w:hAnsi="Times New Roman" w:eastAsia="仿宋_GB2312" w:cs="仿宋_GB2312"/>
          <w:color w:val="auto"/>
          <w:kern w:val="2"/>
          <w:sz w:val="32"/>
          <w:szCs w:val="32"/>
          <w:highlight w:val="none"/>
          <w:lang w:val="en-US" w:eastAsia="zh-CN" w:bidi="ar-SA"/>
        </w:rPr>
        <w:t>。授予中小企业合同金额</w:t>
      </w:r>
      <w:r>
        <w:rPr>
          <w:rFonts w:hint="eastAsia" w:eastAsia="仿宋_GB2312" w:cs="仿宋_GB2312"/>
          <w:color w:val="auto"/>
          <w:kern w:val="2"/>
          <w:sz w:val="32"/>
          <w:szCs w:val="32"/>
          <w:highlight w:val="none"/>
          <w:lang w:val="en-US" w:eastAsia="zh-CN" w:bidi="ar-SA"/>
        </w:rPr>
        <w:t>109.83</w:t>
      </w:r>
      <w:r>
        <w:rPr>
          <w:rFonts w:hint="eastAsia" w:ascii="Times New Roman" w:hAnsi="Times New Roman" w:eastAsia="仿宋_GB2312" w:cs="仿宋_GB2312"/>
          <w:color w:val="auto"/>
          <w:kern w:val="2"/>
          <w:sz w:val="32"/>
          <w:szCs w:val="32"/>
          <w:highlight w:val="none"/>
          <w:lang w:val="en-US" w:eastAsia="zh-CN" w:bidi="ar-SA"/>
        </w:rPr>
        <w:t>万元，占政府采购支出总额</w:t>
      </w:r>
      <w:r>
        <w:rPr>
          <w:rFonts w:hint="eastAsia" w:eastAsia="仿宋_GB2312" w:cs="仿宋_GB2312"/>
          <w:color w:val="auto"/>
          <w:kern w:val="2"/>
          <w:sz w:val="32"/>
          <w:szCs w:val="32"/>
          <w:highlight w:val="none"/>
          <w:lang w:val="en-US" w:eastAsia="zh-CN" w:bidi="ar-SA"/>
        </w:rPr>
        <w:t>96.8</w:t>
      </w:r>
      <w:r>
        <w:rPr>
          <w:rFonts w:hint="eastAsia" w:ascii="Times New Roman" w:hAnsi="Times New Roman" w:eastAsia="仿宋_GB2312" w:cs="仿宋_GB2312"/>
          <w:color w:val="auto"/>
          <w:kern w:val="2"/>
          <w:sz w:val="32"/>
          <w:szCs w:val="32"/>
          <w:highlight w:val="none"/>
          <w:lang w:val="en-US" w:eastAsia="zh-CN" w:bidi="ar-SA"/>
        </w:rPr>
        <w:t>%，其中：授予小微企业合同金额</w:t>
      </w:r>
      <w:r>
        <w:rPr>
          <w:rFonts w:hint="eastAsia" w:eastAsia="仿宋_GB2312" w:cs="仿宋_GB2312"/>
          <w:color w:val="auto"/>
          <w:kern w:val="2"/>
          <w:sz w:val="32"/>
          <w:szCs w:val="32"/>
          <w:highlight w:val="none"/>
          <w:lang w:val="en-US" w:eastAsia="zh-CN" w:bidi="ar-SA"/>
        </w:rPr>
        <w:t>109.83</w:t>
      </w:r>
      <w:r>
        <w:rPr>
          <w:rFonts w:hint="eastAsia" w:ascii="Times New Roman" w:hAnsi="Times New Roman" w:eastAsia="仿宋_GB2312" w:cs="仿宋_GB2312"/>
          <w:color w:val="auto"/>
          <w:kern w:val="2"/>
          <w:sz w:val="32"/>
          <w:szCs w:val="32"/>
          <w:highlight w:val="none"/>
          <w:lang w:val="en-US" w:eastAsia="zh-CN" w:bidi="ar-SA"/>
        </w:rPr>
        <w:t>万元，占政府采购支出总额的</w:t>
      </w:r>
      <w:r>
        <w:rPr>
          <w:rFonts w:hint="eastAsia" w:eastAsia="仿宋_GB2312" w:cs="仿宋_GB2312"/>
          <w:color w:val="auto"/>
          <w:kern w:val="2"/>
          <w:sz w:val="32"/>
          <w:szCs w:val="32"/>
          <w:highlight w:val="none"/>
          <w:lang w:val="en-US" w:eastAsia="zh-CN" w:bidi="ar-SA"/>
        </w:rPr>
        <w:t>96.8</w:t>
      </w:r>
      <w:r>
        <w:rPr>
          <w:rFonts w:hint="eastAsia" w:ascii="Times New Roman" w:hAnsi="Times New Roman" w:eastAsia="仿宋_GB2312" w:cs="仿宋_GB2312"/>
          <w:color w:val="auto"/>
          <w:kern w:val="2"/>
          <w:sz w:val="32"/>
          <w:szCs w:val="32"/>
          <w:highlight w:val="none"/>
          <w:lang w:val="en-US" w:eastAsia="zh-CN" w:bidi="ar-SA"/>
        </w:rPr>
        <w:t>%。</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8" w:name="_Toc15377224"/>
      <w:r>
        <w:rPr>
          <w:rFonts w:hint="eastAsia" w:ascii="Times New Roman" w:hAnsi="Times New Roman" w:eastAsia="楷体_GB2312" w:cs="楷体_GB2312"/>
          <w:b/>
          <w:color w:val="auto"/>
          <w:sz w:val="32"/>
          <w:szCs w:val="32"/>
          <w:highlight w:val="none"/>
        </w:rPr>
        <w:t>（三）国有资产占有使用情况</w:t>
      </w:r>
      <w:bookmarkEnd w:id="48"/>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截至202</w:t>
      </w: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年12月31日，</w:t>
      </w:r>
      <w:r>
        <w:rPr>
          <w:rFonts w:hint="eastAsia" w:ascii="仿宋_GB2312" w:eastAsia="仿宋_GB2312"/>
          <w:color w:val="auto"/>
          <w:sz w:val="32"/>
          <w:szCs w:val="32"/>
          <w:highlight w:val="none"/>
          <w:lang w:val="en-US" w:eastAsia="zh-CN"/>
        </w:rPr>
        <w:t>四川省电子产品监督检验所</w:t>
      </w:r>
      <w:r>
        <w:rPr>
          <w:rFonts w:hint="eastAsia" w:ascii="Times New Roman" w:hAnsi="Times New Roman" w:eastAsia="仿宋_GB2312" w:cs="仿宋_GB2312"/>
          <w:color w:val="auto"/>
          <w:kern w:val="2"/>
          <w:sz w:val="32"/>
          <w:szCs w:val="32"/>
          <w:highlight w:val="none"/>
          <w:lang w:val="en-US" w:eastAsia="zh-CN" w:bidi="ar-SA"/>
        </w:rPr>
        <w:t>共有车辆</w:t>
      </w:r>
      <w:r>
        <w:rPr>
          <w:rFonts w:hint="eastAsia" w:eastAsia="仿宋_GB2312" w:cs="仿宋_GB2312"/>
          <w:color w:val="auto"/>
          <w:kern w:val="2"/>
          <w:sz w:val="32"/>
          <w:szCs w:val="32"/>
          <w:highlight w:val="none"/>
          <w:lang w:val="en-US" w:eastAsia="zh-CN" w:bidi="ar-SA"/>
        </w:rPr>
        <w:t>6</w:t>
      </w:r>
      <w:r>
        <w:rPr>
          <w:rFonts w:hint="eastAsia" w:ascii="Times New Roman" w:hAnsi="Times New Roman" w:eastAsia="仿宋_GB2312" w:cs="仿宋_GB2312"/>
          <w:color w:val="auto"/>
          <w:kern w:val="2"/>
          <w:sz w:val="32"/>
          <w:szCs w:val="32"/>
          <w:highlight w:val="none"/>
          <w:lang w:val="en-US" w:eastAsia="zh-CN" w:bidi="ar-SA"/>
        </w:rPr>
        <w:t>辆，其中：主要</w:t>
      </w:r>
      <w:r>
        <w:rPr>
          <w:rFonts w:hint="eastAsia" w:eastAsia="仿宋_GB2312" w:cs="仿宋_GB2312"/>
          <w:color w:val="auto"/>
          <w:kern w:val="2"/>
          <w:sz w:val="32"/>
          <w:szCs w:val="32"/>
          <w:highlight w:val="none"/>
          <w:lang w:val="en-US" w:eastAsia="zh-CN" w:bidi="ar-SA"/>
        </w:rPr>
        <w:t>负责人</w:t>
      </w:r>
      <w:r>
        <w:rPr>
          <w:rFonts w:hint="eastAsia" w:ascii="Times New Roman" w:hAnsi="Times New Roman" w:eastAsia="仿宋_GB2312" w:cs="仿宋_GB2312"/>
          <w:color w:val="auto"/>
          <w:kern w:val="2"/>
          <w:sz w:val="32"/>
          <w:szCs w:val="32"/>
          <w:highlight w:val="none"/>
          <w:lang w:val="en-US" w:eastAsia="zh-CN" w:bidi="ar-SA"/>
        </w:rPr>
        <w:t>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辆、机要通信用车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辆、应急保障用车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辆、其他用车</w:t>
      </w:r>
      <w:r>
        <w:rPr>
          <w:rFonts w:hint="eastAsia" w:eastAsia="仿宋_GB2312" w:cs="仿宋_GB2312"/>
          <w:color w:val="auto"/>
          <w:kern w:val="2"/>
          <w:sz w:val="32"/>
          <w:szCs w:val="32"/>
          <w:highlight w:val="none"/>
          <w:lang w:val="en-US" w:eastAsia="zh-CN" w:bidi="ar-SA"/>
        </w:rPr>
        <w:t>6</w:t>
      </w:r>
      <w:r>
        <w:rPr>
          <w:rFonts w:hint="eastAsia" w:ascii="Times New Roman" w:hAnsi="Times New Roman" w:eastAsia="仿宋_GB2312" w:cs="仿宋_GB2312"/>
          <w:color w:val="auto"/>
          <w:kern w:val="2"/>
          <w:sz w:val="32"/>
          <w:szCs w:val="32"/>
          <w:highlight w:val="none"/>
          <w:lang w:val="en-US" w:eastAsia="zh-CN" w:bidi="ar-SA"/>
        </w:rPr>
        <w:t>辆，其他用车主要是</w:t>
      </w:r>
      <w:r>
        <w:rPr>
          <w:rFonts w:hint="eastAsia" w:eastAsia="仿宋_GB2312" w:cs="仿宋_GB2312"/>
          <w:color w:val="auto"/>
          <w:kern w:val="2"/>
          <w:sz w:val="32"/>
          <w:szCs w:val="32"/>
          <w:highlight w:val="none"/>
          <w:lang w:val="en-US" w:eastAsia="zh-CN" w:bidi="ar-SA"/>
        </w:rPr>
        <w:t>工作</w:t>
      </w:r>
      <w:r>
        <w:rPr>
          <w:rFonts w:hint="eastAsia" w:ascii="仿宋_GB2312" w:eastAsia="仿宋_GB2312"/>
          <w:color w:val="auto"/>
          <w:sz w:val="32"/>
          <w:szCs w:val="32"/>
          <w:highlight w:val="none"/>
          <w:lang w:val="en-US" w:eastAsia="zh-CN"/>
        </w:rPr>
        <w:t>人员开展检验检测业务出差使用</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单价100万元</w:t>
      </w:r>
      <w:r>
        <w:rPr>
          <w:rFonts w:hint="eastAsia" w:eastAsia="仿宋_GB2312" w:cs="仿宋_GB2312"/>
          <w:color w:val="auto"/>
          <w:kern w:val="2"/>
          <w:sz w:val="32"/>
          <w:szCs w:val="32"/>
          <w:highlight w:val="none"/>
          <w:lang w:val="en-US" w:eastAsia="zh-CN" w:bidi="ar-SA"/>
        </w:rPr>
        <w:t>（含）</w:t>
      </w:r>
      <w:r>
        <w:rPr>
          <w:rFonts w:hint="eastAsia" w:ascii="Times New Roman" w:hAnsi="Times New Roman" w:eastAsia="仿宋_GB2312" w:cs="仿宋_GB2312"/>
          <w:color w:val="auto"/>
          <w:kern w:val="2"/>
          <w:sz w:val="32"/>
          <w:szCs w:val="32"/>
          <w:highlight w:val="none"/>
          <w:lang w:val="en-US" w:eastAsia="zh-CN" w:bidi="ar-SA"/>
        </w:rPr>
        <w:t>以上设备（不含车辆）</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（套）。</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根据预算绩效管理要求，</w:t>
      </w:r>
      <w:r>
        <w:rPr>
          <w:rFonts w:hint="eastAsia" w:ascii="仿宋_GB2312" w:eastAsia="仿宋_GB2312"/>
          <w:color w:val="auto"/>
          <w:sz w:val="32"/>
          <w:szCs w:val="32"/>
          <w:highlight w:val="none"/>
          <w:lang w:val="en-US" w:eastAsia="zh-CN"/>
        </w:rPr>
        <w:t>四川省电子产品监督检验所</w:t>
      </w:r>
      <w:r>
        <w:rPr>
          <w:rFonts w:hint="eastAsia" w:ascii="Times New Roman" w:hAnsi="Times New Roman" w:eastAsia="仿宋_GB2312" w:cs="仿宋_GB2312"/>
          <w:color w:val="auto"/>
          <w:kern w:val="2"/>
          <w:sz w:val="32"/>
          <w:szCs w:val="32"/>
          <w:highlight w:val="none"/>
          <w:lang w:val="en-US" w:eastAsia="zh-CN" w:bidi="ar-SA"/>
        </w:rPr>
        <w:t>在2024年度预算编制阶段，对</w:t>
      </w:r>
      <w:r>
        <w:rPr>
          <w:rFonts w:hint="eastAsia" w:eastAsia="仿宋_GB2312" w:cs="仿宋_GB2312"/>
          <w:color w:val="auto"/>
          <w:kern w:val="2"/>
          <w:sz w:val="32"/>
          <w:szCs w:val="32"/>
          <w:highlight w:val="none"/>
          <w:lang w:val="en-US" w:eastAsia="zh-CN" w:bidi="ar-SA"/>
        </w:rPr>
        <w:t>14</w:t>
      </w:r>
      <w:r>
        <w:rPr>
          <w:rFonts w:hint="eastAsia" w:ascii="Times New Roman" w:hAnsi="Times New Roman" w:eastAsia="仿宋_GB2312" w:cs="仿宋_GB2312"/>
          <w:color w:val="auto"/>
          <w:kern w:val="2"/>
          <w:sz w:val="32"/>
          <w:szCs w:val="32"/>
          <w:highlight w:val="none"/>
          <w:lang w:val="en-US" w:eastAsia="zh-CN" w:bidi="ar-SA"/>
        </w:rPr>
        <w:t>个项目编制了绩效目标，预算执行过程中，选取</w:t>
      </w:r>
      <w:r>
        <w:rPr>
          <w:rFonts w:hint="eastAsia" w:eastAsia="仿宋_GB2312" w:cs="仿宋_GB2312"/>
          <w:color w:val="auto"/>
          <w:kern w:val="2"/>
          <w:sz w:val="32"/>
          <w:szCs w:val="32"/>
          <w:highlight w:val="none"/>
          <w:lang w:val="en-US" w:eastAsia="zh-CN" w:bidi="ar-SA"/>
        </w:rPr>
        <w:t>14</w:t>
      </w:r>
      <w:r>
        <w:rPr>
          <w:rFonts w:hint="eastAsia" w:ascii="Times New Roman" w:hAnsi="Times New Roman" w:eastAsia="仿宋_GB2312" w:cs="仿宋_GB2312"/>
          <w:color w:val="auto"/>
          <w:kern w:val="2"/>
          <w:sz w:val="32"/>
          <w:szCs w:val="32"/>
          <w:highlight w:val="none"/>
          <w:lang w:val="en-US" w:eastAsia="zh-CN" w:bidi="ar-SA"/>
        </w:rPr>
        <w:t>个项目开展绩效监控。</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组织对2024年度一般公共预算全面开展绩效自评，形成</w:t>
      </w:r>
      <w:r>
        <w:rPr>
          <w:rFonts w:hint="eastAsia" w:ascii="仿宋_GB2312" w:eastAsia="仿宋_GB2312"/>
          <w:color w:val="auto"/>
          <w:sz w:val="32"/>
          <w:szCs w:val="32"/>
          <w:highlight w:val="none"/>
          <w:lang w:val="en-US" w:eastAsia="zh-CN"/>
        </w:rPr>
        <w:t>四川省电子产品监督检验所</w:t>
      </w:r>
      <w:r>
        <w:rPr>
          <w:rFonts w:hint="eastAsia" w:ascii="Times New Roman" w:hAnsi="Times New Roman" w:eastAsia="仿宋_GB2312" w:cs="仿宋_GB2312"/>
          <w:color w:val="auto"/>
          <w:kern w:val="2"/>
          <w:sz w:val="32"/>
          <w:szCs w:val="32"/>
          <w:highlight w:val="none"/>
          <w:lang w:val="en-US" w:eastAsia="zh-CN" w:bidi="ar-SA"/>
        </w:rPr>
        <w:t>整体（含</w:t>
      </w:r>
      <w:r>
        <w:rPr>
          <w:rFonts w:hint="eastAsia" w:eastAsia="仿宋_GB2312" w:cs="仿宋_GB2312"/>
          <w:color w:val="auto"/>
          <w:kern w:val="2"/>
          <w:sz w:val="32"/>
          <w:szCs w:val="32"/>
          <w:highlight w:val="none"/>
          <w:lang w:val="en-US" w:eastAsia="zh-CN" w:bidi="ar-SA"/>
        </w:rPr>
        <w:t>单位</w:t>
      </w:r>
      <w:r>
        <w:rPr>
          <w:rFonts w:hint="eastAsia" w:ascii="Times New Roman" w:hAnsi="Times New Roman" w:eastAsia="仿宋_GB2312" w:cs="仿宋_GB2312"/>
          <w:color w:val="auto"/>
          <w:kern w:val="2"/>
          <w:sz w:val="32"/>
          <w:szCs w:val="32"/>
          <w:highlight w:val="none"/>
          <w:lang w:val="en-US" w:eastAsia="zh-CN" w:bidi="ar-SA"/>
        </w:rPr>
        <w:t>预算项目）绩效自评报告、</w:t>
      </w:r>
      <w:r>
        <w:rPr>
          <w:rFonts w:hint="eastAsia" w:ascii="仿宋_GB2312" w:eastAsia="仿宋_GB2312"/>
          <w:color w:val="auto"/>
          <w:sz w:val="32"/>
          <w:szCs w:val="32"/>
          <w:highlight w:val="none"/>
          <w:lang w:val="en-US" w:eastAsia="zh-CN"/>
        </w:rPr>
        <w:t>四川省电子产品监督检验所</w:t>
      </w:r>
      <w:r>
        <w:rPr>
          <w:rFonts w:hint="eastAsia" w:ascii="Times New Roman" w:hAnsi="Times New Roman" w:eastAsia="仿宋_GB2312" w:cs="仿宋_GB2312"/>
          <w:color w:val="auto"/>
          <w:kern w:val="2"/>
          <w:sz w:val="32"/>
          <w:szCs w:val="32"/>
          <w:highlight w:val="none"/>
          <w:lang w:val="en-US" w:eastAsia="zh-CN" w:bidi="ar-SA"/>
        </w:rPr>
        <w:t>专项预算项目绩效自评报告，其中，</w:t>
      </w:r>
      <w:r>
        <w:rPr>
          <w:rFonts w:hint="eastAsia" w:ascii="仿宋_GB2312" w:eastAsia="仿宋_GB2312"/>
          <w:color w:val="auto"/>
          <w:sz w:val="32"/>
          <w:szCs w:val="32"/>
          <w:highlight w:val="none"/>
          <w:lang w:val="en-US" w:eastAsia="zh-CN"/>
        </w:rPr>
        <w:t>四川省电子产品监督检验所</w:t>
      </w:r>
      <w:r>
        <w:rPr>
          <w:rFonts w:hint="eastAsia" w:ascii="Times New Roman" w:hAnsi="Times New Roman" w:eastAsia="仿宋_GB2312" w:cs="仿宋_GB2312"/>
          <w:color w:val="auto"/>
          <w:kern w:val="2"/>
          <w:sz w:val="32"/>
          <w:szCs w:val="32"/>
          <w:highlight w:val="none"/>
          <w:lang w:val="en-US" w:eastAsia="zh-CN" w:bidi="ar-SA"/>
        </w:rPr>
        <w:t>（含</w:t>
      </w:r>
      <w:r>
        <w:rPr>
          <w:rFonts w:hint="eastAsia" w:eastAsia="仿宋_GB2312" w:cs="仿宋_GB2312"/>
          <w:color w:val="auto"/>
          <w:kern w:val="2"/>
          <w:sz w:val="32"/>
          <w:szCs w:val="32"/>
          <w:highlight w:val="none"/>
          <w:lang w:val="en-US" w:eastAsia="zh-CN" w:bidi="ar-SA"/>
        </w:rPr>
        <w:t>单位</w:t>
      </w:r>
      <w:r>
        <w:rPr>
          <w:rFonts w:hint="eastAsia" w:ascii="Times New Roman" w:hAnsi="Times New Roman" w:eastAsia="仿宋_GB2312" w:cs="仿宋_GB2312"/>
          <w:color w:val="auto"/>
          <w:kern w:val="2"/>
          <w:sz w:val="32"/>
          <w:szCs w:val="32"/>
          <w:highlight w:val="none"/>
          <w:lang w:val="en-US" w:eastAsia="zh-CN" w:bidi="ar-SA"/>
        </w:rPr>
        <w:t>预算项目）绩效自评得分为</w:t>
      </w:r>
      <w:r>
        <w:rPr>
          <w:rFonts w:hint="eastAsia" w:eastAsia="仿宋_GB2312" w:cs="仿宋_GB2312"/>
          <w:color w:val="auto"/>
          <w:kern w:val="2"/>
          <w:sz w:val="32"/>
          <w:szCs w:val="32"/>
          <w:highlight w:val="none"/>
          <w:lang w:val="en-US" w:eastAsia="zh-CN" w:bidi="ar-SA"/>
        </w:rPr>
        <w:t>90</w:t>
      </w:r>
      <w:r>
        <w:rPr>
          <w:rFonts w:hint="eastAsia" w:ascii="Times New Roman" w:hAnsi="Times New Roman" w:eastAsia="仿宋_GB2312" w:cs="仿宋_GB2312"/>
          <w:color w:val="auto"/>
          <w:kern w:val="2"/>
          <w:sz w:val="32"/>
          <w:szCs w:val="32"/>
          <w:highlight w:val="none"/>
          <w:lang w:val="en-US" w:eastAsia="zh-CN" w:bidi="ar-SA"/>
        </w:rPr>
        <w:t>分，绩效自评综述</w:t>
      </w:r>
      <w:r>
        <w:rPr>
          <w:rFonts w:hint="eastAsia" w:eastAsia="仿宋_GB2312" w:cs="仿宋_GB2312"/>
          <w:color w:val="auto"/>
          <w:kern w:val="2"/>
          <w:sz w:val="32"/>
          <w:szCs w:val="32"/>
          <w:highlight w:val="none"/>
          <w:lang w:val="en-US" w:eastAsia="zh-CN" w:bidi="ar-SA"/>
        </w:rPr>
        <w:t>各项目顺利推进，完成情况良好</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仿宋_GB2312" w:eastAsia="仿宋_GB2312"/>
          <w:color w:val="auto"/>
          <w:sz w:val="32"/>
          <w:szCs w:val="32"/>
          <w:highlight w:val="none"/>
          <w:lang w:val="en-US" w:eastAsia="zh-CN"/>
        </w:rPr>
        <w:t>四川省电子产品监督检验所</w:t>
      </w:r>
      <w:r>
        <w:rPr>
          <w:rFonts w:hint="eastAsia" w:ascii="Times New Roman" w:hAnsi="Times New Roman" w:eastAsia="仿宋_GB2312" w:cs="仿宋_GB2312"/>
          <w:color w:val="auto"/>
          <w:kern w:val="2"/>
          <w:sz w:val="32"/>
          <w:szCs w:val="32"/>
          <w:highlight w:val="none"/>
          <w:lang w:val="en-US" w:eastAsia="zh-CN" w:bidi="ar-SA"/>
        </w:rPr>
        <w:t>专项预算项目绩效自评得分为</w:t>
      </w:r>
      <w:r>
        <w:rPr>
          <w:rFonts w:hint="eastAsia" w:eastAsia="仿宋_GB2312" w:cs="仿宋_GB2312"/>
          <w:color w:val="auto"/>
          <w:kern w:val="2"/>
          <w:sz w:val="32"/>
          <w:szCs w:val="32"/>
          <w:highlight w:val="none"/>
          <w:lang w:val="en-US" w:eastAsia="zh-CN" w:bidi="ar-SA"/>
        </w:rPr>
        <w:t>90</w:t>
      </w:r>
      <w:r>
        <w:rPr>
          <w:rFonts w:hint="eastAsia" w:ascii="Times New Roman" w:hAnsi="Times New Roman" w:eastAsia="仿宋_GB2312" w:cs="仿宋_GB2312"/>
          <w:color w:val="auto"/>
          <w:kern w:val="2"/>
          <w:sz w:val="32"/>
          <w:szCs w:val="32"/>
          <w:highlight w:val="none"/>
          <w:lang w:val="en-US" w:eastAsia="zh-CN" w:bidi="ar-SA"/>
        </w:rPr>
        <w:t>分，绩效自评综述</w:t>
      </w:r>
      <w:r>
        <w:rPr>
          <w:rFonts w:hint="eastAsia" w:eastAsia="仿宋_GB2312" w:cs="仿宋_GB2312"/>
          <w:color w:val="auto"/>
          <w:kern w:val="2"/>
          <w:sz w:val="32"/>
          <w:szCs w:val="32"/>
          <w:highlight w:val="none"/>
          <w:lang w:val="en-US" w:eastAsia="zh-CN" w:bidi="ar-SA"/>
        </w:rPr>
        <w:t>各项目顺利推进，完成情况良好</w:t>
      </w:r>
      <w:r>
        <w:rPr>
          <w:rFonts w:hint="eastAsia" w:ascii="Times New Roman" w:hAnsi="Times New Roman" w:eastAsia="仿宋_GB2312" w:cs="仿宋_GB2312"/>
          <w:color w:val="auto"/>
          <w:kern w:val="2"/>
          <w:sz w:val="32"/>
          <w:szCs w:val="32"/>
          <w:highlight w:val="none"/>
          <w:lang w:val="en-US" w:eastAsia="zh-CN" w:bidi="ar-SA"/>
        </w:rPr>
        <w:t>。绩效自评</w:t>
      </w:r>
      <w:r>
        <w:rPr>
          <w:rFonts w:hint="eastAsia" w:eastAsia="仿宋_GB2312" w:cs="仿宋_GB2312"/>
          <w:color w:val="auto"/>
          <w:kern w:val="2"/>
          <w:sz w:val="32"/>
          <w:szCs w:val="32"/>
          <w:highlight w:val="none"/>
          <w:lang w:val="en-US" w:eastAsia="zh-CN" w:bidi="ar-SA"/>
        </w:rPr>
        <w:t>表（特定目标类）</w:t>
      </w:r>
      <w:r>
        <w:rPr>
          <w:rFonts w:hint="eastAsia" w:ascii="Times New Roman" w:hAnsi="Times New Roman" w:eastAsia="仿宋_GB2312" w:cs="仿宋_GB2312"/>
          <w:color w:val="auto"/>
          <w:kern w:val="2"/>
          <w:sz w:val="32"/>
          <w:szCs w:val="32"/>
          <w:highlight w:val="none"/>
          <w:lang w:val="en-US" w:eastAsia="zh-CN" w:bidi="ar-SA"/>
        </w:rPr>
        <w:t>详见附件。</w:t>
      </w:r>
    </w:p>
    <w:p>
      <w:pPr>
        <w:spacing w:line="600" w:lineRule="exact"/>
        <w:rPr>
          <w:rFonts w:hint="eastAsia" w:ascii="Times New Roman" w:hAnsi="Times New Roman" w:eastAsia="仿宋_GB2312" w:cs="仿宋_GB2312"/>
          <w:color w:val="auto"/>
          <w:kern w:val="2"/>
          <w:sz w:val="32"/>
          <w:szCs w:val="32"/>
          <w:highlight w:val="none"/>
          <w:lang w:val="en-US" w:eastAsia="zh-CN" w:bidi="ar-SA"/>
        </w:rPr>
      </w:pPr>
    </w:p>
    <w:p>
      <w:pPr>
        <w:rPr>
          <w:rFonts w:hint="eastAsia" w:ascii="Times New Roman" w:hAnsi="Times New Roman" w:eastAsia="黑体"/>
          <w:color w:val="auto"/>
          <w:sz w:val="44"/>
          <w:szCs w:val="44"/>
          <w:highlight w:val="none"/>
        </w:rPr>
      </w:pPr>
      <w:bookmarkStart w:id="49" w:name="_Toc15377225"/>
      <w:bookmarkStart w:id="50" w:name="_Toc15396613"/>
      <w:r>
        <w:rPr>
          <w:rFonts w:hint="eastAsia" w:ascii="Times New Roman" w:hAnsi="Times New Roman" w:eastAsia="黑体"/>
          <w:color w:val="auto"/>
          <w:sz w:val="44"/>
          <w:szCs w:val="44"/>
          <w:highlight w:val="none"/>
        </w:rPr>
        <w:br w:type="page"/>
      </w:r>
    </w:p>
    <w:p>
      <w:pPr>
        <w:numPr>
          <w:ilvl w:val="0"/>
          <w:numId w:val="0"/>
        </w:numPr>
        <w:spacing w:line="600" w:lineRule="exact"/>
        <w:jc w:val="center"/>
        <w:outlineLvl w:val="0"/>
        <w:rPr>
          <w:rFonts w:hint="eastAsia" w:ascii="Times New Roman" w:hAnsi="Times New Roman" w:eastAsia="方正小标宋简体" w:cs="方正小标宋简体"/>
          <w:b w:val="0"/>
          <w:bCs/>
          <w:color w:val="auto"/>
          <w:kern w:val="44"/>
          <w:sz w:val="44"/>
          <w:szCs w:val="44"/>
          <w:highlight w:val="none"/>
          <w:lang w:val="en-US" w:eastAsia="zh-CN" w:bidi="ar-SA"/>
        </w:rPr>
      </w:pPr>
      <w:r>
        <w:rPr>
          <w:rFonts w:hint="eastAsia" w:ascii="Times New Roman" w:hAnsi="Times New Roman" w:eastAsia="方正小标宋简体" w:cs="方正小标宋简体"/>
          <w:b w:val="0"/>
          <w:bCs/>
          <w:color w:val="auto"/>
          <w:kern w:val="44"/>
          <w:sz w:val="44"/>
          <w:szCs w:val="44"/>
          <w:highlight w:val="none"/>
          <w:lang w:val="en-US" w:eastAsia="zh-CN" w:bidi="ar-SA"/>
        </w:rPr>
        <w:t>第三部分  名词解释</w:t>
      </w:r>
      <w:bookmarkEnd w:id="49"/>
      <w:bookmarkEnd w:id="50"/>
    </w:p>
    <w:p>
      <w:pPr>
        <w:spacing w:line="600" w:lineRule="exact"/>
        <w:jc w:val="left"/>
        <w:rPr>
          <w:rFonts w:ascii="Times New Roman" w:hAnsi="Times New Roman"/>
          <w:b/>
          <w:color w:val="auto"/>
          <w:sz w:val="44"/>
          <w:szCs w:val="44"/>
          <w:highlight w:val="none"/>
        </w:rPr>
      </w:pPr>
    </w:p>
    <w:p>
      <w:pPr>
        <w:pStyle w:val="29"/>
        <w:spacing w:line="56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1.财政拨款收入：指单位从同级财政部门取得的财政预算资金。</w:t>
      </w:r>
    </w:p>
    <w:p>
      <w:pPr>
        <w:pStyle w:val="29"/>
        <w:spacing w:line="56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2.事业收入：指事业单位开展专业业务活动及辅助活动取得的收入。</w:t>
      </w:r>
      <w:r>
        <w:rPr>
          <w:rFonts w:hint="eastAsia" w:ascii="仿宋_GB2312" w:eastAsia="仿宋_GB2312"/>
          <w:color w:val="auto"/>
          <w:sz w:val="32"/>
          <w:szCs w:val="32"/>
        </w:rPr>
        <w:t>如检验、检测费收入等</w:t>
      </w:r>
      <w:r>
        <w:rPr>
          <w:rFonts w:hint="default" w:ascii="Times New Roman" w:hAnsi="Times New Roman" w:eastAsia="仿宋_GB2312" w:cs="Times New Roman"/>
          <w:color w:val="auto"/>
          <w:sz w:val="32"/>
          <w:szCs w:val="32"/>
          <w:highlight w:val="none"/>
        </w:rPr>
        <w:t>。</w:t>
      </w:r>
    </w:p>
    <w:p>
      <w:pPr>
        <w:pStyle w:val="29"/>
        <w:spacing w:line="560" w:lineRule="exact"/>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3.其他收入：指单位取得的除上述收入以外的各项收入。</w:t>
      </w:r>
      <w:r>
        <w:rPr>
          <w:rFonts w:hint="eastAsia" w:ascii="仿宋_GB2312" w:eastAsia="仿宋_GB2312"/>
          <w:color w:val="auto"/>
          <w:sz w:val="32"/>
          <w:szCs w:val="32"/>
        </w:rPr>
        <w:t>主要是利息收入、增值税加计抵减收入等。</w:t>
      </w:r>
      <w:r>
        <w:rPr>
          <w:rFonts w:hint="default" w:ascii="Times New Roman" w:hAnsi="Times New Roman" w:eastAsia="仿宋_GB2312" w:cs="Times New Roman"/>
          <w:color w:val="auto"/>
          <w:sz w:val="32"/>
          <w:szCs w:val="32"/>
          <w:highlight w:val="none"/>
        </w:rPr>
        <w:t xml:space="preserve"> </w:t>
      </w:r>
    </w:p>
    <w:p>
      <w:pPr>
        <w:pStyle w:val="29"/>
        <w:spacing w:line="560" w:lineRule="exact"/>
        <w:ind w:firstLine="640" w:firstLineChars="200"/>
        <w:jc w:val="both"/>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sz w:val="32"/>
          <w:szCs w:val="32"/>
          <w:u w:val="none"/>
          <w:lang w:eastAsia="zh-CN"/>
        </w:rPr>
        <w:t>使用非财政拨款结余（含专用结余）</w:t>
      </w:r>
      <w:r>
        <w:rPr>
          <w:rFonts w:hint="default" w:ascii="Times New Roman" w:hAnsi="Times New Roman" w:eastAsia="仿宋_GB2312" w:cs="Times New Roman"/>
          <w:color w:val="auto"/>
          <w:sz w:val="32"/>
          <w:szCs w:val="32"/>
          <w:highlight w:val="none"/>
        </w:rPr>
        <w:t>：指事业单位</w:t>
      </w:r>
      <w:r>
        <w:rPr>
          <w:rFonts w:hint="default" w:ascii="Times New Roman" w:hAnsi="Times New Roman" w:eastAsia="仿宋_GB2312" w:cs="Times New Roman"/>
          <w:color w:val="auto"/>
          <w:sz w:val="32"/>
          <w:szCs w:val="32"/>
          <w:highlight w:val="none"/>
          <w:lang w:eastAsia="zh-CN"/>
        </w:rPr>
        <w:t>使用以前年度积累的非财政拨款结余弥补当年收支差额的金额。</w:t>
      </w:r>
      <w:r>
        <w:rPr>
          <w:rFonts w:hint="default" w:ascii="Times New Roman" w:hAnsi="Times New Roman" w:eastAsia="仿宋_GB2312" w:cs="Times New Roman"/>
          <w:color w:val="auto"/>
          <w:sz w:val="32"/>
          <w:szCs w:val="32"/>
          <w:highlight w:val="none"/>
        </w:rPr>
        <w:t xml:space="preserve"> </w:t>
      </w:r>
    </w:p>
    <w:p>
      <w:pPr>
        <w:pStyle w:val="29"/>
        <w:spacing w:line="560" w:lineRule="exact"/>
        <w:ind w:firstLine="640" w:firstLineChars="200"/>
        <w:jc w:val="both"/>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 xml:space="preserve">.年初结转和结余：指以前年度尚未完成、结转到本年按有关规定继续使用的资金。 </w:t>
      </w:r>
    </w:p>
    <w:p>
      <w:pPr>
        <w:pStyle w:val="29"/>
        <w:spacing w:line="560" w:lineRule="exact"/>
        <w:ind w:firstLine="640" w:firstLineChars="200"/>
        <w:jc w:val="both"/>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.结余分配：指事业单位按照会计制度规定</w:t>
      </w:r>
      <w:r>
        <w:rPr>
          <w:rFonts w:hint="default" w:ascii="Times New Roman" w:hAnsi="Times New Roman" w:eastAsia="仿宋_GB2312" w:cs="Times New Roman"/>
          <w:color w:val="auto"/>
          <w:sz w:val="32"/>
          <w:szCs w:val="32"/>
          <w:highlight w:val="none"/>
          <w:lang w:eastAsia="zh-CN"/>
        </w:rPr>
        <w:t>缴纳的所得税、提取的专用结余以及转入非财政拨款结余的金额</w:t>
      </w:r>
      <w:r>
        <w:rPr>
          <w:rFonts w:hint="default" w:ascii="Times New Roman" w:hAnsi="Times New Roman" w:eastAsia="仿宋_GB2312" w:cs="Times New Roman"/>
          <w:color w:val="auto"/>
          <w:sz w:val="32"/>
          <w:szCs w:val="32"/>
          <w:highlight w:val="none"/>
        </w:rPr>
        <w:t>等。</w:t>
      </w:r>
    </w:p>
    <w:p>
      <w:pPr>
        <w:pStyle w:val="29"/>
        <w:spacing w:line="560" w:lineRule="exact"/>
        <w:ind w:firstLine="640" w:firstLineChars="200"/>
        <w:jc w:val="both"/>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年末结转和结余：指单位按有关规定结转到下年或以后年度继续使用的资金。</w:t>
      </w:r>
    </w:p>
    <w:p>
      <w:pPr>
        <w:ind w:firstLine="640" w:firstLineChars="200"/>
        <w:rPr>
          <w:rFonts w:ascii="仿宋_GB2312" w:eastAsia="仿宋_GB2312"/>
          <w:sz w:val="32"/>
          <w:szCs w:val="32"/>
        </w:rPr>
      </w:pPr>
      <w:r>
        <w:rPr>
          <w:rFonts w:hint="eastAsia"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rPr>
        <w:t>.一般公共服务（类）</w:t>
      </w:r>
      <w:r>
        <w:rPr>
          <w:rFonts w:hint="eastAsia" w:ascii="仿宋_GB2312" w:eastAsia="仿宋_GB2312"/>
          <w:sz w:val="32"/>
          <w:szCs w:val="32"/>
        </w:rPr>
        <w:t>市场监督管理事务（款）其他市场监督管理事务（项）：指市场监督管理局下达任务抽样检验、检测。</w:t>
      </w:r>
    </w:p>
    <w:p>
      <w:pPr>
        <w:ind w:firstLine="640" w:firstLineChars="200"/>
        <w:jc w:val="both"/>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.教育（类）进修及培训（款）培训支出（项）：指专业技术人员参加网络安全等级保护、软件测评师培训等。</w:t>
      </w:r>
    </w:p>
    <w:p>
      <w:pPr>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.社会保障和就业（类）行政事业单位养老支出（款）</w:t>
      </w:r>
      <w:r>
        <w:rPr>
          <w:rFonts w:hint="eastAsia" w:eastAsia="仿宋_GB2312" w:cs="Times New Roman"/>
          <w:color w:val="auto"/>
          <w:sz w:val="32"/>
          <w:szCs w:val="32"/>
          <w:highlight w:val="none"/>
          <w:lang w:val="en-US" w:eastAsia="zh-CN"/>
        </w:rPr>
        <w:t>事业</w:t>
      </w:r>
      <w:r>
        <w:rPr>
          <w:rFonts w:hint="default" w:ascii="Times New Roman" w:hAnsi="Times New Roman" w:eastAsia="仿宋_GB2312" w:cs="Times New Roman"/>
          <w:color w:val="auto"/>
          <w:sz w:val="32"/>
          <w:szCs w:val="32"/>
          <w:highlight w:val="none"/>
        </w:rPr>
        <w:t>单位离退休、机关事业单位基本养老保险缴费支出、机关事业单位职业年金缴费支出（项）：指离休人员离休费、基本养老保险、职业年金支出。</w:t>
      </w:r>
    </w:p>
    <w:p>
      <w:pPr>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.社会保障和就业（类）</w:t>
      </w:r>
      <w:r>
        <w:rPr>
          <w:rFonts w:hint="eastAsia" w:eastAsia="仿宋_GB2312" w:cs="Times New Roman"/>
          <w:color w:val="auto"/>
          <w:sz w:val="32"/>
          <w:szCs w:val="32"/>
          <w:highlight w:val="none"/>
          <w:lang w:val="en-US" w:eastAsia="zh-CN"/>
        </w:rPr>
        <w:t>抚恤</w:t>
      </w:r>
      <w:r>
        <w:rPr>
          <w:rFonts w:hint="default" w:ascii="Times New Roman" w:hAnsi="Times New Roman" w:eastAsia="仿宋_GB2312" w:cs="Times New Roman"/>
          <w:color w:val="auto"/>
          <w:sz w:val="32"/>
          <w:szCs w:val="32"/>
          <w:highlight w:val="none"/>
        </w:rPr>
        <w:t>（款）</w:t>
      </w:r>
      <w:r>
        <w:rPr>
          <w:rFonts w:hint="eastAsia" w:eastAsia="仿宋_GB2312" w:cs="Times New Roman"/>
          <w:color w:val="auto"/>
          <w:sz w:val="32"/>
          <w:szCs w:val="32"/>
          <w:highlight w:val="none"/>
          <w:lang w:val="en-US" w:eastAsia="zh-CN"/>
        </w:rPr>
        <w:t>死亡抚恤</w:t>
      </w:r>
      <w:r>
        <w:rPr>
          <w:rFonts w:hint="default" w:ascii="Times New Roman" w:hAnsi="Times New Roman" w:eastAsia="仿宋_GB2312" w:cs="Times New Roman"/>
          <w:color w:val="auto"/>
          <w:sz w:val="32"/>
          <w:szCs w:val="32"/>
          <w:highlight w:val="none"/>
        </w:rPr>
        <w:t>（项）：指</w:t>
      </w:r>
      <w:r>
        <w:rPr>
          <w:rFonts w:hint="eastAsia" w:eastAsia="仿宋_GB2312" w:cs="Times New Roman"/>
          <w:color w:val="auto"/>
          <w:sz w:val="32"/>
          <w:szCs w:val="32"/>
          <w:highlight w:val="none"/>
          <w:lang w:val="en-US" w:eastAsia="zh-CN"/>
        </w:rPr>
        <w:t>退休人员去世抚恤金</w:t>
      </w:r>
      <w:r>
        <w:rPr>
          <w:rFonts w:hint="default" w:ascii="Times New Roman" w:hAnsi="Times New Roman" w:eastAsia="仿宋_GB2312" w:cs="Times New Roman"/>
          <w:color w:val="auto"/>
          <w:sz w:val="32"/>
          <w:szCs w:val="32"/>
          <w:highlight w:val="none"/>
        </w:rPr>
        <w:t>。</w:t>
      </w:r>
    </w:p>
    <w:p>
      <w:pPr>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.社会保障和就业（类）</w:t>
      </w:r>
      <w:r>
        <w:rPr>
          <w:rFonts w:hint="eastAsia" w:eastAsia="仿宋_GB2312" w:cs="Times New Roman"/>
          <w:color w:val="auto"/>
          <w:sz w:val="32"/>
          <w:szCs w:val="32"/>
          <w:highlight w:val="none"/>
          <w:lang w:val="en-US" w:eastAsia="zh-CN"/>
        </w:rPr>
        <w:t>其他社会保障和就业支出</w:t>
      </w:r>
      <w:r>
        <w:rPr>
          <w:rFonts w:hint="default" w:ascii="Times New Roman" w:hAnsi="Times New Roman" w:eastAsia="仿宋_GB2312" w:cs="Times New Roman"/>
          <w:color w:val="auto"/>
          <w:sz w:val="32"/>
          <w:szCs w:val="32"/>
          <w:highlight w:val="none"/>
        </w:rPr>
        <w:t>（款）</w:t>
      </w:r>
      <w:r>
        <w:rPr>
          <w:rFonts w:hint="eastAsia" w:eastAsia="仿宋_GB2312" w:cs="Times New Roman"/>
          <w:color w:val="auto"/>
          <w:sz w:val="32"/>
          <w:szCs w:val="32"/>
          <w:highlight w:val="none"/>
          <w:lang w:val="en-US" w:eastAsia="zh-CN"/>
        </w:rPr>
        <w:t>其他社会保障和就业支出</w:t>
      </w:r>
      <w:r>
        <w:rPr>
          <w:rFonts w:hint="default" w:ascii="Times New Roman" w:hAnsi="Times New Roman" w:eastAsia="仿宋_GB2312" w:cs="Times New Roman"/>
          <w:color w:val="auto"/>
          <w:sz w:val="32"/>
          <w:szCs w:val="32"/>
          <w:highlight w:val="none"/>
        </w:rPr>
        <w:t>（项）：指</w:t>
      </w:r>
      <w:r>
        <w:rPr>
          <w:rFonts w:hint="eastAsia" w:eastAsia="仿宋_GB2312" w:cs="Times New Roman"/>
          <w:color w:val="auto"/>
          <w:sz w:val="32"/>
          <w:szCs w:val="32"/>
          <w:highlight w:val="none"/>
          <w:lang w:val="en-US" w:eastAsia="zh-CN"/>
        </w:rPr>
        <w:t>离休人员医疗费补助</w:t>
      </w:r>
      <w:r>
        <w:rPr>
          <w:rFonts w:hint="default" w:ascii="Times New Roman" w:hAnsi="Times New Roman" w:eastAsia="仿宋_GB2312" w:cs="Times New Roman"/>
          <w:color w:val="auto"/>
          <w:sz w:val="32"/>
          <w:szCs w:val="32"/>
          <w:highlight w:val="none"/>
        </w:rPr>
        <w:t>。</w:t>
      </w:r>
    </w:p>
    <w:p>
      <w:pPr>
        <w:ind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卫生健康</w:t>
      </w:r>
      <w:r>
        <w:rPr>
          <w:rFonts w:hint="default" w:ascii="Times New Roman" w:hAnsi="Times New Roman" w:eastAsia="仿宋_GB2312" w:cs="Times New Roman"/>
          <w:color w:val="auto"/>
          <w:sz w:val="32"/>
          <w:szCs w:val="32"/>
          <w:highlight w:val="none"/>
        </w:rPr>
        <w:t>（类）</w:t>
      </w:r>
      <w:r>
        <w:rPr>
          <w:rFonts w:hint="eastAsia" w:eastAsia="仿宋_GB2312" w:cs="Times New Roman"/>
          <w:color w:val="auto"/>
          <w:sz w:val="32"/>
          <w:szCs w:val="32"/>
          <w:highlight w:val="none"/>
          <w:lang w:val="en-US" w:eastAsia="zh-CN"/>
        </w:rPr>
        <w:t>行政事业单位医疗</w:t>
      </w:r>
      <w:r>
        <w:rPr>
          <w:rFonts w:hint="default" w:ascii="Times New Roman" w:hAnsi="Times New Roman" w:eastAsia="仿宋_GB2312" w:cs="Times New Roman"/>
          <w:color w:val="auto"/>
          <w:sz w:val="32"/>
          <w:szCs w:val="32"/>
          <w:highlight w:val="none"/>
        </w:rPr>
        <w:t>（款）</w:t>
      </w:r>
      <w:r>
        <w:rPr>
          <w:rFonts w:hint="eastAsia" w:eastAsia="仿宋_GB2312" w:cs="Times New Roman"/>
          <w:color w:val="auto"/>
          <w:sz w:val="32"/>
          <w:szCs w:val="32"/>
          <w:highlight w:val="none"/>
          <w:lang w:val="en-US" w:eastAsia="zh-CN"/>
        </w:rPr>
        <w:t>事业单位医疗</w:t>
      </w:r>
      <w:r>
        <w:rPr>
          <w:rFonts w:hint="default" w:ascii="Times New Roman" w:hAnsi="Times New Roman" w:eastAsia="仿宋_GB2312" w:cs="Times New Roman"/>
          <w:color w:val="auto"/>
          <w:sz w:val="32"/>
          <w:szCs w:val="32"/>
          <w:highlight w:val="none"/>
        </w:rPr>
        <w:t>（项）：</w:t>
      </w:r>
      <w:r>
        <w:rPr>
          <w:rFonts w:hint="eastAsia" w:ascii="仿宋_GB2312" w:eastAsia="仿宋_GB2312"/>
          <w:sz w:val="32"/>
          <w:szCs w:val="32"/>
        </w:rPr>
        <w:t>指基本医疗保险缴费、大病保险缴费、工伤保险缴费、失业保险缴费</w:t>
      </w:r>
      <w:r>
        <w:rPr>
          <w:rFonts w:hint="default" w:ascii="Times New Roman" w:hAnsi="Times New Roman" w:eastAsia="仿宋_GB2312" w:cs="Times New Roman"/>
          <w:color w:val="auto"/>
          <w:sz w:val="32"/>
          <w:szCs w:val="32"/>
          <w:highlight w:val="none"/>
        </w:rPr>
        <w:t>。</w:t>
      </w:r>
    </w:p>
    <w:p>
      <w:pPr>
        <w:ind w:firstLine="640" w:firstLineChars="200"/>
        <w:jc w:val="both"/>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1</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.资源勘探</w:t>
      </w:r>
      <w:r>
        <w:rPr>
          <w:rFonts w:hint="default" w:ascii="Times New Roman" w:hAnsi="Times New Roman" w:eastAsia="仿宋_GB2312" w:cs="Times New Roman"/>
          <w:color w:val="auto"/>
          <w:sz w:val="32"/>
          <w:szCs w:val="32"/>
          <w:highlight w:val="none"/>
          <w:lang w:eastAsia="zh-CN"/>
        </w:rPr>
        <w:t>工业</w:t>
      </w:r>
      <w:r>
        <w:rPr>
          <w:rFonts w:hint="default" w:ascii="Times New Roman" w:hAnsi="Times New Roman" w:eastAsia="仿宋_GB2312" w:cs="Times New Roman"/>
          <w:color w:val="auto"/>
          <w:sz w:val="32"/>
          <w:szCs w:val="32"/>
          <w:highlight w:val="none"/>
        </w:rPr>
        <w:t>信息等（类）</w:t>
      </w:r>
      <w:r>
        <w:rPr>
          <w:rFonts w:hint="eastAsia" w:eastAsia="仿宋_GB2312" w:cs="Times New Roman"/>
          <w:color w:val="auto"/>
          <w:sz w:val="32"/>
          <w:szCs w:val="32"/>
          <w:highlight w:val="none"/>
          <w:lang w:val="en-US" w:eastAsia="zh-CN"/>
        </w:rPr>
        <w:t>工业和信息产业监管</w:t>
      </w:r>
      <w:r>
        <w:rPr>
          <w:rFonts w:hint="default" w:ascii="Times New Roman" w:hAnsi="Times New Roman" w:eastAsia="仿宋_GB2312" w:cs="Times New Roman"/>
          <w:color w:val="auto"/>
          <w:sz w:val="32"/>
          <w:szCs w:val="32"/>
          <w:highlight w:val="none"/>
        </w:rPr>
        <w:t>（款）</w:t>
      </w:r>
      <w:r>
        <w:rPr>
          <w:rFonts w:hint="eastAsia" w:eastAsia="仿宋_GB2312" w:cs="Times New Roman"/>
          <w:color w:val="auto"/>
          <w:sz w:val="32"/>
          <w:szCs w:val="32"/>
          <w:highlight w:val="none"/>
          <w:lang w:val="en-US" w:eastAsia="zh-CN"/>
        </w:rPr>
        <w:t>一般行政管理事务、其他工业和信息产业监管支出（项）：指购买试验室专用设备购置、人员经费、日常公用经费、项目支出经费。</w:t>
      </w:r>
    </w:p>
    <w:p>
      <w:pPr>
        <w:ind w:firstLine="640" w:firstLineChars="200"/>
        <w:jc w:val="both"/>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15</w:t>
      </w:r>
      <w:r>
        <w:rPr>
          <w:rFonts w:hint="default" w:ascii="Times New Roman" w:hAnsi="Times New Roman" w:eastAsia="仿宋_GB2312" w:cs="Times New Roman"/>
          <w:color w:val="auto"/>
          <w:sz w:val="32"/>
          <w:szCs w:val="32"/>
          <w:highlight w:val="none"/>
        </w:rPr>
        <w:t>.住房保障（类）</w:t>
      </w:r>
      <w:r>
        <w:rPr>
          <w:rFonts w:hint="eastAsia" w:eastAsia="仿宋_GB2312" w:cs="Times New Roman"/>
          <w:color w:val="auto"/>
          <w:sz w:val="32"/>
          <w:szCs w:val="32"/>
          <w:highlight w:val="none"/>
          <w:lang w:val="en-US" w:eastAsia="zh-CN"/>
        </w:rPr>
        <w:t>住房改革支出</w:t>
      </w:r>
      <w:r>
        <w:rPr>
          <w:rFonts w:hint="default" w:ascii="Times New Roman" w:hAnsi="Times New Roman" w:eastAsia="仿宋_GB2312" w:cs="Times New Roman"/>
          <w:color w:val="auto"/>
          <w:sz w:val="32"/>
          <w:szCs w:val="32"/>
          <w:highlight w:val="none"/>
        </w:rPr>
        <w:t>（款）</w:t>
      </w:r>
      <w:r>
        <w:rPr>
          <w:rFonts w:hint="eastAsia" w:eastAsia="仿宋_GB2312" w:cs="Times New Roman"/>
          <w:color w:val="auto"/>
          <w:sz w:val="32"/>
          <w:szCs w:val="32"/>
          <w:highlight w:val="none"/>
          <w:lang w:val="en-US" w:eastAsia="zh-CN"/>
        </w:rPr>
        <w:t>住房公积金</w:t>
      </w:r>
      <w:r>
        <w:rPr>
          <w:rFonts w:hint="default" w:ascii="Times New Roman" w:hAnsi="Times New Roman" w:eastAsia="仿宋_GB2312" w:cs="Times New Roman"/>
          <w:color w:val="auto"/>
          <w:sz w:val="32"/>
          <w:szCs w:val="32"/>
          <w:highlight w:val="none"/>
        </w:rPr>
        <w:t>（项）：指</w:t>
      </w:r>
      <w:r>
        <w:rPr>
          <w:rFonts w:hint="eastAsia" w:ascii="仿宋_GB2312" w:eastAsia="仿宋_GB2312"/>
          <w:sz w:val="32"/>
          <w:szCs w:val="32"/>
        </w:rPr>
        <w:t>缴纳职工住房公积金</w:t>
      </w:r>
      <w:r>
        <w:rPr>
          <w:rFonts w:hint="default" w:ascii="Times New Roman" w:hAnsi="Times New Roman" w:eastAsia="仿宋_GB2312" w:cs="Times New Roman"/>
          <w:color w:val="auto"/>
          <w:sz w:val="32"/>
          <w:szCs w:val="32"/>
          <w:highlight w:val="none"/>
        </w:rPr>
        <w:t>。</w:t>
      </w:r>
    </w:p>
    <w:p>
      <w:pPr>
        <w:ind w:firstLine="640" w:firstLineChars="200"/>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16</w:t>
      </w:r>
      <w:r>
        <w:rPr>
          <w:rFonts w:hint="default" w:ascii="Times New Roman" w:hAnsi="Times New Roman" w:eastAsia="仿宋_GB2312" w:cs="Times New Roman"/>
          <w:color w:val="auto"/>
          <w:sz w:val="32"/>
          <w:szCs w:val="32"/>
          <w:highlight w:val="none"/>
        </w:rPr>
        <w:t>.基本支出：</w:t>
      </w:r>
      <w:r>
        <w:rPr>
          <w:rFonts w:hint="default" w:ascii="Times New Roman" w:hAnsi="Times New Roman" w:eastAsia="仿宋_GB2312" w:cs="Times New Roman"/>
          <w:b w:val="0"/>
          <w:bCs w:val="0"/>
          <w:color w:val="auto"/>
          <w:sz w:val="32"/>
          <w:szCs w:val="32"/>
          <w:highlight w:val="none"/>
        </w:rPr>
        <w:t>指为保障机构正常运转、完成日常工作任务而发生的人员支出和公用支出</w:t>
      </w:r>
      <w:r>
        <w:rPr>
          <w:rFonts w:hint="default" w:ascii="Times New Roman" w:hAnsi="Times New Roman" w:eastAsia="仿宋_GB2312" w:cs="Times New Roman"/>
          <w:color w:val="auto"/>
          <w:sz w:val="32"/>
          <w:szCs w:val="32"/>
          <w:highlight w:val="none"/>
        </w:rPr>
        <w:t>。</w:t>
      </w:r>
    </w:p>
    <w:p>
      <w:pPr>
        <w:ind w:firstLine="640" w:firstLineChars="200"/>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17</w:t>
      </w:r>
      <w:r>
        <w:rPr>
          <w:rFonts w:hint="default" w:ascii="Times New Roman" w:hAnsi="Times New Roman" w:eastAsia="仿宋_GB2312" w:cs="Times New Roman"/>
          <w:color w:val="auto"/>
          <w:sz w:val="32"/>
          <w:szCs w:val="32"/>
          <w:highlight w:val="none"/>
        </w:rPr>
        <w:t xml:space="preserve">.项目支出：指在基本支出之外为完成特定行政任务和事业发展目标所发生的支出。 </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Times New Roman"/>
          <w:color w:val="auto"/>
          <w:sz w:val="32"/>
          <w:szCs w:val="32"/>
          <w:highlight w:val="none"/>
          <w:lang w:val="en-US" w:eastAsia="zh-CN"/>
        </w:rPr>
        <w:t>18</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仿宋_GB2312"/>
          <w:color w:val="auto"/>
          <w:kern w:val="2"/>
          <w:sz w:val="32"/>
          <w:szCs w:val="32"/>
          <w:highlight w:val="none"/>
          <w:lang w:val="en-US" w:eastAsia="zh-CN" w:bidi="ar-SA"/>
        </w:rPr>
        <w:t>经营支出：指事业单位在专业业务活动及其辅助活动之外开展非独立核算经营活动发生的支出。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19</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三公</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jc w:val="left"/>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51" w:name="_Toc15377226"/>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bookmarkStart w:id="52" w:name="_Toc15396618"/>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sectPr>
          <w:footerReference r:id="rId6" w:type="first"/>
          <w:footerReference r:id="rId5" w:type="default"/>
          <w:pgSz w:w="11906" w:h="16838"/>
          <w:pgMar w:top="1440" w:right="1800" w:bottom="1440" w:left="1800" w:header="851" w:footer="992" w:gutter="0"/>
          <w:pgNumType w:fmt="decimal" w:start="1"/>
          <w:cols w:space="425" w:num="1"/>
          <w:titlePg/>
          <w:docGrid w:type="lines" w:linePitch="312" w:charSpace="0"/>
        </w:sectPr>
      </w:pPr>
    </w:p>
    <w:p>
      <w:pPr>
        <w:numPr>
          <w:ilvl w:val="0"/>
          <w:numId w:val="0"/>
        </w:numPr>
        <w:spacing w:line="600" w:lineRule="exact"/>
        <w:jc w:val="center"/>
        <w:outlineLvl w:val="0"/>
        <w:rPr>
          <w:rFonts w:hint="eastAsia" w:ascii="Times New Roman" w:hAnsi="Times New Roman" w:eastAsia="方正小标宋简体" w:cs="方正小标宋简体"/>
          <w:b w:val="0"/>
          <w:bCs/>
          <w:color w:val="auto"/>
          <w:kern w:val="44"/>
          <w:sz w:val="44"/>
          <w:szCs w:val="44"/>
          <w:highlight w:val="none"/>
          <w:lang w:val="en-US" w:eastAsia="zh-CN" w:bidi="ar-SA"/>
        </w:rPr>
      </w:pPr>
      <w:bookmarkStart w:id="53" w:name="_Toc15396614"/>
      <w:r>
        <w:rPr>
          <w:rFonts w:hint="eastAsia" w:ascii="Times New Roman" w:hAnsi="Times New Roman" w:eastAsia="方正小标宋简体" w:cs="方正小标宋简体"/>
          <w:b w:val="0"/>
          <w:bCs/>
          <w:color w:val="auto"/>
          <w:kern w:val="44"/>
          <w:sz w:val="44"/>
          <w:szCs w:val="44"/>
          <w:highlight w:val="none"/>
          <w:lang w:val="en-US" w:eastAsia="zh-CN" w:bidi="ar-SA"/>
        </w:rPr>
        <w:t>第</w:t>
      </w:r>
      <w:r>
        <w:rPr>
          <w:rFonts w:hint="eastAsia" w:eastAsia="方正小标宋简体" w:cs="方正小标宋简体"/>
          <w:b w:val="0"/>
          <w:bCs/>
          <w:color w:val="auto"/>
          <w:kern w:val="44"/>
          <w:sz w:val="44"/>
          <w:szCs w:val="44"/>
          <w:highlight w:val="none"/>
          <w:lang w:val="en-US" w:eastAsia="zh-CN" w:bidi="ar-SA"/>
        </w:rPr>
        <w:t>四</w:t>
      </w:r>
      <w:r>
        <w:rPr>
          <w:rFonts w:hint="eastAsia" w:ascii="Times New Roman" w:hAnsi="Times New Roman" w:eastAsia="方正小标宋简体" w:cs="方正小标宋简体"/>
          <w:b w:val="0"/>
          <w:bCs/>
          <w:color w:val="auto"/>
          <w:kern w:val="44"/>
          <w:sz w:val="44"/>
          <w:szCs w:val="44"/>
          <w:highlight w:val="none"/>
          <w:lang w:val="en-US" w:eastAsia="zh-CN" w:bidi="ar-SA"/>
        </w:rPr>
        <w:t>部分</w:t>
      </w:r>
      <w:r>
        <w:rPr>
          <w:rFonts w:hint="eastAsia" w:eastAsia="方正小标宋简体" w:cs="方正小标宋简体"/>
          <w:b w:val="0"/>
          <w:bCs/>
          <w:color w:val="auto"/>
          <w:kern w:val="44"/>
          <w:sz w:val="44"/>
          <w:szCs w:val="44"/>
          <w:highlight w:val="none"/>
          <w:lang w:val="en-US" w:eastAsia="zh-CN" w:bidi="ar-SA"/>
        </w:rPr>
        <w:t xml:space="preserve">  </w:t>
      </w:r>
      <w:r>
        <w:rPr>
          <w:rFonts w:hint="eastAsia" w:ascii="Times New Roman" w:hAnsi="Times New Roman" w:eastAsia="方正小标宋简体" w:cs="方正小标宋简体"/>
          <w:b w:val="0"/>
          <w:bCs/>
          <w:color w:val="auto"/>
          <w:kern w:val="44"/>
          <w:sz w:val="44"/>
          <w:szCs w:val="44"/>
          <w:highlight w:val="none"/>
          <w:lang w:val="en-US" w:eastAsia="zh-CN" w:bidi="ar-SA"/>
        </w:rPr>
        <w:t>附件</w:t>
      </w:r>
      <w:bookmarkEnd w:id="53"/>
    </w:p>
    <w:tbl>
      <w:tblPr>
        <w:tblStyle w:val="1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0"/>
        <w:gridCol w:w="2529"/>
        <w:gridCol w:w="1483"/>
        <w:gridCol w:w="2237"/>
        <w:gridCol w:w="1006"/>
        <w:gridCol w:w="975"/>
        <w:gridCol w:w="717"/>
        <w:gridCol w:w="1091"/>
        <w:gridCol w:w="499"/>
        <w:gridCol w:w="437"/>
        <w:gridCol w:w="25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3"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874"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51000022T000007088091-市场监管专项资金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 w:hRule="atLeast"/>
        </w:trPr>
        <w:tc>
          <w:tcPr>
            <w:tcW w:w="11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383"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22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四川省电子产品监督检验所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8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0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市场监管局专项资金主要用于购买市场抽样样品费以及专用实验室设备维修费。</w:t>
            </w:r>
          </w:p>
        </w:tc>
        <w:tc>
          <w:tcPr>
            <w:tcW w:w="160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该预算项目年度目标已全面完成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874"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2024年该项目资金共计13万元，其中，10.60万元用于实验室维修费，2.40万元用于市场抽检购样费。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13.00</w:t>
            </w:r>
          </w:p>
        </w:tc>
        <w:tc>
          <w:tcPr>
            <w:tcW w:w="9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该预算项目年度目标已全面完成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13.00</w:t>
            </w:r>
          </w:p>
        </w:tc>
        <w:tc>
          <w:tcPr>
            <w:tcW w:w="9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2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资金科目数量</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抽样合格率</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99</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设备维修及时率</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98</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足额保障率（检验、检测率）</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使用人员满意度</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98</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资金使用效率</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98</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377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8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该预算项目年度目标已全面完成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6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该项目年度目标已全面完成。2023年该项目资金共计13万元，其中，10.60万元用于实验室维修费，2.40万元用于市场抽检购样费。不仅提升了实验室检测能力，还通过抽检得出了市场抽样合格率。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3"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6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该项目年度目标已全面完成，取得了预期成效，无其他问题。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6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进一步用好维修资金和抽样资金。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7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项目负责人：周晟</w:t>
            </w:r>
          </w:p>
        </w:tc>
        <w:tc>
          <w:tcPr>
            <w:tcW w:w="220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财务负责人：刘海涛</w:t>
            </w:r>
          </w:p>
        </w:tc>
      </w:tr>
    </w:tbl>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tbl>
      <w:tblPr>
        <w:tblStyle w:val="18"/>
        <w:tblW w:w="143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0"/>
        <w:gridCol w:w="1882"/>
        <w:gridCol w:w="2183"/>
        <w:gridCol w:w="2265"/>
        <w:gridCol w:w="742"/>
        <w:gridCol w:w="1245"/>
        <w:gridCol w:w="732"/>
        <w:gridCol w:w="1093"/>
        <w:gridCol w:w="507"/>
        <w:gridCol w:w="453"/>
        <w:gridCol w:w="25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3" w:hRule="atLeast"/>
        </w:trPr>
        <w:tc>
          <w:tcPr>
            <w:tcW w:w="143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77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51000024T000010387451-2024年度办公设备购置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 w:hRule="atLeast"/>
        </w:trPr>
        <w:tc>
          <w:tcPr>
            <w:tcW w:w="2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716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109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四川省电子产品监督检验所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8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716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1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8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6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1、因软件和网络安全测试均为客户现场测试，需要技术人员携带便携式电脑现场收集测试数据，申请购买4台笔记本电脑。</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2、因目前在用办公电脑已使用近10年，操作非常卡顿、经常故障、严重影响正常工作，申请新换10台台式电脑。</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3、应软件和网络安全部业务办公室打印机使用近8年，打印速度慢且仅支持单面打印，已严重影响制作标书的效率，申请更换2台A4黑白打印机。</w:t>
            </w:r>
          </w:p>
        </w:tc>
        <w:tc>
          <w:tcPr>
            <w:tcW w:w="461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该预算项目年度目标已全面完成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77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该项目预算额8.04万元，完成7.72万元，预算执行率达100%，完成实施情况良好。因实际采购金额低于年初预算金额，导致0.32万元未使用。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8.04</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7.72</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7.72</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因实际采购金额低于年初预算金额，导致0.32万元未使用。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8.04</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7.72</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7.72</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21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政府采购率</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购买台式电脑数量</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台/套</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购买A4黑白打印机数量</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台/套</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购买测试电脑数量</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台/套</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4</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设备质量合格率</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安装设备验收合格率</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办公设备购置完成期限</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12</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提升检验、检测服务能力保障率</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设备使用年限</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6</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2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使用人员满意度</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92</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82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因实际采购金额低于年初预算金额，导致0.32万元未使用。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6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该项目完成实施情况良好，预算总额8.04万元，完成7.72万元，预算执行率达100%。通过购买相关办公设备，有效提升了人员办公效率。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3"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6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因购买的相关物品实际采购金额低于年初预算金额，故有0.32万元未使用。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6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以后需更加精确的测算采购物品的价格。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7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项目负责人：黄健</w:t>
            </w:r>
          </w:p>
        </w:tc>
        <w:tc>
          <w:tcPr>
            <w:tcW w:w="65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财务负责人：刘海涛</w:t>
            </w:r>
          </w:p>
        </w:tc>
      </w:tr>
    </w:tbl>
    <w:p>
      <w:pPr>
        <w:pStyle w:val="2"/>
        <w:ind w:left="0" w:leftChars="0" w:firstLine="0" w:firstLineChars="0"/>
        <w:rPr>
          <w:rFonts w:hint="eastAsia"/>
          <w:lang w:val="en-US" w:eastAsia="zh-CN"/>
        </w:rPr>
      </w:pPr>
    </w:p>
    <w:p>
      <w:pPr>
        <w:rPr>
          <w:rFonts w:hint="eastAsia"/>
          <w:lang w:val="en-US" w:eastAsia="zh-CN"/>
        </w:rPr>
      </w:pPr>
    </w:p>
    <w:p>
      <w:pPr>
        <w:pStyle w:val="2"/>
        <w:rPr>
          <w:rFonts w:hint="eastAsia"/>
          <w:lang w:val="en-US" w:eastAsia="zh-CN"/>
        </w:rPr>
      </w:pPr>
    </w:p>
    <w:tbl>
      <w:tblPr>
        <w:tblStyle w:val="1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9"/>
        <w:gridCol w:w="2268"/>
        <w:gridCol w:w="1749"/>
        <w:gridCol w:w="2237"/>
        <w:gridCol w:w="516"/>
        <w:gridCol w:w="1658"/>
        <w:gridCol w:w="516"/>
        <w:gridCol w:w="1080"/>
        <w:gridCol w:w="499"/>
        <w:gridCol w:w="445"/>
        <w:gridCol w:w="25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3"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96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51000024T000010387485-2024年专用设备购置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 w:hRule="atLeast"/>
        </w:trPr>
        <w:tc>
          <w:tcPr>
            <w:tcW w:w="10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四川省经济和信息化厅部门</w:t>
            </w:r>
          </w:p>
        </w:tc>
        <w:tc>
          <w:tcPr>
            <w:tcW w:w="38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22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四川省电子产品监督检验所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0" w:hRule="atLeast"/>
        </w:trPr>
        <w:tc>
          <w:tcPr>
            <w:tcW w:w="2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1、网络安全等级测评与检测评估机构服务认证合规性监督审查工作，须购买数据防泄漏软件DLP，以满足网络安全等级测评与检测评估机构定期监督审查的合规性等要求，需要购买3台检测设备。</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2、满足连接器标准：GB/T5095.8-1997第2.1条、2.2条、2.3条；第3.1条、3.5条、3.7条；满足GB/T5095.3-1997的要求和用于测试光辐射亮度，满足测试电视、显示器、灯具及环境光亮度等测试需要购买13台实验室专用设备。</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3、因检测业务需要，需要购买激光测距仪和因检测业务需要，需购买福禄克线缆测试仪以满足福禄克线缆测试的需要购买安防测试设备3台。</w:t>
            </w:r>
          </w:p>
        </w:tc>
        <w:tc>
          <w:tcPr>
            <w:tcW w:w="16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该项目完成实施情况良好。计划采购振动台与冲击台实验室设备预算120万元，但因招标4次均流标，故未使用该预算。另外，因其他设备的实际购买价格低于预算价格，导致5.22万元未使用。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96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该项目完成实施情况良好。计划采购振动台与冲击台实验室设备预算120万元，但因招标4次均流标，故未使用该预算。另外，因其他设备的实际购买价格低于预算价格，导致5.22万元未使用。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2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354.30</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216.20</w:t>
            </w:r>
          </w:p>
        </w:tc>
        <w:tc>
          <w:tcPr>
            <w:tcW w:w="9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210.98</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97.59%</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8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该项目完成实施情况良好。计划采购振动台与冲击台实验室设备预算120万元，但因招标4次均流标，故未使用该预算。另外，因其他设备的实际购买价格低于预算价格，导致5.22万元未使用。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2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2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2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354.30</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216.20</w:t>
            </w:r>
          </w:p>
        </w:tc>
        <w:tc>
          <w:tcPr>
            <w:tcW w:w="9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210.98</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97.59%</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2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2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购买电子检测设备数量</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台/套</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12</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1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2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购买安防检测设备数量</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台/套</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2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购买软件、等保测评设备数量</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台/套</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安装设备验收合格率</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2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设备采购、安装、调试完成期限</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12</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设备利用率</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2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提升实验室检验、检测能力保障率</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97</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2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使用人员满意度</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1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77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该项目完成实施情况良好。计划采购振动台与冲击台实验室设备预算120万元，但因招标4次均流标，故未使用该预算。另外，因其他设备的实际购买价格低于预算价格，导致5.22万元未使用。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6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该项目完成实施情况良好，通过购买相关实验室设备，大力提升了我所实验室检验、检测能力。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3" w:hRule="atLeast"/>
        </w:trPr>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6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计划采购振动台与冲击台实验室设备预算120万元，但因招标4次均流标，故未使用该预算。另外，因其他设备的实际购买价格低于预算价格，导致5.22万元未使用。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6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需更加合理的制定购置方案以及更加精确的测算购置设备的价格。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62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项目负责人：黄健</w:t>
            </w:r>
          </w:p>
        </w:tc>
        <w:tc>
          <w:tcPr>
            <w:tcW w:w="237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财务负责人：刘海涛</w:t>
            </w:r>
          </w:p>
        </w:tc>
      </w:tr>
    </w:tbl>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方正小标宋简体" w:cs="方正小标宋简体"/>
          <w:b w:val="0"/>
          <w:bCs/>
          <w:color w:val="auto"/>
          <w:kern w:val="44"/>
          <w:sz w:val="44"/>
          <w:szCs w:val="44"/>
          <w:highlight w:val="none"/>
          <w:lang w:val="en-US" w:eastAsia="zh-CN" w:bidi="ar-SA"/>
        </w:rPr>
        <w:sectPr>
          <w:pgSz w:w="16838" w:h="11906" w:orient="landscape"/>
          <w:pgMar w:top="1803" w:right="1440" w:bottom="1803" w:left="1440" w:header="851" w:footer="992" w:gutter="0"/>
          <w:pgNumType w:fmt="decimal"/>
          <w:cols w:space="0" w:num="1"/>
          <w:titlePg/>
          <w:rtlGutter w:val="0"/>
          <w:docGrid w:type="lines" w:linePitch="319" w:charSpace="0"/>
        </w:sectPr>
      </w:pPr>
      <w:r>
        <w:rPr>
          <w:rFonts w:hint="eastAsia" w:ascii="Times New Roman" w:hAnsi="Times New Roman" w:eastAsia="仿宋_GB2312" w:cs="仿宋_GB2312"/>
          <w:b w:val="0"/>
          <w:bCs w:val="0"/>
          <w:kern w:val="0"/>
          <w:position w:val="0"/>
          <w:sz w:val="32"/>
          <w:szCs w:val="32"/>
          <w:highlight w:val="none"/>
          <w:lang w:val="en-US" w:eastAsia="zh-CN" w:bidi="ar-SA"/>
        </w:rPr>
        <w:br w:type="page"/>
      </w:r>
      <w:bookmarkStart w:id="67" w:name="_GoBack"/>
      <w:bookmarkEnd w:id="67"/>
    </w:p>
    <w:p>
      <w:pPr>
        <w:numPr>
          <w:ilvl w:val="0"/>
          <w:numId w:val="0"/>
        </w:numPr>
        <w:spacing w:line="600" w:lineRule="exact"/>
        <w:jc w:val="center"/>
        <w:outlineLvl w:val="0"/>
        <w:rPr>
          <w:rFonts w:hint="eastAsia" w:eastAsia="方正小标宋简体" w:cs="方正小标宋简体"/>
          <w:b w:val="0"/>
          <w:bCs/>
          <w:color w:val="auto"/>
          <w:kern w:val="44"/>
          <w:sz w:val="44"/>
          <w:szCs w:val="44"/>
          <w:highlight w:val="none"/>
          <w:lang w:val="en-US" w:eastAsia="zh-CN" w:bidi="ar-SA"/>
        </w:rPr>
      </w:pPr>
      <w:r>
        <w:rPr>
          <w:rFonts w:hint="eastAsia" w:eastAsia="方正小标宋简体" w:cs="方正小标宋简体"/>
          <w:b w:val="0"/>
          <w:bCs/>
          <w:color w:val="auto"/>
          <w:kern w:val="44"/>
          <w:sz w:val="44"/>
          <w:szCs w:val="44"/>
          <w:highlight w:val="none"/>
          <w:lang w:val="en-US" w:eastAsia="zh-CN" w:bidi="ar-SA"/>
        </w:rPr>
        <w:t>第五部分 附表</w:t>
      </w:r>
      <w:bookmarkEnd w:id="51"/>
      <w:bookmarkEnd w:id="52"/>
      <w:bookmarkStart w:id="54" w:name="_Toc15396619"/>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54"/>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5" w:name="_Toc15396620"/>
      <w:r>
        <w:rPr>
          <w:rFonts w:hint="eastAsia" w:ascii="Times New Roman" w:hAnsi="Times New Roman" w:eastAsia="仿宋_GB2312" w:cs="仿宋_GB2312"/>
          <w:color w:val="auto"/>
          <w:sz w:val="32"/>
          <w:szCs w:val="32"/>
          <w:highlight w:val="none"/>
        </w:rPr>
        <w:t>二、收入决算表</w:t>
      </w:r>
      <w:bookmarkEnd w:id="55"/>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6" w:name="_Toc15396621"/>
      <w:r>
        <w:rPr>
          <w:rFonts w:hint="eastAsia" w:ascii="Times New Roman" w:hAnsi="Times New Roman" w:eastAsia="仿宋_GB2312" w:cs="仿宋_GB2312"/>
          <w:color w:val="auto"/>
          <w:sz w:val="32"/>
          <w:szCs w:val="32"/>
          <w:highlight w:val="none"/>
        </w:rPr>
        <w:t>三、支出决算表</w:t>
      </w:r>
      <w:bookmarkEnd w:id="56"/>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7" w:name="_Toc15396622"/>
      <w:r>
        <w:rPr>
          <w:rFonts w:hint="eastAsia" w:ascii="Times New Roman" w:hAnsi="Times New Roman" w:eastAsia="仿宋_GB2312" w:cs="仿宋_GB2312"/>
          <w:color w:val="auto"/>
          <w:sz w:val="32"/>
          <w:szCs w:val="32"/>
          <w:highlight w:val="none"/>
        </w:rPr>
        <w:t>四、财政拨款收入支出决算总表</w:t>
      </w:r>
      <w:bookmarkEnd w:id="57"/>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8" w:name="_Toc15396623"/>
      <w:r>
        <w:rPr>
          <w:rFonts w:hint="eastAsia" w:ascii="Times New Roman" w:hAnsi="Times New Roman" w:eastAsia="仿宋_GB2312" w:cs="仿宋_GB2312"/>
          <w:color w:val="auto"/>
          <w:sz w:val="32"/>
          <w:szCs w:val="32"/>
          <w:highlight w:val="none"/>
        </w:rPr>
        <w:t>五、财政拨款支出决算明细表</w:t>
      </w:r>
      <w:bookmarkEnd w:id="58"/>
      <w:bookmarkStart w:id="59" w:name="_Toc15396624"/>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59"/>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0" w:name="_Toc15396625"/>
      <w:r>
        <w:rPr>
          <w:rFonts w:hint="eastAsia" w:ascii="Times New Roman" w:hAnsi="Times New Roman" w:eastAsia="仿宋_GB2312" w:cs="仿宋_GB2312"/>
          <w:color w:val="auto"/>
          <w:sz w:val="32"/>
          <w:szCs w:val="32"/>
          <w:highlight w:val="none"/>
        </w:rPr>
        <w:t>七、一般公共预算财政拨款支出决算明细表</w:t>
      </w:r>
      <w:bookmarkEnd w:id="60"/>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1" w:name="_Toc15396626"/>
      <w:r>
        <w:rPr>
          <w:rFonts w:hint="eastAsia" w:ascii="Times New Roman" w:hAnsi="Times New Roman" w:eastAsia="仿宋_GB2312" w:cs="仿宋_GB2312"/>
          <w:color w:val="auto"/>
          <w:sz w:val="32"/>
          <w:szCs w:val="32"/>
          <w:highlight w:val="none"/>
        </w:rPr>
        <w:t>八、一般公共预算财政拨款基本支出决算表</w:t>
      </w:r>
      <w:bookmarkEnd w:id="61"/>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2" w:name="_Toc15396627"/>
      <w:r>
        <w:rPr>
          <w:rFonts w:hint="eastAsia" w:ascii="Times New Roman" w:hAnsi="Times New Roman" w:eastAsia="仿宋_GB2312" w:cs="仿宋_GB2312"/>
          <w:color w:val="auto"/>
          <w:sz w:val="32"/>
          <w:szCs w:val="32"/>
          <w:highlight w:val="none"/>
        </w:rPr>
        <w:t>九、一般公共预算财政拨款项目支出决算表</w:t>
      </w:r>
      <w:bookmarkEnd w:id="62"/>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3" w:name="_Toc15396628"/>
      <w:r>
        <w:rPr>
          <w:rFonts w:hint="eastAsia" w:ascii="Times New Roman" w:hAnsi="Times New Roman" w:eastAsia="仿宋_GB2312" w:cs="仿宋_GB2312"/>
          <w:color w:val="auto"/>
          <w:sz w:val="32"/>
          <w:szCs w:val="32"/>
          <w:highlight w:val="none"/>
        </w:rPr>
        <w:t>十、</w:t>
      </w:r>
      <w:bookmarkEnd w:id="63"/>
      <w:r>
        <w:rPr>
          <w:rFonts w:hint="eastAsia" w:ascii="Times New Roman" w:hAnsi="Times New Roman" w:eastAsia="仿宋_GB2312" w:cs="仿宋_GB2312"/>
          <w:color w:val="auto"/>
          <w:sz w:val="32"/>
          <w:szCs w:val="32"/>
          <w:highlight w:val="none"/>
        </w:rPr>
        <w:t>政府性基金预算财政拨款收入支出决算表</w:t>
      </w:r>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4" w:name="_Toc15396629"/>
      <w:r>
        <w:rPr>
          <w:rFonts w:hint="eastAsia" w:ascii="Times New Roman" w:hAnsi="Times New Roman" w:eastAsia="仿宋_GB2312" w:cs="仿宋_GB2312"/>
          <w:color w:val="auto"/>
          <w:sz w:val="32"/>
          <w:szCs w:val="32"/>
          <w:highlight w:val="none"/>
        </w:rPr>
        <w:t>十一、</w:t>
      </w:r>
      <w:bookmarkEnd w:id="64"/>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5" w:name="_Toc15396630"/>
      <w:r>
        <w:rPr>
          <w:rFonts w:hint="eastAsia" w:ascii="Times New Roman" w:hAnsi="Times New Roman" w:eastAsia="仿宋_GB2312" w:cs="仿宋_GB2312"/>
          <w:color w:val="auto"/>
          <w:sz w:val="32"/>
          <w:szCs w:val="32"/>
          <w:highlight w:val="none"/>
        </w:rPr>
        <w:t>十二、</w:t>
      </w:r>
      <w:bookmarkEnd w:id="65"/>
      <w:r>
        <w:rPr>
          <w:rFonts w:hint="eastAsia" w:ascii="Times New Roman" w:hAnsi="Times New Roman" w:eastAsia="仿宋_GB2312" w:cs="仿宋_GB2312"/>
          <w:color w:val="auto"/>
          <w:sz w:val="32"/>
          <w:szCs w:val="32"/>
          <w:highlight w:val="none"/>
          <w:lang w:eastAsia="zh-CN"/>
        </w:rPr>
        <w:t>国有资本经营预算财政拨款支出决算表</w:t>
      </w:r>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66" w:name="_Toc15396631"/>
      <w:r>
        <w:rPr>
          <w:rFonts w:hint="eastAsia" w:ascii="Times New Roman" w:hAnsi="Times New Roman" w:eastAsia="仿宋_GB2312" w:cs="仿宋_GB2312"/>
          <w:color w:val="auto"/>
          <w:sz w:val="32"/>
          <w:szCs w:val="32"/>
          <w:highlight w:val="none"/>
        </w:rPr>
        <w:t>十三、</w:t>
      </w:r>
      <w:bookmarkEnd w:id="66"/>
      <w:r>
        <w:rPr>
          <w:rFonts w:hint="eastAsia" w:ascii="Times New Roman" w:hAnsi="Times New Roman" w:eastAsia="仿宋_GB2312" w:cs="仿宋_GB2312"/>
          <w:color w:val="auto"/>
          <w:sz w:val="32"/>
          <w:szCs w:val="32"/>
          <w:highlight w:val="none"/>
          <w:lang w:eastAsia="zh-CN"/>
        </w:rPr>
        <w:t>财政拨款“三公”经费支出决算表</w:t>
      </w:r>
    </w:p>
    <w:p>
      <w:pPr>
        <w:rPr>
          <w:rFonts w:hint="eastAsia" w:ascii="Times New Roman" w:hAnsi="Times New Roman" w:eastAsia="仿宋_GB2312" w:cs="仿宋_GB2312"/>
          <w:color w:val="auto"/>
          <w:sz w:val="32"/>
          <w:szCs w:val="32"/>
          <w:highlight w:val="none"/>
          <w:lang w:eastAsia="zh-CN"/>
        </w:rPr>
      </w:pPr>
    </w:p>
    <w:p>
      <w:pPr>
        <w:pStyle w:val="2"/>
        <w:rPr>
          <w:rFonts w:hint="eastAsia" w:ascii="Times New Roman" w:hAnsi="Times New Roman" w:eastAsia="仿宋_GB2312" w:cs="仿宋_GB2312"/>
          <w:color w:val="auto"/>
          <w:sz w:val="32"/>
          <w:szCs w:val="32"/>
          <w:highlight w:val="none"/>
          <w:lang w:eastAsia="zh-CN"/>
        </w:rPr>
      </w:pPr>
    </w:p>
    <w:p>
      <w:pPr>
        <w:rPr>
          <w:rFonts w:hint="eastAsia" w:ascii="Times New Roman" w:hAnsi="Times New Roman" w:eastAsia="仿宋_GB2312" w:cs="仿宋_GB2312"/>
          <w:color w:val="auto"/>
          <w:sz w:val="32"/>
          <w:szCs w:val="32"/>
          <w:highlight w:val="none"/>
          <w:lang w:eastAsia="zh-CN"/>
        </w:rPr>
      </w:pPr>
    </w:p>
    <w:p>
      <w:pPr>
        <w:pStyle w:val="2"/>
        <w:rPr>
          <w:rFonts w:hint="eastAsia" w:ascii="Times New Roman" w:hAnsi="Times New Roman" w:eastAsia="仿宋_GB2312" w:cs="仿宋_GB2312"/>
          <w:color w:val="auto"/>
          <w:sz w:val="32"/>
          <w:szCs w:val="32"/>
          <w:highlight w:val="none"/>
          <w:lang w:eastAsia="zh-CN"/>
        </w:rPr>
      </w:pPr>
    </w:p>
    <w:p>
      <w:pPr>
        <w:rPr>
          <w:rFonts w:hint="eastAsia" w:ascii="Times New Roman" w:hAnsi="Times New Roman" w:eastAsia="仿宋_GB2312" w:cs="仿宋_GB2312"/>
          <w:color w:val="auto"/>
          <w:sz w:val="32"/>
          <w:szCs w:val="32"/>
          <w:highlight w:val="none"/>
          <w:lang w:eastAsia="zh-CN"/>
        </w:rPr>
      </w:pPr>
    </w:p>
    <w:p>
      <w:pPr>
        <w:pStyle w:val="2"/>
        <w:rPr>
          <w:rFonts w:hint="eastAsia" w:ascii="Times New Roman" w:hAnsi="Times New Roman" w:eastAsia="仿宋_GB2312" w:cs="仿宋_GB2312"/>
          <w:color w:val="auto"/>
          <w:sz w:val="32"/>
          <w:szCs w:val="32"/>
          <w:highlight w:val="none"/>
          <w:lang w:eastAsia="zh-CN"/>
        </w:rPr>
      </w:pPr>
    </w:p>
    <w:p>
      <w:pPr>
        <w:rPr>
          <w:rFonts w:hint="eastAsia" w:ascii="Times New Roman" w:hAnsi="Times New Roman" w:eastAsia="仿宋_GB2312" w:cs="仿宋_GB2312"/>
          <w:color w:val="auto"/>
          <w:sz w:val="32"/>
          <w:szCs w:val="32"/>
          <w:highlight w:val="none"/>
          <w:lang w:eastAsia="zh-CN"/>
        </w:rPr>
      </w:pPr>
    </w:p>
    <w:p>
      <w:pPr>
        <w:pStyle w:val="2"/>
        <w:rPr>
          <w:rFonts w:hint="eastAsia" w:ascii="Times New Roman" w:hAnsi="Times New Roman" w:eastAsia="仿宋_GB2312" w:cs="仿宋_GB2312"/>
          <w:color w:val="auto"/>
          <w:sz w:val="32"/>
          <w:szCs w:val="32"/>
          <w:highlight w:val="none"/>
          <w:lang w:eastAsia="zh-CN"/>
        </w:rPr>
      </w:pPr>
    </w:p>
    <w:p>
      <w:pPr>
        <w:rPr>
          <w:rFonts w:hint="eastAsia"/>
          <w:lang w:eastAsia="zh-CN"/>
        </w:rPr>
      </w:pPr>
    </w:p>
    <w:p>
      <w:pPr>
        <w:rPr>
          <w:rFonts w:hint="eastAsia" w:ascii="Times New Roman" w:hAnsi="Times New Roman"/>
          <w:highlight w:val="none"/>
          <w:lang w:eastAsia="zh-CN"/>
        </w:rPr>
        <w:sectPr>
          <w:pgSz w:w="11906" w:h="16838"/>
          <w:pgMar w:top="1440" w:right="1803" w:bottom="1440" w:left="1803" w:header="851" w:footer="992" w:gutter="0"/>
          <w:pgNumType w:fmt="decimal"/>
          <w:cols w:space="0" w:num="1"/>
          <w:titlePg/>
          <w:rtlGutter w:val="0"/>
          <w:docGrid w:type="lines" w:linePitch="319" w:charSpace="0"/>
        </w:sectPr>
      </w:pPr>
    </w:p>
    <w:tbl>
      <w:tblPr>
        <w:tblStyle w:val="1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118"/>
        <w:gridCol w:w="446"/>
        <w:gridCol w:w="924"/>
        <w:gridCol w:w="2872"/>
        <w:gridCol w:w="432"/>
        <w:gridCol w:w="14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5000" w:type="pct"/>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75"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38"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08"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578"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38"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财决公开01表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913" w:type="pct"/>
            <w:gridSpan w:val="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单位名称：四川省电子产品监督检验所</w:t>
            </w:r>
          </w:p>
        </w:tc>
        <w:tc>
          <w:tcPr>
            <w:tcW w:w="2086" w:type="pct"/>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2024年度</w:t>
            </w:r>
          </w:p>
        </w:tc>
        <w:tc>
          <w:tcPr>
            <w:tcW w:w="238" w:type="pct"/>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76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4" w:hRule="atLeast"/>
        </w:trPr>
        <w:tc>
          <w:tcPr>
            <w:tcW w:w="2422" w:type="pct"/>
            <w:gridSpan w:val="3"/>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收入</w:t>
            </w:r>
          </w:p>
        </w:tc>
        <w:tc>
          <w:tcPr>
            <w:tcW w:w="2577" w:type="pct"/>
            <w:gridSpan w:val="3"/>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1675" w:type="pc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508" w:type="pc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c>
          <w:tcPr>
            <w:tcW w:w="1578" w:type="pc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761" w:type="pc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1675" w:type="pc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508" w:type="pc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578" w:type="pc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761" w:type="pc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一、一般公共预算财政拨款收入</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449.51</w:t>
            </w: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一、一般公共服务支出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二、政府性基金预算财政拨款收入</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二、外交支出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三、国有资本经营预算财政拨款收入</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三、国防支出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四、上级补助收入</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四、公共安全支出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五、事业收入</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2,173.82</w:t>
            </w: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五、教育支出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六、经营收入</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六、科学技术支出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七、附属单位上缴收入</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七、文化旅游体育与传媒支出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八、其他收入</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52.49</w:t>
            </w: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八、社会保障和就业支出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326.97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九、卫生健康支出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十、节能环保支出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十一、城乡社区支出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十二、农林水支出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十三、交通运输支出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十四、资源勘探工业信息等支出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2,266.00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十五、商业服务业等支出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十六、金融支出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十七、援助其他地区支出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十八、自然资源海洋气象等支出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十九、住房保障支出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二十、粮油物资储备支出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二十一、国有资本经营预算支出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二十二、灾害防治及应急管理支出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二十三、其他支出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二十四、债务还本支出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二十五、债务付息支出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二十六、抗疫特别国债安排的支出</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本年收入合计</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2,675.82</w:t>
            </w: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本年支出合计</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2,790.52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使用非财政拨款结余（含专用结余）</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结余分配</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年初结转和结余</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190.31</w:t>
            </w: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年末结转和结余</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9" w:hRule="atLeast"/>
        </w:trPr>
        <w:tc>
          <w:tcPr>
            <w:tcW w:w="1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总计</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2,866.13</w:t>
            </w:r>
          </w:p>
        </w:tc>
        <w:tc>
          <w:tcPr>
            <w:tcW w:w="15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总计</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2,866.13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5000" w:type="pct"/>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注：1.本表反映部门本年度的总收支和年末结转结余情况。</w:t>
            </w:r>
          </w:p>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 xml:space="preserve">    2.本套报表金额单位转换时可能存在尾数误差。</w:t>
            </w:r>
          </w:p>
        </w:tc>
      </w:tr>
    </w:tbl>
    <w:p>
      <w:pPr>
        <w:rPr>
          <w:rFonts w:hint="eastAsia"/>
          <w:lang w:eastAsia="zh-CN"/>
        </w:rPr>
        <w:sectPr>
          <w:pgSz w:w="11906" w:h="16838"/>
          <w:pgMar w:top="1440" w:right="1701" w:bottom="1440" w:left="1134" w:header="851" w:footer="992" w:gutter="0"/>
          <w:pgNumType w:fmt="decimal"/>
          <w:cols w:space="0" w:num="1"/>
          <w:titlePg/>
          <w:rtlGutter w:val="0"/>
          <w:docGrid w:type="lines" w:linePitch="319" w:charSpace="0"/>
        </w:sectPr>
      </w:pPr>
    </w:p>
    <w:p>
      <w:pPr>
        <w:pStyle w:val="2"/>
        <w:ind w:left="0" w:leftChars="0" w:firstLine="0" w:firstLineChars="0"/>
        <w:rPr>
          <w:rFonts w:hint="eastAsia"/>
          <w:lang w:eastAsia="zh-CN"/>
        </w:rPr>
      </w:pPr>
    </w:p>
    <w:tbl>
      <w:tblPr>
        <w:tblStyle w:val="18"/>
        <w:tblW w:w="1465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616"/>
        <w:gridCol w:w="436"/>
        <w:gridCol w:w="436"/>
        <w:gridCol w:w="3182"/>
        <w:gridCol w:w="1230"/>
        <w:gridCol w:w="1028"/>
        <w:gridCol w:w="825"/>
        <w:gridCol w:w="1230"/>
        <w:gridCol w:w="825"/>
        <w:gridCol w:w="825"/>
        <w:gridCol w:w="10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14653" w:type="dxa"/>
            <w:gridSpan w:val="11"/>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1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3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3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18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3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2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3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2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845" w:type="dxa"/>
            <w:gridSpan w:val="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财决公开02表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16"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单位名称：四川省电子产品监督检验所</w:t>
            </w:r>
          </w:p>
        </w:tc>
        <w:tc>
          <w:tcPr>
            <w:tcW w:w="436"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436"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3182"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1230"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1853"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2024年度</w:t>
            </w:r>
          </w:p>
        </w:tc>
        <w:tc>
          <w:tcPr>
            <w:tcW w:w="1230"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825"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1845" w:type="dxa"/>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488" w:type="dxa"/>
            <w:gridSpan w:val="3"/>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支出功能分类科目编码</w:t>
            </w:r>
          </w:p>
        </w:tc>
        <w:tc>
          <w:tcPr>
            <w:tcW w:w="3182"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230"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本年收入合计</w:t>
            </w:r>
          </w:p>
        </w:tc>
        <w:tc>
          <w:tcPr>
            <w:tcW w:w="1028"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财政拨款收入</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上级补助收入</w:t>
            </w:r>
          </w:p>
        </w:tc>
        <w:tc>
          <w:tcPr>
            <w:tcW w:w="1230"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事业收入</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经营收入</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附属单位上缴收入</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488" w:type="dxa"/>
            <w:gridSpan w:val="3"/>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3182"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1028"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488" w:type="dxa"/>
            <w:gridSpan w:val="3"/>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3182"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230"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28"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230"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825"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25"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020"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616"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436"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436"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3182"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2,675.82</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449.51</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2,173.82</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4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201</w:t>
            </w:r>
          </w:p>
        </w:tc>
        <w:tc>
          <w:tcPr>
            <w:tcW w:w="3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一般公共服务支出</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13.41</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13.00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0.41</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4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20138</w:t>
            </w:r>
          </w:p>
        </w:tc>
        <w:tc>
          <w:tcPr>
            <w:tcW w:w="3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市场监督管理事务</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13.41</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13.00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0.41</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4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2013899</w:t>
            </w:r>
          </w:p>
        </w:tc>
        <w:tc>
          <w:tcPr>
            <w:tcW w:w="3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其他市场监督管理事务</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13.41</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0.41</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4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205</w:t>
            </w:r>
          </w:p>
        </w:tc>
        <w:tc>
          <w:tcPr>
            <w:tcW w:w="3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教育支出</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17.04</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17.04</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4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20508</w:t>
            </w:r>
          </w:p>
        </w:tc>
        <w:tc>
          <w:tcPr>
            <w:tcW w:w="3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进修及培训</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17.04</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17.04</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4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2050803</w:t>
            </w:r>
          </w:p>
        </w:tc>
        <w:tc>
          <w:tcPr>
            <w:tcW w:w="3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培训支出</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17.04</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17.04</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4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208</w:t>
            </w:r>
          </w:p>
        </w:tc>
        <w:tc>
          <w:tcPr>
            <w:tcW w:w="3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社会保障和就业支出</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326.97</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44.68</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282.29</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4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20805</w:t>
            </w:r>
          </w:p>
        </w:tc>
        <w:tc>
          <w:tcPr>
            <w:tcW w:w="3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行政事业单位养老支出</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281.88</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16.90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264.99</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4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2080502</w:t>
            </w:r>
          </w:p>
        </w:tc>
        <w:tc>
          <w:tcPr>
            <w:tcW w:w="3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事业单位离退休</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76.98</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16.90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60.08</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4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2080505</w:t>
            </w:r>
          </w:p>
        </w:tc>
        <w:tc>
          <w:tcPr>
            <w:tcW w:w="3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机关事业单位基本养老保险缴费支出</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136.61</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136.61</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4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2080506</w:t>
            </w:r>
          </w:p>
        </w:tc>
        <w:tc>
          <w:tcPr>
            <w:tcW w:w="3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机关事业单位职业年金缴费支出</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68.30</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68.30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4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20899</w:t>
            </w:r>
          </w:p>
        </w:tc>
        <w:tc>
          <w:tcPr>
            <w:tcW w:w="3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其他社会保障和就业支出</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45.08</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27.78</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17.30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4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2089999</w:t>
            </w:r>
          </w:p>
        </w:tc>
        <w:tc>
          <w:tcPr>
            <w:tcW w:w="3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其他社会保障和就业支出</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45.08</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27.78</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4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210</w:t>
            </w:r>
          </w:p>
        </w:tc>
        <w:tc>
          <w:tcPr>
            <w:tcW w:w="3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卫生健康支出</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65.47</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65.47</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4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21011</w:t>
            </w:r>
          </w:p>
        </w:tc>
        <w:tc>
          <w:tcPr>
            <w:tcW w:w="3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行政事业单位医疗</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65.47</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65.47</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4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2101102</w:t>
            </w:r>
          </w:p>
        </w:tc>
        <w:tc>
          <w:tcPr>
            <w:tcW w:w="3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事业单位医疗</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65.47</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65.47</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4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215</w:t>
            </w:r>
          </w:p>
        </w:tc>
        <w:tc>
          <w:tcPr>
            <w:tcW w:w="3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资源勘探工业信息等支出</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2,151.31</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391.83</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1,706.98</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52.49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4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21505</w:t>
            </w:r>
          </w:p>
        </w:tc>
        <w:tc>
          <w:tcPr>
            <w:tcW w:w="3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工业和信息产业监管</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2,151.31</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391.83</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1,706.98</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52.49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4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2150502</w:t>
            </w:r>
          </w:p>
        </w:tc>
        <w:tc>
          <w:tcPr>
            <w:tcW w:w="3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一般行政管理事务</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218.70</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218.70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4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2150599</w:t>
            </w:r>
          </w:p>
        </w:tc>
        <w:tc>
          <w:tcPr>
            <w:tcW w:w="3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其他工业和信息产业监管支出</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1,932.61</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391.83</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1,488.28</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4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221</w:t>
            </w:r>
          </w:p>
        </w:tc>
        <w:tc>
          <w:tcPr>
            <w:tcW w:w="3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住房保障支出</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101.63</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101.63</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4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22102</w:t>
            </w:r>
          </w:p>
        </w:tc>
        <w:tc>
          <w:tcPr>
            <w:tcW w:w="3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住房改革支出</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101.63</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101.63</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4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2210201</w:t>
            </w:r>
          </w:p>
        </w:tc>
        <w:tc>
          <w:tcPr>
            <w:tcW w:w="3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住房公积金</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101.63</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101.63</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1" w:hRule="atLeast"/>
        </w:trPr>
        <w:tc>
          <w:tcPr>
            <w:tcW w:w="14653" w:type="dxa"/>
            <w:gridSpan w:val="11"/>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注：本表反映部门本年度取得的各项收入情况。</w:t>
            </w:r>
          </w:p>
        </w:tc>
      </w:tr>
    </w:tbl>
    <w:p>
      <w:pPr>
        <w:rPr>
          <w:rFonts w:hint="eastAsia"/>
          <w:lang w:eastAsia="zh-CN"/>
        </w:rPr>
        <w:sectPr>
          <w:pgSz w:w="16838" w:h="11906" w:orient="landscape"/>
          <w:pgMar w:top="1803" w:right="1440" w:bottom="1803" w:left="1440" w:header="851" w:footer="992" w:gutter="0"/>
          <w:pgNumType w:fmt="decimal"/>
          <w:cols w:space="0" w:num="1"/>
          <w:titlePg/>
          <w:rtlGutter w:val="0"/>
          <w:docGrid w:type="lines" w:linePitch="319" w:charSpace="0"/>
        </w:sectPr>
      </w:pPr>
    </w:p>
    <w:tbl>
      <w:tblPr>
        <w:tblStyle w:val="18"/>
        <w:tblW w:w="97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76"/>
        <w:gridCol w:w="376"/>
        <w:gridCol w:w="376"/>
        <w:gridCol w:w="2742"/>
        <w:gridCol w:w="1075"/>
        <w:gridCol w:w="993"/>
        <w:gridCol w:w="955"/>
        <w:gridCol w:w="770"/>
        <w:gridCol w:w="770"/>
        <w:gridCol w:w="13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2" w:hRule="atLeast"/>
        </w:trPr>
        <w:tc>
          <w:tcPr>
            <w:tcW w:w="9760" w:type="dxa"/>
            <w:gridSpan w:val="1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37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7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7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74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7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9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5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7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097" w:type="dxa"/>
            <w:gridSpan w:val="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财决公开03表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3870" w:type="dxa"/>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单位名称：四川省电子产品监督检验所</w:t>
            </w:r>
          </w:p>
        </w:tc>
        <w:tc>
          <w:tcPr>
            <w:tcW w:w="1075"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1948" w:type="dxa"/>
            <w:gridSpan w:val="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2024年度</w:t>
            </w:r>
          </w:p>
        </w:tc>
        <w:tc>
          <w:tcPr>
            <w:tcW w:w="770"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770"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1327"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1128" w:type="dxa"/>
            <w:gridSpan w:val="3"/>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支出功能分类科目编码</w:t>
            </w:r>
          </w:p>
        </w:tc>
        <w:tc>
          <w:tcPr>
            <w:tcW w:w="2742"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075"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本年支出合计</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955"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770"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上缴上级支出</w:t>
            </w:r>
          </w:p>
        </w:tc>
        <w:tc>
          <w:tcPr>
            <w:tcW w:w="770"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经营支出</w:t>
            </w:r>
          </w:p>
        </w:tc>
        <w:tc>
          <w:tcPr>
            <w:tcW w:w="1327" w:type="dxa"/>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8" w:type="dxa"/>
            <w:gridSpan w:val="3"/>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2742"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955"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770"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770"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1327" w:type="dxa"/>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1128" w:type="dxa"/>
            <w:gridSpan w:val="3"/>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2742"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075"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993"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955"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70"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70"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327"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2" w:hRule="atLeast"/>
        </w:trPr>
        <w:tc>
          <w:tcPr>
            <w:tcW w:w="376"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376"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376"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2742"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2,790.52</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2,558.41</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232.11</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11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201</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一般公共服务支出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13.41</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13.41</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11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20138</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市场监督管理事务</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13.41</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13.41</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11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2013899</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其他市场监督管理事务</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13.41</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13.41</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11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205</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教育支出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17.04</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17.04</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11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20508</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进修及培训</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17.04</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17.04</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11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2050803</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17.04</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17.04</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11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208</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社会保障和就业支出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326.97</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326.97</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11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20805</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行政事业单位养老支出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281.88</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281.88</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11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2080502</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事业单位离退休</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76.98</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76.98</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2" w:hRule="atLeast"/>
        </w:trPr>
        <w:tc>
          <w:tcPr>
            <w:tcW w:w="11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2080505</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机关事业单位基本养老保险缴费支出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136.61</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136.61</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1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2080506</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机关事业单位职业年金缴费支出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68.30</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68.30</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11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20899</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其他社会保障和就业支出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45.08</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45.08</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11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2089999</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其他社会保障和就业支出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45.08</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45.08</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11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210</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卫生健康支出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65.47</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65.47</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11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21011</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行政事业单位医疗</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65.47</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65.47</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11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2101102</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事业单位医疗</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65.47</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65.47</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2" w:hRule="atLeast"/>
        </w:trPr>
        <w:tc>
          <w:tcPr>
            <w:tcW w:w="11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215</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资源勘探工业信息等支出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2,266.00</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2,047.30</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218.70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2" w:hRule="atLeast"/>
        </w:trPr>
        <w:tc>
          <w:tcPr>
            <w:tcW w:w="11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21505</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工业和信息产业监管</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2,266.00</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2,047.30</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218.70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11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2150502</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一般行政管理事务</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218.70</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218.70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2" w:hRule="atLeast"/>
        </w:trPr>
        <w:tc>
          <w:tcPr>
            <w:tcW w:w="11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2150599</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其他工业和信息产业监管支出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2,047.30</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2,047.30</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11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221</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住房保障支出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101.63</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101.63</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11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22102</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住房改革支出</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101.63</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101.63</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11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2210201</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住房公积金</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101.63</w:t>
            </w:r>
          </w:p>
        </w:tc>
        <w:tc>
          <w:tcPr>
            <w:tcW w:w="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101.63</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9760" w:type="dxa"/>
            <w:gridSpan w:val="10"/>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注：本表反映部门本年度各项支出情况。</w:t>
            </w:r>
          </w:p>
        </w:tc>
      </w:tr>
    </w:tbl>
    <w:p>
      <w:pPr>
        <w:pStyle w:val="2"/>
        <w:ind w:left="0" w:leftChars="0" w:firstLine="0" w:firstLineChars="0"/>
        <w:rPr>
          <w:rFonts w:hint="eastAsia"/>
          <w:lang w:eastAsia="zh-CN"/>
        </w:rPr>
      </w:pPr>
    </w:p>
    <w:p>
      <w:pPr>
        <w:rPr>
          <w:rFonts w:hint="eastAsia"/>
          <w:lang w:eastAsia="zh-CN"/>
        </w:rPr>
        <w:sectPr>
          <w:pgSz w:w="11906" w:h="16838"/>
          <w:pgMar w:top="1440" w:right="1803" w:bottom="1440" w:left="1701" w:header="851" w:footer="992" w:gutter="0"/>
          <w:pgNumType w:fmt="decimal"/>
          <w:cols w:space="0" w:num="1"/>
          <w:titlePg/>
          <w:rtlGutter w:val="0"/>
          <w:docGrid w:type="lines" w:linePitch="319" w:charSpace="0"/>
        </w:sectPr>
      </w:pPr>
    </w:p>
    <w:tbl>
      <w:tblPr>
        <w:tblStyle w:val="18"/>
        <w:tblW w:w="140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973"/>
        <w:gridCol w:w="636"/>
        <w:gridCol w:w="1070"/>
        <w:gridCol w:w="3091"/>
        <w:gridCol w:w="636"/>
        <w:gridCol w:w="952"/>
        <w:gridCol w:w="1564"/>
        <w:gridCol w:w="1564"/>
        <w:gridCol w:w="15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9" w:hRule="atLeast"/>
        </w:trPr>
        <w:tc>
          <w:tcPr>
            <w:tcW w:w="14050" w:type="dxa"/>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财决公开04表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gridSpan w:val="3"/>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单位名称：四川省电子产品监督检验所</w:t>
            </w:r>
          </w:p>
        </w:tc>
        <w:tc>
          <w:tcPr>
            <w:tcW w:w="0" w:type="auto"/>
            <w:gridSpan w:val="3"/>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2024年度</w:t>
            </w: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4679" w:type="dxa"/>
            <w:gridSpan w:val="3"/>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收入</w:t>
            </w:r>
          </w:p>
        </w:tc>
        <w:tc>
          <w:tcPr>
            <w:tcW w:w="9371" w:type="dxa"/>
            <w:gridSpan w:val="6"/>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trPr>
        <w:tc>
          <w:tcPr>
            <w:tcW w:w="2973"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636"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070"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3091"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636"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952"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564"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一般公共预算财政拨款</w:t>
            </w:r>
          </w:p>
        </w:tc>
        <w:tc>
          <w:tcPr>
            <w:tcW w:w="1564"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政府性基金预算财政拨款</w:t>
            </w:r>
          </w:p>
        </w:tc>
        <w:tc>
          <w:tcPr>
            <w:tcW w:w="1564"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2973"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636"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w:t>
            </w:r>
          </w:p>
        </w:tc>
        <w:tc>
          <w:tcPr>
            <w:tcW w:w="1070"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091"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636"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w:t>
            </w:r>
          </w:p>
        </w:tc>
        <w:tc>
          <w:tcPr>
            <w:tcW w:w="952"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564"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564"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564" w:type="dxa"/>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一、一般公共预算财政拨款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07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449.51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一、一般公共服务支出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二、政府性基金预算财政拨款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7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二、外交支出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三、国有资本经营预算财政拨款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07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三、国防支出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四、公共安全支出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六、科学技术支出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七、文化旅游体育与传媒支出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八、社会保障和就业支出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44.68</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44.68</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九、卫生健康支出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十、节能环保支出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十一、城乡社区支出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十二、农林水支出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十三、交通运输支出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十四、资源勘探工业信息等支出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391.83</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391.83</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十五、商业服务业等支出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十六、金融支出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十七、援助其他地区支出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十八、自然资源海洋气象等支出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十九、住房保障支出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二十、粮油物资储备支出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二十一、国有资本经营预算支出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二十二、灾害防治及应急管理支出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二十三、其他支出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二十四、债务还本支出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二十五、债务付息支出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二十六、抗疫特别国债安排的支出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本年收入合计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107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449.51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本年支出合计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449.51</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449.51</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年初财政拨款结转和结余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107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年末财政拨款结转和结余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一般公共预算财政拨款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107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政府性基金预算财政拨款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107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国有资本经营预算财政拨款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107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107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449.51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952"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449.51</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449.51</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64"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14050" w:type="dxa"/>
            <w:gridSpan w:val="9"/>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注：本表反映部门本年度一般公共预算财政拨款、政府性基金预算财政拨款和国有资本经营预算财政拨款的总收支和年末结转结余情况。</w:t>
            </w:r>
          </w:p>
        </w:tc>
      </w:tr>
    </w:tbl>
    <w:p>
      <w:pPr>
        <w:pStyle w:val="2"/>
        <w:ind w:left="0" w:leftChars="0" w:firstLine="0" w:firstLineChars="0"/>
        <w:rPr>
          <w:rFonts w:hint="eastAsia"/>
          <w:lang w:eastAsia="zh-CN"/>
        </w:rPr>
        <w:sectPr>
          <w:pgSz w:w="16838" w:h="11906" w:orient="landscape"/>
          <w:pgMar w:top="1803" w:right="1440" w:bottom="1803" w:left="1440" w:header="851" w:footer="992" w:gutter="0"/>
          <w:pgNumType w:fmt="decimal"/>
          <w:cols w:space="0" w:num="1"/>
          <w:titlePg/>
          <w:rtlGutter w:val="0"/>
          <w:docGrid w:type="lines" w:linePitch="319" w:charSpace="0"/>
        </w:sectPr>
      </w:pPr>
    </w:p>
    <w:tbl>
      <w:tblPr>
        <w:tblStyle w:val="18"/>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64"/>
        <w:gridCol w:w="3456"/>
        <w:gridCol w:w="603"/>
        <w:gridCol w:w="756"/>
        <w:gridCol w:w="756"/>
        <w:gridCol w:w="989"/>
        <w:gridCol w:w="961"/>
        <w:gridCol w:w="631"/>
        <w:gridCol w:w="932"/>
        <w:gridCol w:w="932"/>
        <w:gridCol w:w="632"/>
        <w:gridCol w:w="934"/>
        <w:gridCol w:w="9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9" w:hRule="atLeast"/>
        </w:trPr>
        <w:tc>
          <w:tcPr>
            <w:tcW w:w="0" w:type="auto"/>
            <w:gridSpan w:val="1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财政拨款支出决算明细表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gridSpan w:val="3"/>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财决公开05表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单位名称：四川省电子产品监督检验所</w:t>
            </w: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0" w:type="auto"/>
            <w:gridSpan w:val="3"/>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2024年度</w:t>
            </w: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gridSpan w:val="3"/>
            <w:tcBorders>
              <w:top w:val="nil"/>
              <w:left w:val="nil"/>
              <w:bottom w:val="nil"/>
              <w:right w:val="nil"/>
            </w:tcBorders>
            <w:shd w:val="clear" w:color="auto" w:fill="auto"/>
            <w:noWrap/>
            <w:vAlign w:val="center"/>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一般公共预算财政拨款</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政府性基金预算财政拨款</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trPr>
        <w:tc>
          <w:tcPr>
            <w:tcW w:w="0" w:type="auto"/>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经济分类科目编码</w:t>
            </w:r>
          </w:p>
        </w:tc>
        <w:tc>
          <w:tcPr>
            <w:tcW w:w="0" w:type="auto"/>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0" w:type="auto"/>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0" w:type="auto"/>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0" w:type="auto"/>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0" w:type="auto"/>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0" w:type="auto"/>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449.51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449.51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436.51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工资福利支出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391.83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391.83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391.83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基本工资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213.90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213.90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213.90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津贴补贴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奖金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伙食补助费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绩效工资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177.93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177.93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177.93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机关事业单位基本养老保险费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职业年金缴费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职工基本医疗保险缴费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公务员医疗补助缴费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其他社会保障缴费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住房公积金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其他工资福利支出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商品和服务支出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印刷费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咨询费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手续费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邮电费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取暖费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物业管理费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差旅费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因公出国（境）费用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维修（护）费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10.60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10.60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10.60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租赁费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会议费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公务接待费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专用材料费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被装购置费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专用燃料费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劳务费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委托业务费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工会经费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福利费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公务用车运行维护费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其他交通费用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税金及附加费用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其他商品和服务支出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对个人和家庭的补助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44.68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44.68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44.68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离休费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退休费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退职（役）费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抚恤金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39.43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39.43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39.43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生活补助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救济费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医疗费补助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助学金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奖励金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个人农业生产补贴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代缴社会保险费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其他个人和家庭的补助支出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债务利息及费用支出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国内债务付息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国外债务付息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国内债务发行费用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国外债务发行费用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资本性支出（基本建设）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30901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房屋建筑物购建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30902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办公设备购置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30903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专用设备购置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30905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基础设施建设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30906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大型修缮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30907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信息网络及软件购置更新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30908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物资储备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30913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公务用车购置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30919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其他交通工具购置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30921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文物和陈列品购置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30922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无形资产购置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30999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其他基本建设支出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资本性支出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房屋建筑物购建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办公设备购置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专用设备购置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基础设施建设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大型修缮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信息网络及软件购置更新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物资储备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土地补偿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安置补助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地上附着物和青苗补偿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拆迁补偿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公务用车购置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其他交通工具购置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文物和陈列品购置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无形资产购置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其他资本性支出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对企业补助（基本建设）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资本金注入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31199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其他对企业补助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对企业补助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资本金注入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政府投资基金股权投资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费用补贴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利息补贴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其他资本性补助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其他对企业补助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对社会保障基金补助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31302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对社会保险基金补助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103</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31303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补充全国社会保障基金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31304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对机关事业单位职业年金的补助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106</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国家赔偿费用支出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107</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对民间非营利组织和群众性自治组织补贴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经常性赠与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资本性赠与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bl>
    <w:p>
      <w:pPr>
        <w:rPr>
          <w:rFonts w:hint="eastAsia"/>
          <w:lang w:eastAsia="zh-CN"/>
        </w:rPr>
      </w:pPr>
      <w:r>
        <w:rPr>
          <w:rFonts w:hint="eastAsia"/>
          <w:lang w:eastAsia="zh-CN"/>
        </w:rPr>
        <w:t>注：本表反映部门本年度财政拨款支出情况。</w:t>
      </w: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rPr>
          <w:rFonts w:hint="eastAsia"/>
          <w:lang w:eastAsia="zh-CN"/>
        </w:rPr>
      </w:pPr>
    </w:p>
    <w:tbl>
      <w:tblPr>
        <w:tblStyle w:val="1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87"/>
        <w:gridCol w:w="1290"/>
        <w:gridCol w:w="1290"/>
        <w:gridCol w:w="4093"/>
        <w:gridCol w:w="2027"/>
        <w:gridCol w:w="1755"/>
        <w:gridCol w:w="24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5000" w:type="pct"/>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54"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55"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54"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44"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15"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19"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57"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财决公开06表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808" w:type="pct"/>
            <w:gridSpan w:val="4"/>
            <w:tcBorders>
              <w:top w:val="nil"/>
              <w:left w:val="nil"/>
              <w:bottom w:val="single" w:color="000000" w:sz="4" w:space="0"/>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单位名称：四川省电子产品监督检验所</w:t>
            </w:r>
          </w:p>
        </w:tc>
        <w:tc>
          <w:tcPr>
            <w:tcW w:w="715" w:type="pct"/>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2024年度</w:t>
            </w:r>
          </w:p>
        </w:tc>
        <w:tc>
          <w:tcPr>
            <w:tcW w:w="619" w:type="pct"/>
            <w:tcBorders>
              <w:top w:val="nil"/>
              <w:left w:val="nil"/>
              <w:bottom w:val="single" w:color="000000" w:sz="4" w:space="0"/>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857" w:type="pct"/>
            <w:tcBorders>
              <w:top w:val="nil"/>
              <w:left w:val="nil"/>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1364" w:type="pct"/>
            <w:gridSpan w:val="3"/>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支出功能分类科目编码</w:t>
            </w:r>
          </w:p>
        </w:tc>
        <w:tc>
          <w:tcPr>
            <w:tcW w:w="1444" w:type="pct"/>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715" w:type="pct"/>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619" w:type="pct"/>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857" w:type="pct"/>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1364" w:type="pct"/>
            <w:gridSpan w:val="3"/>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1444" w:type="pct"/>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715" w:type="pct"/>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619" w:type="pct"/>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857" w:type="pct"/>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54" w:type="pct"/>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454" w:type="pct"/>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1444" w:type="pct"/>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19" w:type="pc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57" w:type="pc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54" w:type="pct"/>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1444" w:type="pc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449.51</w:t>
            </w:r>
          </w:p>
        </w:tc>
        <w:tc>
          <w:tcPr>
            <w:tcW w:w="6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436.51</w:t>
            </w:r>
          </w:p>
        </w:tc>
        <w:tc>
          <w:tcPr>
            <w:tcW w:w="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36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201</w:t>
            </w:r>
          </w:p>
        </w:tc>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一般公共服务支出</w:t>
            </w: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13.00</w:t>
            </w:r>
          </w:p>
        </w:tc>
        <w:tc>
          <w:tcPr>
            <w:tcW w:w="6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36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20138</w:t>
            </w:r>
          </w:p>
        </w:tc>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市场监督管理事务</w:t>
            </w: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13.00</w:t>
            </w:r>
          </w:p>
        </w:tc>
        <w:tc>
          <w:tcPr>
            <w:tcW w:w="6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36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2013899</w:t>
            </w:r>
          </w:p>
        </w:tc>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其他市场监督管理事务</w:t>
            </w: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13.00</w:t>
            </w:r>
          </w:p>
        </w:tc>
        <w:tc>
          <w:tcPr>
            <w:tcW w:w="6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36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208</w:t>
            </w:r>
          </w:p>
        </w:tc>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社会保障和就业支出</w:t>
            </w: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44.68</w:t>
            </w:r>
          </w:p>
        </w:tc>
        <w:tc>
          <w:tcPr>
            <w:tcW w:w="6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44.68</w:t>
            </w:r>
          </w:p>
        </w:tc>
        <w:tc>
          <w:tcPr>
            <w:tcW w:w="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36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20805</w:t>
            </w:r>
          </w:p>
        </w:tc>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行政事业单位养老支出</w:t>
            </w: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16.90</w:t>
            </w:r>
          </w:p>
        </w:tc>
        <w:tc>
          <w:tcPr>
            <w:tcW w:w="6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16.90</w:t>
            </w:r>
          </w:p>
        </w:tc>
        <w:tc>
          <w:tcPr>
            <w:tcW w:w="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36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2080502</w:t>
            </w:r>
          </w:p>
        </w:tc>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事业单位离退休</w:t>
            </w: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16.90</w:t>
            </w:r>
          </w:p>
        </w:tc>
        <w:tc>
          <w:tcPr>
            <w:tcW w:w="6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16.90</w:t>
            </w:r>
          </w:p>
        </w:tc>
        <w:tc>
          <w:tcPr>
            <w:tcW w:w="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36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20899</w:t>
            </w:r>
          </w:p>
        </w:tc>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其他社会保障和就业支出</w:t>
            </w: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27.78</w:t>
            </w:r>
          </w:p>
        </w:tc>
        <w:tc>
          <w:tcPr>
            <w:tcW w:w="6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27.78</w:t>
            </w:r>
          </w:p>
        </w:tc>
        <w:tc>
          <w:tcPr>
            <w:tcW w:w="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36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2089999</w:t>
            </w:r>
          </w:p>
        </w:tc>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其他社会保障和就业支出</w:t>
            </w: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27.78</w:t>
            </w:r>
          </w:p>
        </w:tc>
        <w:tc>
          <w:tcPr>
            <w:tcW w:w="6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27.78</w:t>
            </w:r>
          </w:p>
        </w:tc>
        <w:tc>
          <w:tcPr>
            <w:tcW w:w="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36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215</w:t>
            </w:r>
          </w:p>
        </w:tc>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资源勘探工业信息等支出</w:t>
            </w: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391.83</w:t>
            </w:r>
          </w:p>
        </w:tc>
        <w:tc>
          <w:tcPr>
            <w:tcW w:w="6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391.83</w:t>
            </w:r>
          </w:p>
        </w:tc>
        <w:tc>
          <w:tcPr>
            <w:tcW w:w="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36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21505</w:t>
            </w:r>
          </w:p>
        </w:tc>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工业和信息产业监管</w:t>
            </w: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391.83</w:t>
            </w:r>
          </w:p>
        </w:tc>
        <w:tc>
          <w:tcPr>
            <w:tcW w:w="6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391.83</w:t>
            </w:r>
          </w:p>
        </w:tc>
        <w:tc>
          <w:tcPr>
            <w:tcW w:w="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36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2150599</w:t>
            </w:r>
          </w:p>
        </w:tc>
        <w:tc>
          <w:tcPr>
            <w:tcW w:w="1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其他工业和信息产业监管支出</w:t>
            </w:r>
          </w:p>
        </w:tc>
        <w:tc>
          <w:tcPr>
            <w:tcW w:w="7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391.83</w:t>
            </w:r>
          </w:p>
        </w:tc>
        <w:tc>
          <w:tcPr>
            <w:tcW w:w="6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391.83</w:t>
            </w:r>
          </w:p>
        </w:tc>
        <w:tc>
          <w:tcPr>
            <w:tcW w:w="8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trPr>
        <w:tc>
          <w:tcPr>
            <w:tcW w:w="5000" w:type="pct"/>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注：本表反映部门本年度一般公共预算财政拨款支出情况。</w:t>
            </w:r>
          </w:p>
        </w:tc>
      </w:tr>
    </w:tbl>
    <w:p>
      <w:pPr>
        <w:pStyle w:val="2"/>
        <w:ind w:left="0" w:leftChars="0" w:firstLine="0" w:firstLineChars="0"/>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tbl>
      <w:tblPr>
        <w:tblStyle w:val="1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6"/>
        <w:gridCol w:w="436"/>
        <w:gridCol w:w="436"/>
        <w:gridCol w:w="2635"/>
        <w:gridCol w:w="1138"/>
        <w:gridCol w:w="1144"/>
        <w:gridCol w:w="1236"/>
        <w:gridCol w:w="1110"/>
        <w:gridCol w:w="1110"/>
        <w:gridCol w:w="1110"/>
        <w:gridCol w:w="1138"/>
        <w:gridCol w:w="1111"/>
        <w:gridCol w:w="11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5000" w:type="pct"/>
            <w:gridSpan w:val="1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一般公共预算财政拨款支出决算明细表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50" w:type="pct"/>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32"/>
                <w:szCs w:val="32"/>
                <w:u w:val="none"/>
              </w:rPr>
            </w:pPr>
          </w:p>
        </w:tc>
        <w:tc>
          <w:tcPr>
            <w:tcW w:w="150" w:type="pct"/>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32"/>
                <w:szCs w:val="32"/>
                <w:u w:val="none"/>
              </w:rPr>
            </w:pPr>
          </w:p>
        </w:tc>
        <w:tc>
          <w:tcPr>
            <w:tcW w:w="150" w:type="pct"/>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32"/>
                <w:szCs w:val="32"/>
                <w:u w:val="none"/>
              </w:rPr>
            </w:pPr>
          </w:p>
        </w:tc>
        <w:tc>
          <w:tcPr>
            <w:tcW w:w="931" w:type="pct"/>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32"/>
                <w:szCs w:val="32"/>
                <w:u w:val="none"/>
              </w:rPr>
            </w:pPr>
          </w:p>
        </w:tc>
        <w:tc>
          <w:tcPr>
            <w:tcW w:w="404" w:type="pct"/>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32"/>
                <w:szCs w:val="32"/>
                <w:u w:val="none"/>
              </w:rPr>
            </w:pPr>
          </w:p>
        </w:tc>
        <w:tc>
          <w:tcPr>
            <w:tcW w:w="404" w:type="pct"/>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32"/>
                <w:szCs w:val="32"/>
                <w:u w:val="none"/>
              </w:rPr>
            </w:pPr>
          </w:p>
        </w:tc>
        <w:tc>
          <w:tcPr>
            <w:tcW w:w="426" w:type="pct"/>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32"/>
                <w:szCs w:val="32"/>
                <w:u w:val="none"/>
              </w:rPr>
            </w:pPr>
          </w:p>
        </w:tc>
        <w:tc>
          <w:tcPr>
            <w:tcW w:w="394" w:type="pct"/>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32"/>
                <w:szCs w:val="32"/>
                <w:u w:val="none"/>
              </w:rPr>
            </w:pPr>
          </w:p>
        </w:tc>
        <w:tc>
          <w:tcPr>
            <w:tcW w:w="394" w:type="pct"/>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32"/>
                <w:szCs w:val="32"/>
                <w:u w:val="none"/>
              </w:rPr>
            </w:pPr>
          </w:p>
        </w:tc>
        <w:tc>
          <w:tcPr>
            <w:tcW w:w="394" w:type="pct"/>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32"/>
                <w:szCs w:val="32"/>
                <w:u w:val="none"/>
              </w:rPr>
            </w:pPr>
          </w:p>
        </w:tc>
        <w:tc>
          <w:tcPr>
            <w:tcW w:w="404" w:type="pct"/>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32"/>
                <w:szCs w:val="32"/>
                <w:u w:val="none"/>
              </w:rPr>
            </w:pPr>
          </w:p>
        </w:tc>
        <w:tc>
          <w:tcPr>
            <w:tcW w:w="792" w:type="pct"/>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财决公开07表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92" w:type="pct"/>
            <w:gridSpan w:val="6"/>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单位名称：四川省电子产品监督检验所</w:t>
            </w:r>
          </w:p>
        </w:tc>
        <w:tc>
          <w:tcPr>
            <w:tcW w:w="426" w:type="pct"/>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2024年度</w:t>
            </w:r>
          </w:p>
        </w:tc>
        <w:tc>
          <w:tcPr>
            <w:tcW w:w="394"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394"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394"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404"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792" w:type="pct"/>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1382" w:type="pct"/>
            <w:gridSpan w:val="4"/>
            <w:tcBorders>
              <w:top w:val="single" w:color="000000" w:sz="4" w:space="0"/>
              <w:left w:val="single" w:color="000000" w:sz="4" w:space="0"/>
              <w:bottom w:val="single" w:color="000000" w:sz="4" w:space="0"/>
              <w:right w:val="single" w:color="000000" w:sz="4" w:space="0"/>
            </w:tcBorders>
            <w:shd w:val="clear" w:color="auto"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404"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rPr>
                <w:rFonts w:hint="eastAsia" w:ascii="宋体" w:hAnsi="宋体" w:eastAsia="宋体" w:cs="宋体"/>
                <w:i w:val="0"/>
                <w:iCs w:val="0"/>
                <w:color w:val="000000"/>
                <w:sz w:val="22"/>
                <w:szCs w:val="22"/>
                <w:u w:val="none"/>
              </w:rPr>
            </w:pPr>
          </w:p>
        </w:tc>
        <w:tc>
          <w:tcPr>
            <w:tcW w:w="3212" w:type="pct"/>
            <w:gridSpan w:val="8"/>
            <w:tcBorders>
              <w:top w:val="single" w:color="000000" w:sz="4" w:space="0"/>
              <w:left w:val="single" w:color="000000" w:sz="4" w:space="0"/>
              <w:bottom w:val="single" w:color="000000" w:sz="4" w:space="0"/>
              <w:right w:val="nil"/>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工资福利支出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50" w:type="pct"/>
            <w:gridSpan w:val="3"/>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支出功能分类科目编码</w:t>
            </w:r>
          </w:p>
        </w:tc>
        <w:tc>
          <w:tcPr>
            <w:tcW w:w="931" w:type="pct"/>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404"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404"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42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基本工资</w:t>
            </w:r>
          </w:p>
        </w:tc>
        <w:tc>
          <w:tcPr>
            <w:tcW w:w="394"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津贴补贴</w:t>
            </w:r>
          </w:p>
        </w:tc>
        <w:tc>
          <w:tcPr>
            <w:tcW w:w="394"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奖金</w:t>
            </w:r>
          </w:p>
        </w:tc>
        <w:tc>
          <w:tcPr>
            <w:tcW w:w="394"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伙食补助费</w:t>
            </w:r>
          </w:p>
        </w:tc>
        <w:tc>
          <w:tcPr>
            <w:tcW w:w="404"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绩效工资</w:t>
            </w:r>
          </w:p>
        </w:tc>
        <w:tc>
          <w:tcPr>
            <w:tcW w:w="394"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w:t>
            </w:r>
          </w:p>
        </w:tc>
        <w:tc>
          <w:tcPr>
            <w:tcW w:w="397"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职业年金缴费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50" w:type="pct"/>
            <w:gridSpan w:val="3"/>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931" w:type="pct"/>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2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97"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150" w:type="pct"/>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931" w:type="pc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404"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04"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394"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394"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394"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404"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394"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397"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50" w:type="pct"/>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C0C0C0"/>
            <w:vAlign w:val="center"/>
          </w:tcPr>
          <w:p>
            <w:pPr>
              <w:jc w:val="center"/>
              <w:rPr>
                <w:rFonts w:hint="eastAsia" w:ascii="宋体" w:hAnsi="宋体" w:eastAsia="宋体" w:cs="宋体"/>
                <w:i w:val="0"/>
                <w:iCs w:val="0"/>
                <w:color w:val="000000"/>
                <w:sz w:val="22"/>
                <w:szCs w:val="22"/>
                <w:u w:val="none"/>
              </w:rPr>
            </w:pPr>
          </w:p>
        </w:tc>
        <w:tc>
          <w:tcPr>
            <w:tcW w:w="931" w:type="pct"/>
            <w:tcBorders>
              <w:top w:val="single" w:color="000000" w:sz="4" w:space="0"/>
              <w:left w:val="single" w:color="000000" w:sz="4" w:space="0"/>
              <w:bottom w:val="single" w:color="000000" w:sz="4" w:space="0"/>
              <w:right w:val="single" w:color="000000" w:sz="4" w:space="0"/>
            </w:tcBorders>
            <w:shd w:val="clear" w:color="auto"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449.51</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391.83</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213.90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177.93</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5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201</w:t>
            </w:r>
          </w:p>
        </w:tc>
        <w:tc>
          <w:tcPr>
            <w:tcW w:w="9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一般公共服务支出</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13.00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5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20138</w:t>
            </w:r>
          </w:p>
        </w:tc>
        <w:tc>
          <w:tcPr>
            <w:tcW w:w="9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市场监督管理事务</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13.00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5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2013899</w:t>
            </w:r>
          </w:p>
        </w:tc>
        <w:tc>
          <w:tcPr>
            <w:tcW w:w="9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其他市场监督管理事务</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5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208</w:t>
            </w:r>
          </w:p>
        </w:tc>
        <w:tc>
          <w:tcPr>
            <w:tcW w:w="9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社会保障和就业支出</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44.68</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5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20805</w:t>
            </w:r>
          </w:p>
        </w:tc>
        <w:tc>
          <w:tcPr>
            <w:tcW w:w="9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行政事业单位养老支出</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16.90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5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2080502</w:t>
            </w:r>
          </w:p>
        </w:tc>
        <w:tc>
          <w:tcPr>
            <w:tcW w:w="9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事业单位离退休</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16.90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5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20899</w:t>
            </w:r>
          </w:p>
        </w:tc>
        <w:tc>
          <w:tcPr>
            <w:tcW w:w="9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其他社会保障和就业支出</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27.78</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5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2089999</w:t>
            </w:r>
          </w:p>
        </w:tc>
        <w:tc>
          <w:tcPr>
            <w:tcW w:w="9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其他社会保障和就业支出</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27.78</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5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215</w:t>
            </w:r>
          </w:p>
        </w:tc>
        <w:tc>
          <w:tcPr>
            <w:tcW w:w="9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资源勘探工业信息等支出</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391.83</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391.83</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213.90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177.93</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5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21505</w:t>
            </w:r>
          </w:p>
        </w:tc>
        <w:tc>
          <w:tcPr>
            <w:tcW w:w="9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工业和信息产业监管</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391.83</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391.83</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213.90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177.93</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5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2150599</w:t>
            </w:r>
          </w:p>
        </w:tc>
        <w:tc>
          <w:tcPr>
            <w:tcW w:w="9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其他工业和信息产业监管支出</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391.83</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391.83</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213.90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177.93</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bl>
    <w:p>
      <w:pPr>
        <w:pStyle w:val="2"/>
        <w:ind w:left="0" w:leftChars="0" w:firstLine="0" w:firstLineChars="0"/>
        <w:rPr>
          <w:rFonts w:hint="eastAsia"/>
          <w:lang w:eastAsia="zh-CN"/>
        </w:rPr>
      </w:pPr>
    </w:p>
    <w:p>
      <w:pPr>
        <w:pStyle w:val="2"/>
        <w:ind w:left="0" w:leftChars="0" w:firstLine="0" w:firstLineChars="0"/>
        <w:rPr>
          <w:rFonts w:hint="eastAsia"/>
          <w:lang w:eastAsia="zh-CN"/>
        </w:rPr>
      </w:pPr>
    </w:p>
    <w:tbl>
      <w:tblPr>
        <w:tblStyle w:val="1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79"/>
        <w:gridCol w:w="1179"/>
        <w:gridCol w:w="1179"/>
        <w:gridCol w:w="1179"/>
        <w:gridCol w:w="1179"/>
        <w:gridCol w:w="1191"/>
        <w:gridCol w:w="1179"/>
        <w:gridCol w:w="1179"/>
        <w:gridCol w:w="1179"/>
        <w:gridCol w:w="1179"/>
        <w:gridCol w:w="1180"/>
        <w:gridCol w:w="11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2500" w:type="pct"/>
            <w:gridSpan w:val="6"/>
            <w:tcBorders>
              <w:top w:val="single" w:color="000000" w:sz="4" w:space="0"/>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工资福利支出</w:t>
            </w:r>
          </w:p>
        </w:tc>
        <w:tc>
          <w:tcPr>
            <w:tcW w:w="2500" w:type="pct"/>
            <w:gridSpan w:val="6"/>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商品和服务支出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职工基本医疗保险缴费</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公务员医疗补助缴费</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其他社会保障缴费</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医疗费</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其他工资福利支出</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办公费</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印刷费</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咨询费</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手续费</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13.00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13.00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bl>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tbl>
      <w:tblPr>
        <w:tblStyle w:val="1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79"/>
        <w:gridCol w:w="1179"/>
        <w:gridCol w:w="1179"/>
        <w:gridCol w:w="1179"/>
        <w:gridCol w:w="1179"/>
        <w:gridCol w:w="1179"/>
        <w:gridCol w:w="1179"/>
        <w:gridCol w:w="1179"/>
        <w:gridCol w:w="1179"/>
        <w:gridCol w:w="1180"/>
        <w:gridCol w:w="1180"/>
        <w:gridCol w:w="12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商品和服务支出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电费</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邮电费</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取暖费</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物业管理费</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差旅费</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因公出国（境）费用</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维修（护）费</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租赁费</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会议费</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培训费</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417"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专用材料费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7"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417"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10.60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10.60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10.60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10.60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bl>
    <w:p>
      <w:pPr>
        <w:pStyle w:val="2"/>
        <w:ind w:left="0" w:leftChars="0" w:firstLine="0" w:firstLineChars="0"/>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tbl>
      <w:tblPr>
        <w:tblStyle w:val="1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14"/>
        <w:gridCol w:w="1414"/>
        <w:gridCol w:w="1414"/>
        <w:gridCol w:w="1414"/>
        <w:gridCol w:w="1415"/>
        <w:gridCol w:w="1415"/>
        <w:gridCol w:w="1415"/>
        <w:gridCol w:w="1415"/>
        <w:gridCol w:w="1415"/>
        <w:gridCol w:w="1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5000" w:type="pct"/>
            <w:gridSpan w:val="10"/>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商品和服务支出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99"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被装购置费</w:t>
            </w:r>
          </w:p>
        </w:tc>
        <w:tc>
          <w:tcPr>
            <w:tcW w:w="499"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专用燃料费</w:t>
            </w:r>
          </w:p>
        </w:tc>
        <w:tc>
          <w:tcPr>
            <w:tcW w:w="499"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劳务费</w:t>
            </w:r>
          </w:p>
        </w:tc>
        <w:tc>
          <w:tcPr>
            <w:tcW w:w="499"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委托业务费</w:t>
            </w:r>
          </w:p>
        </w:tc>
        <w:tc>
          <w:tcPr>
            <w:tcW w:w="499"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工会经费</w:t>
            </w:r>
          </w:p>
        </w:tc>
        <w:tc>
          <w:tcPr>
            <w:tcW w:w="499"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福利费</w:t>
            </w:r>
          </w:p>
        </w:tc>
        <w:tc>
          <w:tcPr>
            <w:tcW w:w="499"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公务用车运行维护费</w:t>
            </w:r>
          </w:p>
        </w:tc>
        <w:tc>
          <w:tcPr>
            <w:tcW w:w="499"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其他交通费用</w:t>
            </w:r>
          </w:p>
        </w:tc>
        <w:tc>
          <w:tcPr>
            <w:tcW w:w="499"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税金及附加费用</w:t>
            </w:r>
          </w:p>
        </w:tc>
        <w:tc>
          <w:tcPr>
            <w:tcW w:w="501"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其他商品和服务支出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99"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99"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99"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99"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99"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99"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99"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99"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99"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501"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99"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499"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499"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499"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499"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499"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499"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499"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499"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501"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bl>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tbl>
      <w:tblPr>
        <w:tblStyle w:val="1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8"/>
        <w:gridCol w:w="1088"/>
        <w:gridCol w:w="1088"/>
        <w:gridCol w:w="1088"/>
        <w:gridCol w:w="1088"/>
        <w:gridCol w:w="1089"/>
        <w:gridCol w:w="1089"/>
        <w:gridCol w:w="1089"/>
        <w:gridCol w:w="1089"/>
        <w:gridCol w:w="1089"/>
        <w:gridCol w:w="1089"/>
        <w:gridCol w:w="1089"/>
        <w:gridCol w:w="11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5000" w:type="pct"/>
            <w:gridSpan w:val="13"/>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对个人和家庭的补助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84"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384"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离休费</w:t>
            </w:r>
          </w:p>
        </w:tc>
        <w:tc>
          <w:tcPr>
            <w:tcW w:w="384"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退休费</w:t>
            </w:r>
          </w:p>
        </w:tc>
        <w:tc>
          <w:tcPr>
            <w:tcW w:w="384"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退职（役）费</w:t>
            </w:r>
          </w:p>
        </w:tc>
        <w:tc>
          <w:tcPr>
            <w:tcW w:w="384"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抚恤金</w:t>
            </w:r>
          </w:p>
        </w:tc>
        <w:tc>
          <w:tcPr>
            <w:tcW w:w="384"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生活补助</w:t>
            </w:r>
          </w:p>
        </w:tc>
        <w:tc>
          <w:tcPr>
            <w:tcW w:w="384"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救济费</w:t>
            </w:r>
          </w:p>
        </w:tc>
        <w:tc>
          <w:tcPr>
            <w:tcW w:w="384"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医疗费补助</w:t>
            </w:r>
          </w:p>
        </w:tc>
        <w:tc>
          <w:tcPr>
            <w:tcW w:w="384"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助学金</w:t>
            </w:r>
          </w:p>
        </w:tc>
        <w:tc>
          <w:tcPr>
            <w:tcW w:w="384"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奖励金</w:t>
            </w:r>
          </w:p>
        </w:tc>
        <w:tc>
          <w:tcPr>
            <w:tcW w:w="384"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个人农业生产补贴</w:t>
            </w:r>
          </w:p>
        </w:tc>
        <w:tc>
          <w:tcPr>
            <w:tcW w:w="384"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代缴社会保险费</w:t>
            </w:r>
          </w:p>
        </w:tc>
        <w:tc>
          <w:tcPr>
            <w:tcW w:w="385"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其他对个人和家庭的补助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384"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84"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84"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84"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84"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84"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84"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84"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84"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84"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84"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84"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85"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84"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384"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384"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384"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384"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384"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384"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384"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384"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384"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384"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384"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385"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44.68</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5.25</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39.43</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44.68</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5.25</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39.43</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16.90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5.25</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11.65</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16.90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5.25</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11.65</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27.78</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27.78</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27.78</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27.78</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bl>
    <w:p>
      <w:pPr>
        <w:pStyle w:val="2"/>
        <w:ind w:left="0" w:leftChars="0" w:firstLine="0" w:firstLineChars="0"/>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79"/>
        <w:gridCol w:w="1179"/>
        <w:gridCol w:w="1179"/>
        <w:gridCol w:w="1179"/>
        <w:gridCol w:w="1188"/>
        <w:gridCol w:w="1179"/>
        <w:gridCol w:w="1179"/>
        <w:gridCol w:w="1179"/>
        <w:gridCol w:w="1179"/>
        <w:gridCol w:w="1179"/>
        <w:gridCol w:w="1180"/>
        <w:gridCol w:w="11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2083" w:type="pct"/>
            <w:gridSpan w:val="5"/>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债务利息及费用支出</w:t>
            </w:r>
          </w:p>
        </w:tc>
        <w:tc>
          <w:tcPr>
            <w:tcW w:w="2916" w:type="pct"/>
            <w:gridSpan w:val="7"/>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资本性支出（基本建设）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国内债务付息</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国外债务付息</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国内债务发行费用</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国外债务发行费用</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房屋建筑物购建</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办公设备购置</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专用设备购置</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基础设施建设</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大型修缮</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信息网络及软件购置更新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bl>
    <w:p>
      <w:pPr>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tbl>
      <w:tblPr>
        <w:tblStyle w:val="1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79"/>
        <w:gridCol w:w="1179"/>
        <w:gridCol w:w="1179"/>
        <w:gridCol w:w="1179"/>
        <w:gridCol w:w="1179"/>
        <w:gridCol w:w="1191"/>
        <w:gridCol w:w="1179"/>
        <w:gridCol w:w="1179"/>
        <w:gridCol w:w="1179"/>
        <w:gridCol w:w="1179"/>
        <w:gridCol w:w="1180"/>
        <w:gridCol w:w="11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2500" w:type="pct"/>
            <w:gridSpan w:val="6"/>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资本性支出（基本建设）</w:t>
            </w:r>
          </w:p>
        </w:tc>
        <w:tc>
          <w:tcPr>
            <w:tcW w:w="2500" w:type="pct"/>
            <w:gridSpan w:val="6"/>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资本性支出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物资储备</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其他交通工具购置</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文物和陈列品购置</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无形资产购置</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其他基本建设支出</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房屋建筑物购建</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办公设备购置</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专用设备购置</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基础设施建设</w:t>
            </w:r>
          </w:p>
        </w:tc>
        <w:tc>
          <w:tcPr>
            <w:tcW w:w="41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大型修缮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1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69</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74</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w:t>
            </w:r>
          </w:p>
        </w:tc>
        <w:tc>
          <w:tcPr>
            <w:tcW w:w="41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bl>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27"/>
        <w:gridCol w:w="921"/>
        <w:gridCol w:w="921"/>
        <w:gridCol w:w="921"/>
        <w:gridCol w:w="1786"/>
        <w:gridCol w:w="921"/>
        <w:gridCol w:w="1208"/>
        <w:gridCol w:w="1497"/>
        <w:gridCol w:w="1497"/>
        <w:gridCol w:w="1208"/>
        <w:gridCol w:w="13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680" w:type="pct"/>
            <w:tcBorders>
              <w:top w:val="single" w:color="000000" w:sz="4" w:space="0"/>
              <w:left w:val="single" w:color="000000" w:sz="4" w:space="0"/>
              <w:bottom w:val="single" w:color="000000" w:sz="4" w:space="0"/>
              <w:right w:val="single" w:color="000000" w:sz="4" w:space="0"/>
            </w:tcBorders>
            <w:shd w:val="clear" w:color="FFFFFF" w:fill="C0C0C0"/>
            <w:noWrap/>
            <w:vAlign w:val="center"/>
          </w:tcPr>
          <w:p>
            <w:pPr>
              <w:rPr>
                <w:rFonts w:hint="eastAsia" w:ascii="宋体" w:hAnsi="宋体" w:eastAsia="宋体" w:cs="宋体"/>
                <w:i w:val="0"/>
                <w:iCs w:val="0"/>
                <w:color w:val="000000"/>
                <w:sz w:val="22"/>
                <w:szCs w:val="22"/>
                <w:u w:val="none"/>
              </w:rPr>
            </w:pPr>
          </w:p>
        </w:tc>
        <w:tc>
          <w:tcPr>
            <w:tcW w:w="4319" w:type="pct"/>
            <w:gridSpan w:val="10"/>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资本性支出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680"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信息网络及软件购置更新</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物资储备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土地补偿</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安置补助</w:t>
            </w:r>
          </w:p>
        </w:tc>
        <w:tc>
          <w:tcPr>
            <w:tcW w:w="630"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地上附着物和青苗补偿</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拆迁补偿</w:t>
            </w:r>
          </w:p>
        </w:tc>
        <w:tc>
          <w:tcPr>
            <w:tcW w:w="42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w:t>
            </w:r>
          </w:p>
        </w:tc>
        <w:tc>
          <w:tcPr>
            <w:tcW w:w="528"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其他交通工具购置</w:t>
            </w:r>
          </w:p>
        </w:tc>
        <w:tc>
          <w:tcPr>
            <w:tcW w:w="528"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文物和陈列品购置</w:t>
            </w:r>
          </w:p>
        </w:tc>
        <w:tc>
          <w:tcPr>
            <w:tcW w:w="426"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无形资产购置</w:t>
            </w:r>
          </w:p>
        </w:tc>
        <w:tc>
          <w:tcPr>
            <w:tcW w:w="479"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其他资本性支出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680"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630"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2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528"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528"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26"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680"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w:t>
            </w:r>
          </w:p>
        </w:tc>
        <w:tc>
          <w:tcPr>
            <w:tcW w:w="325"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w:t>
            </w:r>
          </w:p>
        </w:tc>
        <w:tc>
          <w:tcPr>
            <w:tcW w:w="325"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w:t>
            </w:r>
          </w:p>
        </w:tc>
        <w:tc>
          <w:tcPr>
            <w:tcW w:w="325"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84</w:t>
            </w:r>
          </w:p>
        </w:tc>
        <w:tc>
          <w:tcPr>
            <w:tcW w:w="630"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w:t>
            </w:r>
          </w:p>
        </w:tc>
        <w:tc>
          <w:tcPr>
            <w:tcW w:w="325"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w:t>
            </w:r>
          </w:p>
        </w:tc>
        <w:tc>
          <w:tcPr>
            <w:tcW w:w="42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w:t>
            </w:r>
          </w:p>
        </w:tc>
        <w:tc>
          <w:tcPr>
            <w:tcW w:w="528"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w:t>
            </w:r>
          </w:p>
        </w:tc>
        <w:tc>
          <w:tcPr>
            <w:tcW w:w="528"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w:t>
            </w:r>
          </w:p>
        </w:tc>
        <w:tc>
          <w:tcPr>
            <w:tcW w:w="426"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479"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bl>
    <w:p>
      <w:pPr>
        <w:pStyle w:val="2"/>
        <w:ind w:left="0" w:leftChars="0" w:firstLine="0" w:firstLineChars="0"/>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12"/>
        <w:gridCol w:w="1012"/>
        <w:gridCol w:w="1012"/>
        <w:gridCol w:w="1012"/>
        <w:gridCol w:w="1012"/>
        <w:gridCol w:w="1012"/>
        <w:gridCol w:w="1012"/>
        <w:gridCol w:w="1012"/>
        <w:gridCol w:w="1012"/>
        <w:gridCol w:w="1015"/>
        <w:gridCol w:w="1012"/>
        <w:gridCol w:w="1012"/>
        <w:gridCol w:w="1012"/>
        <w:gridCol w:w="10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1071" w:type="pct"/>
            <w:gridSpan w:val="3"/>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对企业补助（基本建设）</w:t>
            </w:r>
          </w:p>
        </w:tc>
        <w:tc>
          <w:tcPr>
            <w:tcW w:w="2500" w:type="pct"/>
            <w:gridSpan w:val="7"/>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对企业补助</w:t>
            </w:r>
          </w:p>
        </w:tc>
        <w:tc>
          <w:tcPr>
            <w:tcW w:w="1428" w:type="pct"/>
            <w:gridSpan w:val="4"/>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对社会保障基金补助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57"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357"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资本金注入</w:t>
            </w:r>
          </w:p>
        </w:tc>
        <w:tc>
          <w:tcPr>
            <w:tcW w:w="357"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其他对企业补助</w:t>
            </w:r>
          </w:p>
        </w:tc>
        <w:tc>
          <w:tcPr>
            <w:tcW w:w="357"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357"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资本金注入</w:t>
            </w:r>
          </w:p>
        </w:tc>
        <w:tc>
          <w:tcPr>
            <w:tcW w:w="357"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政府投资基金股权投资</w:t>
            </w:r>
          </w:p>
        </w:tc>
        <w:tc>
          <w:tcPr>
            <w:tcW w:w="357"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费用补贴</w:t>
            </w:r>
          </w:p>
        </w:tc>
        <w:tc>
          <w:tcPr>
            <w:tcW w:w="357"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利息补贴</w:t>
            </w:r>
          </w:p>
        </w:tc>
        <w:tc>
          <w:tcPr>
            <w:tcW w:w="357"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其他资本性补助</w:t>
            </w:r>
          </w:p>
        </w:tc>
        <w:tc>
          <w:tcPr>
            <w:tcW w:w="358"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其他对企业补助</w:t>
            </w:r>
          </w:p>
        </w:tc>
        <w:tc>
          <w:tcPr>
            <w:tcW w:w="357"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357"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对社会保险基金补助</w:t>
            </w:r>
          </w:p>
        </w:tc>
        <w:tc>
          <w:tcPr>
            <w:tcW w:w="357"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补充全国社会保障基金</w:t>
            </w:r>
          </w:p>
        </w:tc>
        <w:tc>
          <w:tcPr>
            <w:tcW w:w="357"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对机关事业单位职业年金的补助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357"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58"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57"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w:t>
            </w:r>
          </w:p>
        </w:tc>
        <w:tc>
          <w:tcPr>
            <w:tcW w:w="357"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w:t>
            </w:r>
          </w:p>
        </w:tc>
        <w:tc>
          <w:tcPr>
            <w:tcW w:w="357"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94</w:t>
            </w:r>
          </w:p>
        </w:tc>
        <w:tc>
          <w:tcPr>
            <w:tcW w:w="357"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357"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357"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c>
          <w:tcPr>
            <w:tcW w:w="357"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357"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c>
          <w:tcPr>
            <w:tcW w:w="357"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358"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101</w:t>
            </w:r>
          </w:p>
        </w:tc>
        <w:tc>
          <w:tcPr>
            <w:tcW w:w="357"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w:t>
            </w:r>
          </w:p>
        </w:tc>
        <w:tc>
          <w:tcPr>
            <w:tcW w:w="357"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w:t>
            </w:r>
          </w:p>
        </w:tc>
        <w:tc>
          <w:tcPr>
            <w:tcW w:w="357"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w:t>
            </w:r>
          </w:p>
        </w:tc>
        <w:tc>
          <w:tcPr>
            <w:tcW w:w="357"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bl>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tbl>
      <w:tblPr>
        <w:tblStyle w:val="1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361"/>
        <w:gridCol w:w="2361"/>
        <w:gridCol w:w="2361"/>
        <w:gridCol w:w="2361"/>
        <w:gridCol w:w="2362"/>
        <w:gridCol w:w="23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833"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833"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国家赔偿费用支出</w:t>
            </w:r>
          </w:p>
        </w:tc>
        <w:tc>
          <w:tcPr>
            <w:tcW w:w="833"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对民间非营利组织和群众性自治组织补贴</w:t>
            </w:r>
          </w:p>
        </w:tc>
        <w:tc>
          <w:tcPr>
            <w:tcW w:w="833"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经常性赠与</w:t>
            </w:r>
          </w:p>
        </w:tc>
        <w:tc>
          <w:tcPr>
            <w:tcW w:w="833"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资本性赠与</w:t>
            </w:r>
          </w:p>
        </w:tc>
        <w:tc>
          <w:tcPr>
            <w:tcW w:w="833"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833"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833"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833"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833"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833"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833"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833"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w:t>
            </w:r>
          </w:p>
        </w:tc>
        <w:tc>
          <w:tcPr>
            <w:tcW w:w="833"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107</w:t>
            </w:r>
          </w:p>
        </w:tc>
        <w:tc>
          <w:tcPr>
            <w:tcW w:w="833"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w:t>
            </w:r>
          </w:p>
        </w:tc>
        <w:tc>
          <w:tcPr>
            <w:tcW w:w="833"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109</w:t>
            </w:r>
          </w:p>
        </w:tc>
        <w:tc>
          <w:tcPr>
            <w:tcW w:w="833"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w:t>
            </w:r>
          </w:p>
        </w:tc>
        <w:tc>
          <w:tcPr>
            <w:tcW w:w="833"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bl>
    <w:p>
      <w:pPr>
        <w:rPr>
          <w:rFonts w:hint="eastAsia"/>
          <w:lang w:eastAsia="zh-CN"/>
        </w:rPr>
      </w:pPr>
      <w:r>
        <w:rPr>
          <w:rFonts w:hint="eastAsia"/>
          <w:lang w:eastAsia="zh-CN"/>
        </w:rPr>
        <w:t>注：本表反映部门本年度一般公共预算财政拨款支出明细情况。</w:t>
      </w: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tbl>
      <w:tblPr>
        <w:tblStyle w:val="18"/>
        <w:tblW w:w="141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1"/>
        <w:gridCol w:w="3112"/>
        <w:gridCol w:w="812"/>
        <w:gridCol w:w="711"/>
        <w:gridCol w:w="2153"/>
        <w:gridCol w:w="622"/>
        <w:gridCol w:w="711"/>
        <w:gridCol w:w="3825"/>
        <w:gridCol w:w="15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14172" w:type="dxa"/>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一般公共预算财政拨款基本支出决算明细表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财决公开08表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gridSpan w:val="3"/>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单位名称：四川省电子产品监督检验所</w:t>
            </w: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0" w:type="auto"/>
            <w:gridSpan w:val="2"/>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2024年度</w:t>
            </w: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0" w:type="auto"/>
            <w:gridSpan w:val="3"/>
            <w:tcBorders>
              <w:top w:val="single" w:color="808080" w:sz="4" w:space="0"/>
              <w:left w:val="single" w:color="808080" w:sz="4" w:space="0"/>
              <w:bottom w:val="single" w:color="80808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人员经费</w:t>
            </w:r>
          </w:p>
        </w:tc>
        <w:tc>
          <w:tcPr>
            <w:tcW w:w="0" w:type="auto"/>
            <w:gridSpan w:val="6"/>
            <w:tcBorders>
              <w:top w:val="single" w:color="808080" w:sz="4" w:space="0"/>
              <w:left w:val="single" w:color="000000" w:sz="4" w:space="0"/>
              <w:bottom w:val="single" w:color="808080" w:sz="4" w:space="0"/>
              <w:right w:val="single" w:color="80808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744" w:type="dxa"/>
            <w:tcBorders>
              <w:top w:val="single" w:color="808080" w:sz="4" w:space="0"/>
              <w:left w:val="single" w:color="808080" w:sz="4" w:space="0"/>
              <w:bottom w:val="single" w:color="808080" w:sz="4" w:space="0"/>
              <w:right w:val="single" w:color="80808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科目编码</w:t>
            </w:r>
          </w:p>
        </w:tc>
        <w:tc>
          <w:tcPr>
            <w:tcW w:w="3210" w:type="dxa"/>
            <w:tcBorders>
              <w:top w:val="single" w:color="808080" w:sz="4" w:space="0"/>
              <w:left w:val="single" w:color="808080" w:sz="4" w:space="0"/>
              <w:bottom w:val="single" w:color="808080" w:sz="4" w:space="0"/>
              <w:right w:val="single" w:color="80808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990" w:type="dxa"/>
            <w:tcBorders>
              <w:top w:val="single" w:color="808080" w:sz="4" w:space="0"/>
              <w:left w:val="single" w:color="808080" w:sz="4" w:space="0"/>
              <w:bottom w:val="single" w:color="808080" w:sz="4" w:space="0"/>
              <w:right w:val="single" w:color="80808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c>
          <w:tcPr>
            <w:tcW w:w="744" w:type="dxa"/>
            <w:tcBorders>
              <w:top w:val="single" w:color="808080" w:sz="4" w:space="0"/>
              <w:left w:val="single" w:color="808080" w:sz="4" w:space="0"/>
              <w:bottom w:val="single" w:color="808080" w:sz="4" w:space="0"/>
              <w:right w:val="single" w:color="80808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科目编码</w:t>
            </w:r>
          </w:p>
        </w:tc>
        <w:tc>
          <w:tcPr>
            <w:tcW w:w="2250" w:type="dxa"/>
            <w:tcBorders>
              <w:top w:val="single" w:color="808080" w:sz="4" w:space="0"/>
              <w:left w:val="single" w:color="808080" w:sz="4" w:space="0"/>
              <w:bottom w:val="single" w:color="808080" w:sz="4" w:space="0"/>
              <w:right w:val="single" w:color="80808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840" w:type="dxa"/>
            <w:tcBorders>
              <w:top w:val="single" w:color="808080" w:sz="4" w:space="0"/>
              <w:left w:val="single" w:color="808080" w:sz="4" w:space="0"/>
              <w:bottom w:val="single" w:color="808080" w:sz="4" w:space="0"/>
              <w:right w:val="single" w:color="80808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c>
          <w:tcPr>
            <w:tcW w:w="744" w:type="dxa"/>
            <w:tcBorders>
              <w:top w:val="single" w:color="808080" w:sz="4" w:space="0"/>
              <w:left w:val="single" w:color="808080" w:sz="4" w:space="0"/>
              <w:bottom w:val="single" w:color="808080" w:sz="4" w:space="0"/>
              <w:right w:val="single" w:color="80808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科目编码</w:t>
            </w:r>
          </w:p>
        </w:tc>
        <w:tc>
          <w:tcPr>
            <w:tcW w:w="3825" w:type="dxa"/>
            <w:tcBorders>
              <w:top w:val="single" w:color="808080" w:sz="4" w:space="0"/>
              <w:left w:val="single" w:color="808080" w:sz="4" w:space="0"/>
              <w:bottom w:val="single" w:color="808080" w:sz="4" w:space="0"/>
              <w:right w:val="single" w:color="80808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825" w:type="dxa"/>
            <w:tcBorders>
              <w:top w:val="single" w:color="808080" w:sz="4" w:space="0"/>
              <w:left w:val="single" w:color="808080" w:sz="4" w:space="0"/>
              <w:bottom w:val="single" w:color="808080" w:sz="4" w:space="0"/>
              <w:right w:val="single" w:color="80808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工资福利支出</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391.83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商品和服务支出</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债务利息及费用支出</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基本工资</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办公费</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国内债务付息</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津贴补贴</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印刷费</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国外债务付息</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奖金</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咨询费</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资本性支出</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伙食补助费</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手续费</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房屋建筑物购建</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绩效工资</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177.93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水费</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办公设备购置</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机关事业单位基本养老保险缴费</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电费</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专用设备购置</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职业年金缴费</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邮电费</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基础设施建设</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职工基本医疗保险缴费</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取暖费</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大型修缮</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公务员医疗补助缴费</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物业管理费</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信息网络及软件购置更新</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其他社会保障缴费</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差旅费</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物资储备</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住房公积金</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因公出国（境）费用</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土地补偿</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医疗费</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维修（护）费</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安置补助</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其他工资福利支出</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租赁费</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地上附着物和青苗补偿</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对个人和家庭的补助</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会议费</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拆迁补偿</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离休费</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培训费</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公务用车购置</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退休费</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公务接待费</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其他交通工具购置</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退职（役）费</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专用材料费</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文物和陈列品购置</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抚恤金</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被装购置费</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无形资产购置</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生活补助</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专用燃料费</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其他资本性支出</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救济费</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劳务费</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其他支出</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医疗费补助</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委托业务费</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国家赔偿费用支出</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助学金</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工会经费</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对民间非营利组织和群众性自治组织补贴</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奖励金</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福利费</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经常性赠与</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个人农业生产补贴</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公务用车运行维护费</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资本性赠与</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代缴社会保险费</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其他交通费用</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其他支出</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其他对个人和家庭的补助</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税金及附加费用</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其他商品和服务支出</w:t>
            </w:r>
          </w:p>
        </w:tc>
        <w:tc>
          <w:tcPr>
            <w:tcW w:w="84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人员经费合计</w:t>
            </w:r>
          </w:p>
        </w:tc>
        <w:tc>
          <w:tcPr>
            <w:tcW w:w="990"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436.51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公用经费合计</w:t>
            </w:r>
          </w:p>
        </w:tc>
        <w:tc>
          <w:tcPr>
            <w:tcW w:w="825"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trPr>
        <w:tc>
          <w:tcPr>
            <w:tcW w:w="14172" w:type="dxa"/>
            <w:gridSpan w:val="9"/>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注：本表反映部门本年度一般公共预算财政拨款基本支出明细情况。</w:t>
            </w:r>
          </w:p>
        </w:tc>
      </w:tr>
    </w:tbl>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tbl>
      <w:tblPr>
        <w:tblStyle w:val="1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24"/>
        <w:gridCol w:w="524"/>
        <w:gridCol w:w="530"/>
        <w:gridCol w:w="4802"/>
        <w:gridCol w:w="3887"/>
        <w:gridCol w:w="39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5000" w:type="pct"/>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一般公共预算财政拨款项目支出决算表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5"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85"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85"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93"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371"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377"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财决公开09表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51" w:type="pct"/>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单位名称：四川省电子产品监督检验所</w:t>
            </w:r>
          </w:p>
        </w:tc>
        <w:tc>
          <w:tcPr>
            <w:tcW w:w="1371"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2024年度</w:t>
            </w:r>
          </w:p>
        </w:tc>
        <w:tc>
          <w:tcPr>
            <w:tcW w:w="1377"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557" w:type="pct"/>
            <w:gridSpan w:val="3"/>
            <w:vMerge w:val="restar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科目编码</w:t>
            </w:r>
          </w:p>
        </w:tc>
        <w:tc>
          <w:tcPr>
            <w:tcW w:w="1693" w:type="pct"/>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371" w:type="pct"/>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w:t>
            </w:r>
          </w:p>
        </w:tc>
        <w:tc>
          <w:tcPr>
            <w:tcW w:w="1377" w:type="pct"/>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557" w:type="pct"/>
            <w:gridSpan w:val="3"/>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693"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371" w:type="pct"/>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377" w:type="pct"/>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185" w:type="pct"/>
            <w:vMerge w:val="restar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185" w:type="pct"/>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185" w:type="pct"/>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1693"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371" w:type="pct"/>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377" w:type="pct"/>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185" w:type="pct"/>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85"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85"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693" w:type="pc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13.00</w:t>
            </w:r>
          </w:p>
        </w:tc>
        <w:tc>
          <w:tcPr>
            <w:tcW w:w="1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55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201</w:t>
            </w:r>
          </w:p>
        </w:tc>
        <w:tc>
          <w:tcPr>
            <w:tcW w:w="1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一般公共服务支出</w:t>
            </w:r>
          </w:p>
        </w:tc>
        <w:tc>
          <w:tcPr>
            <w:tcW w:w="1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13.00</w:t>
            </w:r>
          </w:p>
        </w:tc>
        <w:tc>
          <w:tcPr>
            <w:tcW w:w="1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55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20138</w:t>
            </w:r>
          </w:p>
        </w:tc>
        <w:tc>
          <w:tcPr>
            <w:tcW w:w="1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市场监督管理事务</w:t>
            </w:r>
          </w:p>
        </w:tc>
        <w:tc>
          <w:tcPr>
            <w:tcW w:w="1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13.00</w:t>
            </w:r>
          </w:p>
        </w:tc>
        <w:tc>
          <w:tcPr>
            <w:tcW w:w="1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55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2013899</w:t>
            </w:r>
          </w:p>
        </w:tc>
        <w:tc>
          <w:tcPr>
            <w:tcW w:w="1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其他市场监督管理事务</w:t>
            </w:r>
          </w:p>
        </w:tc>
        <w:tc>
          <w:tcPr>
            <w:tcW w:w="1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13.00</w:t>
            </w:r>
          </w:p>
        </w:tc>
        <w:tc>
          <w:tcPr>
            <w:tcW w:w="1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5000" w:type="pct"/>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注：本表反映部门本年度一般公共预算财政拨款项目支出情况。</w:t>
            </w:r>
          </w:p>
        </w:tc>
      </w:tr>
    </w:tbl>
    <w:p>
      <w:pPr>
        <w:pStyle w:val="2"/>
        <w:ind w:left="0" w:leftChars="0" w:firstLine="0" w:firstLineChars="0"/>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tbl>
      <w:tblPr>
        <w:tblStyle w:val="1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6"/>
        <w:gridCol w:w="436"/>
        <w:gridCol w:w="436"/>
        <w:gridCol w:w="3530"/>
        <w:gridCol w:w="1511"/>
        <w:gridCol w:w="1756"/>
        <w:gridCol w:w="1511"/>
        <w:gridCol w:w="1511"/>
        <w:gridCol w:w="1518"/>
        <w:gridCol w:w="15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5000" w:type="pct"/>
            <w:gridSpan w:val="1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9"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9"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9"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67"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5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5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lang w:eastAsia="zh-CN"/>
              </w:rPr>
            </w:pPr>
            <w:r>
              <w:rPr>
                <w:rFonts w:hint="eastAsia" w:ascii="宋体" w:hAnsi="宋体" w:cs="宋体"/>
                <w:i w:val="0"/>
                <w:iCs w:val="0"/>
                <w:color w:val="000000"/>
                <w:sz w:val="22"/>
                <w:szCs w:val="22"/>
                <w:u w:val="none"/>
                <w:lang w:eastAsia="zh-CN"/>
              </w:rPr>
              <w:t>（</w:t>
            </w:r>
            <w:r>
              <w:rPr>
                <w:rFonts w:hint="eastAsia" w:ascii="宋体" w:hAnsi="宋体" w:cs="宋体"/>
                <w:i w:val="0"/>
                <w:iCs w:val="0"/>
                <w:color w:val="000000"/>
                <w:sz w:val="22"/>
                <w:szCs w:val="22"/>
                <w:u w:val="none"/>
                <w:lang w:val="en-US" w:eastAsia="zh-CN"/>
              </w:rPr>
              <w:t>本表无数据</w:t>
            </w:r>
            <w:r>
              <w:rPr>
                <w:rFonts w:hint="eastAsia" w:ascii="宋体" w:hAnsi="宋体" w:cs="宋体"/>
                <w:i w:val="0"/>
                <w:iCs w:val="0"/>
                <w:color w:val="000000"/>
                <w:sz w:val="22"/>
                <w:szCs w:val="22"/>
                <w:u w:val="none"/>
                <w:lang w:eastAsia="zh-CN"/>
              </w:rPr>
              <w:t>）</w:t>
            </w:r>
          </w:p>
        </w:tc>
        <w:tc>
          <w:tcPr>
            <w:tcW w:w="55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5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5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财决公开10表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56" w:type="pct"/>
            <w:gridSpan w:val="4"/>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单位名称：四川省电子产品监督检验所</w:t>
            </w:r>
          </w:p>
        </w:tc>
        <w:tc>
          <w:tcPr>
            <w:tcW w:w="556" w:type="pct"/>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556"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2024年度</w:t>
            </w:r>
          </w:p>
        </w:tc>
        <w:tc>
          <w:tcPr>
            <w:tcW w:w="556" w:type="pct"/>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556" w:type="pct"/>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556" w:type="pct"/>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5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88" w:type="pct"/>
            <w:gridSpan w:val="3"/>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科目编码</w:t>
            </w:r>
          </w:p>
        </w:tc>
        <w:tc>
          <w:tcPr>
            <w:tcW w:w="1267" w:type="pct"/>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556" w:type="pct"/>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年初结转和结余</w:t>
            </w:r>
          </w:p>
        </w:tc>
        <w:tc>
          <w:tcPr>
            <w:tcW w:w="556" w:type="pct"/>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w:t>
            </w:r>
          </w:p>
        </w:tc>
        <w:tc>
          <w:tcPr>
            <w:tcW w:w="1670" w:type="pct"/>
            <w:gridSpan w:val="3"/>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c>
          <w:tcPr>
            <w:tcW w:w="559" w:type="pct"/>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88" w:type="pct"/>
            <w:gridSpan w:val="3"/>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267" w:type="pct"/>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556" w:type="pct"/>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556" w:type="pct"/>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556" w:type="pct"/>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556" w:type="pct"/>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556" w:type="pct"/>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559" w:type="pct"/>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88" w:type="pct"/>
            <w:gridSpan w:val="3"/>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267" w:type="pct"/>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556" w:type="pct"/>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556" w:type="pct"/>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556"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556"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556"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559" w:type="pct"/>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129" w:type="pc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129" w:type="pc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129" w:type="pc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1267" w:type="pc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5000" w:type="pct"/>
            <w:gridSpan w:val="10"/>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bl>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rPr>
          <w:rFonts w:hint="eastAsia"/>
          <w:lang w:eastAsia="zh-CN"/>
        </w:rPr>
      </w:pPr>
    </w:p>
    <w:tbl>
      <w:tblPr>
        <w:tblStyle w:val="1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23"/>
        <w:gridCol w:w="471"/>
        <w:gridCol w:w="476"/>
        <w:gridCol w:w="2194"/>
        <w:gridCol w:w="2030"/>
        <w:gridCol w:w="1519"/>
        <w:gridCol w:w="1519"/>
        <w:gridCol w:w="20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5000" w:type="pct"/>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国有资本经营预算财政拨款收入支出决算表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84"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74" w:type="pct"/>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2"/>
                <w:szCs w:val="22"/>
                <w:u w:val="none"/>
                <w:lang w:eastAsia="zh-CN"/>
              </w:rPr>
              <w:t>（</w:t>
            </w:r>
            <w:r>
              <w:rPr>
                <w:rFonts w:hint="eastAsia" w:ascii="宋体" w:hAnsi="宋体" w:cs="宋体"/>
                <w:i w:val="0"/>
                <w:iCs w:val="0"/>
                <w:color w:val="000000"/>
                <w:sz w:val="22"/>
                <w:szCs w:val="22"/>
                <w:u w:val="none"/>
                <w:lang w:val="en-US" w:eastAsia="zh-CN"/>
              </w:rPr>
              <w:t>本表无数据）</w:t>
            </w:r>
          </w:p>
        </w:tc>
        <w:tc>
          <w:tcPr>
            <w:tcW w:w="71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3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3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18"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财决公开11表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84"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单位名称：四川省电子产品监督检验所</w:t>
            </w:r>
          </w:p>
        </w:tc>
        <w:tc>
          <w:tcPr>
            <w:tcW w:w="166" w:type="pct"/>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166" w:type="pct"/>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774" w:type="pct"/>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0"/>
                <w:szCs w:val="20"/>
                <w:u w:val="none"/>
              </w:rPr>
            </w:pPr>
          </w:p>
        </w:tc>
        <w:tc>
          <w:tcPr>
            <w:tcW w:w="716" w:type="pct"/>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2024年度</w:t>
            </w:r>
          </w:p>
        </w:tc>
        <w:tc>
          <w:tcPr>
            <w:tcW w:w="53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0"/>
                <w:szCs w:val="20"/>
                <w:u w:val="none"/>
              </w:rPr>
            </w:pPr>
          </w:p>
        </w:tc>
        <w:tc>
          <w:tcPr>
            <w:tcW w:w="53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0"/>
                <w:szCs w:val="20"/>
                <w:u w:val="none"/>
              </w:rPr>
            </w:pPr>
          </w:p>
        </w:tc>
        <w:tc>
          <w:tcPr>
            <w:tcW w:w="718"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2492" w:type="pct"/>
            <w:gridSpan w:val="4"/>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    目</w:t>
            </w:r>
          </w:p>
        </w:tc>
        <w:tc>
          <w:tcPr>
            <w:tcW w:w="716" w:type="pct"/>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年初结转和结余</w:t>
            </w:r>
          </w:p>
        </w:tc>
        <w:tc>
          <w:tcPr>
            <w:tcW w:w="536" w:type="pct"/>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w:t>
            </w:r>
          </w:p>
        </w:tc>
        <w:tc>
          <w:tcPr>
            <w:tcW w:w="536" w:type="pct"/>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c>
          <w:tcPr>
            <w:tcW w:w="718" w:type="pct"/>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trPr>
        <w:tc>
          <w:tcPr>
            <w:tcW w:w="1718" w:type="pct"/>
            <w:gridSpan w:val="3"/>
            <w:vMerge w:val="restar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科目编码</w:t>
            </w:r>
          </w:p>
        </w:tc>
        <w:tc>
          <w:tcPr>
            <w:tcW w:w="774" w:type="pct"/>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716" w:type="pct"/>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536" w:type="pct"/>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536" w:type="pct"/>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718" w:type="pct"/>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 w:hRule="atLeast"/>
        </w:trPr>
        <w:tc>
          <w:tcPr>
            <w:tcW w:w="1718" w:type="pct"/>
            <w:gridSpan w:val="3"/>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774"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716" w:type="pct"/>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536" w:type="pct"/>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536" w:type="pct"/>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718" w:type="pct"/>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 w:hRule="atLeast"/>
        </w:trPr>
        <w:tc>
          <w:tcPr>
            <w:tcW w:w="1718" w:type="pct"/>
            <w:gridSpan w:val="3"/>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774"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716" w:type="pct"/>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536" w:type="pct"/>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536" w:type="pct"/>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718" w:type="pct"/>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1384" w:type="pc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166" w:type="pc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166" w:type="pc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774" w:type="pc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5000" w:type="pct"/>
            <w:gridSpan w:val="8"/>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bl>
    <w:p>
      <w:pPr>
        <w:pStyle w:val="2"/>
        <w:ind w:left="0" w:leftChars="0" w:firstLine="0" w:firstLineChars="0"/>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tbl>
      <w:tblPr>
        <w:tblStyle w:val="1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3"/>
        <w:gridCol w:w="473"/>
        <w:gridCol w:w="479"/>
        <w:gridCol w:w="4649"/>
        <w:gridCol w:w="2696"/>
        <w:gridCol w:w="2696"/>
        <w:gridCol w:w="27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5000" w:type="pct"/>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7" w:type="pct"/>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32"/>
                <w:szCs w:val="32"/>
                <w:u w:val="none"/>
              </w:rPr>
            </w:pPr>
          </w:p>
        </w:tc>
        <w:tc>
          <w:tcPr>
            <w:tcW w:w="167" w:type="pct"/>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32"/>
                <w:szCs w:val="32"/>
                <w:u w:val="none"/>
              </w:rPr>
            </w:pPr>
          </w:p>
        </w:tc>
        <w:tc>
          <w:tcPr>
            <w:tcW w:w="167" w:type="pct"/>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32"/>
                <w:szCs w:val="32"/>
                <w:u w:val="none"/>
              </w:rPr>
            </w:pPr>
          </w:p>
        </w:tc>
        <w:tc>
          <w:tcPr>
            <w:tcW w:w="1640" w:type="pct"/>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32"/>
                <w:szCs w:val="32"/>
                <w:u w:val="none"/>
              </w:rPr>
            </w:pPr>
          </w:p>
        </w:tc>
        <w:tc>
          <w:tcPr>
            <w:tcW w:w="951" w:type="pct"/>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32"/>
                <w:szCs w:val="32"/>
                <w:u w:val="none"/>
              </w:rPr>
            </w:pPr>
            <w:r>
              <w:rPr>
                <w:rFonts w:hint="eastAsia" w:ascii="宋体" w:hAnsi="宋体" w:cs="宋体"/>
                <w:i w:val="0"/>
                <w:iCs w:val="0"/>
                <w:color w:val="000000"/>
                <w:sz w:val="22"/>
                <w:szCs w:val="22"/>
                <w:u w:val="none"/>
                <w:lang w:eastAsia="zh-CN"/>
              </w:rPr>
              <w:t>（</w:t>
            </w:r>
            <w:r>
              <w:rPr>
                <w:rFonts w:hint="eastAsia" w:ascii="宋体" w:hAnsi="宋体" w:cs="宋体"/>
                <w:i w:val="0"/>
                <w:iCs w:val="0"/>
                <w:color w:val="000000"/>
                <w:sz w:val="22"/>
                <w:szCs w:val="22"/>
                <w:u w:val="none"/>
                <w:lang w:val="en-US" w:eastAsia="zh-CN"/>
              </w:rPr>
              <w:t>本表无数据）</w:t>
            </w:r>
          </w:p>
        </w:tc>
        <w:tc>
          <w:tcPr>
            <w:tcW w:w="951" w:type="pct"/>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32"/>
                <w:szCs w:val="32"/>
                <w:u w:val="none"/>
              </w:rPr>
            </w:pPr>
          </w:p>
        </w:tc>
        <w:tc>
          <w:tcPr>
            <w:tcW w:w="953"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财决公开12表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43" w:type="pct"/>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单位名称：四川省电子产品监督检验所</w:t>
            </w:r>
          </w:p>
        </w:tc>
        <w:tc>
          <w:tcPr>
            <w:tcW w:w="951" w:type="pct"/>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2024年度</w:t>
            </w:r>
          </w:p>
        </w:tc>
        <w:tc>
          <w:tcPr>
            <w:tcW w:w="951"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0"/>
                <w:szCs w:val="20"/>
                <w:u w:val="none"/>
              </w:rPr>
            </w:pPr>
          </w:p>
        </w:tc>
        <w:tc>
          <w:tcPr>
            <w:tcW w:w="953"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2143" w:type="pct"/>
            <w:gridSpan w:val="4"/>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    目</w:t>
            </w:r>
          </w:p>
        </w:tc>
        <w:tc>
          <w:tcPr>
            <w:tcW w:w="2856" w:type="pct"/>
            <w:gridSpan w:val="3"/>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503" w:type="pct"/>
            <w:gridSpan w:val="3"/>
            <w:vMerge w:val="restar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科目编码</w:t>
            </w:r>
          </w:p>
        </w:tc>
        <w:tc>
          <w:tcPr>
            <w:tcW w:w="1640" w:type="pct"/>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951" w:type="pct"/>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951" w:type="pct"/>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953" w:type="pct"/>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503" w:type="pct"/>
            <w:gridSpan w:val="3"/>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640"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951"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951"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953"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503" w:type="pct"/>
            <w:gridSpan w:val="3"/>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640"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951"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951"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953"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167" w:type="pc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167" w:type="pc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167" w:type="pc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1640" w:type="pc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9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5000" w:type="pct"/>
            <w:gridSpan w:val="7"/>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bl>
    <w:p>
      <w:pPr>
        <w:pStyle w:val="2"/>
        <w:ind w:left="0" w:leftChars="0" w:firstLine="0" w:firstLineChars="0"/>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tbl>
      <w:tblPr>
        <w:tblStyle w:val="18"/>
        <w:tblW w:w="515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23"/>
        <w:gridCol w:w="569"/>
        <w:gridCol w:w="571"/>
        <w:gridCol w:w="569"/>
        <w:gridCol w:w="619"/>
        <w:gridCol w:w="588"/>
        <w:gridCol w:w="604"/>
        <w:gridCol w:w="638"/>
        <w:gridCol w:w="653"/>
        <w:gridCol w:w="653"/>
        <w:gridCol w:w="588"/>
        <w:gridCol w:w="621"/>
        <w:gridCol w:w="619"/>
        <w:gridCol w:w="668"/>
        <w:gridCol w:w="588"/>
        <w:gridCol w:w="621"/>
        <w:gridCol w:w="588"/>
        <w:gridCol w:w="668"/>
        <w:gridCol w:w="491"/>
        <w:gridCol w:w="641"/>
        <w:gridCol w:w="576"/>
        <w:gridCol w:w="623"/>
        <w:gridCol w:w="591"/>
        <w:gridCol w:w="6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5000" w:type="pct"/>
            <w:gridSpan w:val="2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213"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94"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95"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94"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11" w:type="pct"/>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01"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0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18"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23"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23"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25" w:type="pct"/>
            <w:gridSpan w:val="3"/>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r>
              <w:rPr>
                <w:rFonts w:hint="eastAsia" w:ascii="宋体" w:hAnsi="宋体" w:cs="宋体"/>
                <w:i w:val="0"/>
                <w:iCs w:val="0"/>
                <w:color w:val="000000"/>
                <w:sz w:val="22"/>
                <w:szCs w:val="22"/>
                <w:u w:val="none"/>
                <w:lang w:eastAsia="zh-CN"/>
              </w:rPr>
              <w:t>（</w:t>
            </w:r>
            <w:r>
              <w:rPr>
                <w:rFonts w:hint="eastAsia" w:ascii="宋体" w:hAnsi="宋体" w:cs="宋体"/>
                <w:i w:val="0"/>
                <w:iCs w:val="0"/>
                <w:color w:val="000000"/>
                <w:sz w:val="22"/>
                <w:szCs w:val="22"/>
                <w:u w:val="none"/>
                <w:lang w:val="en-US" w:eastAsia="zh-CN"/>
              </w:rPr>
              <w:t>本表无数据）</w:t>
            </w:r>
          </w:p>
        </w:tc>
        <w:tc>
          <w:tcPr>
            <w:tcW w:w="228"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01"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12"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01"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8"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19"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31" w:type="pct"/>
            <w:gridSpan w:val="4"/>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财决公开13表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211" w:type="pct"/>
            <w:gridSpan w:val="6"/>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0"/>
                <w:szCs w:val="20"/>
                <w:u w:val="none"/>
                <w:lang w:val="en-US" w:eastAsia="zh-CN" w:bidi="ar"/>
              </w:rPr>
              <w:t>单位名称：四川省电子产品监督检验所</w:t>
            </w:r>
          </w:p>
        </w:tc>
        <w:tc>
          <w:tcPr>
            <w:tcW w:w="20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18"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23"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23"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25" w:type="pct"/>
            <w:gridSpan w:val="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2024年度</w:t>
            </w:r>
          </w:p>
        </w:tc>
        <w:tc>
          <w:tcPr>
            <w:tcW w:w="228"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01"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12"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01"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8"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19"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31" w:type="pct"/>
            <w:gridSpan w:val="4"/>
            <w:tcBorders>
              <w:top w:val="nil"/>
              <w:left w:val="nil"/>
              <w:bottom w:val="nil"/>
              <w:right w:val="nil"/>
            </w:tcBorders>
            <w:shd w:val="clear" w:color="auto" w:fill="auto"/>
            <w:noWrap/>
            <w:vAlign w:val="center"/>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1211" w:type="pct"/>
            <w:gridSpan w:val="6"/>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3788" w:type="pct"/>
            <w:gridSpan w:val="18"/>
            <w:tcBorders>
              <w:top w:val="single" w:color="000000" w:sz="4" w:space="0"/>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213" w:type="pct"/>
            <w:vMerge w:val="restar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94" w:type="pct"/>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因公出国（境）费用</w:t>
            </w:r>
          </w:p>
        </w:tc>
        <w:tc>
          <w:tcPr>
            <w:tcW w:w="602" w:type="pct"/>
            <w:gridSpan w:val="3"/>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201" w:type="pct"/>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206" w:type="pct"/>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218" w:type="pct"/>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648" w:type="pct"/>
            <w:gridSpan w:val="3"/>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212" w:type="pct"/>
            <w:vMerge w:val="restart"/>
            <w:tcBorders>
              <w:top w:val="nil"/>
              <w:left w:val="nil"/>
              <w:bottom w:val="single" w:color="000000" w:sz="4" w:space="0"/>
              <w:right w:val="nil"/>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1283" w:type="pct"/>
            <w:gridSpan w:val="6"/>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其中：一般公共预算财政拨款</w:t>
            </w:r>
          </w:p>
        </w:tc>
        <w:tc>
          <w:tcPr>
            <w:tcW w:w="1218" w:type="pct"/>
            <w:gridSpan w:val="6"/>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其中：政府性基金预算财政拨款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trPr>
        <w:tc>
          <w:tcPr>
            <w:tcW w:w="213" w:type="pct"/>
            <w:vMerge w:val="continue"/>
            <w:tcBorders>
              <w:top w:val="nil"/>
              <w:left w:val="single" w:color="000000" w:sz="4" w:space="0"/>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22"/>
                <w:szCs w:val="22"/>
                <w:u w:val="none"/>
              </w:rPr>
            </w:pPr>
          </w:p>
        </w:tc>
        <w:tc>
          <w:tcPr>
            <w:tcW w:w="194"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95" w:type="pct"/>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94" w:type="pct"/>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211" w:type="pct"/>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公务用车运行维护费</w:t>
            </w:r>
          </w:p>
        </w:tc>
        <w:tc>
          <w:tcPr>
            <w:tcW w:w="201"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06"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18"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23" w:type="pct"/>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223" w:type="pct"/>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公务用车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购置费</w:t>
            </w:r>
          </w:p>
        </w:tc>
        <w:tc>
          <w:tcPr>
            <w:tcW w:w="201" w:type="pct"/>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公务用车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212" w:type="pct"/>
            <w:vMerge w:val="continue"/>
            <w:tcBorders>
              <w:top w:val="nil"/>
              <w:left w:val="nil"/>
              <w:bottom w:val="single" w:color="000000" w:sz="4" w:space="0"/>
              <w:right w:val="nil"/>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11"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228"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615" w:type="pct"/>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228"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168"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219"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612" w:type="pct"/>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218" w:type="pct"/>
            <w:vMerge w:val="restar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0" w:hRule="atLeast"/>
        </w:trPr>
        <w:tc>
          <w:tcPr>
            <w:tcW w:w="213" w:type="pct"/>
            <w:vMerge w:val="continue"/>
            <w:tcBorders>
              <w:top w:val="nil"/>
              <w:left w:val="single" w:color="000000" w:sz="4" w:space="0"/>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22"/>
                <w:szCs w:val="22"/>
                <w:u w:val="none"/>
              </w:rPr>
            </w:pPr>
          </w:p>
        </w:tc>
        <w:tc>
          <w:tcPr>
            <w:tcW w:w="194"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95"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94"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11"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01"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06"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18"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23"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23"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01" w:type="pct"/>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12" w:type="pct"/>
            <w:vMerge w:val="continue"/>
            <w:tcBorders>
              <w:top w:val="nil"/>
              <w:left w:val="nil"/>
              <w:bottom w:val="single" w:color="000000" w:sz="4" w:space="0"/>
              <w:right w:val="nil"/>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11"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01"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212"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公务用车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购置费</w:t>
            </w:r>
          </w:p>
        </w:tc>
        <w:tc>
          <w:tcPr>
            <w:tcW w:w="201"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公务用车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228"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68"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219"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c>
          <w:tcPr>
            <w:tcW w:w="197"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213"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公务用车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购置费</w:t>
            </w:r>
          </w:p>
        </w:tc>
        <w:tc>
          <w:tcPr>
            <w:tcW w:w="202" w:type="pct"/>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公务用车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218" w:type="pct"/>
            <w:vMerge w:val="continue"/>
            <w:tcBorders>
              <w:top w:val="single" w:color="000000" w:sz="4" w:space="0"/>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12"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11"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8"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12"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8"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8"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19"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13"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2"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18"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5000" w:type="pct"/>
            <w:gridSpan w:val="2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bl>
    <w:p>
      <w:pPr>
        <w:pStyle w:val="2"/>
        <w:ind w:left="0" w:leftChars="0" w:firstLine="0" w:firstLineChars="0"/>
        <w:rPr>
          <w:rFonts w:hint="eastAsia"/>
          <w:lang w:eastAsia="zh-CN"/>
        </w:rPr>
      </w:pPr>
    </w:p>
    <w:sectPr>
      <w:pgSz w:w="16838" w:h="11906" w:orient="landscape"/>
      <w:pgMar w:top="1803" w:right="1440" w:bottom="1803" w:left="1440" w:header="851" w:footer="992" w:gutter="0"/>
      <w:pgNumType w:fmt="decimal"/>
      <w:cols w:space="0" w:num="1"/>
      <w:titlePg/>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仿宋">
    <w:panose1 w:val="02010609060101010101"/>
    <w:charset w:val="86"/>
    <w:family w:val="modern"/>
    <w:pitch w:val="default"/>
    <w:sig w:usb0="800002BF" w:usb1="38CF7CFA" w:usb2="00000016" w:usb3="00000000" w:csb0="00040001" w:csb1="00000000"/>
  </w:font>
  <w:font w:name="??">
    <w:altName w:val="仿宋"/>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DejaVu Sans">
    <w:panose1 w:val="020B0603030804020204"/>
    <w:charset w:val="00"/>
    <w:family w:val="auto"/>
    <w:pitch w:val="default"/>
    <w:sig w:usb0="E7006EFF" w:usb1="D200FDFF" w:usb2="0A246029" w:usb3="0400200C" w:csb0="600001FF" w:csb1="DFFF0000"/>
  </w:font>
  <w:font w:name="文泉驿微米黑">
    <w:panose1 w:val="020B0606030804020204"/>
    <w:charset w:val="86"/>
    <w:family w:val="auto"/>
    <w:pitch w:val="default"/>
    <w:sig w:usb0="E10002EF" w:usb1="6BDFFCFB" w:usb2="00800036" w:usb3="00000000" w:csb0="603E019F" w:csb1="DFD7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12"/>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12"/>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5A71AB"/>
    <w:multiLevelType w:val="singleLevel"/>
    <w:tmpl w:val="165A71AB"/>
    <w:lvl w:ilvl="0" w:tentative="0">
      <w:start w:val="2"/>
      <w:numFmt w:val="chineseCounting"/>
      <w:suff w:val="nothing"/>
      <w:lvlText w:val="%1、"/>
      <w:lvlJc w:val="left"/>
      <w:rPr>
        <w:rFonts w:hint="eastAsia"/>
      </w:rPr>
    </w:lvl>
  </w:abstractNum>
  <w:abstractNum w:abstractNumId="1">
    <w:nsid w:val="1EBB7EA4"/>
    <w:multiLevelType w:val="singleLevel"/>
    <w:tmpl w:val="1EBB7EA4"/>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HorizontalSpacing w:val="105"/>
  <w:drawingGridVerticalSpacing w:val="159"/>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34D9"/>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5975B8"/>
    <w:rsid w:val="018A1427"/>
    <w:rsid w:val="02576988"/>
    <w:rsid w:val="02A46519"/>
    <w:rsid w:val="02FEBE30"/>
    <w:rsid w:val="03541CED"/>
    <w:rsid w:val="039E4DF0"/>
    <w:rsid w:val="03CC5D27"/>
    <w:rsid w:val="03E72B61"/>
    <w:rsid w:val="043F0573"/>
    <w:rsid w:val="052E656D"/>
    <w:rsid w:val="057A17B3"/>
    <w:rsid w:val="057A463D"/>
    <w:rsid w:val="061E35DE"/>
    <w:rsid w:val="066E0107"/>
    <w:rsid w:val="06F25742"/>
    <w:rsid w:val="06FE6B3F"/>
    <w:rsid w:val="07996F6E"/>
    <w:rsid w:val="07DFD8BA"/>
    <w:rsid w:val="08167EB9"/>
    <w:rsid w:val="094B3B92"/>
    <w:rsid w:val="09867E8F"/>
    <w:rsid w:val="0A2032A3"/>
    <w:rsid w:val="0A8643B4"/>
    <w:rsid w:val="0A8E01DA"/>
    <w:rsid w:val="0B057D70"/>
    <w:rsid w:val="0B6D6042"/>
    <w:rsid w:val="0BE67BA2"/>
    <w:rsid w:val="0C175FAD"/>
    <w:rsid w:val="0C8573BB"/>
    <w:rsid w:val="0CA8290A"/>
    <w:rsid w:val="0CD335A8"/>
    <w:rsid w:val="0D35B1ED"/>
    <w:rsid w:val="0E903DF5"/>
    <w:rsid w:val="0F1D5756"/>
    <w:rsid w:val="0F98263C"/>
    <w:rsid w:val="101860EC"/>
    <w:rsid w:val="1027399D"/>
    <w:rsid w:val="108C6184"/>
    <w:rsid w:val="10C055FF"/>
    <w:rsid w:val="10D4446D"/>
    <w:rsid w:val="11020F53"/>
    <w:rsid w:val="1131366D"/>
    <w:rsid w:val="11772AA4"/>
    <w:rsid w:val="118107EC"/>
    <w:rsid w:val="12635AA8"/>
    <w:rsid w:val="12810624"/>
    <w:rsid w:val="12F9640D"/>
    <w:rsid w:val="13AB3BAB"/>
    <w:rsid w:val="13D50BC4"/>
    <w:rsid w:val="14F52C04"/>
    <w:rsid w:val="15204A75"/>
    <w:rsid w:val="159E5049"/>
    <w:rsid w:val="15C23272"/>
    <w:rsid w:val="15F86E50"/>
    <w:rsid w:val="1618304E"/>
    <w:rsid w:val="16534086"/>
    <w:rsid w:val="16565924"/>
    <w:rsid w:val="165E0673"/>
    <w:rsid w:val="16BB723D"/>
    <w:rsid w:val="16F30A67"/>
    <w:rsid w:val="186504BB"/>
    <w:rsid w:val="18910E95"/>
    <w:rsid w:val="18DD40DB"/>
    <w:rsid w:val="19451A52"/>
    <w:rsid w:val="196D2C99"/>
    <w:rsid w:val="19A445FC"/>
    <w:rsid w:val="1A02204B"/>
    <w:rsid w:val="1A9609E5"/>
    <w:rsid w:val="1A9FE8C6"/>
    <w:rsid w:val="1BB2184F"/>
    <w:rsid w:val="1BE8440E"/>
    <w:rsid w:val="1C200EAE"/>
    <w:rsid w:val="1C2564C4"/>
    <w:rsid w:val="1C6012AB"/>
    <w:rsid w:val="1C964CCC"/>
    <w:rsid w:val="1D155CEE"/>
    <w:rsid w:val="1D1B6401"/>
    <w:rsid w:val="1DC04AA4"/>
    <w:rsid w:val="1E740ACF"/>
    <w:rsid w:val="1E8F1635"/>
    <w:rsid w:val="1EFB350D"/>
    <w:rsid w:val="1F253597"/>
    <w:rsid w:val="1FF35744"/>
    <w:rsid w:val="1FF6BC77"/>
    <w:rsid w:val="20407429"/>
    <w:rsid w:val="215A77B7"/>
    <w:rsid w:val="231860A1"/>
    <w:rsid w:val="23360FB7"/>
    <w:rsid w:val="236553F8"/>
    <w:rsid w:val="23860B96"/>
    <w:rsid w:val="240371BF"/>
    <w:rsid w:val="24883A94"/>
    <w:rsid w:val="24D26ABE"/>
    <w:rsid w:val="24FD3B3B"/>
    <w:rsid w:val="254259F1"/>
    <w:rsid w:val="25E03518"/>
    <w:rsid w:val="260F557C"/>
    <w:rsid w:val="261D1FBA"/>
    <w:rsid w:val="2685203A"/>
    <w:rsid w:val="26B446CD"/>
    <w:rsid w:val="275F6D2E"/>
    <w:rsid w:val="27604855"/>
    <w:rsid w:val="280C3404"/>
    <w:rsid w:val="281408E2"/>
    <w:rsid w:val="28321D4D"/>
    <w:rsid w:val="2885221B"/>
    <w:rsid w:val="288B76AF"/>
    <w:rsid w:val="294A15B9"/>
    <w:rsid w:val="2996455E"/>
    <w:rsid w:val="29D15596"/>
    <w:rsid w:val="29F64FFC"/>
    <w:rsid w:val="29FD04D3"/>
    <w:rsid w:val="2A070FB7"/>
    <w:rsid w:val="2A1060BE"/>
    <w:rsid w:val="2A862824"/>
    <w:rsid w:val="2AB2780B"/>
    <w:rsid w:val="2B434271"/>
    <w:rsid w:val="2BFF7BC6"/>
    <w:rsid w:val="2C583D4C"/>
    <w:rsid w:val="2C8A61B5"/>
    <w:rsid w:val="2CCB09C2"/>
    <w:rsid w:val="2CF9552F"/>
    <w:rsid w:val="2D266345"/>
    <w:rsid w:val="2D652BC5"/>
    <w:rsid w:val="2DF04E50"/>
    <w:rsid w:val="2E581151"/>
    <w:rsid w:val="2E941FEB"/>
    <w:rsid w:val="2EC81296"/>
    <w:rsid w:val="2EDE2C2F"/>
    <w:rsid w:val="2F040D46"/>
    <w:rsid w:val="2F806B05"/>
    <w:rsid w:val="2FAE5751"/>
    <w:rsid w:val="2FB1A395"/>
    <w:rsid w:val="2FCA31B3"/>
    <w:rsid w:val="2FD656B4"/>
    <w:rsid w:val="2FD9A7D8"/>
    <w:rsid w:val="2FDBF714"/>
    <w:rsid w:val="31717D8A"/>
    <w:rsid w:val="319F7F4E"/>
    <w:rsid w:val="32BD1EF1"/>
    <w:rsid w:val="3304709D"/>
    <w:rsid w:val="333A41AC"/>
    <w:rsid w:val="339935C8"/>
    <w:rsid w:val="343D21A6"/>
    <w:rsid w:val="346A6D13"/>
    <w:rsid w:val="349D6851"/>
    <w:rsid w:val="35337105"/>
    <w:rsid w:val="35CD3EB7"/>
    <w:rsid w:val="361A2073"/>
    <w:rsid w:val="36910587"/>
    <w:rsid w:val="36AA5135"/>
    <w:rsid w:val="36BE0DA7"/>
    <w:rsid w:val="373158C6"/>
    <w:rsid w:val="376637C1"/>
    <w:rsid w:val="376B6AA6"/>
    <w:rsid w:val="376D39B2"/>
    <w:rsid w:val="37E16F03"/>
    <w:rsid w:val="37F53A3B"/>
    <w:rsid w:val="387939C8"/>
    <w:rsid w:val="387E6AA8"/>
    <w:rsid w:val="389B6C89"/>
    <w:rsid w:val="38D469F0"/>
    <w:rsid w:val="39384059"/>
    <w:rsid w:val="39477622"/>
    <w:rsid w:val="39627CCD"/>
    <w:rsid w:val="397BAF1F"/>
    <w:rsid w:val="3980268B"/>
    <w:rsid w:val="398F5C43"/>
    <w:rsid w:val="3995038E"/>
    <w:rsid w:val="399EFA96"/>
    <w:rsid w:val="39A9208B"/>
    <w:rsid w:val="3A8F1281"/>
    <w:rsid w:val="3A940645"/>
    <w:rsid w:val="3AB79AF3"/>
    <w:rsid w:val="3AC0143A"/>
    <w:rsid w:val="3B7EF35A"/>
    <w:rsid w:val="3B893FFA"/>
    <w:rsid w:val="3B9FDB6C"/>
    <w:rsid w:val="3BF5BC2F"/>
    <w:rsid w:val="3BF70E8C"/>
    <w:rsid w:val="3C017F5D"/>
    <w:rsid w:val="3C4D4F50"/>
    <w:rsid w:val="3CEBA265"/>
    <w:rsid w:val="3CFD4BC8"/>
    <w:rsid w:val="3D7B629E"/>
    <w:rsid w:val="3D98207C"/>
    <w:rsid w:val="3DA66102"/>
    <w:rsid w:val="3DDB29FA"/>
    <w:rsid w:val="3DE03BA2"/>
    <w:rsid w:val="3DEE7CF3"/>
    <w:rsid w:val="3E492E08"/>
    <w:rsid w:val="3E78745D"/>
    <w:rsid w:val="3EC9619F"/>
    <w:rsid w:val="3ECA2888"/>
    <w:rsid w:val="3F55381A"/>
    <w:rsid w:val="3F7F7599"/>
    <w:rsid w:val="3FA4757D"/>
    <w:rsid w:val="3FF4CAE0"/>
    <w:rsid w:val="3FF7B227"/>
    <w:rsid w:val="40D23C76"/>
    <w:rsid w:val="40FE7B91"/>
    <w:rsid w:val="411A4C6D"/>
    <w:rsid w:val="41401527"/>
    <w:rsid w:val="433A6C92"/>
    <w:rsid w:val="44B37A6E"/>
    <w:rsid w:val="44D53D34"/>
    <w:rsid w:val="44E268DA"/>
    <w:rsid w:val="45440EBA"/>
    <w:rsid w:val="4574354D"/>
    <w:rsid w:val="46CD624D"/>
    <w:rsid w:val="477F61D9"/>
    <w:rsid w:val="478A7058"/>
    <w:rsid w:val="486A6C7A"/>
    <w:rsid w:val="48D378FB"/>
    <w:rsid w:val="4A627F82"/>
    <w:rsid w:val="4A631DE2"/>
    <w:rsid w:val="4A913C61"/>
    <w:rsid w:val="4AAF7EF3"/>
    <w:rsid w:val="4B0E749A"/>
    <w:rsid w:val="4B3043BA"/>
    <w:rsid w:val="4B4F25DA"/>
    <w:rsid w:val="4BE068DB"/>
    <w:rsid w:val="4C5B45B9"/>
    <w:rsid w:val="4C6C0A82"/>
    <w:rsid w:val="4C89761F"/>
    <w:rsid w:val="4D3D691B"/>
    <w:rsid w:val="4D577224"/>
    <w:rsid w:val="4D6C1936"/>
    <w:rsid w:val="4D81618B"/>
    <w:rsid w:val="4DBF1CEB"/>
    <w:rsid w:val="4EAB630A"/>
    <w:rsid w:val="4ECE2238"/>
    <w:rsid w:val="4F7725B8"/>
    <w:rsid w:val="4F833267"/>
    <w:rsid w:val="4FE9BD67"/>
    <w:rsid w:val="4FFB052F"/>
    <w:rsid w:val="500918AA"/>
    <w:rsid w:val="50487AB0"/>
    <w:rsid w:val="508F3931"/>
    <w:rsid w:val="50D43A3A"/>
    <w:rsid w:val="511D2CEB"/>
    <w:rsid w:val="51E7154B"/>
    <w:rsid w:val="522307D5"/>
    <w:rsid w:val="537E6D0A"/>
    <w:rsid w:val="53F74C96"/>
    <w:rsid w:val="545D9DC4"/>
    <w:rsid w:val="5479292E"/>
    <w:rsid w:val="54905ECA"/>
    <w:rsid w:val="55313209"/>
    <w:rsid w:val="55BF4773"/>
    <w:rsid w:val="55CA0F67"/>
    <w:rsid w:val="55ED4109"/>
    <w:rsid w:val="56464A92"/>
    <w:rsid w:val="564E3947"/>
    <w:rsid w:val="56E47B74"/>
    <w:rsid w:val="57BD3DD4"/>
    <w:rsid w:val="57D8796C"/>
    <w:rsid w:val="582726A1"/>
    <w:rsid w:val="59080725"/>
    <w:rsid w:val="59092321"/>
    <w:rsid w:val="5926708E"/>
    <w:rsid w:val="5AC051B0"/>
    <w:rsid w:val="5AF92295"/>
    <w:rsid w:val="5B7114D5"/>
    <w:rsid w:val="5BA41560"/>
    <w:rsid w:val="5BC528FD"/>
    <w:rsid w:val="5BDD79E6"/>
    <w:rsid w:val="5BDE39BF"/>
    <w:rsid w:val="5BF22FC6"/>
    <w:rsid w:val="5BF561CA"/>
    <w:rsid w:val="5BFF5DFC"/>
    <w:rsid w:val="5C050F4B"/>
    <w:rsid w:val="5CD71FC4"/>
    <w:rsid w:val="5D1F11B5"/>
    <w:rsid w:val="5DAE1B18"/>
    <w:rsid w:val="5DE7D9E5"/>
    <w:rsid w:val="5E5166CA"/>
    <w:rsid w:val="5E652175"/>
    <w:rsid w:val="5ECEC941"/>
    <w:rsid w:val="5EDC2437"/>
    <w:rsid w:val="5EE035AA"/>
    <w:rsid w:val="5FBF9FF3"/>
    <w:rsid w:val="5FC421A0"/>
    <w:rsid w:val="5FCD4E2C"/>
    <w:rsid w:val="5FEF394A"/>
    <w:rsid w:val="5FF67715"/>
    <w:rsid w:val="60C5514D"/>
    <w:rsid w:val="61161505"/>
    <w:rsid w:val="61B00CF8"/>
    <w:rsid w:val="62BF3928"/>
    <w:rsid w:val="633E3B89"/>
    <w:rsid w:val="63E94E21"/>
    <w:rsid w:val="63FDF1AC"/>
    <w:rsid w:val="647F5392"/>
    <w:rsid w:val="64874BF3"/>
    <w:rsid w:val="64B463DA"/>
    <w:rsid w:val="655232BF"/>
    <w:rsid w:val="663C7C5F"/>
    <w:rsid w:val="664B1D71"/>
    <w:rsid w:val="66CF74FB"/>
    <w:rsid w:val="6780592A"/>
    <w:rsid w:val="67AA3209"/>
    <w:rsid w:val="67E53E47"/>
    <w:rsid w:val="67E660D5"/>
    <w:rsid w:val="68376930"/>
    <w:rsid w:val="685E30A4"/>
    <w:rsid w:val="687C4343"/>
    <w:rsid w:val="68DB72BC"/>
    <w:rsid w:val="694D5CE0"/>
    <w:rsid w:val="698D0931"/>
    <w:rsid w:val="69F764FE"/>
    <w:rsid w:val="6A7FE5F3"/>
    <w:rsid w:val="6B053271"/>
    <w:rsid w:val="6B146AB5"/>
    <w:rsid w:val="6BA37E39"/>
    <w:rsid w:val="6BC32289"/>
    <w:rsid w:val="6BD80EE5"/>
    <w:rsid w:val="6C4A05C8"/>
    <w:rsid w:val="6C8742B8"/>
    <w:rsid w:val="6D512242"/>
    <w:rsid w:val="6D6830E8"/>
    <w:rsid w:val="6D8433DC"/>
    <w:rsid w:val="6DB76CAC"/>
    <w:rsid w:val="6DBF5E93"/>
    <w:rsid w:val="6DFF077E"/>
    <w:rsid w:val="6E7E3605"/>
    <w:rsid w:val="6E7FDCC7"/>
    <w:rsid w:val="6ED6A62E"/>
    <w:rsid w:val="6EE00B15"/>
    <w:rsid w:val="6EED5F9B"/>
    <w:rsid w:val="6F107CF3"/>
    <w:rsid w:val="6F2979C5"/>
    <w:rsid w:val="6F6FB3EB"/>
    <w:rsid w:val="6F8731EA"/>
    <w:rsid w:val="6FCE6052"/>
    <w:rsid w:val="6FD57C00"/>
    <w:rsid w:val="6FEF72F3"/>
    <w:rsid w:val="6FEFFFD8"/>
    <w:rsid w:val="6FF5CC65"/>
    <w:rsid w:val="6FFB47EC"/>
    <w:rsid w:val="6FFF034A"/>
    <w:rsid w:val="703025E3"/>
    <w:rsid w:val="712A28F1"/>
    <w:rsid w:val="71357785"/>
    <w:rsid w:val="715C0E4B"/>
    <w:rsid w:val="71AB7A47"/>
    <w:rsid w:val="71E00465"/>
    <w:rsid w:val="71E13766"/>
    <w:rsid w:val="72233669"/>
    <w:rsid w:val="72734D90"/>
    <w:rsid w:val="72C526D2"/>
    <w:rsid w:val="72FE341A"/>
    <w:rsid w:val="730E028E"/>
    <w:rsid w:val="7332FE48"/>
    <w:rsid w:val="73373C88"/>
    <w:rsid w:val="73AB61DA"/>
    <w:rsid w:val="73AD73D5"/>
    <w:rsid w:val="73B6EB34"/>
    <w:rsid w:val="73F27BAF"/>
    <w:rsid w:val="73FA497D"/>
    <w:rsid w:val="744731E5"/>
    <w:rsid w:val="74842EFD"/>
    <w:rsid w:val="74BBD01D"/>
    <w:rsid w:val="74C52114"/>
    <w:rsid w:val="74ED5379"/>
    <w:rsid w:val="75695C4F"/>
    <w:rsid w:val="757B6E0E"/>
    <w:rsid w:val="75DEEEC2"/>
    <w:rsid w:val="76CF70A4"/>
    <w:rsid w:val="76E3355F"/>
    <w:rsid w:val="76FF5125"/>
    <w:rsid w:val="776F6FFA"/>
    <w:rsid w:val="777728A5"/>
    <w:rsid w:val="778769C8"/>
    <w:rsid w:val="77AF64E3"/>
    <w:rsid w:val="77DC22F5"/>
    <w:rsid w:val="77FDA97A"/>
    <w:rsid w:val="78A551F0"/>
    <w:rsid w:val="79086DAD"/>
    <w:rsid w:val="79D7FD79"/>
    <w:rsid w:val="79EE5BA4"/>
    <w:rsid w:val="79FF69D3"/>
    <w:rsid w:val="7A894339"/>
    <w:rsid w:val="7AB23BF5"/>
    <w:rsid w:val="7AC1208A"/>
    <w:rsid w:val="7AD284E8"/>
    <w:rsid w:val="7AD973D3"/>
    <w:rsid w:val="7AFF7572"/>
    <w:rsid w:val="7B6C7DFB"/>
    <w:rsid w:val="7BB35E76"/>
    <w:rsid w:val="7BB3B782"/>
    <w:rsid w:val="7BBFBED0"/>
    <w:rsid w:val="7BC3E394"/>
    <w:rsid w:val="7BE451FE"/>
    <w:rsid w:val="7C1F3737"/>
    <w:rsid w:val="7C395533"/>
    <w:rsid w:val="7CBFC87B"/>
    <w:rsid w:val="7CFE0F48"/>
    <w:rsid w:val="7D7EC23E"/>
    <w:rsid w:val="7DFC8599"/>
    <w:rsid w:val="7DFCC215"/>
    <w:rsid w:val="7E4E5E2B"/>
    <w:rsid w:val="7E8ADEBF"/>
    <w:rsid w:val="7EEF11D3"/>
    <w:rsid w:val="7EFE4840"/>
    <w:rsid w:val="7F0971A6"/>
    <w:rsid w:val="7F3177DE"/>
    <w:rsid w:val="7F3F679B"/>
    <w:rsid w:val="7F4FC4EF"/>
    <w:rsid w:val="7F5E4D54"/>
    <w:rsid w:val="7F6E0135"/>
    <w:rsid w:val="7F79F205"/>
    <w:rsid w:val="7FA30C79"/>
    <w:rsid w:val="7FA79C44"/>
    <w:rsid w:val="7FAF8ABF"/>
    <w:rsid w:val="7FB7269E"/>
    <w:rsid w:val="7FC96657"/>
    <w:rsid w:val="7FDA9588"/>
    <w:rsid w:val="7FDB599C"/>
    <w:rsid w:val="7FDF220F"/>
    <w:rsid w:val="7FEDC5F7"/>
    <w:rsid w:val="7FEDD9DE"/>
    <w:rsid w:val="7FF1FE03"/>
    <w:rsid w:val="7FF5452F"/>
    <w:rsid w:val="7FF5890D"/>
    <w:rsid w:val="7FF93490"/>
    <w:rsid w:val="99FF2014"/>
    <w:rsid w:val="A6DD0D7F"/>
    <w:rsid w:val="ACFF4FBB"/>
    <w:rsid w:val="ADC6F725"/>
    <w:rsid w:val="B7CF06AB"/>
    <w:rsid w:val="B7CFA926"/>
    <w:rsid w:val="B7F8786B"/>
    <w:rsid w:val="B7FD76CC"/>
    <w:rsid w:val="BABB6AA1"/>
    <w:rsid w:val="BB2F4199"/>
    <w:rsid w:val="BCFFB442"/>
    <w:rsid w:val="BD079C78"/>
    <w:rsid w:val="BD733540"/>
    <w:rsid w:val="BF3735D5"/>
    <w:rsid w:val="BF7F09AC"/>
    <w:rsid w:val="BFD475C3"/>
    <w:rsid w:val="BFDE5EA6"/>
    <w:rsid w:val="CA36B3E1"/>
    <w:rsid w:val="CF6FC6F3"/>
    <w:rsid w:val="CFD3D3D7"/>
    <w:rsid w:val="CFDF1009"/>
    <w:rsid w:val="CFFDA614"/>
    <w:rsid w:val="D7D7B16A"/>
    <w:rsid w:val="D8D6DB89"/>
    <w:rsid w:val="DB6F4CAB"/>
    <w:rsid w:val="DB777682"/>
    <w:rsid w:val="DD1FB521"/>
    <w:rsid w:val="DEFBFEAE"/>
    <w:rsid w:val="DF1F3B80"/>
    <w:rsid w:val="DF6F9789"/>
    <w:rsid w:val="DFC22788"/>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7F17344"/>
    <w:rsid w:val="FA5F1E70"/>
    <w:rsid w:val="FA5FDB97"/>
    <w:rsid w:val="FB7F486A"/>
    <w:rsid w:val="FBFF5B2E"/>
    <w:rsid w:val="FD7FFE2B"/>
    <w:rsid w:val="FDE7C496"/>
    <w:rsid w:val="FDEE196B"/>
    <w:rsid w:val="FDFE6575"/>
    <w:rsid w:val="FEDFDDC2"/>
    <w:rsid w:val="FEED32F6"/>
    <w:rsid w:val="FEF781DD"/>
    <w:rsid w:val="FF3F7E3F"/>
    <w:rsid w:val="FF7DAB09"/>
    <w:rsid w:val="FFBA12D7"/>
    <w:rsid w:val="FFCBD314"/>
    <w:rsid w:val="FFDD84FE"/>
    <w:rsid w:val="FFDFF91C"/>
    <w:rsid w:val="FFDFFAEE"/>
    <w:rsid w:val="FFEF6777"/>
    <w:rsid w:val="FFEFE41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5"/>
    <w:unhideWhenUsed/>
    <w:qFormat/>
    <w:uiPriority w:val="9"/>
    <w:pPr>
      <w:keepNext/>
      <w:keepLines/>
      <w:spacing w:before="260" w:after="260" w:line="416" w:lineRule="auto"/>
      <w:outlineLvl w:val="2"/>
    </w:pPr>
    <w:rPr>
      <w:b/>
      <w:bCs/>
      <w:sz w:val="32"/>
      <w:szCs w:val="32"/>
    </w:rPr>
  </w:style>
  <w:style w:type="character" w:default="1" w:styleId="19">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customStyle="1" w:styleId="2">
    <w:name w:val="正文-公1"/>
    <w:basedOn w:val="3"/>
    <w:next w:val="1"/>
    <w:qFormat/>
    <w:uiPriority w:val="0"/>
    <w:pPr>
      <w:ind w:firstLine="200" w:firstLine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Times New Roman" w:hAnsi="Times New Roman" w:eastAsia="宋体" w:cs="Times New Roman"/>
      <w:kern w:val="2"/>
      <w:sz w:val="21"/>
      <w:lang w:val="en-US" w:eastAsia="zh-CN" w:bidi="ar-SA"/>
    </w:rPr>
  </w:style>
  <w:style w:type="paragraph" w:styleId="7">
    <w:name w:val="Body Text"/>
    <w:basedOn w:val="1"/>
    <w:link w:val="28"/>
    <w:qFormat/>
    <w:uiPriority w:val="99"/>
    <w:pPr>
      <w:spacing w:beforeLines="30"/>
    </w:pPr>
    <w:rPr>
      <w:rFonts w:ascii="仿宋_GB2312" w:eastAsia="仿宋_GB2312"/>
      <w:kern w:val="0"/>
      <w:sz w:val="30"/>
    </w:rPr>
  </w:style>
  <w:style w:type="paragraph" w:styleId="8">
    <w:name w:val="Body Text Indent"/>
    <w:basedOn w:val="1"/>
    <w:next w:val="9"/>
    <w:qFormat/>
    <w:uiPriority w:val="0"/>
    <w:pPr>
      <w:spacing w:after="120"/>
      <w:ind w:leftChars="200"/>
    </w:pPr>
    <w:rPr>
      <w:rFonts w:ascii="仿宋_GB2312"/>
      <w:szCs w:val="32"/>
    </w:rPr>
  </w:style>
  <w:style w:type="paragraph" w:styleId="9">
    <w:name w:val="Body Text First Indent 2"/>
    <w:basedOn w:val="8"/>
    <w:unhideWhenUsed/>
    <w:qFormat/>
    <w:uiPriority w:val="99"/>
    <w:pPr>
      <w:ind w:firstLine="420" w:firstLineChars="200"/>
    </w:pPr>
  </w:style>
  <w:style w:type="paragraph" w:styleId="10">
    <w:name w:val="toc 3"/>
    <w:basedOn w:val="1"/>
    <w:next w:val="1"/>
    <w:unhideWhenUsed/>
    <w:qFormat/>
    <w:uiPriority w:val="39"/>
    <w:pPr>
      <w:tabs>
        <w:tab w:val="right" w:leader="dot" w:pos="8296"/>
      </w:tabs>
      <w:ind w:left="840" w:leftChars="400"/>
    </w:pPr>
  </w:style>
  <w:style w:type="paragraph" w:styleId="11">
    <w:name w:val="Balloon Text"/>
    <w:basedOn w:val="1"/>
    <w:link w:val="34"/>
    <w:semiHidden/>
    <w:unhideWhenUsed/>
    <w:qFormat/>
    <w:uiPriority w:val="99"/>
    <w:rPr>
      <w:sz w:val="18"/>
      <w:szCs w:val="18"/>
    </w:rPr>
  </w:style>
  <w:style w:type="paragraph" w:styleId="12">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3">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5">
    <w:name w:val="footnote text"/>
    <w:basedOn w:val="1"/>
    <w:next w:val="9"/>
    <w:semiHidden/>
    <w:qFormat/>
    <w:uiPriority w:val="0"/>
    <w:pPr>
      <w:snapToGrid w:val="0"/>
      <w:jc w:val="left"/>
    </w:pPr>
    <w:rPr>
      <w:sz w:val="18"/>
      <w:szCs w:val="18"/>
    </w:rPr>
  </w:style>
  <w:style w:type="paragraph" w:styleId="16">
    <w:name w:val="toc 2"/>
    <w:basedOn w:val="1"/>
    <w:next w:val="1"/>
    <w:unhideWhenUsed/>
    <w:qFormat/>
    <w:uiPriority w:val="39"/>
    <w:pPr>
      <w:tabs>
        <w:tab w:val="right" w:leader="dot" w:pos="8296"/>
      </w:tabs>
      <w:ind w:left="420" w:leftChars="200"/>
    </w:pPr>
  </w:style>
  <w:style w:type="paragraph" w:styleId="1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20">
    <w:name w:val="Strong"/>
    <w:basedOn w:val="19"/>
    <w:qFormat/>
    <w:uiPriority w:val="99"/>
    <w:rPr>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paragraph" w:customStyle="1" w:styleId="22">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3">
    <w:name w:val="Header Char"/>
    <w:basedOn w:val="19"/>
    <w:semiHidden/>
    <w:qFormat/>
    <w:uiPriority w:val="99"/>
    <w:rPr>
      <w:rFonts w:ascii="Times New Roman" w:hAnsi="Times New Roman"/>
      <w:sz w:val="18"/>
      <w:szCs w:val="18"/>
    </w:rPr>
  </w:style>
  <w:style w:type="character" w:customStyle="1" w:styleId="24">
    <w:name w:val="页眉 Char"/>
    <w:link w:val="13"/>
    <w:semiHidden/>
    <w:qFormat/>
    <w:locked/>
    <w:uiPriority w:val="99"/>
    <w:rPr>
      <w:sz w:val="18"/>
    </w:rPr>
  </w:style>
  <w:style w:type="character" w:customStyle="1" w:styleId="25">
    <w:name w:val="Footer Char"/>
    <w:basedOn w:val="19"/>
    <w:semiHidden/>
    <w:qFormat/>
    <w:uiPriority w:val="99"/>
    <w:rPr>
      <w:rFonts w:ascii="Times New Roman" w:hAnsi="Times New Roman"/>
      <w:sz w:val="18"/>
      <w:szCs w:val="18"/>
    </w:rPr>
  </w:style>
  <w:style w:type="character" w:customStyle="1" w:styleId="26">
    <w:name w:val="页脚 Char"/>
    <w:link w:val="12"/>
    <w:qFormat/>
    <w:locked/>
    <w:uiPriority w:val="99"/>
    <w:rPr>
      <w:sz w:val="18"/>
    </w:rPr>
  </w:style>
  <w:style w:type="character" w:customStyle="1" w:styleId="27">
    <w:name w:val="Body Text Char"/>
    <w:basedOn w:val="19"/>
    <w:semiHidden/>
    <w:qFormat/>
    <w:uiPriority w:val="99"/>
    <w:rPr>
      <w:rFonts w:ascii="Times New Roman" w:hAnsi="Times New Roman"/>
      <w:szCs w:val="24"/>
    </w:rPr>
  </w:style>
  <w:style w:type="character" w:customStyle="1" w:styleId="28">
    <w:name w:val="正文文本 Char"/>
    <w:link w:val="7"/>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character" w:customStyle="1" w:styleId="31">
    <w:name w:val="标题 1 Char"/>
    <w:basedOn w:val="19"/>
    <w:link w:val="4"/>
    <w:qFormat/>
    <w:uiPriority w:val="9"/>
    <w:rPr>
      <w:rFonts w:ascii="Times New Roman" w:hAnsi="Times New Roman"/>
      <w:b/>
      <w:bCs/>
      <w:kern w:val="44"/>
      <w:sz w:val="44"/>
      <w:szCs w:val="44"/>
    </w:rPr>
  </w:style>
  <w:style w:type="character" w:customStyle="1" w:styleId="32">
    <w:name w:val="标题 2 Char"/>
    <w:basedOn w:val="19"/>
    <w:link w:val="5"/>
    <w:qFormat/>
    <w:uiPriority w:val="9"/>
    <w:rPr>
      <w:rFonts w:asciiTheme="majorHAnsi" w:hAnsiTheme="majorHAnsi" w:eastAsiaTheme="majorEastAsia" w:cstheme="majorBidi"/>
      <w:b/>
      <w:bCs/>
      <w:kern w:val="2"/>
      <w:sz w:val="32"/>
      <w:szCs w:val="32"/>
    </w:rPr>
  </w:style>
  <w:style w:type="paragraph" w:customStyle="1" w:styleId="33">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批注框文本 Char"/>
    <w:basedOn w:val="19"/>
    <w:link w:val="11"/>
    <w:semiHidden/>
    <w:qFormat/>
    <w:uiPriority w:val="99"/>
    <w:rPr>
      <w:rFonts w:ascii="Times New Roman" w:hAnsi="Times New Roman"/>
      <w:kern w:val="2"/>
      <w:sz w:val="18"/>
      <w:szCs w:val="18"/>
    </w:rPr>
  </w:style>
  <w:style w:type="character" w:customStyle="1" w:styleId="35">
    <w:name w:val="标题 3 Char"/>
    <w:basedOn w:val="19"/>
    <w:link w:val="6"/>
    <w:qFormat/>
    <w:uiPriority w:val="9"/>
    <w:rPr>
      <w:rFonts w:ascii="Times New Roman" w:hAnsi="Times New Roman"/>
      <w:b/>
      <w:bCs/>
      <w:kern w:val="2"/>
      <w:sz w:val="32"/>
      <w:szCs w:val="32"/>
    </w:rPr>
  </w:style>
  <w:style w:type="paragraph" w:customStyle="1" w:styleId="36">
    <w:name w:val="TOC Heading"/>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7">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6.bin"/><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53</Pages>
  <Words>4754</Words>
  <Characters>6235</Characters>
  <Lines>61</Lines>
  <Paragraphs>17</Paragraphs>
  <TotalTime>5</TotalTime>
  <ScaleCrop>false</ScaleCrop>
  <LinksUpToDate>false</LinksUpToDate>
  <CharactersWithSpaces>6253</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2020-08-10T17:49:00Z</dcterms:created>
  <dc:creator>曹颖</dc:creator>
  <cp:lastModifiedBy>user</cp:lastModifiedBy>
  <cp:lastPrinted>2025-08-08T01:34:00Z</cp:lastPrinted>
  <dcterms:modified xsi:type="dcterms:W3CDTF">2025-09-09T14:10:04Z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F4290684317B4630AB6FB1FBE8EE0D9C_13</vt:lpwstr>
  </property>
  <property fmtid="{D5CDD505-2E9C-101B-9397-08002B2CF9AE}" pid="4" name="KSOTemplateDocerSaveRecord">
    <vt:lpwstr>eyJoZGlkIjoiNjhjMzgwYjk3ZTk5M2EwOGRlNDdlNzZmZDFlZDk1MmQiLCJ1c2VySWQiOiIyMjMzODAxNjAifQ==</vt:lpwstr>
  </property>
</Properties>
</file>