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hint="eastAsia" w:ascii="Times New Roman" w:hAnsi="Times New Roman" w:eastAsia="方正小标宋简体" w:cs="Times New Roman"/>
          <w:color w:val="auto"/>
          <w:kern w:val="2"/>
          <w:sz w:val="72"/>
          <w:szCs w:val="72"/>
          <w:highlight w:val="none"/>
          <w:lang w:val="en-US" w:eastAsia="zh-CN" w:bidi="ar-SA"/>
        </w:rPr>
      </w:pPr>
      <w:bookmarkStart w:id="0" w:name="_Toc15396597"/>
      <w:bookmarkStart w:id="1" w:name="_Toc15378441"/>
      <w:bookmarkStart w:id="2" w:name="_Toc15377193"/>
      <w:bookmarkStart w:id="3" w:name="_Toc15396475"/>
      <w:bookmarkStart w:id="4" w:name="_Toc15306267"/>
      <w:bookmarkStart w:id="5" w:name="_Toc15377425"/>
    </w:p>
    <w:p>
      <w:pPr>
        <w:pStyle w:val="2"/>
        <w:rPr>
          <w:rFonts w:hint="eastAsia" w:ascii="Times New Roman" w:hAnsi="Times New Roman" w:eastAsia="方正小标宋简体" w:cs="Times New Roman"/>
          <w:color w:val="auto"/>
          <w:kern w:val="2"/>
          <w:sz w:val="72"/>
          <w:szCs w:val="72"/>
          <w:highlight w:val="none"/>
          <w:lang w:val="en-US" w:eastAsia="zh-CN" w:bidi="ar-SA"/>
        </w:rPr>
      </w:pPr>
    </w:p>
    <w:p>
      <w:pPr>
        <w:pStyle w:val="2"/>
        <w:rPr>
          <w:rFonts w:hint="eastAsia" w:ascii="Times New Roman" w:hAnsi="Times New Roman" w:eastAsia="方正小标宋简体" w:cs="Times New Roman"/>
          <w:color w:val="auto"/>
          <w:kern w:val="2"/>
          <w:sz w:val="72"/>
          <w:szCs w:val="72"/>
          <w:highlight w:val="none"/>
          <w:lang w:val="en-US" w:eastAsia="zh-CN" w:bidi="ar-SA"/>
        </w:rPr>
      </w:pPr>
    </w:p>
    <w:p>
      <w:pPr>
        <w:spacing w:line="600" w:lineRule="exact"/>
        <w:jc w:val="center"/>
        <w:outlineLvl w:val="0"/>
        <w:rPr>
          <w:rFonts w:ascii="方正小标宋简体" w:hAnsi="宋体" w:eastAsia="方正小标宋简体"/>
          <w:sz w:val="72"/>
          <w:szCs w:val="72"/>
        </w:rPr>
      </w:pPr>
    </w:p>
    <w:p>
      <w:pPr>
        <w:adjustRightInd w:val="0"/>
        <w:snapToGrid w:val="0"/>
        <w:spacing w:line="360" w:lineRule="auto"/>
        <w:jc w:val="center"/>
        <w:outlineLvl w:val="0"/>
        <w:rPr>
          <w:rFonts w:ascii="方正小标宋简体" w:hAnsi="方正小标宋简体" w:eastAsia="方正小标宋简体" w:cs="方正小标宋简体"/>
          <w:sz w:val="72"/>
          <w:szCs w:val="72"/>
        </w:rPr>
      </w:pPr>
      <w:r>
        <w:rPr>
          <w:rFonts w:hint="eastAsia" w:ascii="方正小标宋简体" w:hAnsi="方正小标宋简体" w:eastAsia="方正小标宋简体" w:cs="方正小标宋简体"/>
          <w:sz w:val="72"/>
          <w:szCs w:val="72"/>
        </w:rPr>
        <w:t>202</w:t>
      </w:r>
      <w:r>
        <w:rPr>
          <w:rFonts w:hint="eastAsia" w:ascii="方正小标宋简体" w:hAnsi="方正小标宋简体" w:eastAsia="方正小标宋简体" w:cs="方正小标宋简体"/>
          <w:sz w:val="72"/>
          <w:szCs w:val="72"/>
          <w:lang w:val="en-US" w:eastAsia="zh-CN"/>
        </w:rPr>
        <w:t>4</w:t>
      </w:r>
      <w:r>
        <w:rPr>
          <w:rFonts w:hint="eastAsia" w:ascii="方正小标宋简体" w:hAnsi="方正小标宋简体" w:eastAsia="方正小标宋简体" w:cs="方正小标宋简体"/>
          <w:sz w:val="72"/>
          <w:szCs w:val="72"/>
        </w:rPr>
        <w:t>年度</w:t>
      </w:r>
    </w:p>
    <w:p>
      <w:pPr>
        <w:adjustRightInd w:val="0"/>
        <w:snapToGrid w:val="0"/>
        <w:spacing w:line="360" w:lineRule="auto"/>
        <w:jc w:val="center"/>
        <w:outlineLvl w:val="0"/>
        <w:rPr>
          <w:rFonts w:ascii="方正小标宋简体" w:hAnsi="方正小标宋简体" w:eastAsia="方正小标宋简体" w:cs="方正小标宋简体"/>
          <w:sz w:val="72"/>
          <w:szCs w:val="72"/>
        </w:rPr>
      </w:pPr>
      <w:r>
        <w:rPr>
          <w:rFonts w:hint="eastAsia" w:ascii="方正小标宋简体" w:hAnsi="方正小标宋简体" w:eastAsia="方正小标宋简体" w:cs="方正小标宋简体"/>
          <w:sz w:val="72"/>
          <w:szCs w:val="72"/>
        </w:rPr>
        <w:t>四川省盐业学校</w:t>
      </w:r>
      <w:r>
        <w:rPr>
          <w:rFonts w:hint="eastAsia" w:ascii="方正小标宋简体" w:hAnsi="方正小标宋简体" w:eastAsia="方正小标宋简体" w:cs="方正小标宋简体"/>
          <w:sz w:val="72"/>
          <w:szCs w:val="72"/>
          <w:lang w:eastAsia="zh-CN"/>
        </w:rPr>
        <w:t>单位</w:t>
      </w:r>
      <w:r>
        <w:rPr>
          <w:rFonts w:hint="eastAsia" w:ascii="方正小标宋简体" w:hAnsi="方正小标宋简体" w:eastAsia="方正小标宋简体" w:cs="方正小标宋简体"/>
          <w:sz w:val="72"/>
          <w:szCs w:val="72"/>
        </w:rPr>
        <w:t>决算</w:t>
      </w:r>
    </w:p>
    <w:p>
      <w:pPr>
        <w:pStyle w:val="21"/>
        <w:rPr>
          <w:rFonts w:ascii="Times New Roman" w:hAnsi="Times New Roman"/>
        </w:rPr>
        <w:sectPr>
          <w:footerReference r:id="rId5" w:type="first"/>
          <w:headerReference r:id="rId3" w:type="default"/>
          <w:footerReference r:id="rId4" w:type="default"/>
          <w:pgSz w:w="11906" w:h="16838"/>
          <w:pgMar w:top="1440" w:right="1800" w:bottom="1440" w:left="1800" w:header="851" w:footer="992" w:gutter="0"/>
          <w:pgNumType w:fmt="numberInDash" w:start="1"/>
          <w:cols w:space="425" w:num="1"/>
          <w:titlePg/>
          <w:docGrid w:type="lines" w:linePitch="312" w:charSpace="0"/>
        </w:sectPr>
      </w:pPr>
    </w:p>
    <w:bookmarkEnd w:id="0"/>
    <w:bookmarkEnd w:id="1"/>
    <w:bookmarkEnd w:id="2"/>
    <w:bookmarkEnd w:id="3"/>
    <w:bookmarkEnd w:id="4"/>
    <w:bookmarkEnd w:id="5"/>
    <w:p>
      <w:pPr>
        <w:widowControl/>
        <w:jc w:val="center"/>
        <w:rPr>
          <w:rFonts w:ascii="Times New Roman" w:hAnsi="Times New Roman" w:eastAsia="黑体" w:cstheme="minorBidi"/>
          <w:color w:val="auto"/>
          <w:sz w:val="28"/>
          <w:szCs w:val="28"/>
          <w:highlight w:val="none"/>
        </w:rPr>
      </w:pPr>
      <w:r>
        <w:rPr>
          <w:rFonts w:hint="default" w:ascii="Times New Roman" w:hAnsi="Times New Roman" w:eastAsia="黑体" w:cs="Times New Roman"/>
          <w:color w:val="auto"/>
          <w:sz w:val="48"/>
          <w:szCs w:val="48"/>
          <w:highlight w:val="none"/>
        </w:rPr>
        <w:t>目录</w:t>
      </w:r>
    </w:p>
    <w:p>
      <w:pPr>
        <w:pStyle w:val="1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公开时间：20</w:t>
      </w:r>
      <w:r>
        <w:rPr>
          <w:rFonts w:hint="eastAsia" w:ascii="Times New Roman" w:hAnsi="Times New Roman" w:eastAsia="仿宋_GB2312" w:cs="仿宋_GB2312"/>
          <w:color w:val="auto"/>
          <w:sz w:val="32"/>
          <w:szCs w:val="32"/>
          <w:highlight w:val="none"/>
          <w:lang w:val="en-US" w:eastAsia="zh-CN"/>
        </w:rPr>
        <w:t>25</w:t>
      </w:r>
      <w:r>
        <w:rPr>
          <w:rFonts w:hint="eastAsia" w:ascii="Times New Roman" w:hAnsi="Times New Roman" w:eastAsia="仿宋_GB2312" w:cs="仿宋_GB2312"/>
          <w:color w:val="auto"/>
          <w:sz w:val="32"/>
          <w:szCs w:val="32"/>
          <w:highlight w:val="none"/>
        </w:rPr>
        <w:t>年</w:t>
      </w:r>
      <w:r>
        <w:rPr>
          <w:rFonts w:hint="eastAsia" w:ascii="Times New Roman" w:hAnsi="Times New Roman" w:eastAsia="仿宋_GB2312" w:cs="仿宋_GB2312"/>
          <w:color w:val="auto"/>
          <w:sz w:val="32"/>
          <w:szCs w:val="32"/>
          <w:highlight w:val="none"/>
          <w:lang w:val="en-US" w:eastAsia="zh-CN"/>
        </w:rPr>
        <w:t>9</w:t>
      </w:r>
      <w:r>
        <w:rPr>
          <w:rFonts w:hint="eastAsia" w:ascii="Times New Roman" w:hAnsi="Times New Roman" w:eastAsia="仿宋_GB2312" w:cs="仿宋_GB2312"/>
          <w:color w:val="auto"/>
          <w:sz w:val="32"/>
          <w:szCs w:val="32"/>
          <w:highlight w:val="none"/>
        </w:rPr>
        <w:t>月</w:t>
      </w:r>
      <w:r>
        <w:rPr>
          <w:rFonts w:hint="eastAsia" w:ascii="Times New Roman" w:hAnsi="Times New Roman" w:eastAsia="仿宋_GB2312" w:cs="仿宋_GB2312"/>
          <w:color w:val="auto"/>
          <w:sz w:val="32"/>
          <w:szCs w:val="32"/>
          <w:highlight w:val="none"/>
          <w:lang w:val="en-US" w:eastAsia="zh-CN"/>
        </w:rPr>
        <w:t>12</w:t>
      </w:r>
      <w:r>
        <w:rPr>
          <w:rFonts w:hint="eastAsia" w:ascii="Times New Roman" w:hAnsi="Times New Roman" w:eastAsia="仿宋_GB2312" w:cs="仿宋_GB2312"/>
          <w:color w:val="auto"/>
          <w:sz w:val="32"/>
          <w:szCs w:val="32"/>
          <w:highlight w:val="none"/>
        </w:rPr>
        <w:t>日</w:t>
      </w:r>
    </w:p>
    <w:p>
      <w:pPr>
        <w:rPr>
          <w:rFonts w:ascii="Times New Roman" w:hAnsi="Times New Roman"/>
          <w:color w:val="auto"/>
          <w:highlight w:val="none"/>
        </w:rPr>
      </w:pPr>
    </w:p>
    <w:p>
      <w:pPr>
        <w:pStyle w:val="13"/>
        <w:adjustRightInd w:val="0"/>
        <w:snapToGrid w:val="0"/>
        <w:spacing w:before="0" w:line="440" w:lineRule="exact"/>
        <w:jc w:val="left"/>
        <w:rPr>
          <w:rFonts w:hint="eastAsia" w:ascii="Times New Roman" w:hAnsi="Times New Roman" w:eastAsia="宋体" w:cs="Times New Roman"/>
          <w:kern w:val="2"/>
          <w:sz w:val="24"/>
          <w:szCs w:val="24"/>
          <w:highlight w:val="none"/>
          <w:lang w:val="en-US" w:eastAsia="zh-CN" w:bidi="ar-SA"/>
        </w:rPr>
      </w:pPr>
      <w:bookmarkStart w:id="6" w:name="_Toc15377196"/>
      <w:bookmarkStart w:id="7" w:name="_Toc15396599"/>
      <w:r>
        <w:rPr>
          <w:rFonts w:hint="eastAsia" w:ascii="Times New Roman" w:hAnsi="Times New Roman" w:eastAsia="宋体" w:cs="Times New Roman"/>
          <w:kern w:val="2"/>
          <w:sz w:val="24"/>
          <w:szCs w:val="24"/>
          <w:highlight w:val="none"/>
          <w:lang w:val="en-US" w:eastAsia="zh-CN" w:bidi="ar-SA"/>
        </w:rPr>
        <w:t>第一部分 部门概况...................................................................................................3</w:t>
      </w:r>
    </w:p>
    <w:p>
      <w:pPr>
        <w:pStyle w:val="15"/>
        <w:adjustRightInd w:val="0"/>
        <w:snapToGrid w:val="0"/>
        <w:spacing w:line="440" w:lineRule="exact"/>
        <w:jc w:val="left"/>
        <w:rPr>
          <w:rFonts w:hint="eastAsia"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一、</w:t>
      </w:r>
      <w:r>
        <w:rPr>
          <w:rFonts w:hint="eastAsia" w:cs="Times New Roman"/>
          <w:kern w:val="2"/>
          <w:sz w:val="24"/>
          <w:szCs w:val="24"/>
          <w:highlight w:val="none"/>
          <w:lang w:val="en-US" w:eastAsia="zh-CN" w:bidi="ar-SA"/>
        </w:rPr>
        <w:t>部门</w:t>
      </w:r>
      <w:r>
        <w:rPr>
          <w:rFonts w:hint="eastAsia" w:ascii="Times New Roman" w:hAnsi="Times New Roman" w:eastAsia="宋体" w:cs="Times New Roman"/>
          <w:kern w:val="2"/>
          <w:sz w:val="24"/>
          <w:szCs w:val="24"/>
          <w:highlight w:val="none"/>
          <w:lang w:val="en-US" w:eastAsia="zh-CN" w:bidi="ar-SA"/>
        </w:rPr>
        <w:t>职责................................................................................................</w:t>
      </w:r>
      <w:r>
        <w:rPr>
          <w:rFonts w:hint="eastAsia" w:cs="Times New Roman"/>
          <w:kern w:val="2"/>
          <w:sz w:val="24"/>
          <w:szCs w:val="24"/>
          <w:highlight w:val="none"/>
          <w:lang w:val="en-US" w:eastAsia="zh-CN" w:bidi="ar-SA"/>
        </w:rPr>
        <w:t>.</w:t>
      </w:r>
      <w:r>
        <w:rPr>
          <w:rFonts w:hint="eastAsia" w:ascii="Times New Roman" w:hAnsi="Times New Roman" w:eastAsia="宋体" w:cs="Times New Roman"/>
          <w:kern w:val="2"/>
          <w:sz w:val="24"/>
          <w:szCs w:val="24"/>
          <w:highlight w:val="none"/>
          <w:lang w:val="en-US" w:eastAsia="zh-CN" w:bidi="ar-SA"/>
        </w:rPr>
        <w:t>.</w:t>
      </w:r>
      <w:r>
        <w:rPr>
          <w:rFonts w:hint="eastAsia" w:cs="Times New Roman"/>
          <w:kern w:val="2"/>
          <w:sz w:val="24"/>
          <w:szCs w:val="24"/>
          <w:highlight w:val="none"/>
          <w:lang w:val="en-US" w:eastAsia="zh-CN" w:bidi="ar-SA"/>
        </w:rPr>
        <w:t>.</w:t>
      </w:r>
      <w:r>
        <w:rPr>
          <w:rFonts w:hint="eastAsia" w:ascii="Times New Roman" w:hAnsi="Times New Roman" w:eastAsia="宋体" w:cs="Times New Roman"/>
          <w:kern w:val="2"/>
          <w:sz w:val="24"/>
          <w:szCs w:val="24"/>
          <w:highlight w:val="none"/>
          <w:lang w:val="en-US" w:eastAsia="zh-CN" w:bidi="ar-SA"/>
        </w:rPr>
        <w:t>...3</w:t>
      </w:r>
    </w:p>
    <w:p>
      <w:pPr>
        <w:pStyle w:val="15"/>
        <w:adjustRightInd w:val="0"/>
        <w:snapToGrid w:val="0"/>
        <w:spacing w:line="440" w:lineRule="exact"/>
        <w:jc w:val="left"/>
        <w:rPr>
          <w:rFonts w:hint="eastAsia"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二、机构设置.................................................................................................</w:t>
      </w:r>
      <w:r>
        <w:rPr>
          <w:rFonts w:hint="eastAsia" w:cs="Times New Roman"/>
          <w:kern w:val="2"/>
          <w:sz w:val="24"/>
          <w:szCs w:val="24"/>
          <w:highlight w:val="none"/>
          <w:lang w:val="en-US" w:eastAsia="zh-CN" w:bidi="ar-SA"/>
        </w:rPr>
        <w:t>..</w:t>
      </w:r>
      <w:r>
        <w:rPr>
          <w:rFonts w:hint="eastAsia" w:ascii="Times New Roman" w:hAnsi="Times New Roman" w:eastAsia="宋体" w:cs="Times New Roman"/>
          <w:kern w:val="2"/>
          <w:sz w:val="24"/>
          <w:szCs w:val="24"/>
          <w:highlight w:val="none"/>
          <w:lang w:val="en-US" w:eastAsia="zh-CN" w:bidi="ar-SA"/>
        </w:rPr>
        <w:t>...3</w:t>
      </w:r>
    </w:p>
    <w:p>
      <w:pPr>
        <w:pStyle w:val="13"/>
        <w:adjustRightInd w:val="0"/>
        <w:snapToGrid w:val="0"/>
        <w:spacing w:before="0" w:line="440" w:lineRule="exact"/>
        <w:jc w:val="left"/>
        <w:rPr>
          <w:rFonts w:hint="eastAsia"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第二部分 2024年度部门决算情况说明..................................................................4</w:t>
      </w:r>
    </w:p>
    <w:p>
      <w:pPr>
        <w:pStyle w:val="15"/>
        <w:adjustRightInd w:val="0"/>
        <w:snapToGrid w:val="0"/>
        <w:spacing w:line="440" w:lineRule="exact"/>
        <w:jc w:val="left"/>
        <w:rPr>
          <w:rFonts w:hint="eastAsia"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一、收入支出决算总体情况说明.............................................................</w:t>
      </w:r>
      <w:r>
        <w:rPr>
          <w:rFonts w:hint="eastAsia" w:cs="Times New Roman"/>
          <w:kern w:val="2"/>
          <w:sz w:val="24"/>
          <w:szCs w:val="24"/>
          <w:highlight w:val="none"/>
          <w:lang w:val="en-US" w:eastAsia="zh-CN" w:bidi="ar-SA"/>
        </w:rPr>
        <w:t>.</w:t>
      </w:r>
      <w:r>
        <w:rPr>
          <w:rFonts w:hint="eastAsia" w:ascii="Times New Roman" w:hAnsi="Times New Roman" w:eastAsia="宋体" w:cs="Times New Roman"/>
          <w:kern w:val="2"/>
          <w:sz w:val="24"/>
          <w:szCs w:val="24"/>
          <w:highlight w:val="none"/>
          <w:lang w:val="en-US" w:eastAsia="zh-CN" w:bidi="ar-SA"/>
        </w:rPr>
        <w:t>...</w:t>
      </w:r>
      <w:r>
        <w:rPr>
          <w:rFonts w:hint="eastAsia" w:cs="Times New Roman"/>
          <w:kern w:val="2"/>
          <w:sz w:val="24"/>
          <w:szCs w:val="24"/>
          <w:highlight w:val="none"/>
          <w:lang w:val="en-US" w:eastAsia="zh-CN" w:bidi="ar-SA"/>
        </w:rPr>
        <w:t>.</w:t>
      </w:r>
      <w:r>
        <w:rPr>
          <w:rFonts w:hint="eastAsia" w:ascii="Times New Roman" w:hAnsi="Times New Roman" w:eastAsia="宋体" w:cs="Times New Roman"/>
          <w:kern w:val="2"/>
          <w:sz w:val="24"/>
          <w:szCs w:val="24"/>
          <w:highlight w:val="none"/>
          <w:lang w:val="en-US" w:eastAsia="zh-CN" w:bidi="ar-SA"/>
        </w:rPr>
        <w:t>....4</w:t>
      </w:r>
    </w:p>
    <w:p>
      <w:pPr>
        <w:pStyle w:val="15"/>
        <w:adjustRightInd w:val="0"/>
        <w:snapToGrid w:val="0"/>
        <w:spacing w:line="440" w:lineRule="exact"/>
        <w:jc w:val="left"/>
        <w:rPr>
          <w:rFonts w:hint="eastAsia"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二、收入决算情况说明.............................................................................</w:t>
      </w:r>
      <w:r>
        <w:rPr>
          <w:rFonts w:hint="eastAsia" w:cs="Times New Roman"/>
          <w:kern w:val="2"/>
          <w:sz w:val="24"/>
          <w:szCs w:val="24"/>
          <w:highlight w:val="none"/>
          <w:lang w:val="en-US" w:eastAsia="zh-CN" w:bidi="ar-SA"/>
        </w:rPr>
        <w:t>.</w:t>
      </w:r>
      <w:r>
        <w:rPr>
          <w:rFonts w:hint="eastAsia" w:ascii="Times New Roman" w:hAnsi="Times New Roman" w:eastAsia="宋体" w:cs="Times New Roman"/>
          <w:kern w:val="2"/>
          <w:sz w:val="24"/>
          <w:szCs w:val="24"/>
          <w:highlight w:val="none"/>
          <w:lang w:val="en-US" w:eastAsia="zh-CN" w:bidi="ar-SA"/>
        </w:rPr>
        <w:t>...</w:t>
      </w:r>
      <w:r>
        <w:rPr>
          <w:rFonts w:hint="eastAsia" w:cs="Times New Roman"/>
          <w:kern w:val="2"/>
          <w:sz w:val="24"/>
          <w:szCs w:val="24"/>
          <w:highlight w:val="none"/>
          <w:lang w:val="en-US" w:eastAsia="zh-CN" w:bidi="ar-SA"/>
        </w:rPr>
        <w:t>.</w:t>
      </w:r>
      <w:r>
        <w:rPr>
          <w:rFonts w:hint="eastAsia" w:ascii="Times New Roman" w:hAnsi="Times New Roman" w:eastAsia="宋体" w:cs="Times New Roman"/>
          <w:kern w:val="2"/>
          <w:sz w:val="24"/>
          <w:szCs w:val="24"/>
          <w:highlight w:val="none"/>
          <w:lang w:val="en-US" w:eastAsia="zh-CN" w:bidi="ar-SA"/>
        </w:rPr>
        <w:t>....4</w:t>
      </w:r>
    </w:p>
    <w:p>
      <w:pPr>
        <w:pStyle w:val="15"/>
        <w:adjustRightInd w:val="0"/>
        <w:snapToGrid w:val="0"/>
        <w:spacing w:line="440" w:lineRule="exact"/>
        <w:jc w:val="left"/>
        <w:rPr>
          <w:rFonts w:hint="eastAsia"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三、支出决算情况说明............................................................................</w:t>
      </w:r>
      <w:r>
        <w:rPr>
          <w:rFonts w:hint="eastAsia" w:cs="Times New Roman"/>
          <w:kern w:val="2"/>
          <w:sz w:val="24"/>
          <w:szCs w:val="24"/>
          <w:highlight w:val="none"/>
          <w:lang w:val="en-US" w:eastAsia="zh-CN" w:bidi="ar-SA"/>
        </w:rPr>
        <w:t>.</w:t>
      </w:r>
      <w:r>
        <w:rPr>
          <w:rFonts w:hint="eastAsia" w:ascii="Times New Roman" w:hAnsi="Times New Roman" w:eastAsia="宋体" w:cs="Times New Roman"/>
          <w:kern w:val="2"/>
          <w:sz w:val="24"/>
          <w:szCs w:val="24"/>
          <w:highlight w:val="none"/>
          <w:lang w:val="en-US" w:eastAsia="zh-CN" w:bidi="ar-SA"/>
        </w:rPr>
        <w:t>...</w:t>
      </w:r>
      <w:r>
        <w:rPr>
          <w:rFonts w:hint="eastAsia" w:cs="Times New Roman"/>
          <w:kern w:val="2"/>
          <w:sz w:val="24"/>
          <w:szCs w:val="24"/>
          <w:highlight w:val="none"/>
          <w:lang w:val="en-US" w:eastAsia="zh-CN" w:bidi="ar-SA"/>
        </w:rPr>
        <w:t>.</w:t>
      </w:r>
      <w:r>
        <w:rPr>
          <w:rFonts w:hint="eastAsia" w:ascii="Times New Roman" w:hAnsi="Times New Roman" w:eastAsia="宋体" w:cs="Times New Roman"/>
          <w:kern w:val="2"/>
          <w:sz w:val="24"/>
          <w:szCs w:val="24"/>
          <w:highlight w:val="none"/>
          <w:lang w:val="en-US" w:eastAsia="zh-CN" w:bidi="ar-SA"/>
        </w:rPr>
        <w:t>.....5</w:t>
      </w:r>
    </w:p>
    <w:p>
      <w:pPr>
        <w:pStyle w:val="15"/>
        <w:adjustRightInd w:val="0"/>
        <w:snapToGrid w:val="0"/>
        <w:spacing w:line="440" w:lineRule="exact"/>
        <w:jc w:val="left"/>
        <w:rPr>
          <w:rFonts w:hint="default"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四、财政拨款收入支出决算总体情况说明.............................................</w:t>
      </w:r>
      <w:r>
        <w:rPr>
          <w:rFonts w:hint="eastAsia" w:cs="Times New Roman"/>
          <w:kern w:val="2"/>
          <w:sz w:val="24"/>
          <w:szCs w:val="24"/>
          <w:highlight w:val="none"/>
          <w:lang w:val="en-US" w:eastAsia="zh-CN" w:bidi="ar-SA"/>
        </w:rPr>
        <w:t>.</w:t>
      </w:r>
      <w:r>
        <w:rPr>
          <w:rFonts w:hint="eastAsia" w:ascii="Times New Roman" w:hAnsi="Times New Roman" w:eastAsia="宋体" w:cs="Times New Roman"/>
          <w:kern w:val="2"/>
          <w:sz w:val="24"/>
          <w:szCs w:val="24"/>
          <w:highlight w:val="none"/>
          <w:lang w:val="en-US" w:eastAsia="zh-CN" w:bidi="ar-SA"/>
        </w:rPr>
        <w:t>..</w:t>
      </w:r>
      <w:r>
        <w:rPr>
          <w:rFonts w:hint="eastAsia" w:cs="Times New Roman"/>
          <w:kern w:val="2"/>
          <w:sz w:val="24"/>
          <w:szCs w:val="24"/>
          <w:highlight w:val="none"/>
          <w:lang w:val="en-US" w:eastAsia="zh-CN" w:bidi="ar-SA"/>
        </w:rPr>
        <w:t>.</w:t>
      </w:r>
      <w:r>
        <w:rPr>
          <w:rFonts w:hint="eastAsia" w:ascii="Times New Roman" w:hAnsi="Times New Roman" w:eastAsia="宋体" w:cs="Times New Roman"/>
          <w:kern w:val="2"/>
          <w:sz w:val="24"/>
          <w:szCs w:val="24"/>
          <w:highlight w:val="none"/>
          <w:lang w:val="en-US" w:eastAsia="zh-CN" w:bidi="ar-SA"/>
        </w:rPr>
        <w:t>.....</w:t>
      </w:r>
      <w:r>
        <w:rPr>
          <w:rFonts w:hint="eastAsia" w:cs="Times New Roman"/>
          <w:kern w:val="2"/>
          <w:sz w:val="24"/>
          <w:szCs w:val="24"/>
          <w:highlight w:val="none"/>
          <w:lang w:val="en-US" w:eastAsia="zh-CN" w:bidi="ar-SA"/>
        </w:rPr>
        <w:t>5</w:t>
      </w:r>
    </w:p>
    <w:p>
      <w:pPr>
        <w:pStyle w:val="15"/>
        <w:adjustRightInd w:val="0"/>
        <w:snapToGrid w:val="0"/>
        <w:spacing w:line="440" w:lineRule="exact"/>
        <w:jc w:val="left"/>
        <w:rPr>
          <w:rFonts w:hint="default"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五、一般公共预算财政拨款支出决算情况说明......................................</w:t>
      </w:r>
      <w:r>
        <w:rPr>
          <w:rFonts w:hint="eastAsia" w:cs="Times New Roman"/>
          <w:kern w:val="2"/>
          <w:sz w:val="24"/>
          <w:szCs w:val="24"/>
          <w:highlight w:val="none"/>
          <w:lang w:val="en-US" w:eastAsia="zh-CN" w:bidi="ar-SA"/>
        </w:rPr>
        <w:t>.</w:t>
      </w:r>
      <w:r>
        <w:rPr>
          <w:rFonts w:hint="eastAsia" w:ascii="Times New Roman" w:hAnsi="Times New Roman" w:eastAsia="宋体" w:cs="Times New Roman"/>
          <w:kern w:val="2"/>
          <w:sz w:val="24"/>
          <w:szCs w:val="24"/>
          <w:highlight w:val="none"/>
          <w:lang w:val="en-US" w:eastAsia="zh-CN" w:bidi="ar-SA"/>
        </w:rPr>
        <w:t>..</w:t>
      </w:r>
      <w:r>
        <w:rPr>
          <w:rFonts w:hint="eastAsia" w:cs="Times New Roman"/>
          <w:kern w:val="2"/>
          <w:sz w:val="24"/>
          <w:szCs w:val="24"/>
          <w:highlight w:val="none"/>
          <w:lang w:val="en-US" w:eastAsia="zh-CN" w:bidi="ar-SA"/>
        </w:rPr>
        <w:t>.</w:t>
      </w:r>
      <w:r>
        <w:rPr>
          <w:rFonts w:hint="eastAsia" w:ascii="Times New Roman" w:hAnsi="Times New Roman" w:eastAsia="宋体" w:cs="Times New Roman"/>
          <w:kern w:val="2"/>
          <w:sz w:val="24"/>
          <w:szCs w:val="24"/>
          <w:highlight w:val="none"/>
          <w:lang w:val="en-US" w:eastAsia="zh-CN" w:bidi="ar-SA"/>
        </w:rPr>
        <w:t>....</w:t>
      </w:r>
      <w:r>
        <w:rPr>
          <w:rFonts w:hint="eastAsia" w:cs="Times New Roman"/>
          <w:kern w:val="2"/>
          <w:sz w:val="24"/>
          <w:szCs w:val="24"/>
          <w:highlight w:val="none"/>
          <w:lang w:val="en-US" w:eastAsia="zh-CN" w:bidi="ar-SA"/>
        </w:rPr>
        <w:t>6</w:t>
      </w:r>
    </w:p>
    <w:p>
      <w:pPr>
        <w:pStyle w:val="15"/>
        <w:adjustRightInd w:val="0"/>
        <w:snapToGrid w:val="0"/>
        <w:spacing w:line="440" w:lineRule="exact"/>
        <w:jc w:val="left"/>
        <w:rPr>
          <w:rFonts w:hint="default"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六、一般公共预算财政拨款基本支出决算情况说明............................</w:t>
      </w:r>
      <w:r>
        <w:rPr>
          <w:rFonts w:hint="eastAsia" w:cs="Times New Roman"/>
          <w:kern w:val="2"/>
          <w:sz w:val="24"/>
          <w:szCs w:val="24"/>
          <w:highlight w:val="none"/>
          <w:lang w:val="en-US" w:eastAsia="zh-CN" w:bidi="ar-SA"/>
        </w:rPr>
        <w:t>.</w:t>
      </w:r>
      <w:r>
        <w:rPr>
          <w:rFonts w:hint="eastAsia" w:ascii="Times New Roman" w:hAnsi="Times New Roman" w:eastAsia="宋体" w:cs="Times New Roman"/>
          <w:kern w:val="2"/>
          <w:sz w:val="24"/>
          <w:szCs w:val="24"/>
          <w:highlight w:val="none"/>
          <w:lang w:val="en-US" w:eastAsia="zh-CN" w:bidi="ar-SA"/>
        </w:rPr>
        <w:t>....</w:t>
      </w:r>
      <w:r>
        <w:rPr>
          <w:rFonts w:hint="eastAsia" w:cs="Times New Roman"/>
          <w:kern w:val="2"/>
          <w:sz w:val="24"/>
          <w:szCs w:val="24"/>
          <w:highlight w:val="none"/>
          <w:lang w:val="en-US" w:eastAsia="zh-CN" w:bidi="ar-SA"/>
        </w:rPr>
        <w:t>.</w:t>
      </w:r>
      <w:r>
        <w:rPr>
          <w:rFonts w:hint="eastAsia" w:ascii="Times New Roman" w:hAnsi="Times New Roman" w:eastAsia="宋体" w:cs="Times New Roman"/>
          <w:kern w:val="2"/>
          <w:sz w:val="24"/>
          <w:szCs w:val="24"/>
          <w:highlight w:val="none"/>
          <w:lang w:val="en-US" w:eastAsia="zh-CN" w:bidi="ar-SA"/>
        </w:rPr>
        <w:t>....</w:t>
      </w:r>
      <w:r>
        <w:rPr>
          <w:rFonts w:hint="eastAsia" w:cs="Times New Roman"/>
          <w:kern w:val="2"/>
          <w:sz w:val="24"/>
          <w:szCs w:val="24"/>
          <w:highlight w:val="none"/>
          <w:lang w:val="en-US" w:eastAsia="zh-CN" w:bidi="ar-SA"/>
        </w:rPr>
        <w:t>7</w:t>
      </w:r>
    </w:p>
    <w:p>
      <w:pPr>
        <w:pStyle w:val="15"/>
        <w:adjustRightInd w:val="0"/>
        <w:snapToGrid w:val="0"/>
        <w:spacing w:line="440" w:lineRule="exact"/>
        <w:jc w:val="left"/>
        <w:rPr>
          <w:rFonts w:hint="default"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七、财政拨款“三公”经费支出决算情况说明....................................</w:t>
      </w:r>
      <w:r>
        <w:rPr>
          <w:rFonts w:hint="eastAsia" w:cs="Times New Roman"/>
          <w:kern w:val="2"/>
          <w:sz w:val="24"/>
          <w:szCs w:val="24"/>
          <w:highlight w:val="none"/>
          <w:lang w:val="en-US" w:eastAsia="zh-CN" w:bidi="ar-SA"/>
        </w:rPr>
        <w:t>.</w:t>
      </w:r>
      <w:r>
        <w:rPr>
          <w:rFonts w:hint="eastAsia" w:ascii="Times New Roman" w:hAnsi="Times New Roman" w:eastAsia="宋体" w:cs="Times New Roman"/>
          <w:kern w:val="2"/>
          <w:sz w:val="24"/>
          <w:szCs w:val="24"/>
          <w:highlight w:val="none"/>
          <w:lang w:val="en-US" w:eastAsia="zh-CN" w:bidi="ar-SA"/>
        </w:rPr>
        <w:t>...</w:t>
      </w:r>
      <w:r>
        <w:rPr>
          <w:rFonts w:hint="eastAsia" w:cs="Times New Roman"/>
          <w:kern w:val="2"/>
          <w:sz w:val="24"/>
          <w:szCs w:val="24"/>
          <w:highlight w:val="none"/>
          <w:lang w:val="en-US" w:eastAsia="zh-CN" w:bidi="ar-SA"/>
        </w:rPr>
        <w:t>.</w:t>
      </w:r>
      <w:r>
        <w:rPr>
          <w:rFonts w:hint="eastAsia" w:ascii="Times New Roman" w:hAnsi="Times New Roman" w:eastAsia="宋体" w:cs="Times New Roman"/>
          <w:kern w:val="2"/>
          <w:sz w:val="24"/>
          <w:szCs w:val="24"/>
          <w:highlight w:val="none"/>
          <w:lang w:val="en-US" w:eastAsia="zh-CN" w:bidi="ar-SA"/>
        </w:rPr>
        <w:t>.....</w:t>
      </w:r>
      <w:r>
        <w:rPr>
          <w:rFonts w:hint="eastAsia" w:cs="Times New Roman"/>
          <w:kern w:val="2"/>
          <w:sz w:val="24"/>
          <w:szCs w:val="24"/>
          <w:highlight w:val="none"/>
          <w:lang w:val="en-US" w:eastAsia="zh-CN" w:bidi="ar-SA"/>
        </w:rPr>
        <w:t>8</w:t>
      </w:r>
    </w:p>
    <w:p>
      <w:pPr>
        <w:pStyle w:val="15"/>
        <w:adjustRightInd w:val="0"/>
        <w:snapToGrid w:val="0"/>
        <w:spacing w:line="440" w:lineRule="exact"/>
        <w:jc w:val="left"/>
        <w:rPr>
          <w:rFonts w:hint="default"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八、政府性基金预算支出决算情况说明..................................................</w:t>
      </w:r>
      <w:r>
        <w:rPr>
          <w:rFonts w:hint="eastAsia" w:cs="Times New Roman"/>
          <w:kern w:val="2"/>
          <w:sz w:val="24"/>
          <w:szCs w:val="24"/>
          <w:highlight w:val="none"/>
          <w:lang w:val="en-US" w:eastAsia="zh-CN" w:bidi="ar-SA"/>
        </w:rPr>
        <w:t>.</w:t>
      </w:r>
      <w:r>
        <w:rPr>
          <w:rFonts w:hint="eastAsia" w:ascii="Times New Roman" w:hAnsi="Times New Roman" w:eastAsia="宋体" w:cs="Times New Roman"/>
          <w:kern w:val="2"/>
          <w:sz w:val="24"/>
          <w:szCs w:val="24"/>
          <w:highlight w:val="none"/>
          <w:lang w:val="en-US" w:eastAsia="zh-CN" w:bidi="ar-SA"/>
        </w:rPr>
        <w:t>.....1</w:t>
      </w:r>
      <w:r>
        <w:rPr>
          <w:rFonts w:hint="eastAsia" w:cs="Times New Roman"/>
          <w:kern w:val="2"/>
          <w:sz w:val="24"/>
          <w:szCs w:val="24"/>
          <w:highlight w:val="none"/>
          <w:lang w:val="en-US" w:eastAsia="zh-CN" w:bidi="ar-SA"/>
        </w:rPr>
        <w:t>0</w:t>
      </w:r>
    </w:p>
    <w:p>
      <w:pPr>
        <w:pStyle w:val="15"/>
        <w:adjustRightInd w:val="0"/>
        <w:snapToGrid w:val="0"/>
        <w:spacing w:line="440" w:lineRule="exact"/>
        <w:jc w:val="left"/>
        <w:rPr>
          <w:rFonts w:hint="default"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九、国有资本经营预算支出决算情况说明...........................................</w:t>
      </w:r>
      <w:r>
        <w:rPr>
          <w:rFonts w:hint="eastAsia" w:cs="Times New Roman"/>
          <w:kern w:val="2"/>
          <w:sz w:val="24"/>
          <w:szCs w:val="24"/>
          <w:highlight w:val="none"/>
          <w:lang w:val="en-US" w:eastAsia="zh-CN" w:bidi="ar-SA"/>
        </w:rPr>
        <w:t>.</w:t>
      </w:r>
      <w:r>
        <w:rPr>
          <w:rFonts w:hint="eastAsia" w:ascii="Times New Roman" w:hAnsi="Times New Roman" w:eastAsia="宋体" w:cs="Times New Roman"/>
          <w:kern w:val="2"/>
          <w:sz w:val="24"/>
          <w:szCs w:val="24"/>
          <w:highlight w:val="none"/>
          <w:lang w:val="en-US" w:eastAsia="zh-CN" w:bidi="ar-SA"/>
        </w:rPr>
        <w:t>.</w:t>
      </w:r>
      <w:r>
        <w:rPr>
          <w:rFonts w:hint="eastAsia" w:cs="Times New Roman"/>
          <w:kern w:val="2"/>
          <w:sz w:val="24"/>
          <w:szCs w:val="24"/>
          <w:highlight w:val="none"/>
          <w:lang w:val="en-US" w:eastAsia="zh-CN" w:bidi="ar-SA"/>
        </w:rPr>
        <w:t>.</w:t>
      </w:r>
      <w:r>
        <w:rPr>
          <w:rFonts w:hint="eastAsia" w:ascii="Times New Roman" w:hAnsi="Times New Roman" w:eastAsia="宋体" w:cs="Times New Roman"/>
          <w:kern w:val="2"/>
          <w:sz w:val="24"/>
          <w:szCs w:val="24"/>
          <w:highlight w:val="none"/>
          <w:lang w:val="en-US" w:eastAsia="zh-CN" w:bidi="ar-SA"/>
        </w:rPr>
        <w:t>......1</w:t>
      </w:r>
      <w:r>
        <w:rPr>
          <w:rFonts w:hint="eastAsia" w:cs="Times New Roman"/>
          <w:kern w:val="2"/>
          <w:sz w:val="24"/>
          <w:szCs w:val="24"/>
          <w:highlight w:val="none"/>
          <w:lang w:val="en-US" w:eastAsia="zh-CN" w:bidi="ar-SA"/>
        </w:rPr>
        <w:t>0</w:t>
      </w:r>
    </w:p>
    <w:p>
      <w:pPr>
        <w:pStyle w:val="15"/>
        <w:adjustRightInd w:val="0"/>
        <w:snapToGrid w:val="0"/>
        <w:spacing w:line="440" w:lineRule="exact"/>
        <w:jc w:val="left"/>
        <w:rPr>
          <w:rFonts w:hint="default"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十、其他重要事项的情况说明..............................................................</w:t>
      </w:r>
      <w:r>
        <w:rPr>
          <w:rFonts w:hint="eastAsia" w:cs="Times New Roman"/>
          <w:kern w:val="2"/>
          <w:sz w:val="24"/>
          <w:szCs w:val="24"/>
          <w:highlight w:val="none"/>
          <w:lang w:val="en-US" w:eastAsia="zh-CN" w:bidi="ar-SA"/>
        </w:rPr>
        <w:t>.</w:t>
      </w:r>
      <w:r>
        <w:rPr>
          <w:rFonts w:hint="eastAsia" w:ascii="Times New Roman" w:hAnsi="Times New Roman" w:eastAsia="宋体" w:cs="Times New Roman"/>
          <w:kern w:val="2"/>
          <w:sz w:val="24"/>
          <w:szCs w:val="24"/>
          <w:highlight w:val="none"/>
          <w:lang w:val="en-US" w:eastAsia="zh-CN" w:bidi="ar-SA"/>
        </w:rPr>
        <w:t>.........1</w:t>
      </w:r>
      <w:r>
        <w:rPr>
          <w:rFonts w:hint="eastAsia" w:cs="Times New Roman"/>
          <w:kern w:val="2"/>
          <w:sz w:val="24"/>
          <w:szCs w:val="24"/>
          <w:highlight w:val="none"/>
          <w:lang w:val="en-US" w:eastAsia="zh-CN" w:bidi="ar-SA"/>
        </w:rPr>
        <w:t>0</w:t>
      </w:r>
    </w:p>
    <w:p>
      <w:pPr>
        <w:pStyle w:val="13"/>
        <w:adjustRightInd w:val="0"/>
        <w:snapToGrid w:val="0"/>
        <w:spacing w:before="0" w:line="440" w:lineRule="exact"/>
        <w:jc w:val="left"/>
        <w:rPr>
          <w:rFonts w:hint="default"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第三部分 名词解释.................................................................................................12</w:t>
      </w:r>
    </w:p>
    <w:p>
      <w:pPr>
        <w:pStyle w:val="13"/>
        <w:adjustRightInd w:val="0"/>
        <w:snapToGrid w:val="0"/>
        <w:spacing w:before="0" w:line="440" w:lineRule="exact"/>
        <w:jc w:val="left"/>
        <w:rPr>
          <w:rFonts w:hint="default"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第四部分 附件.........................................................................................................14</w:t>
      </w:r>
    </w:p>
    <w:p>
      <w:pPr>
        <w:pStyle w:val="13"/>
        <w:adjustRightInd w:val="0"/>
        <w:snapToGrid w:val="0"/>
        <w:spacing w:before="0" w:line="440" w:lineRule="exact"/>
        <w:jc w:val="left"/>
        <w:rPr>
          <w:rFonts w:hint="default"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第五部分 附表.........................................................................................................25</w:t>
      </w:r>
    </w:p>
    <w:p>
      <w:pPr>
        <w:pStyle w:val="15"/>
        <w:adjustRightInd w:val="0"/>
        <w:snapToGrid w:val="0"/>
        <w:spacing w:line="440" w:lineRule="exact"/>
        <w:jc w:val="left"/>
        <w:rPr>
          <w:rFonts w:hint="default"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一、收入支出决算总表...................................................................................</w:t>
      </w:r>
      <w:r>
        <w:rPr>
          <w:rFonts w:hint="eastAsia" w:cs="Times New Roman"/>
          <w:kern w:val="2"/>
          <w:sz w:val="24"/>
          <w:szCs w:val="24"/>
          <w:highlight w:val="none"/>
          <w:lang w:val="en-US" w:eastAsia="zh-CN" w:bidi="ar-SA"/>
        </w:rPr>
        <w:t>.25</w:t>
      </w:r>
    </w:p>
    <w:p>
      <w:pPr>
        <w:pStyle w:val="15"/>
        <w:adjustRightInd w:val="0"/>
        <w:snapToGrid w:val="0"/>
        <w:spacing w:line="440" w:lineRule="exact"/>
        <w:jc w:val="left"/>
        <w:rPr>
          <w:rFonts w:hint="default"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二、收入决算表..............................................................................................</w:t>
      </w:r>
      <w:r>
        <w:rPr>
          <w:rFonts w:hint="eastAsia" w:cs="Times New Roman"/>
          <w:kern w:val="2"/>
          <w:sz w:val="24"/>
          <w:szCs w:val="24"/>
          <w:highlight w:val="none"/>
          <w:lang w:val="en-US" w:eastAsia="zh-CN" w:bidi="ar-SA"/>
        </w:rPr>
        <w:t>.</w:t>
      </w:r>
      <w:r>
        <w:rPr>
          <w:rFonts w:hint="eastAsia" w:ascii="Times New Roman" w:hAnsi="Times New Roman" w:eastAsia="宋体" w:cs="Times New Roman"/>
          <w:kern w:val="2"/>
          <w:sz w:val="24"/>
          <w:szCs w:val="24"/>
          <w:highlight w:val="none"/>
          <w:lang w:val="en-US" w:eastAsia="zh-CN" w:bidi="ar-SA"/>
        </w:rPr>
        <w:t>.</w:t>
      </w:r>
      <w:r>
        <w:rPr>
          <w:rFonts w:hint="eastAsia" w:cs="Times New Roman"/>
          <w:kern w:val="2"/>
          <w:sz w:val="24"/>
          <w:szCs w:val="24"/>
          <w:highlight w:val="none"/>
          <w:lang w:val="en-US" w:eastAsia="zh-CN" w:bidi="ar-SA"/>
        </w:rPr>
        <w:t>25</w:t>
      </w:r>
    </w:p>
    <w:p>
      <w:pPr>
        <w:pStyle w:val="15"/>
        <w:adjustRightInd w:val="0"/>
        <w:snapToGrid w:val="0"/>
        <w:spacing w:line="440" w:lineRule="exact"/>
        <w:jc w:val="left"/>
        <w:rPr>
          <w:rFonts w:hint="default"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三、支出决算表............................................................................................</w:t>
      </w:r>
      <w:r>
        <w:rPr>
          <w:rFonts w:hint="eastAsia" w:cs="Times New Roman"/>
          <w:kern w:val="2"/>
          <w:sz w:val="24"/>
          <w:szCs w:val="24"/>
          <w:highlight w:val="none"/>
          <w:lang w:val="en-US" w:eastAsia="zh-CN" w:bidi="ar-SA"/>
        </w:rPr>
        <w:t>.</w:t>
      </w:r>
      <w:r>
        <w:rPr>
          <w:rFonts w:hint="eastAsia" w:ascii="Times New Roman" w:hAnsi="Times New Roman" w:eastAsia="宋体" w:cs="Times New Roman"/>
          <w:kern w:val="2"/>
          <w:sz w:val="24"/>
          <w:szCs w:val="24"/>
          <w:highlight w:val="none"/>
          <w:lang w:val="en-US" w:eastAsia="zh-CN" w:bidi="ar-SA"/>
        </w:rPr>
        <w:t>...</w:t>
      </w:r>
      <w:r>
        <w:rPr>
          <w:rFonts w:hint="eastAsia" w:cs="Times New Roman"/>
          <w:kern w:val="2"/>
          <w:sz w:val="24"/>
          <w:szCs w:val="24"/>
          <w:highlight w:val="none"/>
          <w:lang w:val="en-US" w:eastAsia="zh-CN" w:bidi="ar-SA"/>
        </w:rPr>
        <w:t>25</w:t>
      </w:r>
    </w:p>
    <w:p>
      <w:pPr>
        <w:pStyle w:val="15"/>
        <w:adjustRightInd w:val="0"/>
        <w:snapToGrid w:val="0"/>
        <w:spacing w:line="440" w:lineRule="exact"/>
        <w:jc w:val="left"/>
        <w:rPr>
          <w:rFonts w:hint="default"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四、财政拨款收入支出决算总表................................................................</w:t>
      </w:r>
      <w:r>
        <w:rPr>
          <w:rFonts w:hint="eastAsia" w:cs="Times New Roman"/>
          <w:kern w:val="2"/>
          <w:sz w:val="24"/>
          <w:szCs w:val="24"/>
          <w:highlight w:val="none"/>
          <w:lang w:val="en-US" w:eastAsia="zh-CN" w:bidi="ar-SA"/>
        </w:rPr>
        <w:t>.</w:t>
      </w:r>
      <w:r>
        <w:rPr>
          <w:rFonts w:hint="eastAsia" w:ascii="Times New Roman" w:hAnsi="Times New Roman" w:eastAsia="宋体" w:cs="Times New Roman"/>
          <w:kern w:val="2"/>
          <w:sz w:val="24"/>
          <w:szCs w:val="24"/>
          <w:highlight w:val="none"/>
          <w:lang w:val="en-US" w:eastAsia="zh-CN" w:bidi="ar-SA"/>
        </w:rPr>
        <w:t>...</w:t>
      </w:r>
      <w:r>
        <w:rPr>
          <w:rFonts w:hint="eastAsia" w:cs="Times New Roman"/>
          <w:kern w:val="2"/>
          <w:sz w:val="24"/>
          <w:szCs w:val="24"/>
          <w:highlight w:val="none"/>
          <w:lang w:val="en-US" w:eastAsia="zh-CN" w:bidi="ar-SA"/>
        </w:rPr>
        <w:t>25</w:t>
      </w:r>
    </w:p>
    <w:p>
      <w:pPr>
        <w:pStyle w:val="15"/>
        <w:adjustRightInd w:val="0"/>
        <w:snapToGrid w:val="0"/>
        <w:spacing w:line="440" w:lineRule="exact"/>
        <w:jc w:val="left"/>
        <w:rPr>
          <w:rFonts w:hint="default"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五、财政拨款支出决算明细表...................................................................</w:t>
      </w:r>
      <w:r>
        <w:rPr>
          <w:rFonts w:hint="eastAsia" w:cs="Times New Roman"/>
          <w:kern w:val="2"/>
          <w:sz w:val="24"/>
          <w:szCs w:val="24"/>
          <w:highlight w:val="none"/>
          <w:lang w:val="en-US" w:eastAsia="zh-CN" w:bidi="ar-SA"/>
        </w:rPr>
        <w:t>.</w:t>
      </w:r>
      <w:r>
        <w:rPr>
          <w:rFonts w:hint="eastAsia" w:ascii="Times New Roman" w:hAnsi="Times New Roman" w:eastAsia="宋体" w:cs="Times New Roman"/>
          <w:kern w:val="2"/>
          <w:sz w:val="24"/>
          <w:szCs w:val="24"/>
          <w:highlight w:val="none"/>
          <w:lang w:val="en-US" w:eastAsia="zh-CN" w:bidi="ar-SA"/>
        </w:rPr>
        <w:t>....</w:t>
      </w:r>
      <w:r>
        <w:rPr>
          <w:rFonts w:hint="eastAsia" w:cs="Times New Roman"/>
          <w:kern w:val="2"/>
          <w:sz w:val="24"/>
          <w:szCs w:val="24"/>
          <w:highlight w:val="none"/>
          <w:lang w:val="en-US" w:eastAsia="zh-CN" w:bidi="ar-SA"/>
        </w:rPr>
        <w:t>25</w:t>
      </w:r>
    </w:p>
    <w:p>
      <w:pPr>
        <w:pStyle w:val="15"/>
        <w:adjustRightInd w:val="0"/>
        <w:snapToGrid w:val="0"/>
        <w:spacing w:line="440" w:lineRule="exact"/>
        <w:jc w:val="left"/>
        <w:rPr>
          <w:rFonts w:hint="default"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六、一般公共预算财政拨款支出决算表..................................................</w:t>
      </w:r>
      <w:r>
        <w:rPr>
          <w:rFonts w:hint="eastAsia" w:cs="Times New Roman"/>
          <w:kern w:val="2"/>
          <w:sz w:val="24"/>
          <w:szCs w:val="24"/>
          <w:highlight w:val="none"/>
          <w:lang w:val="en-US" w:eastAsia="zh-CN" w:bidi="ar-SA"/>
        </w:rPr>
        <w:t>.</w:t>
      </w:r>
      <w:r>
        <w:rPr>
          <w:rFonts w:hint="eastAsia" w:ascii="Times New Roman" w:hAnsi="Times New Roman" w:eastAsia="宋体" w:cs="Times New Roman"/>
          <w:kern w:val="2"/>
          <w:sz w:val="24"/>
          <w:szCs w:val="24"/>
          <w:highlight w:val="none"/>
          <w:lang w:val="en-US" w:eastAsia="zh-CN" w:bidi="ar-SA"/>
        </w:rPr>
        <w:t>.....</w:t>
      </w:r>
      <w:r>
        <w:rPr>
          <w:rFonts w:hint="eastAsia" w:cs="Times New Roman"/>
          <w:kern w:val="2"/>
          <w:sz w:val="24"/>
          <w:szCs w:val="24"/>
          <w:highlight w:val="none"/>
          <w:lang w:val="en-US" w:eastAsia="zh-CN" w:bidi="ar-SA"/>
        </w:rPr>
        <w:t>25</w:t>
      </w:r>
    </w:p>
    <w:p>
      <w:pPr>
        <w:pStyle w:val="15"/>
        <w:adjustRightInd w:val="0"/>
        <w:snapToGrid w:val="0"/>
        <w:spacing w:line="440" w:lineRule="exact"/>
        <w:jc w:val="left"/>
        <w:rPr>
          <w:rFonts w:hint="default"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七、一般公共预算财政拨款支出决算明细表..........................................</w:t>
      </w:r>
      <w:r>
        <w:rPr>
          <w:rFonts w:hint="eastAsia" w:cs="Times New Roman"/>
          <w:kern w:val="2"/>
          <w:sz w:val="24"/>
          <w:szCs w:val="24"/>
          <w:highlight w:val="none"/>
          <w:lang w:val="en-US" w:eastAsia="zh-CN" w:bidi="ar-SA"/>
        </w:rPr>
        <w:t>.</w:t>
      </w:r>
      <w:r>
        <w:rPr>
          <w:rFonts w:hint="eastAsia" w:ascii="Times New Roman" w:hAnsi="Times New Roman" w:eastAsia="宋体" w:cs="Times New Roman"/>
          <w:kern w:val="2"/>
          <w:sz w:val="24"/>
          <w:szCs w:val="24"/>
          <w:highlight w:val="none"/>
          <w:lang w:val="en-US" w:eastAsia="zh-CN" w:bidi="ar-SA"/>
        </w:rPr>
        <w:t>.....</w:t>
      </w:r>
      <w:r>
        <w:rPr>
          <w:rFonts w:hint="eastAsia" w:cs="Times New Roman"/>
          <w:kern w:val="2"/>
          <w:sz w:val="24"/>
          <w:szCs w:val="24"/>
          <w:highlight w:val="none"/>
          <w:lang w:val="en-US" w:eastAsia="zh-CN" w:bidi="ar-SA"/>
        </w:rPr>
        <w:t>25</w:t>
      </w:r>
    </w:p>
    <w:p>
      <w:pPr>
        <w:pStyle w:val="15"/>
        <w:adjustRightInd w:val="0"/>
        <w:snapToGrid w:val="0"/>
        <w:spacing w:line="440" w:lineRule="exact"/>
        <w:jc w:val="left"/>
        <w:rPr>
          <w:rFonts w:hint="default"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八、一般公共预算财政拨款基本支出决算明细表....................................</w:t>
      </w:r>
      <w:r>
        <w:rPr>
          <w:rFonts w:hint="eastAsia" w:cs="Times New Roman"/>
          <w:kern w:val="2"/>
          <w:sz w:val="24"/>
          <w:szCs w:val="24"/>
          <w:highlight w:val="none"/>
          <w:lang w:val="en-US" w:eastAsia="zh-CN" w:bidi="ar-SA"/>
        </w:rPr>
        <w:t>.</w:t>
      </w:r>
      <w:r>
        <w:rPr>
          <w:rFonts w:hint="eastAsia" w:ascii="Times New Roman" w:hAnsi="Times New Roman" w:eastAsia="宋体" w:cs="Times New Roman"/>
          <w:kern w:val="2"/>
          <w:sz w:val="24"/>
          <w:szCs w:val="24"/>
          <w:highlight w:val="none"/>
          <w:lang w:val="en-US" w:eastAsia="zh-CN" w:bidi="ar-SA"/>
        </w:rPr>
        <w:t>...</w:t>
      </w:r>
      <w:r>
        <w:rPr>
          <w:rFonts w:hint="eastAsia" w:cs="Times New Roman"/>
          <w:kern w:val="2"/>
          <w:sz w:val="24"/>
          <w:szCs w:val="24"/>
          <w:highlight w:val="none"/>
          <w:lang w:val="en-US" w:eastAsia="zh-CN" w:bidi="ar-SA"/>
        </w:rPr>
        <w:t>25</w:t>
      </w:r>
    </w:p>
    <w:p>
      <w:pPr>
        <w:pStyle w:val="15"/>
        <w:adjustRightInd w:val="0"/>
        <w:snapToGrid w:val="0"/>
        <w:spacing w:line="440" w:lineRule="exact"/>
        <w:jc w:val="left"/>
        <w:rPr>
          <w:rFonts w:hint="default"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九、一般公共预算财政拨款项目支出决算表...........................................</w:t>
      </w:r>
      <w:r>
        <w:rPr>
          <w:rFonts w:hint="eastAsia" w:cs="Times New Roman"/>
          <w:kern w:val="2"/>
          <w:sz w:val="24"/>
          <w:szCs w:val="24"/>
          <w:highlight w:val="none"/>
          <w:lang w:val="en-US" w:eastAsia="zh-CN" w:bidi="ar-SA"/>
        </w:rPr>
        <w:t>.</w:t>
      </w:r>
      <w:r>
        <w:rPr>
          <w:rFonts w:hint="eastAsia" w:ascii="Times New Roman" w:hAnsi="Times New Roman" w:eastAsia="宋体" w:cs="Times New Roman"/>
          <w:kern w:val="2"/>
          <w:sz w:val="24"/>
          <w:szCs w:val="24"/>
          <w:highlight w:val="none"/>
          <w:lang w:val="en-US" w:eastAsia="zh-CN" w:bidi="ar-SA"/>
        </w:rPr>
        <w:t>....</w:t>
      </w:r>
      <w:r>
        <w:rPr>
          <w:rFonts w:hint="eastAsia" w:cs="Times New Roman"/>
          <w:kern w:val="2"/>
          <w:sz w:val="24"/>
          <w:szCs w:val="24"/>
          <w:highlight w:val="none"/>
          <w:lang w:val="en-US" w:eastAsia="zh-CN" w:bidi="ar-SA"/>
        </w:rPr>
        <w:t>25</w:t>
      </w:r>
    </w:p>
    <w:p>
      <w:pPr>
        <w:pStyle w:val="15"/>
        <w:adjustRightInd w:val="0"/>
        <w:snapToGrid w:val="0"/>
        <w:spacing w:line="440" w:lineRule="exact"/>
        <w:jc w:val="left"/>
        <w:rPr>
          <w:rFonts w:hint="default"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十、政府性基金预算财政拨款收入支出决算表........................................</w:t>
      </w:r>
      <w:r>
        <w:rPr>
          <w:rFonts w:hint="eastAsia" w:cs="Times New Roman"/>
          <w:kern w:val="2"/>
          <w:sz w:val="24"/>
          <w:szCs w:val="24"/>
          <w:highlight w:val="none"/>
          <w:lang w:val="en-US" w:eastAsia="zh-CN" w:bidi="ar-SA"/>
        </w:rPr>
        <w:t>.</w:t>
      </w:r>
      <w:r>
        <w:rPr>
          <w:rFonts w:hint="eastAsia" w:ascii="Times New Roman" w:hAnsi="Times New Roman" w:eastAsia="宋体" w:cs="Times New Roman"/>
          <w:kern w:val="2"/>
          <w:sz w:val="24"/>
          <w:szCs w:val="24"/>
          <w:highlight w:val="none"/>
          <w:lang w:val="en-US" w:eastAsia="zh-CN" w:bidi="ar-SA"/>
        </w:rPr>
        <w:t>...</w:t>
      </w:r>
      <w:r>
        <w:rPr>
          <w:rFonts w:hint="eastAsia" w:cs="Times New Roman"/>
          <w:kern w:val="2"/>
          <w:sz w:val="24"/>
          <w:szCs w:val="24"/>
          <w:highlight w:val="none"/>
          <w:lang w:val="en-US" w:eastAsia="zh-CN" w:bidi="ar-SA"/>
        </w:rPr>
        <w:t>25</w:t>
      </w:r>
    </w:p>
    <w:p>
      <w:pPr>
        <w:pStyle w:val="15"/>
        <w:adjustRightInd w:val="0"/>
        <w:snapToGrid w:val="0"/>
        <w:spacing w:line="440" w:lineRule="exact"/>
        <w:jc w:val="left"/>
        <w:rPr>
          <w:rFonts w:hint="default"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十一、国有资本经营预算财政拨款收入支出决算表................................</w:t>
      </w:r>
      <w:r>
        <w:rPr>
          <w:rFonts w:hint="eastAsia" w:cs="Times New Roman"/>
          <w:kern w:val="2"/>
          <w:sz w:val="24"/>
          <w:szCs w:val="24"/>
          <w:highlight w:val="none"/>
          <w:lang w:val="en-US" w:eastAsia="zh-CN" w:bidi="ar-SA"/>
        </w:rPr>
        <w:t>.</w:t>
      </w:r>
      <w:r>
        <w:rPr>
          <w:rFonts w:hint="eastAsia" w:ascii="Times New Roman" w:hAnsi="Times New Roman" w:eastAsia="宋体" w:cs="Times New Roman"/>
          <w:kern w:val="2"/>
          <w:sz w:val="24"/>
          <w:szCs w:val="24"/>
          <w:highlight w:val="none"/>
          <w:lang w:val="en-US" w:eastAsia="zh-CN" w:bidi="ar-SA"/>
        </w:rPr>
        <w:t>...</w:t>
      </w:r>
      <w:r>
        <w:rPr>
          <w:rFonts w:hint="eastAsia" w:cs="Times New Roman"/>
          <w:kern w:val="2"/>
          <w:sz w:val="24"/>
          <w:szCs w:val="24"/>
          <w:highlight w:val="none"/>
          <w:lang w:val="en-US" w:eastAsia="zh-CN" w:bidi="ar-SA"/>
        </w:rPr>
        <w:t>25</w:t>
      </w:r>
    </w:p>
    <w:p>
      <w:pPr>
        <w:pStyle w:val="15"/>
        <w:adjustRightInd w:val="0"/>
        <w:snapToGrid w:val="0"/>
        <w:spacing w:line="440" w:lineRule="exact"/>
        <w:jc w:val="left"/>
        <w:rPr>
          <w:rFonts w:hint="default"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十二、国有资本经营预算财政拨款支出决算表.......................................</w:t>
      </w:r>
      <w:r>
        <w:rPr>
          <w:rFonts w:hint="eastAsia" w:cs="Times New Roman"/>
          <w:kern w:val="2"/>
          <w:sz w:val="24"/>
          <w:szCs w:val="24"/>
          <w:highlight w:val="none"/>
          <w:lang w:val="en-US" w:eastAsia="zh-CN" w:bidi="ar-SA"/>
        </w:rPr>
        <w:t>.</w:t>
      </w:r>
      <w:r>
        <w:rPr>
          <w:rFonts w:hint="eastAsia" w:ascii="Times New Roman" w:hAnsi="Times New Roman" w:eastAsia="宋体" w:cs="Times New Roman"/>
          <w:kern w:val="2"/>
          <w:sz w:val="24"/>
          <w:szCs w:val="24"/>
          <w:highlight w:val="none"/>
          <w:lang w:val="en-US" w:eastAsia="zh-CN" w:bidi="ar-SA"/>
        </w:rPr>
        <w:t>....</w:t>
      </w:r>
      <w:r>
        <w:rPr>
          <w:rFonts w:hint="eastAsia" w:cs="Times New Roman"/>
          <w:kern w:val="2"/>
          <w:sz w:val="24"/>
          <w:szCs w:val="24"/>
          <w:highlight w:val="none"/>
          <w:lang w:val="en-US" w:eastAsia="zh-CN" w:bidi="ar-SA"/>
        </w:rPr>
        <w:t>25</w:t>
      </w:r>
    </w:p>
    <w:p>
      <w:pPr>
        <w:pStyle w:val="15"/>
        <w:adjustRightInd w:val="0"/>
        <w:snapToGrid w:val="0"/>
        <w:spacing w:line="440" w:lineRule="exact"/>
        <w:jc w:val="left"/>
        <w:rPr>
          <w:rFonts w:hint="default"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十三、财政拨款“三公”经费支出决算表...............................................</w:t>
      </w:r>
      <w:r>
        <w:rPr>
          <w:rFonts w:hint="eastAsia" w:cs="Times New Roman"/>
          <w:kern w:val="2"/>
          <w:sz w:val="24"/>
          <w:szCs w:val="24"/>
          <w:highlight w:val="none"/>
          <w:lang w:val="en-US" w:eastAsia="zh-CN" w:bidi="ar-SA"/>
        </w:rPr>
        <w:t>.</w:t>
      </w:r>
      <w:r>
        <w:rPr>
          <w:rFonts w:hint="eastAsia" w:ascii="Times New Roman" w:hAnsi="Times New Roman" w:eastAsia="宋体" w:cs="Times New Roman"/>
          <w:kern w:val="2"/>
          <w:sz w:val="24"/>
          <w:szCs w:val="24"/>
          <w:highlight w:val="none"/>
          <w:lang w:val="en-US" w:eastAsia="zh-CN" w:bidi="ar-SA"/>
        </w:rPr>
        <w:t>....</w:t>
      </w:r>
      <w:r>
        <w:rPr>
          <w:rFonts w:hint="eastAsia" w:cs="Times New Roman"/>
          <w:kern w:val="2"/>
          <w:sz w:val="24"/>
          <w:szCs w:val="24"/>
          <w:highlight w:val="none"/>
          <w:lang w:val="en-US" w:eastAsia="zh-CN" w:bidi="ar-SA"/>
        </w:rPr>
        <w:t>25</w:t>
      </w:r>
    </w:p>
    <w:p>
      <w:pPr>
        <w:pStyle w:val="3"/>
        <w:jc w:val="center"/>
        <w:rPr>
          <w:rStyle w:val="30"/>
          <w:rFonts w:hint="default" w:ascii="Times New Roman" w:hAnsi="Times New Roman" w:eastAsia="方正小标宋简体" w:cs="Times New Roman"/>
          <w:b/>
          <w:bCs w:val="0"/>
          <w:color w:val="auto"/>
          <w:highlight w:val="none"/>
        </w:rPr>
      </w:pPr>
      <w:r>
        <w:rPr>
          <w:rFonts w:ascii="仿宋" w:hAnsi="仿宋" w:eastAsia="仿宋"/>
          <w:b/>
          <w:sz w:val="24"/>
          <w:highlight w:val="none"/>
        </w:rPr>
        <w:br w:type="page"/>
      </w:r>
      <w:r>
        <w:rPr>
          <w:rFonts w:hint="default" w:ascii="Times New Roman" w:hAnsi="Times New Roman" w:eastAsia="方正小标宋简体" w:cs="Times New Roman"/>
          <w:b w:val="0"/>
          <w:color w:val="auto"/>
          <w:highlight w:val="none"/>
        </w:rPr>
        <w:t>第一部分</w:t>
      </w:r>
      <w:r>
        <w:rPr>
          <w:rFonts w:hint="default" w:ascii="Times New Roman" w:hAnsi="Times New Roman" w:eastAsia="方正小标宋简体" w:cs="Times New Roman"/>
          <w:b w:val="0"/>
          <w:color w:val="auto"/>
          <w:highlight w:val="none"/>
          <w:lang w:val="en-US" w:eastAsia="zh-CN"/>
        </w:rPr>
        <w:t xml:space="preserve"> </w:t>
      </w:r>
      <w:r>
        <w:rPr>
          <w:rFonts w:hint="default" w:ascii="Times New Roman" w:hAnsi="Times New Roman" w:eastAsia="方正小标宋简体" w:cs="Times New Roman"/>
          <w:b w:val="0"/>
          <w:color w:val="auto"/>
          <w:highlight w:val="none"/>
        </w:rPr>
        <w:t xml:space="preserve"> </w:t>
      </w:r>
      <w:r>
        <w:rPr>
          <w:rStyle w:val="30"/>
          <w:rFonts w:hint="default" w:ascii="Times New Roman" w:hAnsi="Times New Roman" w:eastAsia="方正小标宋简体" w:cs="Times New Roman"/>
          <w:b w:val="0"/>
          <w:bCs w:val="0"/>
          <w:color w:val="auto"/>
          <w:highlight w:val="none"/>
        </w:rPr>
        <w:t>部门概况</w:t>
      </w:r>
      <w:bookmarkEnd w:id="6"/>
      <w:bookmarkEnd w:id="7"/>
    </w:p>
    <w:p>
      <w:pPr>
        <w:widowControl/>
        <w:jc w:val="left"/>
        <w:rPr>
          <w:rFonts w:hint="default" w:ascii="Times New Roman" w:hAnsi="Times New Roman" w:eastAsia="黑体" w:cs="Times New Roman"/>
          <w:color w:val="auto"/>
          <w:sz w:val="32"/>
          <w:szCs w:val="32"/>
          <w:highlight w:val="none"/>
        </w:rPr>
      </w:pPr>
    </w:p>
    <w:p>
      <w:pPr>
        <w:pStyle w:val="4"/>
        <w:numPr>
          <w:ilvl w:val="0"/>
          <w:numId w:val="1"/>
        </w:numPr>
        <w:rPr>
          <w:rFonts w:hint="default" w:ascii="Times New Roman" w:hAnsi="Times New Roman" w:eastAsia="黑体" w:cs="Times New Roman"/>
          <w:b w:val="0"/>
          <w:color w:val="auto"/>
          <w:highlight w:val="none"/>
          <w:lang w:eastAsia="zh-CN"/>
        </w:rPr>
      </w:pPr>
      <w:r>
        <w:rPr>
          <w:rFonts w:hint="default" w:ascii="Times New Roman" w:hAnsi="Times New Roman" w:eastAsia="黑体" w:cs="Times New Roman"/>
          <w:b w:val="0"/>
          <w:color w:val="auto"/>
          <w:highlight w:val="none"/>
          <w:lang w:eastAsia="zh-CN"/>
        </w:rPr>
        <w:t>部门职责</w:t>
      </w:r>
    </w:p>
    <w:p>
      <w:pPr>
        <w:ind w:firstLine="800" w:firstLineChars="25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rPr>
        <w:t>我校负责四川省工业系统中等职业教育及成人大专本科函授（教学班））学历教育；负责全国盐业行业中高级技术技能人才培养培训；为四川省工业及自贡市园区化工、食品、环保、管理等企业员工提供培训；为高等职业技术学校输送学生；</w:t>
      </w:r>
      <w:r>
        <w:rPr>
          <w:rFonts w:hint="eastAsia" w:eastAsia="仿宋_GB2312" w:cs="Times New Roman"/>
          <w:color w:val="auto"/>
          <w:sz w:val="32"/>
          <w:szCs w:val="32"/>
          <w:highlight w:val="none"/>
          <w:lang w:val="en-US" w:eastAsia="zh-CN"/>
        </w:rPr>
        <w:t>为技能人才评价</w:t>
      </w:r>
      <w:r>
        <w:rPr>
          <w:rFonts w:hint="default" w:ascii="Times New Roman" w:hAnsi="Times New Roman" w:eastAsia="仿宋_GB2312" w:cs="Times New Roman"/>
          <w:color w:val="auto"/>
          <w:sz w:val="32"/>
          <w:szCs w:val="32"/>
          <w:highlight w:val="none"/>
        </w:rPr>
        <w:t>提供服务。</w:t>
      </w:r>
    </w:p>
    <w:p>
      <w:pPr>
        <w:pStyle w:val="4"/>
        <w:rPr>
          <w:rStyle w:val="31"/>
          <w:rFonts w:hint="default" w:ascii="Times New Roman" w:hAnsi="Times New Roman" w:cs="Times New Roman"/>
          <w:b w:val="0"/>
          <w:bCs w:val="0"/>
          <w:color w:val="auto"/>
          <w:highlight w:val="none"/>
        </w:rPr>
      </w:pPr>
      <w:bookmarkStart w:id="8" w:name="_Toc15377200"/>
      <w:bookmarkStart w:id="9" w:name="_Toc15396601"/>
      <w:r>
        <w:rPr>
          <w:rFonts w:hint="default" w:ascii="Times New Roman" w:hAnsi="Times New Roman" w:eastAsia="黑体" w:cs="Times New Roman"/>
          <w:b w:val="0"/>
          <w:color w:val="auto"/>
          <w:highlight w:val="none"/>
        </w:rPr>
        <w:t>二、机</w:t>
      </w:r>
      <w:r>
        <w:rPr>
          <w:rStyle w:val="31"/>
          <w:rFonts w:hint="default" w:ascii="Times New Roman" w:hAnsi="Times New Roman" w:eastAsia="黑体" w:cs="Times New Roman"/>
          <w:b w:val="0"/>
          <w:bCs w:val="0"/>
          <w:color w:val="auto"/>
          <w:highlight w:val="none"/>
        </w:rPr>
        <w:t>构设置</w:t>
      </w:r>
      <w:bookmarkEnd w:id="8"/>
      <w:bookmarkEnd w:id="9"/>
    </w:p>
    <w:p>
      <w:pPr>
        <w:ind w:firstLine="800" w:firstLineChars="250"/>
        <w:rPr>
          <w:rFonts w:hint="default" w:ascii="Times New Roman" w:hAnsi="Times New Roman" w:eastAsia="仿宋_GB2312" w:cs="Times New Roman"/>
          <w:color w:val="auto"/>
          <w:sz w:val="32"/>
          <w:szCs w:val="32"/>
          <w:highlight w:val="none"/>
        </w:rPr>
      </w:pPr>
      <w:r>
        <w:rPr>
          <w:rFonts w:hint="eastAsia" w:ascii="Times New Roman" w:hAnsi="Times New Roman" w:eastAsia="仿宋_GB2312" w:cs="Times New Roman"/>
          <w:color w:val="auto"/>
          <w:sz w:val="32"/>
          <w:szCs w:val="32"/>
          <w:highlight w:val="none"/>
        </w:rPr>
        <w:t>我校为独立机构，隶属四川省经济和信息化厅。内部设置16个科室，分别为教学工作部、成都校区工作部、党办、工会、离退休办公室 、校办、人事科、财务科、智能制造与信息化专业科、对外合作与继续教育中心、学保科、总务科、招就办、能源化工与食品药品专业科、管理工程与艺术传媒专业科、人文与社会科学教学科。</w:t>
      </w:r>
    </w:p>
    <w:p>
      <w:pPr>
        <w:ind w:firstLine="800" w:firstLineChars="25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br w:type="page"/>
      </w:r>
    </w:p>
    <w:p>
      <w:pPr>
        <w:pStyle w:val="3"/>
        <w:jc w:val="center"/>
        <w:rPr>
          <w:rFonts w:hint="default" w:ascii="Times New Roman" w:hAnsi="Times New Roman" w:eastAsia="方正小标宋简体" w:cs="Times New Roman"/>
          <w:b w:val="0"/>
          <w:color w:val="auto"/>
          <w:highlight w:val="none"/>
        </w:rPr>
      </w:pPr>
      <w:bookmarkStart w:id="10" w:name="_Toc15377204"/>
      <w:bookmarkStart w:id="11" w:name="_Toc15396602"/>
      <w:r>
        <w:rPr>
          <w:rFonts w:hint="default" w:ascii="Times New Roman" w:hAnsi="Times New Roman" w:eastAsia="方正小标宋简体" w:cs="Times New Roman"/>
          <w:b w:val="0"/>
          <w:color w:val="auto"/>
          <w:highlight w:val="none"/>
        </w:rPr>
        <w:t>第二部分</w:t>
      </w:r>
      <w:r>
        <w:rPr>
          <w:rFonts w:hint="default" w:ascii="Times New Roman" w:hAnsi="Times New Roman" w:eastAsia="方正小标宋简体" w:cs="Times New Roman"/>
          <w:b w:val="0"/>
          <w:color w:val="auto"/>
          <w:highlight w:val="none"/>
          <w:lang w:val="en-US" w:eastAsia="zh-CN"/>
        </w:rPr>
        <w:t xml:space="preserve"> </w:t>
      </w:r>
      <w:r>
        <w:rPr>
          <w:rFonts w:hint="default" w:ascii="Times New Roman" w:hAnsi="Times New Roman" w:eastAsia="方正小标宋简体" w:cs="Times New Roman"/>
          <w:b w:val="0"/>
          <w:color w:val="auto"/>
          <w:highlight w:val="none"/>
        </w:rPr>
        <w:t xml:space="preserve"> </w:t>
      </w:r>
      <w:r>
        <w:rPr>
          <w:rFonts w:hint="default" w:ascii="Times New Roman" w:hAnsi="Times New Roman" w:eastAsia="方正小标宋简体" w:cs="Times New Roman"/>
          <w:b w:val="0"/>
          <w:color w:val="auto"/>
          <w:highlight w:val="none"/>
          <w:lang w:val="en-US" w:eastAsia="zh-CN"/>
        </w:rPr>
        <w:t>2024年度</w:t>
      </w:r>
      <w:r>
        <w:rPr>
          <w:rFonts w:hint="default" w:ascii="Times New Roman" w:hAnsi="Times New Roman" w:eastAsia="方正小标宋简体" w:cs="Times New Roman"/>
          <w:b w:val="0"/>
          <w:color w:val="auto"/>
          <w:highlight w:val="none"/>
        </w:rPr>
        <w:t>部门决算情况说明</w:t>
      </w:r>
      <w:bookmarkEnd w:id="10"/>
      <w:bookmarkEnd w:id="11"/>
    </w:p>
    <w:p>
      <w:pPr>
        <w:rPr>
          <w:rFonts w:hint="default" w:ascii="Times New Roman" w:hAnsi="Times New Roman" w:cs="Times New Roman"/>
          <w:color w:val="auto"/>
          <w:highlight w:val="none"/>
        </w:rPr>
      </w:pPr>
    </w:p>
    <w:p>
      <w:pPr>
        <w:pStyle w:val="29"/>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31"/>
          <w:rFonts w:hint="default" w:ascii="Times New Roman" w:hAnsi="Times New Roman" w:eastAsia="黑体" w:cs="Times New Roman"/>
          <w:b w:val="0"/>
          <w:color w:val="auto"/>
          <w:highlight w:val="none"/>
        </w:rPr>
      </w:pPr>
      <w:bookmarkStart w:id="12" w:name="_Toc15396603"/>
      <w:bookmarkStart w:id="13" w:name="_Toc15377205"/>
      <w:r>
        <w:rPr>
          <w:rFonts w:hint="default" w:ascii="Times New Roman" w:hAnsi="Times New Roman" w:eastAsia="黑体" w:cs="Times New Roman"/>
          <w:color w:val="auto"/>
          <w:sz w:val="32"/>
          <w:szCs w:val="32"/>
          <w:highlight w:val="none"/>
          <w:lang w:eastAsia="zh-CN"/>
        </w:rPr>
        <w:t>一、</w:t>
      </w:r>
      <w:r>
        <w:rPr>
          <w:rFonts w:hint="default" w:ascii="Times New Roman" w:hAnsi="Times New Roman" w:eastAsia="黑体" w:cs="Times New Roman"/>
          <w:color w:val="auto"/>
          <w:sz w:val="32"/>
          <w:szCs w:val="32"/>
          <w:highlight w:val="none"/>
        </w:rPr>
        <w:t>收</w:t>
      </w:r>
      <w:r>
        <w:rPr>
          <w:rStyle w:val="31"/>
          <w:rFonts w:hint="default" w:ascii="Times New Roman" w:hAnsi="Times New Roman" w:eastAsia="黑体" w:cs="Times New Roman"/>
          <w:b w:val="0"/>
          <w:color w:val="auto"/>
          <w:highlight w:val="none"/>
        </w:rPr>
        <w:t>入支出决算总体情况说明</w:t>
      </w:r>
      <w:bookmarkEnd w:id="12"/>
      <w:bookmarkEnd w:id="13"/>
    </w:p>
    <w:p>
      <w:pPr>
        <w:spacing w:line="600" w:lineRule="exact"/>
        <w:ind w:firstLine="640" w:firstLineChars="200"/>
        <w:rPr>
          <w:rFonts w:hint="default" w:ascii="Times New Roman" w:hAnsi="Times New Roman" w:eastAsia="仿宋" w:cs="Times New Roman"/>
          <w:sz w:val="32"/>
          <w:szCs w:val="32"/>
          <w:highlight w:val="none"/>
        </w:rPr>
      </w:pPr>
      <w:r>
        <w:rPr>
          <w:rFonts w:hint="default" w:ascii="Times New Roman" w:hAnsi="Times New Roman" w:eastAsia="仿宋_GB2312" w:cs="Times New Roman"/>
          <w:color w:val="auto"/>
          <w:sz w:val="32"/>
          <w:szCs w:val="32"/>
          <w:highlight w:val="none"/>
          <w:lang w:eastAsia="zh-CN"/>
        </w:rPr>
        <w:t>2024年度收入</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支出</w:t>
      </w:r>
      <w:r>
        <w:rPr>
          <w:rFonts w:hint="default" w:ascii="Times New Roman" w:hAnsi="Times New Roman" w:eastAsia="仿宋_GB2312" w:cs="Times New Roman"/>
          <w:color w:val="auto"/>
          <w:sz w:val="32"/>
          <w:szCs w:val="32"/>
          <w:highlight w:val="none"/>
        </w:rPr>
        <w:t>总计</w:t>
      </w:r>
      <w:r>
        <w:rPr>
          <w:rFonts w:hint="default" w:ascii="Times New Roman" w:hAnsi="Times New Roman" w:eastAsia="仿宋_GB2312" w:cs="Times New Roman"/>
          <w:color w:val="auto"/>
          <w:sz w:val="32"/>
          <w:szCs w:val="32"/>
          <w:highlight w:val="none"/>
          <w:lang w:eastAsia="zh-CN"/>
        </w:rPr>
        <w:t>均为</w:t>
      </w:r>
      <w:r>
        <w:rPr>
          <w:rFonts w:hint="default" w:ascii="Times New Roman" w:hAnsi="Times New Roman" w:eastAsia="仿宋_GB2312" w:cs="Times New Roman"/>
          <w:sz w:val="32"/>
          <w:szCs w:val="32"/>
          <w:highlight w:val="none"/>
        </w:rPr>
        <w:t>7882.45</w:t>
      </w:r>
      <w:r>
        <w:rPr>
          <w:rFonts w:hint="default" w:ascii="Times New Roman" w:hAnsi="Times New Roman" w:eastAsia="仿宋_GB2312" w:cs="Times New Roman"/>
          <w:color w:val="auto"/>
          <w:sz w:val="32"/>
          <w:szCs w:val="32"/>
          <w:highlight w:val="none"/>
        </w:rPr>
        <w:t>万元。与</w:t>
      </w:r>
      <w:r>
        <w:rPr>
          <w:rFonts w:hint="default" w:ascii="Times New Roman" w:hAnsi="Times New Roman" w:eastAsia="仿宋_GB2312" w:cs="Times New Roman"/>
          <w:color w:val="auto"/>
          <w:sz w:val="32"/>
          <w:szCs w:val="32"/>
          <w:highlight w:val="none"/>
          <w:lang w:eastAsia="zh-CN"/>
        </w:rPr>
        <w:t>202</w:t>
      </w:r>
      <w:r>
        <w:rPr>
          <w:rFonts w:hint="default" w:ascii="Times New Roman" w:hAnsi="Times New Roman"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rPr>
        <w:t>年</w:t>
      </w:r>
      <w:r>
        <w:rPr>
          <w:rFonts w:hint="default" w:ascii="Times New Roman" w:hAnsi="Times New Roman" w:eastAsia="仿宋_GB2312" w:cs="Times New Roman"/>
          <w:color w:val="auto"/>
          <w:sz w:val="32"/>
          <w:szCs w:val="32"/>
          <w:highlight w:val="none"/>
          <w:lang w:eastAsia="zh-CN"/>
        </w:rPr>
        <w:t>度</w:t>
      </w:r>
      <w:r>
        <w:rPr>
          <w:rFonts w:hint="default" w:ascii="Times New Roman" w:hAnsi="Times New Roman" w:eastAsia="仿宋_GB2312" w:cs="Times New Roman"/>
          <w:color w:val="auto"/>
          <w:sz w:val="32"/>
          <w:szCs w:val="32"/>
          <w:highlight w:val="none"/>
        </w:rPr>
        <w:t>相比，</w:t>
      </w:r>
      <w:r>
        <w:rPr>
          <w:rFonts w:hint="default" w:ascii="Times New Roman" w:hAnsi="Times New Roman" w:eastAsia="仿宋_GB2312" w:cs="Times New Roman"/>
          <w:color w:val="auto"/>
          <w:sz w:val="32"/>
          <w:szCs w:val="32"/>
          <w:highlight w:val="none"/>
          <w:lang w:eastAsia="zh-CN"/>
        </w:rPr>
        <w:t>收入</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支出</w:t>
      </w:r>
      <w:r>
        <w:rPr>
          <w:rFonts w:hint="default" w:ascii="Times New Roman" w:hAnsi="Times New Roman" w:eastAsia="仿宋_GB2312" w:cs="Times New Roman"/>
          <w:color w:val="auto"/>
          <w:sz w:val="32"/>
          <w:szCs w:val="32"/>
          <w:highlight w:val="none"/>
        </w:rPr>
        <w:t>总计各减少</w:t>
      </w:r>
      <w:r>
        <w:rPr>
          <w:rFonts w:hint="default" w:ascii="Times New Roman" w:hAnsi="Times New Roman" w:eastAsia="仿宋_GB2312" w:cs="Times New Roman"/>
          <w:color w:val="auto"/>
          <w:sz w:val="32"/>
          <w:szCs w:val="32"/>
          <w:highlight w:val="none"/>
          <w:lang w:val="en-US" w:eastAsia="zh-CN"/>
        </w:rPr>
        <w:t>73.8</w:t>
      </w:r>
      <w:r>
        <w:rPr>
          <w:rFonts w:hint="default" w:ascii="Times New Roman" w:hAnsi="Times New Roman" w:eastAsia="仿宋_GB2312" w:cs="Times New Roman"/>
          <w:color w:val="auto"/>
          <w:sz w:val="32"/>
          <w:szCs w:val="32"/>
          <w:highlight w:val="none"/>
        </w:rPr>
        <w:t>万元，下降</w:t>
      </w:r>
      <w:r>
        <w:rPr>
          <w:rFonts w:hint="default" w:ascii="Times New Roman" w:hAnsi="Times New Roman" w:eastAsia="仿宋_GB2312" w:cs="Times New Roman"/>
          <w:color w:val="auto"/>
          <w:sz w:val="32"/>
          <w:szCs w:val="32"/>
          <w:highlight w:val="none"/>
          <w:lang w:val="en-US" w:eastAsia="zh-CN"/>
        </w:rPr>
        <w:t>0.9</w:t>
      </w:r>
      <w:r>
        <w:rPr>
          <w:rFonts w:hint="default" w:ascii="Times New Roman" w:hAnsi="Times New Roman" w:eastAsia="仿宋_GB2312" w:cs="Times New Roman"/>
          <w:color w:val="auto"/>
          <w:sz w:val="32"/>
          <w:szCs w:val="32"/>
          <w:highlight w:val="none"/>
        </w:rPr>
        <w:t>%。主要变动原因是</w:t>
      </w:r>
      <w:r>
        <w:rPr>
          <w:rFonts w:hint="default" w:ascii="Times New Roman" w:hAnsi="Times New Roman" w:eastAsia="仿宋_GB2312" w:cs="Times New Roman"/>
          <w:color w:val="auto"/>
          <w:sz w:val="32"/>
          <w:szCs w:val="32"/>
          <w:highlight w:val="none"/>
          <w:lang w:eastAsia="zh-CN"/>
        </w:rPr>
        <w:t>学生规模缩减，</w:t>
      </w:r>
      <w:r>
        <w:rPr>
          <w:rFonts w:hint="default" w:ascii="Times New Roman" w:hAnsi="Times New Roman" w:eastAsia="仿宋" w:cs="Times New Roman"/>
          <w:sz w:val="32"/>
          <w:szCs w:val="32"/>
          <w:highlight w:val="none"/>
          <w:lang w:eastAsia="zh-CN"/>
        </w:rPr>
        <w:t>教育收费减少，办学成本相应降低</w:t>
      </w:r>
      <w:r>
        <w:rPr>
          <w:rFonts w:hint="default" w:ascii="Times New Roman" w:hAnsi="Times New Roman" w:eastAsia="仿宋" w:cs="Times New Roman"/>
          <w:sz w:val="32"/>
          <w:szCs w:val="32"/>
          <w:highlight w:val="none"/>
        </w:rPr>
        <w:t>。</w:t>
      </w:r>
    </w:p>
    <w:p>
      <w:pPr>
        <w:pStyle w:val="29"/>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default" w:ascii="Times New Roman" w:hAnsi="Times New Roman" w:eastAsia="仿宋_GB2312" w:cs="Times New Roman"/>
          <w:color w:val="auto"/>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ind w:firstLine="640" w:firstLineChars="200"/>
        <w:jc w:val="center"/>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图1：</w:t>
      </w:r>
      <w:r>
        <w:rPr>
          <w:rFonts w:hint="default" w:ascii="Times New Roman" w:hAnsi="Times New Roman" w:eastAsia="仿宋_GB2312" w:cs="Times New Roman"/>
          <w:color w:val="auto"/>
          <w:sz w:val="32"/>
          <w:szCs w:val="32"/>
          <w:highlight w:val="none"/>
          <w:lang w:eastAsia="zh-CN"/>
        </w:rPr>
        <w:t>收入</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支出</w:t>
      </w:r>
      <w:r>
        <w:rPr>
          <w:rFonts w:hint="default" w:ascii="Times New Roman" w:hAnsi="Times New Roman" w:eastAsia="仿宋_GB2312" w:cs="Times New Roman"/>
          <w:color w:val="auto"/>
          <w:sz w:val="32"/>
          <w:szCs w:val="32"/>
          <w:highlight w:val="none"/>
        </w:rPr>
        <w:t>决算总计变动情况图（柱状图）</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cs="Times New Roman"/>
          <w:highlight w:val="none"/>
        </w:rPr>
        <w:drawing>
          <wp:inline distT="0" distB="0" distL="114300" distR="114300">
            <wp:extent cx="4781550" cy="3133725"/>
            <wp:effectExtent l="0" t="0" r="0" b="9525"/>
            <wp:docPr id="3" name="图片 3"/>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true"/>
                    </pic:cNvPicPr>
                  </pic:nvPicPr>
                  <pic:blipFill>
                    <a:blip r:embed="rId9"/>
                    <a:stretch>
                      <a:fillRect/>
                    </a:stretch>
                  </pic:blipFill>
                  <pic:spPr>
                    <a:xfrm>
                      <a:off x="0" y="0"/>
                      <a:ext cx="4781550" cy="3133725"/>
                    </a:xfrm>
                    <a:prstGeom prst="rect">
                      <a:avLst/>
                    </a:prstGeom>
                    <a:noFill/>
                    <a:ln>
                      <a:noFill/>
                    </a:ln>
                  </pic:spPr>
                </pic:pic>
              </a:graphicData>
            </a:graphic>
          </wp:inline>
        </w:drawing>
      </w:r>
    </w:p>
    <w:p>
      <w:pPr>
        <w:pStyle w:val="29"/>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default" w:ascii="Times New Roman" w:hAnsi="Times New Roman" w:eastAsia="黑体" w:cs="Times New Roman"/>
          <w:color w:val="auto"/>
          <w:sz w:val="32"/>
          <w:szCs w:val="32"/>
          <w:highlight w:val="none"/>
          <w:lang w:eastAsia="zh-CN"/>
        </w:rPr>
      </w:pPr>
      <w:bookmarkStart w:id="14" w:name="_Toc15396604"/>
      <w:bookmarkStart w:id="15" w:name="_Toc15377206"/>
    </w:p>
    <w:p>
      <w:pPr>
        <w:pStyle w:val="29"/>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default" w:ascii="Times New Roman" w:hAnsi="Times New Roman" w:eastAsia="黑体" w:cs="Times New Roman"/>
          <w:color w:val="auto"/>
          <w:sz w:val="32"/>
          <w:szCs w:val="32"/>
          <w:highlight w:val="none"/>
          <w:lang w:eastAsia="zh-CN"/>
        </w:rPr>
      </w:pPr>
      <w:r>
        <w:rPr>
          <w:rFonts w:hint="default" w:ascii="Times New Roman" w:hAnsi="Times New Roman" w:eastAsia="黑体" w:cs="Times New Roman"/>
          <w:color w:val="auto"/>
          <w:sz w:val="32"/>
          <w:szCs w:val="32"/>
          <w:highlight w:val="none"/>
          <w:lang w:eastAsia="zh-CN"/>
        </w:rPr>
        <w:t>二、收入决算情况说明</w:t>
      </w:r>
      <w:bookmarkEnd w:id="14"/>
      <w:bookmarkEnd w:id="15"/>
    </w:p>
    <w:p>
      <w:pPr>
        <w:pStyle w:val="29"/>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1"/>
        <w:rPr>
          <w:rFonts w:hint="default" w:ascii="Times New Roman" w:hAnsi="Times New Roman" w:eastAsia="仿宋_GB2312" w:cs="Times New Roman"/>
          <w:b/>
          <w:bCs/>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2024年度本年收入合计</w:t>
      </w:r>
      <w:r>
        <w:rPr>
          <w:rFonts w:hint="default" w:ascii="Times New Roman" w:hAnsi="Times New Roman" w:eastAsia="仿宋_GB2312" w:cs="Times New Roman"/>
          <w:sz w:val="32"/>
          <w:szCs w:val="32"/>
          <w:highlight w:val="none"/>
        </w:rPr>
        <w:t>7474.33万元，其中：一般公共预算财政拨款收入6386.21</w:t>
      </w:r>
      <w:r>
        <w:rPr>
          <w:rFonts w:hint="default" w:ascii="Times New Roman" w:hAnsi="Times New Roman" w:eastAsia="仿宋_GB2312" w:cs="Times New Roman"/>
          <w:color w:val="auto"/>
          <w:sz w:val="32"/>
          <w:szCs w:val="32"/>
          <w:highlight w:val="none"/>
          <w:lang w:eastAsia="zh-CN"/>
        </w:rPr>
        <w:t>万元，占</w:t>
      </w:r>
      <w:r>
        <w:rPr>
          <w:rFonts w:hint="default" w:ascii="Times New Roman" w:hAnsi="Times New Roman" w:eastAsia="仿宋_GB2312" w:cs="Times New Roman"/>
          <w:sz w:val="32"/>
          <w:szCs w:val="32"/>
          <w:highlight w:val="none"/>
        </w:rPr>
        <w:t>85.4</w:t>
      </w:r>
      <w:r>
        <w:rPr>
          <w:rFonts w:hint="default" w:ascii="Times New Roman" w:hAnsi="Times New Roman" w:eastAsia="仿宋_GB2312" w:cs="Times New Roman"/>
          <w:color w:val="auto"/>
          <w:sz w:val="32"/>
          <w:szCs w:val="32"/>
          <w:highlight w:val="none"/>
          <w:lang w:eastAsia="zh-CN"/>
        </w:rPr>
        <w:t>%；事业收入</w:t>
      </w:r>
      <w:r>
        <w:rPr>
          <w:rFonts w:hint="default" w:ascii="Times New Roman" w:hAnsi="Times New Roman" w:eastAsia="仿宋_GB2312" w:cs="Times New Roman"/>
          <w:sz w:val="32"/>
          <w:szCs w:val="32"/>
          <w:highlight w:val="none"/>
        </w:rPr>
        <w:t>680</w:t>
      </w:r>
      <w:r>
        <w:rPr>
          <w:rFonts w:hint="default" w:ascii="Times New Roman" w:hAnsi="Times New Roman" w:eastAsia="仿宋_GB2312" w:cs="Times New Roman"/>
          <w:color w:val="auto"/>
          <w:sz w:val="32"/>
          <w:szCs w:val="32"/>
          <w:highlight w:val="none"/>
          <w:lang w:eastAsia="zh-CN"/>
        </w:rPr>
        <w:t>万元，占</w:t>
      </w:r>
      <w:r>
        <w:rPr>
          <w:rFonts w:hint="default" w:ascii="Times New Roman" w:hAnsi="Times New Roman" w:eastAsia="仿宋_GB2312" w:cs="Times New Roman"/>
          <w:sz w:val="32"/>
          <w:szCs w:val="32"/>
          <w:highlight w:val="none"/>
        </w:rPr>
        <w:t>9.</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color w:val="auto"/>
          <w:sz w:val="32"/>
          <w:szCs w:val="32"/>
          <w:highlight w:val="none"/>
          <w:lang w:eastAsia="zh-CN"/>
        </w:rPr>
        <w:t>%；其他收入</w:t>
      </w:r>
      <w:r>
        <w:rPr>
          <w:rFonts w:hint="default" w:ascii="Times New Roman" w:hAnsi="Times New Roman" w:eastAsia="仿宋_GB2312" w:cs="Times New Roman"/>
          <w:sz w:val="32"/>
          <w:szCs w:val="32"/>
          <w:highlight w:val="none"/>
        </w:rPr>
        <w:t>408.12</w:t>
      </w:r>
      <w:r>
        <w:rPr>
          <w:rFonts w:hint="default" w:ascii="Times New Roman" w:hAnsi="Times New Roman" w:eastAsia="仿宋_GB2312" w:cs="Times New Roman"/>
          <w:color w:val="auto"/>
          <w:sz w:val="32"/>
          <w:szCs w:val="32"/>
          <w:highlight w:val="none"/>
          <w:lang w:eastAsia="zh-CN"/>
        </w:rPr>
        <w:t>万元，占</w:t>
      </w:r>
      <w:r>
        <w:rPr>
          <w:rFonts w:hint="default" w:ascii="Times New Roman" w:hAnsi="Times New Roman" w:eastAsia="仿宋_GB2312" w:cs="Times New Roman"/>
          <w:sz w:val="32"/>
          <w:szCs w:val="32"/>
          <w:highlight w:val="none"/>
        </w:rPr>
        <w:t>5.</w:t>
      </w:r>
      <w:r>
        <w:rPr>
          <w:rFonts w:hint="eastAsia" w:eastAsia="仿宋_GB2312" w:cs="Times New Roman"/>
          <w:sz w:val="32"/>
          <w:szCs w:val="32"/>
          <w:highlight w:val="none"/>
          <w:lang w:val="en-US" w:eastAsia="zh-CN"/>
        </w:rPr>
        <w:t>5</w:t>
      </w:r>
      <w:r>
        <w:rPr>
          <w:rFonts w:hint="default" w:ascii="Times New Roman" w:hAnsi="Times New Roman" w:eastAsia="仿宋_GB2312" w:cs="Times New Roman"/>
          <w:color w:val="auto"/>
          <w:sz w:val="32"/>
          <w:szCs w:val="32"/>
          <w:highlight w:val="none"/>
          <w:lang w:eastAsia="zh-CN"/>
        </w:rPr>
        <w:t>%。</w:t>
      </w:r>
    </w:p>
    <w:p>
      <w:pPr>
        <w:ind w:firstLine="800" w:firstLineChars="250"/>
        <w:jc w:val="center"/>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图2：收入决算结构图（饼状图）</w:t>
      </w:r>
    </w:p>
    <w:p>
      <w:pPr>
        <w:ind w:firstLine="525" w:firstLineChars="250"/>
        <w:rPr>
          <w:rFonts w:hint="default" w:ascii="Times New Roman" w:hAnsi="Times New Roman" w:eastAsia="仿宋_GB2312" w:cs="Times New Roman"/>
          <w:color w:val="auto"/>
          <w:sz w:val="32"/>
          <w:szCs w:val="32"/>
          <w:highlight w:val="none"/>
          <w:lang w:eastAsia="zh-CN"/>
        </w:rPr>
      </w:pPr>
      <w:r>
        <w:rPr>
          <w:rFonts w:hint="default" w:ascii="Times New Roman" w:hAnsi="Times New Roman" w:cs="Times New Roman"/>
          <w:highlight w:val="none"/>
        </w:rPr>
        <w:drawing>
          <wp:inline distT="0" distB="0" distL="114300" distR="114300">
            <wp:extent cx="4391025" cy="2638425"/>
            <wp:effectExtent l="0" t="0" r="9525" b="9525"/>
            <wp:docPr id="21" name="图片 20"/>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21" name="图片 20"/>
                    <pic:cNvPicPr>
                      <a:picLocks noChangeAspect="true"/>
                    </pic:cNvPicPr>
                  </pic:nvPicPr>
                  <pic:blipFill>
                    <a:blip r:embed="rId10"/>
                    <a:stretch>
                      <a:fillRect/>
                    </a:stretch>
                  </pic:blipFill>
                  <pic:spPr>
                    <a:xfrm>
                      <a:off x="0" y="0"/>
                      <a:ext cx="4391025" cy="2638425"/>
                    </a:xfrm>
                    <a:prstGeom prst="rect">
                      <a:avLst/>
                    </a:prstGeom>
                    <a:noFill/>
                    <a:ln>
                      <a:noFill/>
                    </a:ln>
                  </pic:spPr>
                </pic:pic>
              </a:graphicData>
            </a:graphic>
          </wp:inline>
        </w:drawing>
      </w:r>
    </w:p>
    <w:p>
      <w:pPr>
        <w:pStyle w:val="29"/>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31"/>
          <w:rFonts w:hint="default" w:ascii="Times New Roman" w:hAnsi="Times New Roman" w:eastAsia="黑体" w:cs="Times New Roman"/>
          <w:b w:val="0"/>
          <w:color w:val="auto"/>
          <w:highlight w:val="none"/>
        </w:rPr>
      </w:pPr>
      <w:bookmarkStart w:id="16" w:name="_Toc15396605"/>
      <w:bookmarkStart w:id="17" w:name="_Toc15377207"/>
      <w:r>
        <w:rPr>
          <w:rFonts w:hint="default" w:ascii="Times New Roman" w:hAnsi="Times New Roman" w:eastAsia="黑体" w:cs="Times New Roman"/>
          <w:color w:val="auto"/>
          <w:sz w:val="32"/>
          <w:szCs w:val="32"/>
          <w:highlight w:val="none"/>
          <w:lang w:eastAsia="zh-CN"/>
        </w:rPr>
        <w:t>三、</w:t>
      </w:r>
      <w:r>
        <w:rPr>
          <w:rFonts w:hint="default" w:ascii="Times New Roman" w:hAnsi="Times New Roman" w:eastAsia="黑体" w:cs="Times New Roman"/>
          <w:color w:val="auto"/>
          <w:sz w:val="32"/>
          <w:szCs w:val="32"/>
          <w:highlight w:val="none"/>
        </w:rPr>
        <w:t>支</w:t>
      </w:r>
      <w:r>
        <w:rPr>
          <w:rStyle w:val="31"/>
          <w:rFonts w:hint="default" w:ascii="Times New Roman" w:hAnsi="Times New Roman" w:eastAsia="黑体" w:cs="Times New Roman"/>
          <w:b w:val="0"/>
          <w:color w:val="auto"/>
          <w:highlight w:val="none"/>
        </w:rPr>
        <w:t>出决算情况说明</w:t>
      </w:r>
      <w:bookmarkEnd w:id="16"/>
      <w:bookmarkEnd w:id="17"/>
    </w:p>
    <w:p>
      <w:pPr>
        <w:pStyle w:val="29"/>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1"/>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2024年度本年支出合计</w:t>
      </w:r>
      <w:r>
        <w:rPr>
          <w:rFonts w:hint="default" w:ascii="Times New Roman" w:hAnsi="Times New Roman" w:eastAsia="仿宋_GB2312" w:cs="Times New Roman"/>
          <w:sz w:val="32"/>
          <w:szCs w:val="32"/>
          <w:highlight w:val="none"/>
        </w:rPr>
        <w:t>6779.46</w:t>
      </w:r>
      <w:r>
        <w:rPr>
          <w:rFonts w:hint="default" w:ascii="Times New Roman" w:hAnsi="Times New Roman" w:eastAsia="仿宋_GB2312" w:cs="Times New Roman"/>
          <w:color w:val="auto"/>
          <w:sz w:val="32"/>
          <w:szCs w:val="32"/>
          <w:highlight w:val="none"/>
          <w:lang w:eastAsia="zh-CN"/>
        </w:rPr>
        <w:t>万元，其中：基本支出</w:t>
      </w:r>
      <w:r>
        <w:rPr>
          <w:rFonts w:hint="default" w:ascii="Times New Roman" w:hAnsi="Times New Roman" w:eastAsia="仿宋_GB2312" w:cs="Times New Roman"/>
          <w:sz w:val="32"/>
          <w:szCs w:val="32"/>
          <w:highlight w:val="none"/>
        </w:rPr>
        <w:t>4521.79</w:t>
      </w:r>
      <w:r>
        <w:rPr>
          <w:rFonts w:hint="default" w:ascii="Times New Roman" w:hAnsi="Times New Roman" w:eastAsia="仿宋_GB2312" w:cs="Times New Roman"/>
          <w:color w:val="auto"/>
          <w:sz w:val="32"/>
          <w:szCs w:val="32"/>
          <w:highlight w:val="none"/>
          <w:lang w:eastAsia="zh-CN"/>
        </w:rPr>
        <w:t>万元，占</w:t>
      </w:r>
      <w:r>
        <w:rPr>
          <w:rFonts w:hint="default" w:ascii="Times New Roman" w:hAnsi="Times New Roman" w:eastAsia="仿宋_GB2312" w:cs="Times New Roman"/>
          <w:sz w:val="32"/>
          <w:szCs w:val="32"/>
          <w:highlight w:val="none"/>
        </w:rPr>
        <w:t>66.</w:t>
      </w:r>
      <w:r>
        <w:rPr>
          <w:rFonts w:hint="eastAsia" w:eastAsia="仿宋_GB2312" w:cs="Times New Roman"/>
          <w:sz w:val="32"/>
          <w:szCs w:val="32"/>
          <w:highlight w:val="none"/>
          <w:lang w:val="en-US" w:eastAsia="zh-CN"/>
        </w:rPr>
        <w:t>7</w:t>
      </w:r>
      <w:r>
        <w:rPr>
          <w:rFonts w:hint="default" w:ascii="Times New Roman" w:hAnsi="Times New Roman" w:eastAsia="仿宋_GB2312" w:cs="Times New Roman"/>
          <w:color w:val="auto"/>
          <w:sz w:val="32"/>
          <w:szCs w:val="32"/>
          <w:highlight w:val="none"/>
          <w:lang w:eastAsia="zh-CN"/>
        </w:rPr>
        <w:t>%；项目支出</w:t>
      </w:r>
      <w:r>
        <w:rPr>
          <w:rFonts w:hint="default" w:ascii="Times New Roman" w:hAnsi="Times New Roman" w:eastAsia="仿宋_GB2312" w:cs="Times New Roman"/>
          <w:sz w:val="32"/>
          <w:szCs w:val="32"/>
          <w:highlight w:val="none"/>
        </w:rPr>
        <w:t>2257.67</w:t>
      </w:r>
      <w:r>
        <w:rPr>
          <w:rFonts w:hint="default" w:ascii="Times New Roman" w:hAnsi="Times New Roman" w:eastAsia="仿宋_GB2312" w:cs="Times New Roman"/>
          <w:color w:val="auto"/>
          <w:sz w:val="32"/>
          <w:szCs w:val="32"/>
          <w:highlight w:val="none"/>
          <w:lang w:eastAsia="zh-CN"/>
        </w:rPr>
        <w:t>万元，占</w:t>
      </w:r>
      <w:r>
        <w:rPr>
          <w:rFonts w:hint="default" w:ascii="Times New Roman" w:hAnsi="Times New Roman" w:eastAsia="仿宋_GB2312" w:cs="Times New Roman"/>
          <w:sz w:val="32"/>
          <w:szCs w:val="32"/>
          <w:highlight w:val="none"/>
        </w:rPr>
        <w:t>33.3</w:t>
      </w:r>
      <w:r>
        <w:rPr>
          <w:rFonts w:hint="default" w:ascii="Times New Roman" w:hAnsi="Times New Roman" w:eastAsia="仿宋_GB2312" w:cs="Times New Roman"/>
          <w:color w:val="auto"/>
          <w:sz w:val="32"/>
          <w:szCs w:val="32"/>
          <w:highlight w:val="none"/>
          <w:lang w:eastAsia="zh-CN"/>
        </w:rPr>
        <w:t>%</w:t>
      </w:r>
      <w:r>
        <w:rPr>
          <w:rFonts w:hint="eastAsia" w:eastAsia="仿宋_GB2312" w:cs="Times New Roman"/>
          <w:color w:val="auto"/>
          <w:sz w:val="32"/>
          <w:szCs w:val="32"/>
          <w:highlight w:val="none"/>
          <w:lang w:eastAsia="zh-CN"/>
        </w:rPr>
        <w:t>。</w:t>
      </w:r>
    </w:p>
    <w:p>
      <w:pPr>
        <w:ind w:firstLine="800" w:firstLineChars="250"/>
        <w:jc w:val="center"/>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图3：支出决算结构图（饼状图）</w:t>
      </w:r>
    </w:p>
    <w:p>
      <w:pPr>
        <w:ind w:firstLine="525" w:firstLineChars="250"/>
        <w:rPr>
          <w:rFonts w:hint="default" w:ascii="Times New Roman" w:hAnsi="Times New Roman" w:eastAsia="仿宋_GB2312" w:cs="Times New Roman"/>
          <w:color w:val="auto"/>
          <w:sz w:val="32"/>
          <w:szCs w:val="32"/>
          <w:highlight w:val="none"/>
          <w:lang w:eastAsia="zh-CN"/>
        </w:rPr>
      </w:pPr>
      <w:r>
        <w:rPr>
          <w:rFonts w:hint="default" w:ascii="Times New Roman" w:hAnsi="Times New Roman" w:cs="Times New Roman"/>
          <w:highlight w:val="none"/>
        </w:rPr>
        <w:drawing>
          <wp:inline distT="0" distB="0" distL="114300" distR="114300">
            <wp:extent cx="4362450" cy="2609850"/>
            <wp:effectExtent l="0" t="0" r="0" b="0"/>
            <wp:docPr id="9" name="图片 9"/>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true"/>
                    </pic:cNvPicPr>
                  </pic:nvPicPr>
                  <pic:blipFill>
                    <a:blip r:embed="rId11"/>
                    <a:stretch>
                      <a:fillRect/>
                    </a:stretch>
                  </pic:blipFill>
                  <pic:spPr>
                    <a:xfrm>
                      <a:off x="0" y="0"/>
                      <a:ext cx="4362450" cy="2609850"/>
                    </a:xfrm>
                    <a:prstGeom prst="rect">
                      <a:avLst/>
                    </a:prstGeom>
                    <a:noFill/>
                    <a:ln>
                      <a:noFill/>
                    </a:ln>
                  </pic:spPr>
                </pic:pic>
              </a:graphicData>
            </a:graphic>
          </wp:inline>
        </w:drawing>
      </w:r>
    </w:p>
    <w:p>
      <w:pPr>
        <w:spacing w:line="600" w:lineRule="exact"/>
        <w:ind w:firstLine="640" w:firstLineChars="200"/>
        <w:outlineLvl w:val="1"/>
        <w:rPr>
          <w:rStyle w:val="31"/>
          <w:rFonts w:hint="default" w:ascii="Times New Roman" w:hAnsi="Times New Roman" w:eastAsia="黑体" w:cs="Times New Roman"/>
          <w:b w:val="0"/>
          <w:color w:val="auto"/>
          <w:highlight w:val="none"/>
        </w:rPr>
      </w:pPr>
      <w:bookmarkStart w:id="18" w:name="_Toc15377208"/>
      <w:bookmarkStart w:id="19" w:name="_Toc15396606"/>
      <w:r>
        <w:rPr>
          <w:rFonts w:hint="default" w:ascii="Times New Roman" w:hAnsi="Times New Roman" w:eastAsia="黑体" w:cs="Times New Roman"/>
          <w:color w:val="auto"/>
          <w:sz w:val="32"/>
          <w:szCs w:val="32"/>
          <w:highlight w:val="none"/>
        </w:rPr>
        <w:t>四、财</w:t>
      </w:r>
      <w:r>
        <w:rPr>
          <w:rStyle w:val="31"/>
          <w:rFonts w:hint="default" w:ascii="Times New Roman" w:hAnsi="Times New Roman" w:eastAsia="黑体" w:cs="Times New Roman"/>
          <w:b w:val="0"/>
          <w:color w:val="auto"/>
          <w:highlight w:val="none"/>
        </w:rPr>
        <w:t>政拨款收入支出决算总体情况说明</w:t>
      </w:r>
      <w:bookmarkEnd w:id="18"/>
      <w:bookmarkEnd w:id="19"/>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2024年度财政拨款收入、支出总计均为</w:t>
      </w:r>
      <w:r>
        <w:rPr>
          <w:rFonts w:hint="default" w:ascii="Times New Roman" w:hAnsi="Times New Roman" w:eastAsia="仿宋_GB2312" w:cs="Times New Roman"/>
          <w:sz w:val="32"/>
          <w:szCs w:val="32"/>
          <w:highlight w:val="none"/>
        </w:rPr>
        <w:t>6386.21</w:t>
      </w:r>
      <w:r>
        <w:rPr>
          <w:rFonts w:hint="default" w:ascii="Times New Roman" w:hAnsi="Times New Roman" w:eastAsia="仿宋_GB2312" w:cs="Times New Roman"/>
          <w:color w:val="auto"/>
          <w:kern w:val="2"/>
          <w:sz w:val="32"/>
          <w:szCs w:val="32"/>
          <w:highlight w:val="none"/>
          <w:lang w:val="en-US" w:eastAsia="zh-CN" w:bidi="ar-SA"/>
        </w:rPr>
        <w:t>万元。与2023年度相比，财政拨款收入总计、支出总计各减少460.04万元，下降6.7%。主要变动原因是结转资金较上年增加。</w:t>
      </w:r>
    </w:p>
    <w:p>
      <w:pPr>
        <w:spacing w:line="600" w:lineRule="exact"/>
        <w:ind w:firstLine="640" w:firstLineChars="20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图4：财政拨款收、支决算总计变动情况（柱状图）</w:t>
      </w:r>
    </w:p>
    <w:p>
      <w:pPr>
        <w:pStyle w:val="2"/>
        <w:rPr>
          <w:rFonts w:hint="default"/>
          <w:highlight w:val="none"/>
          <w:lang w:val="en-US" w:eastAsia="zh-CN"/>
        </w:rPr>
      </w:pPr>
      <w:r>
        <w:rPr>
          <w:highlight w:val="none"/>
        </w:rPr>
        <w:drawing>
          <wp:inline distT="0" distB="0" distL="114300" distR="114300">
            <wp:extent cx="4819650" cy="2190750"/>
            <wp:effectExtent l="0" t="0" r="6350" b="6350"/>
            <wp:docPr id="8" name="图片 2"/>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8" name="图片 2"/>
                    <pic:cNvPicPr>
                      <a:picLocks noChangeAspect="true"/>
                    </pic:cNvPicPr>
                  </pic:nvPicPr>
                  <pic:blipFill>
                    <a:blip r:embed="rId12"/>
                    <a:stretch>
                      <a:fillRect/>
                    </a:stretch>
                  </pic:blipFill>
                  <pic:spPr>
                    <a:xfrm>
                      <a:off x="0" y="0"/>
                      <a:ext cx="4819650" cy="2190750"/>
                    </a:xfrm>
                    <a:prstGeom prst="rect">
                      <a:avLst/>
                    </a:prstGeom>
                    <a:noFill/>
                    <a:ln>
                      <a:noFill/>
                    </a:ln>
                  </pic:spPr>
                </pic:pic>
              </a:graphicData>
            </a:graphic>
          </wp:inline>
        </w:drawing>
      </w:r>
    </w:p>
    <w:p>
      <w:pPr>
        <w:pStyle w:val="2"/>
        <w:rPr>
          <w:rStyle w:val="31"/>
          <w:rFonts w:hint="default" w:ascii="Times New Roman" w:hAnsi="Times New Roman" w:eastAsia="黑体" w:cs="Times New Roman"/>
          <w:b w:val="0"/>
          <w:color w:val="auto"/>
          <w:highlight w:val="none"/>
        </w:rPr>
      </w:pPr>
      <w:bookmarkStart w:id="20" w:name="_Toc15377209"/>
      <w:bookmarkStart w:id="21" w:name="_Toc15396607"/>
      <w:r>
        <w:rPr>
          <w:rFonts w:hint="default" w:ascii="Times New Roman" w:hAnsi="Times New Roman" w:cs="Times New Roman"/>
          <w:highlight w:val="none"/>
          <w:lang w:val="en-US" w:eastAsia="zh-CN"/>
        </w:rPr>
        <w:t xml:space="preserve">    </w:t>
      </w:r>
      <w:r>
        <w:rPr>
          <w:rFonts w:hint="default" w:ascii="Times New Roman" w:hAnsi="Times New Roman" w:eastAsia="黑体" w:cs="Times New Roman"/>
          <w:color w:val="auto"/>
          <w:sz w:val="32"/>
          <w:szCs w:val="32"/>
          <w:highlight w:val="none"/>
        </w:rPr>
        <w:t>五、</w:t>
      </w:r>
      <w:r>
        <w:rPr>
          <w:rFonts w:hint="default" w:ascii="Times New Roman" w:hAnsi="Times New Roman" w:eastAsia="黑体" w:cs="Times New Roman"/>
          <w:b/>
          <w:color w:val="auto"/>
          <w:sz w:val="32"/>
          <w:szCs w:val="32"/>
          <w:highlight w:val="none"/>
        </w:rPr>
        <w:t>一</w:t>
      </w:r>
      <w:r>
        <w:rPr>
          <w:rStyle w:val="31"/>
          <w:rFonts w:hint="default" w:ascii="Times New Roman" w:hAnsi="Times New Roman" w:eastAsia="黑体" w:cs="Times New Roman"/>
          <w:b w:val="0"/>
          <w:color w:val="auto"/>
          <w:highlight w:val="none"/>
        </w:rPr>
        <w:t>般公共预算财政拨款支出决算情况说明</w:t>
      </w:r>
      <w:bookmarkEnd w:id="20"/>
      <w:bookmarkEnd w:id="21"/>
    </w:p>
    <w:p>
      <w:pPr>
        <w:spacing w:line="600" w:lineRule="exact"/>
        <w:ind w:firstLine="642" w:firstLineChars="200"/>
        <w:outlineLvl w:val="2"/>
        <w:rPr>
          <w:rFonts w:hint="default" w:ascii="Times New Roman" w:hAnsi="Times New Roman" w:eastAsia="楷体_GB2312" w:cs="Times New Roman"/>
          <w:b/>
          <w:color w:val="auto"/>
          <w:sz w:val="32"/>
          <w:szCs w:val="32"/>
          <w:highlight w:val="none"/>
        </w:rPr>
      </w:pPr>
      <w:bookmarkStart w:id="22" w:name="_Toc15377210"/>
      <w:r>
        <w:rPr>
          <w:rFonts w:hint="default" w:ascii="Times New Roman" w:hAnsi="Times New Roman" w:eastAsia="楷体_GB2312" w:cs="Times New Roman"/>
          <w:b/>
          <w:color w:val="auto"/>
          <w:sz w:val="32"/>
          <w:szCs w:val="32"/>
          <w:highlight w:val="none"/>
        </w:rPr>
        <w:t>（一）一般公共预算财政拨款支出决算总体情况</w:t>
      </w:r>
      <w:bookmarkEnd w:id="22"/>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2024年度一般公共预算财政拨款支出</w:t>
      </w:r>
      <w:r>
        <w:rPr>
          <w:rFonts w:hint="default" w:ascii="Times New Roman" w:hAnsi="Times New Roman" w:eastAsia="仿宋_GB2312" w:cs="Times New Roman"/>
          <w:sz w:val="32"/>
          <w:szCs w:val="32"/>
          <w:highlight w:val="none"/>
        </w:rPr>
        <w:t>6386.21</w:t>
      </w:r>
      <w:r>
        <w:rPr>
          <w:rFonts w:hint="default" w:ascii="Times New Roman" w:hAnsi="Times New Roman" w:eastAsia="仿宋_GB2312" w:cs="Times New Roman"/>
          <w:color w:val="auto"/>
          <w:kern w:val="2"/>
          <w:sz w:val="32"/>
          <w:szCs w:val="32"/>
          <w:highlight w:val="none"/>
          <w:lang w:val="en-US" w:eastAsia="zh-CN" w:bidi="ar-SA"/>
        </w:rPr>
        <w:t>万元，占本年支出合计的</w:t>
      </w:r>
      <w:r>
        <w:rPr>
          <w:rFonts w:hint="default" w:ascii="Times New Roman" w:hAnsi="Times New Roman" w:eastAsia="仿宋_GB2312" w:cs="Times New Roman"/>
          <w:sz w:val="32"/>
          <w:szCs w:val="32"/>
          <w:highlight w:val="none"/>
        </w:rPr>
        <w:t>94.</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color w:val="auto"/>
          <w:kern w:val="2"/>
          <w:sz w:val="32"/>
          <w:szCs w:val="32"/>
          <w:highlight w:val="none"/>
          <w:lang w:val="en-US" w:eastAsia="zh-CN" w:bidi="ar-SA"/>
        </w:rPr>
        <w:t>%。与2023年度相比，一般公共预算财政拨款支出减少460.04万元，下降6.7%。主要变动原因是结转资金较上年增加。</w:t>
      </w:r>
    </w:p>
    <w:p>
      <w:pPr>
        <w:spacing w:line="600" w:lineRule="exact"/>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图5：一般公共预算财政拨款支出决算变动情况（柱状图）</w:t>
      </w:r>
    </w:p>
    <w:p>
      <w:pPr>
        <w:pStyle w:val="2"/>
        <w:rPr>
          <w:rFonts w:hint="default" w:ascii="Times New Roman" w:hAnsi="Times New Roman" w:cs="Times New Roman"/>
          <w:highlight w:val="none"/>
          <w:lang w:val="en-US" w:eastAsia="zh-CN"/>
        </w:rPr>
      </w:pPr>
      <w:r>
        <w:rPr>
          <w:highlight w:val="none"/>
        </w:rPr>
        <w:drawing>
          <wp:inline distT="0" distB="0" distL="114300" distR="114300">
            <wp:extent cx="4730750" cy="2165350"/>
            <wp:effectExtent l="0" t="0" r="6350" b="6350"/>
            <wp:docPr id="10" name="图片 3"/>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0" name="图片 3"/>
                    <pic:cNvPicPr>
                      <a:picLocks noChangeAspect="true"/>
                    </pic:cNvPicPr>
                  </pic:nvPicPr>
                  <pic:blipFill>
                    <a:blip r:embed="rId13"/>
                    <a:stretch>
                      <a:fillRect/>
                    </a:stretch>
                  </pic:blipFill>
                  <pic:spPr>
                    <a:xfrm>
                      <a:off x="0" y="0"/>
                      <a:ext cx="4730750" cy="2165350"/>
                    </a:xfrm>
                    <a:prstGeom prst="rect">
                      <a:avLst/>
                    </a:prstGeom>
                    <a:noFill/>
                    <a:ln>
                      <a:noFill/>
                    </a:ln>
                  </pic:spPr>
                </pic:pic>
              </a:graphicData>
            </a:graphic>
          </wp:inline>
        </w:drawing>
      </w:r>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p>
    <w:p>
      <w:pPr>
        <w:spacing w:line="600" w:lineRule="exact"/>
        <w:ind w:firstLine="321" w:firstLineChars="100"/>
        <w:outlineLvl w:val="2"/>
        <w:rPr>
          <w:rFonts w:hint="default" w:ascii="Times New Roman" w:hAnsi="Times New Roman" w:eastAsia="楷体_GB2312" w:cs="Times New Roman"/>
          <w:b/>
          <w:color w:val="auto"/>
          <w:sz w:val="32"/>
          <w:szCs w:val="32"/>
          <w:highlight w:val="none"/>
        </w:rPr>
      </w:pPr>
      <w:bookmarkStart w:id="23" w:name="_Toc15377211"/>
      <w:r>
        <w:rPr>
          <w:rFonts w:hint="default" w:ascii="Times New Roman" w:hAnsi="Times New Roman" w:eastAsia="楷体_GB2312" w:cs="Times New Roman"/>
          <w:b/>
          <w:color w:val="auto"/>
          <w:sz w:val="32"/>
          <w:szCs w:val="32"/>
          <w:highlight w:val="none"/>
        </w:rPr>
        <w:t>（二）一般公共预算财政拨款支出决算结构情况</w:t>
      </w:r>
      <w:bookmarkEnd w:id="23"/>
    </w:p>
    <w:p>
      <w:pPr>
        <w:spacing w:line="600" w:lineRule="exact"/>
        <w:ind w:firstLine="640"/>
        <w:rPr>
          <w:rFonts w:hint="eastAsia"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2024年度一般公共预算财政拨款支出</w:t>
      </w:r>
      <w:r>
        <w:rPr>
          <w:rFonts w:hint="default" w:ascii="Times New Roman" w:hAnsi="Times New Roman" w:eastAsia="仿宋_GB2312" w:cs="Times New Roman"/>
          <w:sz w:val="32"/>
          <w:szCs w:val="32"/>
          <w:highlight w:val="none"/>
        </w:rPr>
        <w:t>6386.21</w:t>
      </w:r>
      <w:r>
        <w:rPr>
          <w:rFonts w:hint="default" w:ascii="Times New Roman" w:hAnsi="Times New Roman" w:eastAsia="仿宋_GB2312" w:cs="Times New Roman"/>
          <w:color w:val="auto"/>
          <w:kern w:val="2"/>
          <w:sz w:val="32"/>
          <w:szCs w:val="32"/>
          <w:highlight w:val="none"/>
          <w:lang w:val="en-US" w:eastAsia="zh-CN" w:bidi="ar-SA"/>
        </w:rPr>
        <w:t>万元，主要用于以下方面：教育支出6386.21万元，占100%</w:t>
      </w:r>
      <w:r>
        <w:rPr>
          <w:rFonts w:hint="eastAsia" w:eastAsia="仿宋_GB2312" w:cs="Times New Roman"/>
          <w:color w:val="auto"/>
          <w:kern w:val="2"/>
          <w:sz w:val="32"/>
          <w:szCs w:val="32"/>
          <w:highlight w:val="none"/>
          <w:lang w:val="en-US" w:eastAsia="zh-CN" w:bidi="ar-SA"/>
        </w:rPr>
        <w:t>。</w:t>
      </w:r>
    </w:p>
    <w:p>
      <w:pPr>
        <w:spacing w:line="600" w:lineRule="exact"/>
        <w:jc w:val="center"/>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图6：一般公共预算财政拨款支出决算结构（饼状图）</w:t>
      </w:r>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p>
    <w:p>
      <w:pPr>
        <w:pStyle w:val="2"/>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cs="Times New Roman"/>
          <w:highlight w:val="none"/>
        </w:rPr>
        <w:drawing>
          <wp:inline distT="0" distB="0" distL="114300" distR="114300">
            <wp:extent cx="4934585" cy="2514600"/>
            <wp:effectExtent l="0" t="0" r="18415" b="0"/>
            <wp:docPr id="22" name="图片 21"/>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22" name="图片 21"/>
                    <pic:cNvPicPr>
                      <a:picLocks noChangeAspect="true"/>
                    </pic:cNvPicPr>
                  </pic:nvPicPr>
                  <pic:blipFill>
                    <a:blip r:embed="rId14"/>
                    <a:stretch>
                      <a:fillRect/>
                    </a:stretch>
                  </pic:blipFill>
                  <pic:spPr>
                    <a:xfrm>
                      <a:off x="0" y="0"/>
                      <a:ext cx="4934585" cy="2514600"/>
                    </a:xfrm>
                    <a:prstGeom prst="rect">
                      <a:avLst/>
                    </a:prstGeom>
                    <a:noFill/>
                    <a:ln>
                      <a:noFill/>
                    </a:ln>
                  </pic:spPr>
                </pic:pic>
              </a:graphicData>
            </a:graphic>
          </wp:inline>
        </w:drawing>
      </w:r>
    </w:p>
    <w:p>
      <w:pPr>
        <w:spacing w:line="600" w:lineRule="exact"/>
        <w:ind w:firstLine="642" w:firstLineChars="200"/>
        <w:outlineLvl w:val="2"/>
        <w:rPr>
          <w:rFonts w:hint="default" w:ascii="Times New Roman" w:hAnsi="Times New Roman" w:eastAsia="楷体_GB2312" w:cs="Times New Roman"/>
          <w:b/>
          <w:color w:val="auto"/>
          <w:sz w:val="32"/>
          <w:szCs w:val="32"/>
          <w:highlight w:val="none"/>
        </w:rPr>
      </w:pPr>
      <w:bookmarkStart w:id="24" w:name="_Toc15377212"/>
      <w:r>
        <w:rPr>
          <w:rFonts w:hint="default" w:ascii="Times New Roman" w:hAnsi="Times New Roman" w:eastAsia="楷体_GB2312" w:cs="Times New Roman"/>
          <w:b/>
          <w:color w:val="auto"/>
          <w:sz w:val="32"/>
          <w:szCs w:val="32"/>
          <w:highlight w:val="none"/>
        </w:rPr>
        <w:t>（三）一般公共预算财政拨款支出决算具体情况</w:t>
      </w:r>
      <w:bookmarkEnd w:id="24"/>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bookmarkStart w:id="25" w:name="_Toc15377444"/>
      <w:bookmarkStart w:id="26" w:name="_Toc15378460"/>
      <w:bookmarkStart w:id="27" w:name="_Toc15377213"/>
      <w:r>
        <w:rPr>
          <w:rFonts w:hint="default" w:ascii="Times New Roman" w:hAnsi="Times New Roman" w:eastAsia="仿宋_GB2312" w:cs="Times New Roman"/>
          <w:color w:val="auto"/>
          <w:kern w:val="2"/>
          <w:sz w:val="32"/>
          <w:szCs w:val="32"/>
          <w:highlight w:val="none"/>
          <w:lang w:val="en-US" w:eastAsia="zh-CN" w:bidi="ar-SA"/>
        </w:rPr>
        <w:t>2024年度一般公共预算财政拨款支出决算数为</w:t>
      </w:r>
      <w:r>
        <w:rPr>
          <w:rFonts w:hint="default" w:ascii="Times New Roman" w:hAnsi="Times New Roman" w:eastAsia="仿宋_GB2312" w:cs="Times New Roman"/>
          <w:sz w:val="32"/>
          <w:szCs w:val="32"/>
          <w:highlight w:val="none"/>
        </w:rPr>
        <w:t>6386.21</w:t>
      </w:r>
      <w:r>
        <w:rPr>
          <w:rFonts w:hint="default" w:ascii="Times New Roman" w:hAnsi="Times New Roman" w:eastAsia="仿宋_GB2312" w:cs="Times New Roman"/>
          <w:sz w:val="32"/>
          <w:szCs w:val="32"/>
          <w:highlight w:val="none"/>
          <w:lang w:eastAsia="zh-CN"/>
        </w:rPr>
        <w:t>万元</w:t>
      </w:r>
      <w:r>
        <w:rPr>
          <w:rFonts w:hint="default" w:ascii="Times New Roman" w:hAnsi="Times New Roman" w:eastAsia="仿宋_GB2312" w:cs="Times New Roman"/>
          <w:color w:val="auto"/>
          <w:kern w:val="2"/>
          <w:sz w:val="32"/>
          <w:szCs w:val="32"/>
          <w:highlight w:val="none"/>
          <w:lang w:val="en-US" w:eastAsia="zh-CN" w:bidi="ar-SA"/>
        </w:rPr>
        <w:t>，完成预算</w:t>
      </w:r>
      <w:r>
        <w:rPr>
          <w:rStyle w:val="19"/>
          <w:rFonts w:hint="eastAsia" w:eastAsia="仿宋" w:cs="Times New Roman"/>
          <w:b w:val="0"/>
          <w:bCs/>
          <w:sz w:val="32"/>
          <w:szCs w:val="32"/>
          <w:highlight w:val="none"/>
          <w:lang w:val="en-US" w:eastAsia="zh-CN"/>
        </w:rPr>
        <w:t>69.6</w:t>
      </w:r>
      <w:r>
        <w:rPr>
          <w:rFonts w:hint="default" w:ascii="Times New Roman" w:hAnsi="Times New Roman" w:eastAsia="仿宋_GB2312" w:cs="Times New Roman"/>
          <w:color w:val="auto"/>
          <w:kern w:val="2"/>
          <w:sz w:val="32"/>
          <w:szCs w:val="32"/>
          <w:highlight w:val="none"/>
          <w:lang w:val="en-US" w:eastAsia="zh-CN" w:bidi="ar-SA"/>
        </w:rPr>
        <w:t>%。其中：</w:t>
      </w:r>
      <w:bookmarkEnd w:id="25"/>
      <w:bookmarkEnd w:id="26"/>
      <w:bookmarkEnd w:id="27"/>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Style w:val="19"/>
          <w:rFonts w:hint="default" w:ascii="Times New Roman" w:hAnsi="Times New Roman" w:eastAsia="仿宋_GB2312" w:cs="Times New Roman"/>
          <w:bCs/>
          <w:sz w:val="32"/>
          <w:szCs w:val="32"/>
          <w:highlight w:val="none"/>
          <w:lang w:val="en-US" w:eastAsia="zh-CN"/>
        </w:rPr>
        <w:t>1.</w:t>
      </w:r>
      <w:r>
        <w:rPr>
          <w:rStyle w:val="19"/>
          <w:rFonts w:hint="default" w:ascii="Times New Roman" w:hAnsi="Times New Roman" w:eastAsia="仿宋_GB2312" w:cs="Times New Roman"/>
          <w:bCs/>
          <w:sz w:val="32"/>
          <w:szCs w:val="32"/>
          <w:highlight w:val="none"/>
        </w:rPr>
        <w:t>教育（类）职业教育（款）中等职业教育（项）:</w:t>
      </w:r>
      <w:r>
        <w:rPr>
          <w:rStyle w:val="19"/>
          <w:rFonts w:hint="default" w:ascii="Times New Roman" w:hAnsi="Times New Roman" w:eastAsia="仿宋_GB2312" w:cs="Times New Roman"/>
          <w:b w:val="0"/>
          <w:bCs/>
          <w:sz w:val="32"/>
          <w:szCs w:val="32"/>
          <w:highlight w:val="none"/>
        </w:rPr>
        <w:t xml:space="preserve"> 支出决算为</w:t>
      </w:r>
      <w:r>
        <w:rPr>
          <w:rFonts w:hint="default" w:ascii="Times New Roman" w:hAnsi="Times New Roman" w:eastAsia="仿宋_GB2312" w:cs="Times New Roman"/>
          <w:sz w:val="32"/>
          <w:szCs w:val="32"/>
          <w:highlight w:val="none"/>
        </w:rPr>
        <w:t>6386.21</w:t>
      </w:r>
      <w:r>
        <w:rPr>
          <w:rStyle w:val="19"/>
          <w:rFonts w:hint="default" w:ascii="Times New Roman" w:hAnsi="Times New Roman" w:eastAsia="仿宋_GB2312" w:cs="Times New Roman"/>
          <w:b w:val="0"/>
          <w:bCs/>
          <w:sz w:val="32"/>
          <w:szCs w:val="32"/>
          <w:highlight w:val="none"/>
        </w:rPr>
        <w:t>万元，完成预算</w:t>
      </w:r>
      <w:r>
        <w:rPr>
          <w:rStyle w:val="19"/>
          <w:rFonts w:hint="default" w:ascii="Times New Roman" w:hAnsi="Times New Roman" w:eastAsia="仿宋_GB2312" w:cs="Times New Roman"/>
          <w:b w:val="0"/>
          <w:bCs/>
          <w:sz w:val="32"/>
          <w:szCs w:val="32"/>
          <w:highlight w:val="none"/>
          <w:lang w:val="en-US" w:eastAsia="zh-CN"/>
        </w:rPr>
        <w:t>69.</w:t>
      </w:r>
      <w:r>
        <w:rPr>
          <w:rStyle w:val="19"/>
          <w:rFonts w:hint="eastAsia" w:eastAsia="仿宋_GB2312" w:cs="Times New Roman"/>
          <w:b w:val="0"/>
          <w:bCs/>
          <w:sz w:val="32"/>
          <w:szCs w:val="32"/>
          <w:highlight w:val="none"/>
          <w:lang w:val="en-US" w:eastAsia="zh-CN"/>
        </w:rPr>
        <w:t>6</w:t>
      </w:r>
      <w:r>
        <w:rPr>
          <w:rStyle w:val="19"/>
          <w:rFonts w:hint="default" w:ascii="Times New Roman" w:hAnsi="Times New Roman" w:eastAsia="仿宋_GB2312" w:cs="Times New Roman"/>
          <w:b w:val="0"/>
          <w:bCs/>
          <w:sz w:val="32"/>
          <w:szCs w:val="32"/>
          <w:highlight w:val="none"/>
        </w:rPr>
        <w:t>%,</w:t>
      </w:r>
      <w:r>
        <w:rPr>
          <w:rFonts w:hint="default" w:ascii="Times New Roman" w:hAnsi="Times New Roman" w:eastAsia="仿宋_GB2312" w:cs="Times New Roman"/>
          <w:color w:val="auto"/>
          <w:kern w:val="2"/>
          <w:sz w:val="32"/>
          <w:szCs w:val="32"/>
          <w:highlight w:val="none"/>
          <w:lang w:val="en-US" w:eastAsia="zh-CN" w:bidi="ar-SA"/>
        </w:rPr>
        <w:t>决算数小于预算数的主要原因是年末追加资金，按规定结转至2025年实施。</w:t>
      </w:r>
    </w:p>
    <w:p>
      <w:pPr>
        <w:tabs>
          <w:tab w:val="right" w:pos="8306"/>
        </w:tabs>
        <w:spacing w:line="600" w:lineRule="exact"/>
        <w:ind w:firstLine="640"/>
        <w:outlineLvl w:val="1"/>
        <w:rPr>
          <w:rFonts w:hint="default" w:ascii="Times New Roman" w:hAnsi="Times New Roman" w:eastAsia="黑体" w:cs="Times New Roman"/>
          <w:color w:val="auto"/>
          <w:sz w:val="32"/>
          <w:szCs w:val="32"/>
          <w:highlight w:val="none"/>
        </w:rPr>
      </w:pPr>
      <w:bookmarkStart w:id="28" w:name="_Toc15396608"/>
      <w:bookmarkStart w:id="29" w:name="_Toc15377214"/>
    </w:p>
    <w:p>
      <w:pPr>
        <w:tabs>
          <w:tab w:val="right" w:pos="8306"/>
        </w:tabs>
        <w:spacing w:line="600" w:lineRule="exact"/>
        <w:ind w:firstLine="640"/>
        <w:outlineLvl w:val="1"/>
        <w:rPr>
          <w:rStyle w:val="31"/>
          <w:rFonts w:hint="default" w:ascii="Times New Roman" w:hAnsi="Times New Roman" w:cs="Times New Roman"/>
          <w:color w:val="auto"/>
          <w:highlight w:val="none"/>
        </w:rPr>
      </w:pPr>
      <w:r>
        <w:rPr>
          <w:rFonts w:hint="default" w:ascii="Times New Roman" w:hAnsi="Times New Roman" w:eastAsia="黑体" w:cs="Times New Roman"/>
          <w:color w:val="auto"/>
          <w:sz w:val="32"/>
          <w:szCs w:val="32"/>
          <w:highlight w:val="none"/>
        </w:rPr>
        <w:t>六</w:t>
      </w:r>
      <w:r>
        <w:rPr>
          <w:rFonts w:hint="default" w:ascii="Times New Roman" w:hAnsi="Times New Roman" w:eastAsia="黑体" w:cs="Times New Roman"/>
          <w:b/>
          <w:color w:val="auto"/>
          <w:sz w:val="32"/>
          <w:szCs w:val="32"/>
          <w:highlight w:val="none"/>
        </w:rPr>
        <w:t>、一</w:t>
      </w:r>
      <w:r>
        <w:rPr>
          <w:rStyle w:val="31"/>
          <w:rFonts w:hint="default" w:ascii="Times New Roman" w:hAnsi="Times New Roman" w:eastAsia="黑体" w:cs="Times New Roman"/>
          <w:b w:val="0"/>
          <w:color w:val="auto"/>
          <w:highlight w:val="none"/>
        </w:rPr>
        <w:t>般公共预算财政拨款基本支出决算情况说明</w:t>
      </w:r>
      <w:bookmarkEnd w:id="28"/>
      <w:bookmarkEnd w:id="29"/>
      <w:r>
        <w:rPr>
          <w:rStyle w:val="31"/>
          <w:rFonts w:hint="default" w:ascii="Times New Roman" w:hAnsi="Times New Roman" w:eastAsia="黑体" w:cs="Times New Roman"/>
          <w:b w:val="0"/>
          <w:color w:val="auto"/>
          <w:highlight w:val="none"/>
        </w:rPr>
        <w:tab/>
      </w:r>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2024年度一般公共预算财政拨款基本支出</w:t>
      </w:r>
      <w:r>
        <w:rPr>
          <w:rFonts w:hint="default" w:ascii="Times New Roman" w:hAnsi="Times New Roman" w:eastAsia="仿宋_GB2312" w:cs="Times New Roman"/>
          <w:sz w:val="32"/>
          <w:szCs w:val="32"/>
          <w:highlight w:val="none"/>
        </w:rPr>
        <w:t>4128.54</w:t>
      </w:r>
      <w:r>
        <w:rPr>
          <w:rFonts w:hint="default" w:ascii="Times New Roman" w:hAnsi="Times New Roman" w:eastAsia="仿宋_GB2312" w:cs="Times New Roman"/>
          <w:color w:val="auto"/>
          <w:kern w:val="2"/>
          <w:sz w:val="32"/>
          <w:szCs w:val="32"/>
          <w:highlight w:val="none"/>
          <w:lang w:val="en-US" w:eastAsia="zh-CN" w:bidi="ar-SA"/>
        </w:rPr>
        <w:t>万元，其中：</w:t>
      </w:r>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人员经费</w:t>
      </w:r>
      <w:r>
        <w:rPr>
          <w:rFonts w:hint="default" w:ascii="Times New Roman" w:hAnsi="Times New Roman" w:eastAsia="仿宋_GB2312" w:cs="Times New Roman"/>
          <w:sz w:val="32"/>
          <w:szCs w:val="32"/>
          <w:highlight w:val="none"/>
        </w:rPr>
        <w:t>3563.73</w:t>
      </w:r>
      <w:r>
        <w:rPr>
          <w:rFonts w:hint="default" w:ascii="Times New Roman" w:hAnsi="Times New Roman" w:eastAsia="仿宋_GB2312" w:cs="Times New Roman"/>
          <w:color w:val="auto"/>
          <w:kern w:val="2"/>
          <w:sz w:val="32"/>
          <w:szCs w:val="32"/>
          <w:highlight w:val="none"/>
          <w:lang w:val="en-US" w:eastAsia="zh-CN" w:bidi="ar-SA"/>
        </w:rPr>
        <w:t>万元，主要包括：基本工资、津贴补贴、绩效工资、机关事业单位基本养老保险缴费、职业年金缴费、其他社会保障缴费、其他工资福利支出、离休费、退休费、抚恤金、生活补助、住房公积金、其他对个人和家庭的补助支出等。</w:t>
      </w:r>
      <w:r>
        <w:rPr>
          <w:rFonts w:hint="default" w:ascii="Times New Roman" w:hAnsi="Times New Roman" w:eastAsia="仿宋_GB2312" w:cs="Times New Roman"/>
          <w:color w:val="auto"/>
          <w:kern w:val="2"/>
          <w:sz w:val="32"/>
          <w:szCs w:val="32"/>
          <w:highlight w:val="none"/>
          <w:lang w:val="en-US" w:eastAsia="zh-CN" w:bidi="ar-SA"/>
        </w:rPr>
        <w:br w:type="textWrapping"/>
      </w:r>
      <w:r>
        <w:rPr>
          <w:rFonts w:hint="default" w:ascii="Times New Roman" w:hAnsi="Times New Roman" w:eastAsia="仿宋_GB2312" w:cs="Times New Roman"/>
          <w:color w:val="auto"/>
          <w:kern w:val="2"/>
          <w:sz w:val="32"/>
          <w:szCs w:val="32"/>
          <w:highlight w:val="none"/>
          <w:lang w:val="en-US" w:eastAsia="zh-CN" w:bidi="ar-SA"/>
        </w:rPr>
        <w:t>　　公用经费</w:t>
      </w:r>
      <w:r>
        <w:rPr>
          <w:rFonts w:hint="default" w:ascii="Times New Roman" w:hAnsi="Times New Roman" w:eastAsia="仿宋_GB2312" w:cs="Times New Roman"/>
          <w:sz w:val="32"/>
          <w:szCs w:val="32"/>
          <w:highlight w:val="none"/>
        </w:rPr>
        <w:t>564.81</w:t>
      </w:r>
      <w:r>
        <w:rPr>
          <w:rFonts w:hint="default" w:ascii="Times New Roman" w:hAnsi="Times New Roman" w:eastAsia="仿宋_GB2312" w:cs="Times New Roman"/>
          <w:color w:val="auto"/>
          <w:kern w:val="2"/>
          <w:sz w:val="32"/>
          <w:szCs w:val="32"/>
          <w:highlight w:val="none"/>
          <w:lang w:val="en-US" w:eastAsia="zh-CN" w:bidi="ar-SA"/>
        </w:rPr>
        <w:t>万元，主要包括：办公费、印刷费、咨询费、手续费、水费、电费、邮电费、物业管理费、差旅费、维修（护）费、租赁费、会议费、培训费、公务接待费、劳务费、委托业务费、工会经费、福利费、公务用车运行维护费、其他交通费、其他商品和服务支出、办公设备购置、专用设备购置、信息网络及软件购置更新、其他资本性支出等。</w:t>
      </w:r>
    </w:p>
    <w:p>
      <w:pPr>
        <w:spacing w:line="600" w:lineRule="exact"/>
        <w:ind w:firstLine="640"/>
        <w:outlineLvl w:val="1"/>
        <w:rPr>
          <w:rFonts w:hint="default" w:ascii="Times New Roman" w:hAnsi="Times New Roman" w:eastAsia="黑体" w:cs="Times New Roman"/>
          <w:color w:val="auto"/>
          <w:sz w:val="32"/>
          <w:szCs w:val="32"/>
          <w:highlight w:val="none"/>
        </w:rPr>
      </w:pPr>
      <w:bookmarkStart w:id="30" w:name="_Toc15396609"/>
      <w:bookmarkStart w:id="31" w:name="_Toc15377215"/>
    </w:p>
    <w:p>
      <w:pPr>
        <w:spacing w:line="600" w:lineRule="exact"/>
        <w:ind w:firstLine="640"/>
        <w:outlineLvl w:val="1"/>
        <w:rPr>
          <w:rStyle w:val="31"/>
          <w:rFonts w:hint="default" w:ascii="Times New Roman" w:hAnsi="Times New Roman" w:eastAsia="黑体" w:cs="Times New Roman"/>
          <w:b w:val="0"/>
          <w:color w:val="auto"/>
          <w:highlight w:val="none"/>
        </w:rPr>
      </w:pPr>
      <w:r>
        <w:rPr>
          <w:rFonts w:hint="default" w:ascii="Times New Roman" w:hAnsi="Times New Roman" w:eastAsia="黑体" w:cs="Times New Roman"/>
          <w:color w:val="auto"/>
          <w:sz w:val="32"/>
          <w:szCs w:val="32"/>
          <w:highlight w:val="none"/>
        </w:rPr>
        <w:t>七、</w:t>
      </w:r>
      <w:r>
        <w:rPr>
          <w:rStyle w:val="31"/>
          <w:rFonts w:hint="default" w:ascii="Times New Roman" w:hAnsi="Times New Roman" w:eastAsia="黑体" w:cs="Times New Roman"/>
          <w:b w:val="0"/>
          <w:color w:val="auto"/>
          <w:highlight w:val="none"/>
        </w:rPr>
        <w:t>财政拨款</w:t>
      </w:r>
      <w:r>
        <w:rPr>
          <w:rStyle w:val="31"/>
          <w:rFonts w:hint="default" w:ascii="Times New Roman" w:hAnsi="Times New Roman" w:eastAsia="黑体" w:cs="Times New Roman"/>
          <w:color w:val="auto"/>
          <w:highlight w:val="none"/>
        </w:rPr>
        <w:t>“</w:t>
      </w:r>
      <w:r>
        <w:rPr>
          <w:rStyle w:val="31"/>
          <w:rFonts w:hint="default" w:ascii="Times New Roman" w:hAnsi="Times New Roman" w:eastAsia="黑体" w:cs="Times New Roman"/>
          <w:b w:val="0"/>
          <w:color w:val="auto"/>
          <w:highlight w:val="none"/>
        </w:rPr>
        <w:t>三公”经费支出决算情况说明</w:t>
      </w:r>
      <w:bookmarkEnd w:id="30"/>
      <w:bookmarkEnd w:id="31"/>
    </w:p>
    <w:p>
      <w:pPr>
        <w:spacing w:line="600" w:lineRule="exact"/>
        <w:ind w:firstLine="642" w:firstLineChars="200"/>
        <w:outlineLvl w:val="2"/>
        <w:rPr>
          <w:rFonts w:hint="default" w:ascii="Times New Roman" w:hAnsi="Times New Roman" w:eastAsia="楷体_GB2312" w:cs="Times New Roman"/>
          <w:b/>
          <w:color w:val="auto"/>
          <w:sz w:val="32"/>
          <w:szCs w:val="32"/>
          <w:highlight w:val="none"/>
        </w:rPr>
      </w:pPr>
      <w:bookmarkStart w:id="32" w:name="_Toc15377216"/>
      <w:r>
        <w:rPr>
          <w:rFonts w:hint="default" w:ascii="Times New Roman" w:hAnsi="Times New Roman" w:eastAsia="楷体_GB2312" w:cs="Times New Roman"/>
          <w:b/>
          <w:color w:val="auto"/>
          <w:sz w:val="32"/>
          <w:szCs w:val="32"/>
          <w:highlight w:val="none"/>
        </w:rPr>
        <w:t>（一）“三公”经费财政拨款支出决算总体情况说明</w:t>
      </w:r>
      <w:bookmarkEnd w:id="32"/>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2024年度“三公”经费财政拨款支出决算为</w:t>
      </w:r>
      <w:r>
        <w:rPr>
          <w:rFonts w:hint="default" w:ascii="Times New Roman" w:hAnsi="Times New Roman" w:eastAsia="仿宋_GB2312" w:cs="Times New Roman"/>
          <w:sz w:val="32"/>
          <w:szCs w:val="32"/>
          <w:highlight w:val="none"/>
        </w:rPr>
        <w:t>6.84</w:t>
      </w:r>
      <w:r>
        <w:rPr>
          <w:rFonts w:hint="default" w:ascii="Times New Roman" w:hAnsi="Times New Roman" w:eastAsia="仿宋_GB2312" w:cs="Times New Roman"/>
          <w:color w:val="auto"/>
          <w:kern w:val="2"/>
          <w:sz w:val="32"/>
          <w:szCs w:val="32"/>
          <w:highlight w:val="none"/>
          <w:lang w:val="en-US" w:eastAsia="zh-CN" w:bidi="ar-SA"/>
        </w:rPr>
        <w:t>万元，完成预算</w:t>
      </w:r>
      <w:r>
        <w:rPr>
          <w:rFonts w:hint="default" w:ascii="Times New Roman" w:hAnsi="Times New Roman" w:eastAsia="仿宋_GB2312" w:cs="Times New Roman"/>
          <w:sz w:val="32"/>
          <w:szCs w:val="32"/>
          <w:highlight w:val="none"/>
        </w:rPr>
        <w:t>97.</w:t>
      </w:r>
      <w:r>
        <w:rPr>
          <w:rFonts w:hint="default" w:ascii="Times New Roman" w:hAnsi="Times New Roman" w:eastAsia="仿宋_GB2312" w:cs="Times New Roman"/>
          <w:sz w:val="32"/>
          <w:szCs w:val="32"/>
          <w:highlight w:val="none"/>
          <w:lang w:val="en-US" w:eastAsia="zh-CN"/>
        </w:rPr>
        <w:t>7</w:t>
      </w:r>
      <w:r>
        <w:rPr>
          <w:rFonts w:hint="default" w:ascii="Times New Roman" w:hAnsi="Times New Roman" w:eastAsia="仿宋_GB2312" w:cs="Times New Roman"/>
          <w:color w:val="auto"/>
          <w:kern w:val="2"/>
          <w:sz w:val="32"/>
          <w:szCs w:val="32"/>
          <w:highlight w:val="none"/>
          <w:lang w:val="en-US" w:eastAsia="zh-CN" w:bidi="ar-SA"/>
        </w:rPr>
        <w:t>%，较上年度增加0.05万元，增长0.7%。决算数小于预算数的主要原因是严格贯彻中央八项规定精神，厉行节约。</w:t>
      </w:r>
    </w:p>
    <w:p>
      <w:pPr>
        <w:spacing w:line="600" w:lineRule="exact"/>
        <w:ind w:firstLine="642" w:firstLineChars="200"/>
        <w:outlineLvl w:val="2"/>
        <w:rPr>
          <w:rFonts w:hint="default" w:ascii="Times New Roman" w:hAnsi="Times New Roman" w:eastAsia="楷体_GB2312" w:cs="Times New Roman"/>
          <w:b/>
          <w:color w:val="auto"/>
          <w:sz w:val="32"/>
          <w:szCs w:val="32"/>
          <w:highlight w:val="none"/>
        </w:rPr>
      </w:pPr>
      <w:bookmarkStart w:id="33" w:name="_Toc15377217"/>
      <w:r>
        <w:rPr>
          <w:rFonts w:hint="default" w:ascii="Times New Roman" w:hAnsi="Times New Roman" w:eastAsia="楷体_GB2312" w:cs="Times New Roman"/>
          <w:b/>
          <w:color w:val="auto"/>
          <w:sz w:val="32"/>
          <w:szCs w:val="32"/>
          <w:highlight w:val="none"/>
        </w:rPr>
        <w:t>（二）“三公”经费财政拨款支出决算具体情况说明</w:t>
      </w:r>
      <w:bookmarkEnd w:id="33"/>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2024年度“三公”经费财政拨款支出决算中，因公出国（境）费支出决算</w:t>
      </w:r>
      <w:r>
        <w:rPr>
          <w:rFonts w:hint="default" w:ascii="Times New Roman" w:hAnsi="Times New Roman" w:eastAsia="仿宋_GB2312" w:cs="Times New Roman"/>
          <w:sz w:val="32"/>
          <w:szCs w:val="32"/>
          <w:highlight w:val="none"/>
        </w:rPr>
        <w:t>0</w:t>
      </w:r>
      <w:r>
        <w:rPr>
          <w:rFonts w:hint="default" w:ascii="Times New Roman" w:hAnsi="Times New Roman" w:eastAsia="仿宋_GB2312" w:cs="Times New Roman"/>
          <w:color w:val="auto"/>
          <w:kern w:val="2"/>
          <w:sz w:val="32"/>
          <w:szCs w:val="32"/>
          <w:highlight w:val="none"/>
          <w:lang w:val="en-US" w:eastAsia="zh-CN" w:bidi="ar-SA"/>
        </w:rPr>
        <w:t>万元，占0%；公务用车购置及运行维护费支出决算</w:t>
      </w:r>
      <w:r>
        <w:rPr>
          <w:rFonts w:hint="default" w:ascii="Times New Roman" w:hAnsi="Times New Roman" w:eastAsia="仿宋_GB2312" w:cs="Times New Roman"/>
          <w:sz w:val="32"/>
          <w:szCs w:val="32"/>
          <w:highlight w:val="none"/>
        </w:rPr>
        <w:t>6</w:t>
      </w:r>
      <w:r>
        <w:rPr>
          <w:rFonts w:hint="default" w:ascii="Times New Roman" w:hAnsi="Times New Roman" w:eastAsia="仿宋_GB2312" w:cs="Times New Roman"/>
          <w:color w:val="auto"/>
          <w:kern w:val="2"/>
          <w:sz w:val="32"/>
          <w:szCs w:val="32"/>
          <w:highlight w:val="none"/>
          <w:lang w:val="en-US" w:eastAsia="zh-CN" w:bidi="ar-SA"/>
        </w:rPr>
        <w:t>万元，占87.7%；公务接待费支出决算</w:t>
      </w:r>
      <w:r>
        <w:rPr>
          <w:rFonts w:hint="default" w:ascii="Times New Roman" w:hAnsi="Times New Roman" w:eastAsia="仿宋_GB2312" w:cs="Times New Roman"/>
          <w:sz w:val="32"/>
          <w:szCs w:val="32"/>
          <w:highlight w:val="none"/>
        </w:rPr>
        <w:t>0.84</w:t>
      </w:r>
      <w:r>
        <w:rPr>
          <w:rFonts w:hint="default" w:ascii="Times New Roman" w:hAnsi="Times New Roman" w:eastAsia="仿宋_GB2312" w:cs="Times New Roman"/>
          <w:color w:val="auto"/>
          <w:kern w:val="2"/>
          <w:sz w:val="32"/>
          <w:szCs w:val="32"/>
          <w:highlight w:val="none"/>
          <w:lang w:val="en-US" w:eastAsia="zh-CN" w:bidi="ar-SA"/>
        </w:rPr>
        <w:t>万元，占12.</w:t>
      </w:r>
      <w:r>
        <w:rPr>
          <w:rFonts w:hint="eastAsia" w:eastAsia="仿宋_GB2312" w:cs="Times New Roman"/>
          <w:color w:val="auto"/>
          <w:kern w:val="2"/>
          <w:sz w:val="32"/>
          <w:szCs w:val="32"/>
          <w:highlight w:val="none"/>
          <w:lang w:val="en-US" w:eastAsia="zh-CN" w:bidi="ar-SA"/>
        </w:rPr>
        <w:t>3</w:t>
      </w:r>
      <w:r>
        <w:rPr>
          <w:rFonts w:hint="default" w:ascii="Times New Roman" w:hAnsi="Times New Roman" w:eastAsia="仿宋_GB2312" w:cs="Times New Roman"/>
          <w:color w:val="auto"/>
          <w:kern w:val="2"/>
          <w:sz w:val="32"/>
          <w:szCs w:val="32"/>
          <w:highlight w:val="none"/>
          <w:lang w:val="en-US" w:eastAsia="zh-CN" w:bidi="ar-SA"/>
        </w:rPr>
        <w:t>%。具体情况如下：</w:t>
      </w:r>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图7：“三公”经费财政拨款支出结构（饼状图）</w:t>
      </w:r>
    </w:p>
    <w:p>
      <w:pPr>
        <w:pStyle w:val="2"/>
        <w:rPr>
          <w:rFonts w:hint="default" w:ascii="Times New Roman" w:hAnsi="Times New Roman" w:cs="Times New Roman"/>
          <w:highlight w:val="none"/>
          <w:lang w:val="en-US" w:eastAsia="zh-CN"/>
        </w:rPr>
      </w:pPr>
      <w:r>
        <w:rPr>
          <w:rFonts w:hint="default" w:ascii="Times New Roman" w:hAnsi="Times New Roman" w:cs="Times New Roman"/>
          <w:highlight w:val="none"/>
        </w:rPr>
        <w:drawing>
          <wp:inline distT="0" distB="0" distL="114300" distR="114300">
            <wp:extent cx="4438650" cy="2571750"/>
            <wp:effectExtent l="0" t="0" r="0" b="0"/>
            <wp:docPr id="18" name="图片 17"/>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8" name="图片 17"/>
                    <pic:cNvPicPr>
                      <a:picLocks noChangeAspect="true"/>
                    </pic:cNvPicPr>
                  </pic:nvPicPr>
                  <pic:blipFill>
                    <a:blip r:embed="rId15"/>
                    <a:stretch>
                      <a:fillRect/>
                    </a:stretch>
                  </pic:blipFill>
                  <pic:spPr>
                    <a:xfrm>
                      <a:off x="0" y="0"/>
                      <a:ext cx="4438650" cy="2571750"/>
                    </a:xfrm>
                    <a:prstGeom prst="rect">
                      <a:avLst/>
                    </a:prstGeom>
                    <a:noFill/>
                    <a:ln>
                      <a:noFill/>
                    </a:ln>
                  </pic:spPr>
                </pic:pic>
              </a:graphicData>
            </a:graphic>
          </wp:inline>
        </w:drawing>
      </w:r>
    </w:p>
    <w:p>
      <w:pPr>
        <w:spacing w:line="600" w:lineRule="exact"/>
        <w:ind w:firstLine="640"/>
        <w:rPr>
          <w:rFonts w:hint="default" w:ascii="Times New Roman" w:hAnsi="Times New Roman" w:eastAsia="仿宋_GB2312" w:cs="Times New Roman"/>
          <w:b/>
          <w:sz w:val="32"/>
          <w:szCs w:val="32"/>
          <w:highlight w:val="none"/>
        </w:rPr>
      </w:pPr>
      <w:r>
        <w:rPr>
          <w:rFonts w:hint="default" w:ascii="Times New Roman" w:hAnsi="Times New Roman" w:eastAsia="仿宋_GB2312" w:cs="Times New Roman"/>
          <w:b/>
          <w:bCs/>
          <w:color w:val="auto"/>
          <w:kern w:val="2"/>
          <w:sz w:val="32"/>
          <w:szCs w:val="32"/>
          <w:highlight w:val="none"/>
          <w:lang w:val="en-US" w:eastAsia="zh-CN" w:bidi="ar-SA"/>
        </w:rPr>
        <w:t>1.因公出国（境）经费支出0万元。</w:t>
      </w:r>
      <w:r>
        <w:rPr>
          <w:rFonts w:hint="default" w:ascii="Times New Roman" w:hAnsi="Times New Roman" w:eastAsia="仿宋_GB2312" w:cs="Times New Roman"/>
          <w:color w:val="auto"/>
          <w:kern w:val="2"/>
          <w:sz w:val="32"/>
          <w:szCs w:val="32"/>
          <w:highlight w:val="none"/>
          <w:lang w:val="en-US" w:eastAsia="zh-CN" w:bidi="ar-SA"/>
        </w:rPr>
        <w:t>全年安排因公出国（境）团组</w:t>
      </w:r>
      <w:r>
        <w:rPr>
          <w:rFonts w:hint="default" w:ascii="Times New Roman" w:hAnsi="Times New Roman" w:eastAsia="仿宋_GB2312" w:cs="Times New Roman"/>
          <w:sz w:val="32"/>
          <w:szCs w:val="32"/>
          <w:highlight w:val="none"/>
        </w:rPr>
        <w:t>0</w:t>
      </w:r>
      <w:r>
        <w:rPr>
          <w:rFonts w:hint="default" w:ascii="Times New Roman" w:hAnsi="Times New Roman" w:eastAsia="仿宋_GB2312" w:cs="Times New Roman"/>
          <w:color w:val="auto"/>
          <w:kern w:val="2"/>
          <w:sz w:val="32"/>
          <w:szCs w:val="32"/>
          <w:highlight w:val="none"/>
          <w:lang w:val="en-US" w:eastAsia="zh-CN" w:bidi="ar-SA"/>
        </w:rPr>
        <w:t>次，出国（境）</w:t>
      </w:r>
      <w:r>
        <w:rPr>
          <w:rFonts w:hint="default" w:ascii="Times New Roman" w:hAnsi="Times New Roman" w:eastAsia="仿宋_GB2312" w:cs="Times New Roman"/>
          <w:sz w:val="32"/>
          <w:szCs w:val="32"/>
          <w:highlight w:val="none"/>
        </w:rPr>
        <w:t>0</w:t>
      </w:r>
      <w:r>
        <w:rPr>
          <w:rFonts w:hint="default" w:ascii="Times New Roman" w:hAnsi="Times New Roman" w:eastAsia="仿宋_GB2312" w:cs="Times New Roman"/>
          <w:color w:val="auto"/>
          <w:kern w:val="2"/>
          <w:sz w:val="32"/>
          <w:szCs w:val="32"/>
          <w:highlight w:val="none"/>
          <w:lang w:val="en-US" w:eastAsia="zh-CN" w:bidi="ar-SA"/>
        </w:rPr>
        <w:t>人。因公出国（境）支出决算</w:t>
      </w:r>
      <w:r>
        <w:rPr>
          <w:rFonts w:hint="default" w:ascii="Times New Roman" w:hAnsi="Times New Roman" w:eastAsia="仿宋_GB2312" w:cs="Times New Roman"/>
          <w:sz w:val="32"/>
          <w:szCs w:val="32"/>
          <w:highlight w:val="none"/>
        </w:rPr>
        <w:t>与202</w:t>
      </w:r>
      <w:r>
        <w:rPr>
          <w:rFonts w:hint="default"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rPr>
        <w:t>年</w:t>
      </w:r>
      <w:r>
        <w:rPr>
          <w:rFonts w:hint="eastAsia" w:eastAsia="仿宋_GB2312" w:cs="Times New Roman"/>
          <w:sz w:val="32"/>
          <w:szCs w:val="32"/>
          <w:highlight w:val="none"/>
          <w:lang w:eastAsia="zh-CN"/>
        </w:rPr>
        <w:t>度</w:t>
      </w:r>
      <w:r>
        <w:rPr>
          <w:rFonts w:hint="default" w:ascii="Times New Roman" w:hAnsi="Times New Roman" w:eastAsia="仿宋_GB2312" w:cs="Times New Roman"/>
          <w:sz w:val="32"/>
          <w:szCs w:val="32"/>
          <w:highlight w:val="none"/>
        </w:rPr>
        <w:t>决算</w:t>
      </w:r>
      <w:r>
        <w:rPr>
          <w:rFonts w:hint="eastAsia" w:eastAsia="仿宋_GB2312" w:cs="Times New Roman"/>
          <w:sz w:val="32"/>
          <w:szCs w:val="32"/>
          <w:highlight w:val="none"/>
          <w:lang w:eastAsia="zh-CN"/>
        </w:rPr>
        <w:t>数</w:t>
      </w:r>
      <w:r>
        <w:rPr>
          <w:rFonts w:hint="default" w:ascii="Times New Roman" w:hAnsi="Times New Roman" w:eastAsia="仿宋_GB2312" w:cs="Times New Roman"/>
          <w:sz w:val="32"/>
          <w:szCs w:val="32"/>
          <w:highlight w:val="none"/>
        </w:rPr>
        <w:t>持平。</w:t>
      </w:r>
    </w:p>
    <w:p>
      <w:pPr>
        <w:spacing w:line="600" w:lineRule="exact"/>
        <w:ind w:firstLine="640"/>
        <w:rPr>
          <w:rFonts w:hint="eastAsia"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b/>
          <w:bCs/>
          <w:color w:val="auto"/>
          <w:kern w:val="2"/>
          <w:sz w:val="32"/>
          <w:szCs w:val="32"/>
          <w:highlight w:val="none"/>
          <w:lang w:val="en-US" w:eastAsia="zh-CN" w:bidi="ar-SA"/>
        </w:rPr>
        <w:t>2.公务用车购置及运行维护费支出6万元，完成预算100%。</w:t>
      </w:r>
      <w:r>
        <w:rPr>
          <w:rFonts w:hint="default" w:ascii="Times New Roman" w:hAnsi="Times New Roman" w:eastAsia="仿宋_GB2312" w:cs="Times New Roman"/>
          <w:color w:val="auto"/>
          <w:kern w:val="2"/>
          <w:sz w:val="32"/>
          <w:szCs w:val="32"/>
          <w:highlight w:val="none"/>
          <w:lang w:val="en-US" w:eastAsia="zh-CN" w:bidi="ar-SA"/>
        </w:rPr>
        <w:t>公务用车购置及运行维护费支出决算比2023年度增加0.21万元，增长3.63%。主要原因是到巴中慰问驻村干部。</w:t>
      </w:r>
      <w:r>
        <w:rPr>
          <w:rFonts w:hint="eastAsia" w:eastAsia="仿宋_GB2312" w:cs="Times New Roman"/>
          <w:color w:val="auto"/>
          <w:kern w:val="2"/>
          <w:sz w:val="32"/>
          <w:szCs w:val="32"/>
          <w:highlight w:val="none"/>
          <w:lang w:val="en-US" w:eastAsia="zh-CN" w:bidi="ar-SA"/>
        </w:rPr>
        <w:t xml:space="preserve">     </w:t>
      </w:r>
      <w:r>
        <w:rPr>
          <w:rFonts w:hint="default" w:ascii="Times New Roman" w:hAnsi="Times New Roman" w:eastAsia="仿宋_GB2312" w:cs="Times New Roman"/>
          <w:color w:val="auto"/>
          <w:kern w:val="2"/>
          <w:sz w:val="32"/>
          <w:szCs w:val="32"/>
          <w:highlight w:val="none"/>
          <w:lang w:val="en-US" w:eastAsia="zh-CN" w:bidi="ar-SA"/>
        </w:rPr>
        <w:t>其中：公务用车购置支出</w:t>
      </w:r>
      <w:r>
        <w:rPr>
          <w:rFonts w:hint="default" w:ascii="Times New Roman" w:hAnsi="Times New Roman" w:eastAsia="仿宋_GB2312" w:cs="Times New Roman"/>
          <w:sz w:val="32"/>
          <w:szCs w:val="32"/>
          <w:highlight w:val="none"/>
        </w:rPr>
        <w:t>0</w:t>
      </w:r>
      <w:r>
        <w:rPr>
          <w:rFonts w:hint="default" w:ascii="Times New Roman" w:hAnsi="Times New Roman" w:eastAsia="仿宋_GB2312" w:cs="Times New Roman"/>
          <w:color w:val="auto"/>
          <w:kern w:val="2"/>
          <w:sz w:val="32"/>
          <w:szCs w:val="32"/>
          <w:highlight w:val="none"/>
          <w:lang w:val="en-US" w:eastAsia="zh-CN" w:bidi="ar-SA"/>
        </w:rPr>
        <w:t>万元。全年按规定更新购置公务用车0辆，其中：轿车0辆、金额0万元，越野车0辆、金额0万元，载客汽车0辆、金额0万元。截至2024年12月31日，单位共有公务用车</w:t>
      </w:r>
      <w:r>
        <w:rPr>
          <w:rFonts w:hint="eastAsia" w:eastAsia="仿宋_GB2312" w:cs="Times New Roman"/>
          <w:color w:val="auto"/>
          <w:kern w:val="2"/>
          <w:sz w:val="32"/>
          <w:szCs w:val="32"/>
          <w:highlight w:val="none"/>
          <w:lang w:val="en-US" w:eastAsia="zh-CN" w:bidi="ar-SA"/>
        </w:rPr>
        <w:t>3</w:t>
      </w:r>
      <w:r>
        <w:rPr>
          <w:rFonts w:hint="default" w:ascii="Times New Roman" w:hAnsi="Times New Roman" w:eastAsia="仿宋_GB2312" w:cs="Times New Roman"/>
          <w:color w:val="auto"/>
          <w:kern w:val="2"/>
          <w:sz w:val="32"/>
          <w:szCs w:val="32"/>
          <w:highlight w:val="none"/>
          <w:lang w:val="en-US" w:eastAsia="zh-CN" w:bidi="ar-SA"/>
        </w:rPr>
        <w:t>辆，其中：</w:t>
      </w:r>
      <w:r>
        <w:rPr>
          <w:rFonts w:hint="eastAsia" w:eastAsia="仿宋_GB2312" w:cs="Times New Roman"/>
          <w:color w:val="auto"/>
          <w:kern w:val="2"/>
          <w:sz w:val="32"/>
          <w:szCs w:val="32"/>
          <w:highlight w:val="none"/>
          <w:lang w:val="en-US" w:eastAsia="zh-CN" w:bidi="ar-SA"/>
        </w:rPr>
        <w:t>轿车0辆、</w:t>
      </w:r>
      <w:r>
        <w:rPr>
          <w:rFonts w:hint="default" w:ascii="Times New Roman" w:hAnsi="Times New Roman" w:eastAsia="仿宋_GB2312" w:cs="Times New Roman"/>
          <w:color w:val="auto"/>
          <w:kern w:val="2"/>
          <w:sz w:val="32"/>
          <w:szCs w:val="32"/>
          <w:highlight w:val="none"/>
          <w:lang w:val="en-US" w:eastAsia="zh-CN" w:bidi="ar-SA"/>
        </w:rPr>
        <w:t>越野车</w:t>
      </w:r>
      <w:r>
        <w:rPr>
          <w:rFonts w:hint="eastAsia" w:eastAsia="仿宋_GB2312" w:cs="Times New Roman"/>
          <w:color w:val="auto"/>
          <w:kern w:val="2"/>
          <w:sz w:val="32"/>
          <w:szCs w:val="32"/>
          <w:highlight w:val="none"/>
          <w:lang w:val="en-US" w:eastAsia="zh-CN" w:bidi="ar-SA"/>
        </w:rPr>
        <w:t>2</w:t>
      </w:r>
      <w:r>
        <w:rPr>
          <w:rFonts w:hint="default" w:ascii="Times New Roman" w:hAnsi="Times New Roman" w:eastAsia="仿宋_GB2312" w:cs="Times New Roman"/>
          <w:color w:val="auto"/>
          <w:kern w:val="2"/>
          <w:sz w:val="32"/>
          <w:szCs w:val="32"/>
          <w:highlight w:val="none"/>
          <w:lang w:val="en-US" w:eastAsia="zh-CN" w:bidi="ar-SA"/>
        </w:rPr>
        <w:t>辆</w:t>
      </w:r>
      <w:r>
        <w:rPr>
          <w:rFonts w:hint="eastAsia" w:eastAsia="仿宋_GB2312" w:cs="Times New Roman"/>
          <w:color w:val="auto"/>
          <w:kern w:val="2"/>
          <w:sz w:val="32"/>
          <w:szCs w:val="32"/>
          <w:highlight w:val="none"/>
          <w:lang w:val="en-US" w:eastAsia="zh-CN" w:bidi="ar-SA"/>
        </w:rPr>
        <w:t>、</w:t>
      </w:r>
      <w:r>
        <w:rPr>
          <w:rFonts w:hint="eastAsia" w:ascii="仿宋_GB2312" w:eastAsia="仿宋_GB2312"/>
          <w:sz w:val="32"/>
          <w:szCs w:val="32"/>
          <w:highlight w:val="none"/>
        </w:rPr>
        <w:t>载客汽车1辆</w:t>
      </w:r>
      <w:r>
        <w:rPr>
          <w:rFonts w:hint="eastAsia" w:ascii="仿宋_GB2312" w:eastAsia="仿宋_GB2312"/>
          <w:sz w:val="32"/>
          <w:szCs w:val="32"/>
          <w:highlight w:val="none"/>
          <w:lang w:eastAsia="zh-CN"/>
        </w:rPr>
        <w:t>。</w:t>
      </w:r>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公务用车运行维护费支出</w:t>
      </w:r>
      <w:r>
        <w:rPr>
          <w:rFonts w:hint="default" w:ascii="Times New Roman" w:hAnsi="Times New Roman" w:eastAsia="仿宋_GB2312" w:cs="Times New Roman"/>
          <w:sz w:val="32"/>
          <w:szCs w:val="32"/>
          <w:highlight w:val="none"/>
        </w:rPr>
        <w:t>6</w:t>
      </w:r>
      <w:r>
        <w:rPr>
          <w:rFonts w:hint="default" w:ascii="Times New Roman" w:hAnsi="Times New Roman" w:eastAsia="仿宋_GB2312" w:cs="Times New Roman"/>
          <w:color w:val="auto"/>
          <w:kern w:val="2"/>
          <w:sz w:val="32"/>
          <w:szCs w:val="32"/>
          <w:highlight w:val="none"/>
          <w:lang w:val="en-US" w:eastAsia="zh-CN" w:bidi="ar-SA"/>
        </w:rPr>
        <w:t>万元。主要</w:t>
      </w:r>
      <w:r>
        <w:rPr>
          <w:rFonts w:hint="default" w:ascii="Times New Roman" w:hAnsi="Times New Roman" w:eastAsia="仿宋_GB2312" w:cs="Times New Roman"/>
          <w:sz w:val="32"/>
          <w:szCs w:val="32"/>
          <w:highlight w:val="none"/>
        </w:rPr>
        <w:t>用于招生就业</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业务用车</w:t>
      </w:r>
      <w:r>
        <w:rPr>
          <w:rFonts w:hint="default" w:ascii="Times New Roman" w:hAnsi="Times New Roman" w:eastAsia="仿宋_GB2312" w:cs="Times New Roman"/>
          <w:sz w:val="32"/>
          <w:szCs w:val="32"/>
          <w:highlight w:val="none"/>
          <w:lang w:eastAsia="zh-CN"/>
        </w:rPr>
        <w:t>以及慰问驻村干部</w:t>
      </w:r>
      <w:r>
        <w:rPr>
          <w:rFonts w:hint="default" w:ascii="Times New Roman" w:hAnsi="Times New Roman" w:eastAsia="仿宋_GB2312" w:cs="Times New Roman"/>
          <w:color w:val="auto"/>
          <w:kern w:val="2"/>
          <w:sz w:val="32"/>
          <w:szCs w:val="32"/>
          <w:highlight w:val="none"/>
          <w:lang w:val="en-US" w:eastAsia="zh-CN" w:bidi="ar-SA"/>
        </w:rPr>
        <w:t>所需的公务用车燃料费、维修费、过路过桥费、保险费等支出。</w:t>
      </w:r>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b/>
          <w:bCs/>
          <w:color w:val="auto"/>
          <w:kern w:val="2"/>
          <w:sz w:val="32"/>
          <w:szCs w:val="32"/>
          <w:highlight w:val="none"/>
          <w:lang w:val="en-US" w:eastAsia="zh-CN" w:bidi="ar-SA"/>
        </w:rPr>
        <w:t>3.公务接待费支出0.84万元，完成预算84%。</w:t>
      </w:r>
      <w:r>
        <w:rPr>
          <w:rFonts w:hint="default" w:ascii="Times New Roman" w:hAnsi="Times New Roman" w:eastAsia="仿宋_GB2312" w:cs="Times New Roman"/>
          <w:color w:val="auto"/>
          <w:kern w:val="2"/>
          <w:sz w:val="32"/>
          <w:szCs w:val="32"/>
          <w:highlight w:val="none"/>
          <w:lang w:val="en-US" w:eastAsia="zh-CN" w:bidi="ar-SA"/>
        </w:rPr>
        <w:t>公务接待费支出决算比2023年度减少0.16万元，下降16%。主要原因是严格贯彻中央八项规定精神，厉行节约。其中：</w:t>
      </w:r>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国内公务接待支出</w:t>
      </w:r>
      <w:r>
        <w:rPr>
          <w:rFonts w:hint="default" w:ascii="Times New Roman" w:hAnsi="Times New Roman" w:eastAsia="仿宋_GB2312" w:cs="Times New Roman"/>
          <w:sz w:val="32"/>
          <w:szCs w:val="32"/>
          <w:highlight w:val="none"/>
        </w:rPr>
        <w:t>0.84</w:t>
      </w:r>
      <w:r>
        <w:rPr>
          <w:rFonts w:hint="default" w:ascii="Times New Roman" w:hAnsi="Times New Roman" w:eastAsia="仿宋_GB2312" w:cs="Times New Roman"/>
          <w:color w:val="auto"/>
          <w:kern w:val="2"/>
          <w:sz w:val="32"/>
          <w:szCs w:val="32"/>
          <w:highlight w:val="none"/>
          <w:lang w:val="en-US" w:eastAsia="zh-CN" w:bidi="ar-SA"/>
        </w:rPr>
        <w:t>万元，主要用于开展业务活动开支的用餐费。国内公务接待</w:t>
      </w:r>
      <w:r>
        <w:rPr>
          <w:rFonts w:hint="default" w:ascii="Times New Roman" w:hAnsi="Times New Roman" w:eastAsia="仿宋_GB2312" w:cs="Times New Roman"/>
          <w:sz w:val="32"/>
          <w:szCs w:val="32"/>
          <w:highlight w:val="none"/>
        </w:rPr>
        <w:t>8</w:t>
      </w:r>
      <w:r>
        <w:rPr>
          <w:rFonts w:hint="default" w:ascii="Times New Roman" w:hAnsi="Times New Roman" w:eastAsia="仿宋_GB2312" w:cs="Times New Roman"/>
          <w:color w:val="auto"/>
          <w:kern w:val="2"/>
          <w:sz w:val="32"/>
          <w:szCs w:val="32"/>
          <w:highlight w:val="none"/>
          <w:lang w:val="en-US" w:eastAsia="zh-CN" w:bidi="ar-SA"/>
        </w:rPr>
        <w:t>批次，</w:t>
      </w:r>
      <w:r>
        <w:rPr>
          <w:rFonts w:hint="default" w:ascii="Times New Roman" w:hAnsi="Times New Roman" w:eastAsia="仿宋_GB2312" w:cs="Times New Roman"/>
          <w:sz w:val="32"/>
          <w:szCs w:val="32"/>
          <w:highlight w:val="none"/>
        </w:rPr>
        <w:t>7</w:t>
      </w:r>
      <w:r>
        <w:rPr>
          <w:rFonts w:hint="default" w:ascii="Times New Roman" w:hAnsi="Times New Roman" w:eastAsia="仿宋_GB2312" w:cs="Times New Roman"/>
          <w:sz w:val="32"/>
          <w:szCs w:val="32"/>
          <w:highlight w:val="none"/>
          <w:lang w:val="en-US" w:eastAsia="zh-CN"/>
        </w:rPr>
        <w:t>7</w:t>
      </w:r>
      <w:r>
        <w:rPr>
          <w:rFonts w:hint="default" w:ascii="Times New Roman" w:hAnsi="Times New Roman" w:eastAsia="仿宋_GB2312" w:cs="Times New Roman"/>
          <w:color w:val="auto"/>
          <w:kern w:val="2"/>
          <w:sz w:val="32"/>
          <w:szCs w:val="32"/>
          <w:highlight w:val="none"/>
          <w:lang w:val="en-US" w:eastAsia="zh-CN" w:bidi="ar-SA"/>
        </w:rPr>
        <w:t>人次，共计支出0.84万元，具体内容包括：</w:t>
      </w:r>
      <w:r>
        <w:rPr>
          <w:rFonts w:hint="default" w:ascii="Times New Roman" w:hAnsi="Times New Roman" w:eastAsia="仿宋_GB2312" w:cs="Times New Roman"/>
          <w:sz w:val="32"/>
          <w:szCs w:val="32"/>
          <w:highlight w:val="none"/>
        </w:rPr>
        <w:t>接待校企合作</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8</w:t>
      </w:r>
      <w:r>
        <w:rPr>
          <w:rFonts w:hint="default" w:ascii="Times New Roman" w:hAnsi="Times New Roman" w:eastAsia="仿宋_GB2312" w:cs="Times New Roman"/>
          <w:color w:val="auto"/>
          <w:kern w:val="2"/>
          <w:sz w:val="32"/>
          <w:szCs w:val="32"/>
          <w:highlight w:val="none"/>
          <w:lang w:val="en-US" w:eastAsia="zh-CN" w:bidi="ar-SA"/>
        </w:rPr>
        <w:t>批次</w:t>
      </w:r>
      <w:r>
        <w:rPr>
          <w:rFonts w:hint="eastAsia"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0.84万元</w:t>
      </w:r>
      <w:r>
        <w:rPr>
          <w:rFonts w:hint="default" w:ascii="Times New Roman" w:hAnsi="Times New Roman" w:eastAsia="仿宋_GB2312" w:cs="Times New Roman"/>
          <w:color w:val="auto"/>
          <w:kern w:val="2"/>
          <w:sz w:val="32"/>
          <w:szCs w:val="32"/>
          <w:highlight w:val="none"/>
          <w:lang w:val="en-US" w:eastAsia="zh-CN" w:bidi="ar-SA"/>
        </w:rPr>
        <w:t>。</w:t>
      </w:r>
    </w:p>
    <w:p>
      <w:pPr>
        <w:spacing w:line="600" w:lineRule="exact"/>
        <w:ind w:firstLine="640"/>
        <w:rPr>
          <w:rFonts w:hint="default" w:ascii="Times New Roman" w:hAnsi="Times New Roman" w:eastAsia="黑体" w:cs="Times New Roman"/>
          <w:color w:val="auto"/>
          <w:sz w:val="32"/>
          <w:szCs w:val="32"/>
          <w:highlight w:val="none"/>
        </w:rPr>
      </w:pPr>
      <w:r>
        <w:rPr>
          <w:rFonts w:hint="eastAsia" w:ascii="Times New Roman" w:hAnsi="Times New Roman" w:eastAsia="仿宋_GB2312" w:cs="仿宋_GB2312"/>
          <w:color w:val="auto"/>
          <w:kern w:val="2"/>
          <w:sz w:val="32"/>
          <w:szCs w:val="32"/>
          <w:highlight w:val="none"/>
          <w:lang w:val="en-US" w:eastAsia="zh-CN" w:bidi="ar-SA"/>
        </w:rPr>
        <w:t>外事接待支出</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外事接待</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批次，</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人次（不包括陪同人员），共计支出</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w:t>
      </w:r>
      <w:bookmarkStart w:id="34" w:name="_Toc15377218"/>
      <w:bookmarkStart w:id="35" w:name="_Toc15396610"/>
      <w:r>
        <w:rPr>
          <w:rFonts w:hint="eastAsia" w:eastAsia="仿宋_GB2312" w:cs="仿宋_GB2312"/>
          <w:color w:val="auto"/>
          <w:kern w:val="2"/>
          <w:sz w:val="32"/>
          <w:szCs w:val="32"/>
          <w:highlight w:val="none"/>
          <w:lang w:val="en-US" w:eastAsia="zh-CN" w:bidi="ar-SA"/>
        </w:rPr>
        <w:t>。</w:t>
      </w:r>
    </w:p>
    <w:p>
      <w:pPr>
        <w:spacing w:line="600" w:lineRule="exact"/>
        <w:ind w:firstLine="640"/>
        <w:outlineLvl w:val="1"/>
        <w:rPr>
          <w:rStyle w:val="31"/>
          <w:rFonts w:hint="default" w:ascii="Times New Roman" w:hAnsi="Times New Roman" w:eastAsia="黑体" w:cs="Times New Roman"/>
          <w:color w:val="auto"/>
          <w:highlight w:val="none"/>
        </w:rPr>
      </w:pPr>
      <w:r>
        <w:rPr>
          <w:rFonts w:hint="default" w:ascii="Times New Roman" w:hAnsi="Times New Roman" w:eastAsia="黑体" w:cs="Times New Roman"/>
          <w:color w:val="auto"/>
          <w:sz w:val="32"/>
          <w:szCs w:val="32"/>
          <w:highlight w:val="none"/>
        </w:rPr>
        <w:t>八、</w:t>
      </w:r>
      <w:r>
        <w:rPr>
          <w:rStyle w:val="31"/>
          <w:rFonts w:hint="default" w:ascii="Times New Roman" w:hAnsi="Times New Roman" w:eastAsia="黑体" w:cs="Times New Roman"/>
          <w:b w:val="0"/>
          <w:color w:val="auto"/>
          <w:highlight w:val="none"/>
        </w:rPr>
        <w:t>政府性基金预算支出决算情况说明</w:t>
      </w:r>
      <w:bookmarkEnd w:id="34"/>
      <w:bookmarkEnd w:id="35"/>
    </w:p>
    <w:p>
      <w:pPr>
        <w:spacing w:line="600" w:lineRule="exact"/>
        <w:ind w:firstLine="640"/>
        <w:rPr>
          <w:rStyle w:val="31"/>
          <w:rFonts w:hint="default" w:ascii="Times New Roman" w:hAnsi="Times New Roman" w:eastAsia="黑体" w:cs="Times New Roman"/>
          <w:b w:val="0"/>
          <w:color w:val="auto"/>
          <w:highlight w:val="none"/>
          <w:lang w:eastAsia="zh-CN"/>
        </w:rPr>
      </w:pPr>
      <w:r>
        <w:rPr>
          <w:rFonts w:hint="default" w:ascii="Times New Roman" w:hAnsi="Times New Roman" w:eastAsia="仿宋_GB2312" w:cs="Times New Roman"/>
          <w:color w:val="auto"/>
          <w:kern w:val="2"/>
          <w:sz w:val="32"/>
          <w:szCs w:val="32"/>
          <w:highlight w:val="none"/>
          <w:lang w:val="en-US" w:eastAsia="zh-CN" w:bidi="ar-SA"/>
        </w:rPr>
        <w:t>2024年度政府性基金预算财政拨款支出</w:t>
      </w:r>
      <w:r>
        <w:rPr>
          <w:rFonts w:hint="default" w:ascii="Times New Roman" w:hAnsi="Times New Roman" w:eastAsia="仿宋_GB2312" w:cs="Times New Roman"/>
          <w:sz w:val="32"/>
          <w:szCs w:val="32"/>
          <w:highlight w:val="none"/>
        </w:rPr>
        <w:t>0</w:t>
      </w:r>
      <w:r>
        <w:rPr>
          <w:rFonts w:hint="default" w:ascii="Times New Roman" w:hAnsi="Times New Roman" w:eastAsia="仿宋_GB2312" w:cs="Times New Roman"/>
          <w:color w:val="auto"/>
          <w:kern w:val="2"/>
          <w:sz w:val="32"/>
          <w:szCs w:val="32"/>
          <w:highlight w:val="none"/>
          <w:lang w:val="en-US" w:eastAsia="zh-CN" w:bidi="ar-SA"/>
        </w:rPr>
        <w:t>万元，占本年支出合计的</w:t>
      </w:r>
      <w:r>
        <w:rPr>
          <w:rFonts w:hint="default" w:ascii="Times New Roman" w:hAnsi="Times New Roman" w:eastAsia="仿宋_GB2312" w:cs="Times New Roman"/>
          <w:sz w:val="32"/>
          <w:szCs w:val="32"/>
          <w:highlight w:val="none"/>
        </w:rPr>
        <w:t>0</w:t>
      </w:r>
      <w:r>
        <w:rPr>
          <w:rFonts w:hint="default" w:ascii="Times New Roman" w:hAnsi="Times New Roman" w:eastAsia="仿宋_GB2312" w:cs="Times New Roman"/>
          <w:color w:val="auto"/>
          <w:kern w:val="2"/>
          <w:sz w:val="32"/>
          <w:szCs w:val="32"/>
          <w:highlight w:val="none"/>
          <w:lang w:val="en-US" w:eastAsia="zh-CN" w:bidi="ar-SA"/>
        </w:rPr>
        <w:t>%。与2023年度相比，政府性基金预算财政拨款支出与2023年度决算数持平。</w:t>
      </w:r>
      <w:bookmarkStart w:id="36" w:name="_Toc15396611"/>
      <w:bookmarkStart w:id="37" w:name="_Toc15377219"/>
    </w:p>
    <w:p>
      <w:pPr>
        <w:numPr>
          <w:ilvl w:val="0"/>
          <w:numId w:val="0"/>
        </w:numPr>
        <w:spacing w:line="600" w:lineRule="exact"/>
        <w:ind w:left="630" w:leftChars="0"/>
        <w:outlineLvl w:val="1"/>
        <w:rPr>
          <w:rStyle w:val="31"/>
          <w:rFonts w:hint="default" w:ascii="Times New Roman" w:hAnsi="Times New Roman" w:eastAsia="黑体" w:cs="Times New Roman"/>
          <w:b w:val="0"/>
          <w:color w:val="auto"/>
          <w:highlight w:val="none"/>
        </w:rPr>
      </w:pPr>
      <w:r>
        <w:rPr>
          <w:rStyle w:val="31"/>
          <w:rFonts w:hint="default" w:ascii="Times New Roman" w:hAnsi="Times New Roman" w:eastAsia="黑体" w:cs="Times New Roman"/>
          <w:b w:val="0"/>
          <w:color w:val="auto"/>
          <w:highlight w:val="none"/>
          <w:lang w:eastAsia="zh-CN"/>
        </w:rPr>
        <w:t>九、</w:t>
      </w:r>
      <w:r>
        <w:rPr>
          <w:rStyle w:val="31"/>
          <w:rFonts w:hint="default" w:ascii="Times New Roman" w:hAnsi="Times New Roman" w:eastAsia="黑体" w:cs="Times New Roman"/>
          <w:b w:val="0"/>
          <w:color w:val="auto"/>
          <w:highlight w:val="none"/>
        </w:rPr>
        <w:t>国有资本经营预算支出决算情况说明</w:t>
      </w:r>
      <w:bookmarkEnd w:id="36"/>
      <w:bookmarkEnd w:id="37"/>
    </w:p>
    <w:p>
      <w:pPr>
        <w:spacing w:line="600" w:lineRule="exact"/>
        <w:ind w:firstLine="640"/>
        <w:rPr>
          <w:rStyle w:val="31"/>
          <w:rFonts w:hint="default" w:ascii="Times New Roman" w:hAnsi="Times New Roman" w:eastAsia="黑体" w:cs="Times New Roman"/>
          <w:b w:val="0"/>
          <w:color w:val="auto"/>
          <w:highlight w:val="none"/>
          <w:lang w:eastAsia="zh-CN"/>
        </w:rPr>
      </w:pPr>
      <w:r>
        <w:rPr>
          <w:rFonts w:hint="default" w:ascii="Times New Roman" w:hAnsi="Times New Roman" w:eastAsia="仿宋_GB2312" w:cs="Times New Roman"/>
          <w:color w:val="auto"/>
          <w:kern w:val="2"/>
          <w:sz w:val="32"/>
          <w:szCs w:val="32"/>
          <w:highlight w:val="none"/>
          <w:lang w:val="en-US" w:eastAsia="zh-CN" w:bidi="ar-SA"/>
        </w:rPr>
        <w:t>2024年度国有资本经营预算财政拨款支出</w:t>
      </w:r>
      <w:r>
        <w:rPr>
          <w:rFonts w:hint="default" w:ascii="Times New Roman" w:hAnsi="Times New Roman" w:eastAsia="仿宋_GB2312" w:cs="Times New Roman"/>
          <w:sz w:val="32"/>
          <w:szCs w:val="32"/>
          <w:highlight w:val="none"/>
        </w:rPr>
        <w:t>0</w:t>
      </w:r>
      <w:r>
        <w:rPr>
          <w:rFonts w:hint="default" w:ascii="Times New Roman" w:hAnsi="Times New Roman" w:eastAsia="仿宋_GB2312" w:cs="Times New Roman"/>
          <w:color w:val="auto"/>
          <w:kern w:val="2"/>
          <w:sz w:val="32"/>
          <w:szCs w:val="32"/>
          <w:highlight w:val="none"/>
          <w:lang w:val="en-US" w:eastAsia="zh-CN" w:bidi="ar-SA"/>
        </w:rPr>
        <w:t>万元，占本年支出合计的</w:t>
      </w:r>
      <w:r>
        <w:rPr>
          <w:rFonts w:hint="default" w:ascii="Times New Roman" w:hAnsi="Times New Roman" w:eastAsia="仿宋_GB2312" w:cs="Times New Roman"/>
          <w:sz w:val="32"/>
          <w:szCs w:val="32"/>
          <w:highlight w:val="none"/>
        </w:rPr>
        <w:t>0</w:t>
      </w:r>
      <w:r>
        <w:rPr>
          <w:rFonts w:hint="default" w:ascii="Times New Roman" w:hAnsi="Times New Roman" w:eastAsia="仿宋_GB2312" w:cs="Times New Roman"/>
          <w:color w:val="auto"/>
          <w:kern w:val="2"/>
          <w:sz w:val="32"/>
          <w:szCs w:val="32"/>
          <w:highlight w:val="none"/>
          <w:lang w:val="en-US" w:eastAsia="zh-CN" w:bidi="ar-SA"/>
        </w:rPr>
        <w:t>%。与2023年度相比，国有资本经营预算财政拨款支出与2023年度决算数持平。</w:t>
      </w:r>
      <w:bookmarkStart w:id="38" w:name="_Toc15396612"/>
      <w:bookmarkStart w:id="39" w:name="_Toc15377221"/>
    </w:p>
    <w:p>
      <w:pPr>
        <w:numPr>
          <w:ilvl w:val="0"/>
          <w:numId w:val="0"/>
        </w:numPr>
        <w:spacing w:line="600" w:lineRule="exact"/>
        <w:ind w:left="630" w:leftChars="0"/>
        <w:outlineLvl w:val="1"/>
        <w:rPr>
          <w:rStyle w:val="31"/>
          <w:rFonts w:hint="default" w:ascii="Times New Roman" w:hAnsi="Times New Roman" w:eastAsia="黑体" w:cs="Times New Roman"/>
          <w:b w:val="0"/>
          <w:color w:val="auto"/>
          <w:highlight w:val="none"/>
        </w:rPr>
      </w:pPr>
      <w:r>
        <w:rPr>
          <w:rStyle w:val="31"/>
          <w:rFonts w:hint="default" w:ascii="Times New Roman" w:hAnsi="Times New Roman" w:eastAsia="黑体" w:cs="Times New Roman"/>
          <w:b w:val="0"/>
          <w:color w:val="auto"/>
          <w:highlight w:val="none"/>
          <w:lang w:eastAsia="zh-CN"/>
        </w:rPr>
        <w:t>十、</w:t>
      </w:r>
      <w:r>
        <w:rPr>
          <w:rStyle w:val="31"/>
          <w:rFonts w:hint="default" w:ascii="Times New Roman" w:hAnsi="Times New Roman" w:eastAsia="黑体" w:cs="Times New Roman"/>
          <w:b w:val="0"/>
          <w:color w:val="auto"/>
          <w:highlight w:val="none"/>
        </w:rPr>
        <w:t>其他重要事项的情况说明</w:t>
      </w:r>
      <w:bookmarkEnd w:id="38"/>
      <w:bookmarkEnd w:id="39"/>
    </w:p>
    <w:p>
      <w:pPr>
        <w:spacing w:line="600" w:lineRule="exact"/>
        <w:ind w:firstLine="642" w:firstLineChars="200"/>
        <w:outlineLvl w:val="2"/>
        <w:rPr>
          <w:rFonts w:hint="default" w:ascii="Times New Roman" w:hAnsi="Times New Roman" w:eastAsia="楷体_GB2312" w:cs="Times New Roman"/>
          <w:b/>
          <w:color w:val="auto"/>
          <w:sz w:val="32"/>
          <w:szCs w:val="32"/>
          <w:highlight w:val="none"/>
        </w:rPr>
      </w:pPr>
      <w:bookmarkStart w:id="40" w:name="_Toc15377222"/>
      <w:r>
        <w:rPr>
          <w:rFonts w:hint="default" w:ascii="Times New Roman" w:hAnsi="Times New Roman" w:eastAsia="楷体_GB2312" w:cs="Times New Roman"/>
          <w:b/>
          <w:color w:val="auto"/>
          <w:sz w:val="32"/>
          <w:szCs w:val="32"/>
          <w:highlight w:val="none"/>
        </w:rPr>
        <w:t>（一）机关运行经费支出情况</w:t>
      </w:r>
      <w:bookmarkEnd w:id="40"/>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2024年度，</w:t>
      </w:r>
      <w:r>
        <w:rPr>
          <w:rFonts w:hint="default" w:ascii="Times New Roman" w:hAnsi="Times New Roman" w:eastAsia="仿宋_GB2312" w:cs="Times New Roman"/>
          <w:sz w:val="32"/>
          <w:szCs w:val="32"/>
          <w:highlight w:val="none"/>
        </w:rPr>
        <w:t>四川省盐业学校</w:t>
      </w:r>
      <w:r>
        <w:rPr>
          <w:rFonts w:hint="default" w:ascii="Times New Roman" w:hAnsi="Times New Roman" w:eastAsia="仿宋_GB2312" w:cs="Times New Roman"/>
          <w:color w:val="auto"/>
          <w:kern w:val="2"/>
          <w:sz w:val="32"/>
          <w:szCs w:val="32"/>
          <w:highlight w:val="none"/>
          <w:lang w:val="en-US" w:eastAsia="zh-CN" w:bidi="ar-SA"/>
        </w:rPr>
        <w:t>机关运行经费支出</w:t>
      </w:r>
      <w:r>
        <w:rPr>
          <w:rFonts w:hint="default" w:ascii="Times New Roman" w:hAnsi="Times New Roman" w:eastAsia="仿宋_GB2312" w:cs="Times New Roman"/>
          <w:sz w:val="32"/>
          <w:szCs w:val="32"/>
          <w:highlight w:val="none"/>
        </w:rPr>
        <w:t>0</w:t>
      </w:r>
      <w:r>
        <w:rPr>
          <w:rFonts w:hint="default" w:ascii="Times New Roman" w:hAnsi="Times New Roman" w:eastAsia="仿宋_GB2312" w:cs="Times New Roman"/>
          <w:color w:val="auto"/>
          <w:kern w:val="2"/>
          <w:sz w:val="32"/>
          <w:szCs w:val="32"/>
          <w:highlight w:val="none"/>
          <w:lang w:val="en-US" w:eastAsia="zh-CN" w:bidi="ar-SA"/>
        </w:rPr>
        <w:t>万元，与2023年度决算数持平。</w:t>
      </w:r>
    </w:p>
    <w:p>
      <w:pPr>
        <w:spacing w:line="600" w:lineRule="exact"/>
        <w:ind w:firstLine="642" w:firstLineChars="200"/>
        <w:outlineLvl w:val="2"/>
        <w:rPr>
          <w:rFonts w:hint="default" w:ascii="Times New Roman" w:hAnsi="Times New Roman" w:eastAsia="楷体_GB2312" w:cs="Times New Roman"/>
          <w:b/>
          <w:color w:val="auto"/>
          <w:sz w:val="32"/>
          <w:szCs w:val="32"/>
          <w:highlight w:val="none"/>
        </w:rPr>
      </w:pPr>
      <w:bookmarkStart w:id="41" w:name="_Toc15377223"/>
      <w:r>
        <w:rPr>
          <w:rFonts w:hint="default" w:ascii="Times New Roman" w:hAnsi="Times New Roman" w:eastAsia="楷体_GB2312" w:cs="Times New Roman"/>
          <w:b/>
          <w:color w:val="auto"/>
          <w:sz w:val="32"/>
          <w:szCs w:val="32"/>
          <w:highlight w:val="none"/>
        </w:rPr>
        <w:t>（二）政府采购支出情况</w:t>
      </w:r>
      <w:bookmarkEnd w:id="41"/>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2024年度，</w:t>
      </w:r>
      <w:r>
        <w:rPr>
          <w:rFonts w:hint="default" w:ascii="Times New Roman" w:hAnsi="Times New Roman" w:eastAsia="仿宋_GB2312" w:cs="Times New Roman"/>
          <w:sz w:val="32"/>
          <w:szCs w:val="32"/>
          <w:highlight w:val="none"/>
        </w:rPr>
        <w:t>四川省盐业学校</w:t>
      </w:r>
      <w:r>
        <w:rPr>
          <w:rFonts w:hint="default" w:ascii="Times New Roman" w:hAnsi="Times New Roman" w:eastAsia="仿宋_GB2312" w:cs="Times New Roman"/>
          <w:color w:val="auto"/>
          <w:kern w:val="2"/>
          <w:sz w:val="32"/>
          <w:szCs w:val="32"/>
          <w:highlight w:val="none"/>
          <w:lang w:val="en-US" w:eastAsia="zh-CN" w:bidi="ar-SA"/>
        </w:rPr>
        <w:t>政府采购支出总额</w:t>
      </w:r>
      <w:r>
        <w:rPr>
          <w:rFonts w:hint="default" w:ascii="Times New Roman" w:hAnsi="Times New Roman" w:eastAsia="仿宋_GB2312" w:cs="Times New Roman"/>
          <w:sz w:val="32"/>
          <w:szCs w:val="32"/>
          <w:highlight w:val="none"/>
        </w:rPr>
        <w:t>233.92</w:t>
      </w:r>
      <w:r>
        <w:rPr>
          <w:rFonts w:hint="default" w:ascii="Times New Roman" w:hAnsi="Times New Roman" w:eastAsia="仿宋_GB2312" w:cs="Times New Roman"/>
          <w:color w:val="auto"/>
          <w:kern w:val="2"/>
          <w:sz w:val="32"/>
          <w:szCs w:val="32"/>
          <w:highlight w:val="none"/>
          <w:lang w:val="en-US" w:eastAsia="zh-CN" w:bidi="ar-SA"/>
        </w:rPr>
        <w:t>万元，其中：政府采购货物支出</w:t>
      </w:r>
      <w:r>
        <w:rPr>
          <w:rFonts w:hint="default" w:ascii="Times New Roman" w:hAnsi="Times New Roman" w:eastAsia="仿宋_GB2312" w:cs="Times New Roman"/>
          <w:sz w:val="32"/>
          <w:szCs w:val="32"/>
          <w:highlight w:val="none"/>
        </w:rPr>
        <w:t>178.72</w:t>
      </w:r>
      <w:r>
        <w:rPr>
          <w:rFonts w:hint="default" w:ascii="Times New Roman" w:hAnsi="Times New Roman" w:eastAsia="仿宋_GB2312" w:cs="Times New Roman"/>
          <w:color w:val="auto"/>
          <w:kern w:val="2"/>
          <w:sz w:val="32"/>
          <w:szCs w:val="32"/>
          <w:highlight w:val="none"/>
          <w:lang w:val="en-US" w:eastAsia="zh-CN" w:bidi="ar-SA"/>
        </w:rPr>
        <w:t>万元、政府采购工程支出</w:t>
      </w:r>
      <w:r>
        <w:rPr>
          <w:rFonts w:hint="default" w:ascii="Times New Roman" w:hAnsi="Times New Roman" w:eastAsia="仿宋_GB2312" w:cs="Times New Roman"/>
          <w:sz w:val="32"/>
          <w:szCs w:val="32"/>
          <w:highlight w:val="none"/>
        </w:rPr>
        <w:t>0</w:t>
      </w:r>
      <w:r>
        <w:rPr>
          <w:rFonts w:hint="default" w:ascii="Times New Roman" w:hAnsi="Times New Roman" w:eastAsia="仿宋_GB2312" w:cs="Times New Roman"/>
          <w:color w:val="auto"/>
          <w:kern w:val="2"/>
          <w:sz w:val="32"/>
          <w:szCs w:val="32"/>
          <w:highlight w:val="none"/>
          <w:lang w:val="en-US" w:eastAsia="zh-CN" w:bidi="ar-SA"/>
        </w:rPr>
        <w:t>万元、政府采购服务支出</w:t>
      </w:r>
      <w:r>
        <w:rPr>
          <w:rFonts w:hint="default" w:ascii="Times New Roman" w:hAnsi="Times New Roman" w:eastAsia="仿宋_GB2312" w:cs="Times New Roman"/>
          <w:sz w:val="32"/>
          <w:szCs w:val="32"/>
          <w:highlight w:val="none"/>
        </w:rPr>
        <w:t>55.2</w:t>
      </w:r>
      <w:r>
        <w:rPr>
          <w:rFonts w:hint="default" w:ascii="Times New Roman" w:hAnsi="Times New Roman" w:eastAsia="仿宋_GB2312" w:cs="Times New Roman"/>
          <w:color w:val="auto"/>
          <w:kern w:val="2"/>
          <w:sz w:val="32"/>
          <w:szCs w:val="32"/>
          <w:highlight w:val="none"/>
          <w:lang w:val="en-US" w:eastAsia="zh-CN" w:bidi="ar-SA"/>
        </w:rPr>
        <w:t>万元。主要用于</w:t>
      </w:r>
      <w:r>
        <w:rPr>
          <w:rFonts w:hint="default" w:ascii="Times New Roman" w:hAnsi="Times New Roman" w:eastAsia="仿宋_GB2312" w:cs="Times New Roman"/>
          <w:sz w:val="32"/>
          <w:szCs w:val="32"/>
          <w:highlight w:val="none"/>
        </w:rPr>
        <w:t>教学设备、办公设备、车辆维修保养</w:t>
      </w:r>
      <w:r>
        <w:rPr>
          <w:rFonts w:hint="default" w:ascii="Times New Roman" w:hAnsi="Times New Roman" w:eastAsia="仿宋_GB2312" w:cs="Times New Roman"/>
          <w:color w:val="auto"/>
          <w:kern w:val="2"/>
          <w:sz w:val="32"/>
          <w:szCs w:val="32"/>
          <w:highlight w:val="none"/>
          <w:lang w:val="en-US" w:eastAsia="zh-CN" w:bidi="ar-SA"/>
        </w:rPr>
        <w:t>。授予中小企业合同金额</w:t>
      </w:r>
      <w:r>
        <w:rPr>
          <w:rFonts w:hint="default" w:ascii="Times New Roman" w:hAnsi="Times New Roman" w:eastAsia="仿宋_GB2312" w:cs="Times New Roman"/>
          <w:sz w:val="32"/>
          <w:szCs w:val="32"/>
          <w:highlight w:val="none"/>
        </w:rPr>
        <w:t>233.92</w:t>
      </w:r>
      <w:r>
        <w:rPr>
          <w:rFonts w:hint="default" w:ascii="Times New Roman" w:hAnsi="Times New Roman" w:eastAsia="仿宋_GB2312" w:cs="Times New Roman"/>
          <w:color w:val="auto"/>
          <w:kern w:val="2"/>
          <w:sz w:val="32"/>
          <w:szCs w:val="32"/>
          <w:highlight w:val="none"/>
          <w:lang w:val="en-US" w:eastAsia="zh-CN" w:bidi="ar-SA"/>
        </w:rPr>
        <w:t>万元，占政府采购支出总额的</w:t>
      </w:r>
      <w:r>
        <w:rPr>
          <w:rFonts w:hint="default"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color w:val="auto"/>
          <w:kern w:val="2"/>
          <w:sz w:val="32"/>
          <w:szCs w:val="32"/>
          <w:highlight w:val="none"/>
          <w:lang w:val="en-US" w:eastAsia="zh-CN" w:bidi="ar-SA"/>
        </w:rPr>
        <w:t>%，其中：授予小微企业合同金额</w:t>
      </w:r>
      <w:r>
        <w:rPr>
          <w:rFonts w:hint="default" w:ascii="Times New Roman" w:hAnsi="Times New Roman" w:eastAsia="仿宋_GB2312" w:cs="Times New Roman"/>
          <w:sz w:val="32"/>
          <w:szCs w:val="32"/>
          <w:highlight w:val="none"/>
        </w:rPr>
        <w:t>233.92</w:t>
      </w:r>
      <w:r>
        <w:rPr>
          <w:rFonts w:hint="default" w:ascii="Times New Roman" w:hAnsi="Times New Roman" w:eastAsia="仿宋_GB2312" w:cs="Times New Roman"/>
          <w:color w:val="auto"/>
          <w:kern w:val="2"/>
          <w:sz w:val="32"/>
          <w:szCs w:val="32"/>
          <w:highlight w:val="none"/>
          <w:lang w:val="en-US" w:eastAsia="zh-CN" w:bidi="ar-SA"/>
        </w:rPr>
        <w:t>万元，占政府采购支出总额的10</w:t>
      </w:r>
      <w:r>
        <w:rPr>
          <w:rFonts w:hint="default" w:ascii="Times New Roman" w:hAnsi="Times New Roman" w:eastAsia="仿宋_GB2312" w:cs="Times New Roman"/>
          <w:sz w:val="32"/>
          <w:szCs w:val="32"/>
          <w:highlight w:val="none"/>
        </w:rPr>
        <w:t>0</w:t>
      </w:r>
      <w:r>
        <w:rPr>
          <w:rFonts w:hint="default" w:ascii="Times New Roman" w:hAnsi="Times New Roman" w:eastAsia="仿宋_GB2312" w:cs="Times New Roman"/>
          <w:color w:val="auto"/>
          <w:kern w:val="2"/>
          <w:sz w:val="32"/>
          <w:szCs w:val="32"/>
          <w:highlight w:val="none"/>
          <w:lang w:val="en-US" w:eastAsia="zh-CN" w:bidi="ar-SA"/>
        </w:rPr>
        <w:t>%。</w:t>
      </w:r>
    </w:p>
    <w:p>
      <w:pPr>
        <w:spacing w:line="600" w:lineRule="exact"/>
        <w:ind w:firstLine="642" w:firstLineChars="200"/>
        <w:outlineLvl w:val="2"/>
        <w:rPr>
          <w:rFonts w:hint="default" w:ascii="Times New Roman" w:hAnsi="Times New Roman" w:eastAsia="楷体_GB2312" w:cs="Times New Roman"/>
          <w:b/>
          <w:color w:val="auto"/>
          <w:sz w:val="32"/>
          <w:szCs w:val="32"/>
          <w:highlight w:val="none"/>
        </w:rPr>
      </w:pPr>
      <w:bookmarkStart w:id="42" w:name="_Toc15377224"/>
      <w:r>
        <w:rPr>
          <w:rFonts w:hint="default" w:ascii="Times New Roman" w:hAnsi="Times New Roman" w:eastAsia="楷体_GB2312" w:cs="Times New Roman"/>
          <w:b/>
          <w:color w:val="auto"/>
          <w:sz w:val="32"/>
          <w:szCs w:val="32"/>
          <w:highlight w:val="none"/>
        </w:rPr>
        <w:t>（三）国有资产占有使用情况</w:t>
      </w:r>
      <w:bookmarkEnd w:id="42"/>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截至2024年12月31日，</w:t>
      </w:r>
      <w:r>
        <w:rPr>
          <w:rFonts w:hint="default" w:ascii="Times New Roman" w:hAnsi="Times New Roman" w:eastAsia="仿宋_GB2312" w:cs="Times New Roman"/>
          <w:sz w:val="32"/>
          <w:szCs w:val="32"/>
          <w:highlight w:val="none"/>
        </w:rPr>
        <w:t>四川省盐业学校</w:t>
      </w:r>
      <w:r>
        <w:rPr>
          <w:rFonts w:hint="default" w:ascii="Times New Roman" w:hAnsi="Times New Roman" w:eastAsia="仿宋_GB2312" w:cs="Times New Roman"/>
          <w:color w:val="auto"/>
          <w:kern w:val="2"/>
          <w:sz w:val="32"/>
          <w:szCs w:val="32"/>
          <w:highlight w:val="none"/>
          <w:lang w:val="en-US" w:eastAsia="zh-CN" w:bidi="ar-SA"/>
        </w:rPr>
        <w:t>共有车辆</w:t>
      </w:r>
      <w:r>
        <w:rPr>
          <w:rFonts w:hint="default" w:ascii="Times New Roman" w:hAnsi="Times New Roman" w:eastAsia="仿宋_GB2312" w:cs="Times New Roman"/>
          <w:sz w:val="32"/>
          <w:szCs w:val="32"/>
          <w:highlight w:val="none"/>
        </w:rPr>
        <w:t>3</w:t>
      </w:r>
      <w:r>
        <w:rPr>
          <w:rFonts w:hint="default" w:ascii="Times New Roman" w:hAnsi="Times New Roman" w:eastAsia="仿宋_GB2312" w:cs="Times New Roman"/>
          <w:color w:val="auto"/>
          <w:kern w:val="2"/>
          <w:sz w:val="32"/>
          <w:szCs w:val="32"/>
          <w:highlight w:val="none"/>
          <w:lang w:val="en-US" w:eastAsia="zh-CN" w:bidi="ar-SA"/>
        </w:rPr>
        <w:t>辆，其中：主要负责人用车</w:t>
      </w:r>
      <w:r>
        <w:rPr>
          <w:rFonts w:hint="default" w:ascii="Times New Roman" w:hAnsi="Times New Roman" w:eastAsia="仿宋_GB2312" w:cs="Times New Roman"/>
          <w:sz w:val="32"/>
          <w:szCs w:val="32"/>
          <w:highlight w:val="none"/>
        </w:rPr>
        <w:t>0</w:t>
      </w:r>
      <w:r>
        <w:rPr>
          <w:rFonts w:hint="default" w:ascii="Times New Roman" w:hAnsi="Times New Roman" w:eastAsia="仿宋_GB2312" w:cs="Times New Roman"/>
          <w:color w:val="auto"/>
          <w:kern w:val="2"/>
          <w:sz w:val="32"/>
          <w:szCs w:val="32"/>
          <w:highlight w:val="none"/>
          <w:lang w:val="en-US" w:eastAsia="zh-CN" w:bidi="ar-SA"/>
        </w:rPr>
        <w:t>辆、机要通信用车</w:t>
      </w:r>
      <w:r>
        <w:rPr>
          <w:rFonts w:hint="default" w:ascii="Times New Roman" w:hAnsi="Times New Roman" w:eastAsia="仿宋_GB2312" w:cs="Times New Roman"/>
          <w:sz w:val="32"/>
          <w:szCs w:val="32"/>
          <w:highlight w:val="none"/>
        </w:rPr>
        <w:t>0</w:t>
      </w:r>
      <w:r>
        <w:rPr>
          <w:rFonts w:hint="default" w:ascii="Times New Roman" w:hAnsi="Times New Roman" w:eastAsia="仿宋_GB2312" w:cs="Times New Roman"/>
          <w:color w:val="auto"/>
          <w:kern w:val="2"/>
          <w:sz w:val="32"/>
          <w:szCs w:val="32"/>
          <w:highlight w:val="none"/>
          <w:lang w:val="en-US" w:eastAsia="zh-CN" w:bidi="ar-SA"/>
        </w:rPr>
        <w:t>辆、应急保障用车</w:t>
      </w:r>
      <w:r>
        <w:rPr>
          <w:rFonts w:hint="default" w:ascii="Times New Roman" w:hAnsi="Times New Roman" w:eastAsia="仿宋_GB2312" w:cs="Times New Roman"/>
          <w:sz w:val="32"/>
          <w:szCs w:val="32"/>
          <w:highlight w:val="none"/>
        </w:rPr>
        <w:t>0</w:t>
      </w:r>
      <w:r>
        <w:rPr>
          <w:rFonts w:hint="default" w:ascii="Times New Roman" w:hAnsi="Times New Roman" w:eastAsia="仿宋_GB2312" w:cs="Times New Roman"/>
          <w:color w:val="auto"/>
          <w:kern w:val="2"/>
          <w:sz w:val="32"/>
          <w:szCs w:val="32"/>
          <w:highlight w:val="none"/>
          <w:lang w:val="en-US" w:eastAsia="zh-CN" w:bidi="ar-SA"/>
        </w:rPr>
        <w:t>辆、其他用车</w:t>
      </w:r>
      <w:r>
        <w:rPr>
          <w:rFonts w:hint="default" w:ascii="Times New Roman" w:hAnsi="Times New Roman" w:eastAsia="仿宋_GB2312" w:cs="Times New Roman"/>
          <w:sz w:val="32"/>
          <w:szCs w:val="32"/>
          <w:highlight w:val="none"/>
        </w:rPr>
        <w:t>3</w:t>
      </w:r>
      <w:r>
        <w:rPr>
          <w:rFonts w:hint="default" w:ascii="Times New Roman" w:hAnsi="Times New Roman" w:eastAsia="仿宋_GB2312" w:cs="Times New Roman"/>
          <w:color w:val="auto"/>
          <w:kern w:val="2"/>
          <w:sz w:val="32"/>
          <w:szCs w:val="32"/>
          <w:highlight w:val="none"/>
          <w:lang w:val="en-US" w:eastAsia="zh-CN" w:bidi="ar-SA"/>
        </w:rPr>
        <w:t>辆，其他用车主要是用于</w:t>
      </w:r>
      <w:r>
        <w:rPr>
          <w:rFonts w:hint="default" w:ascii="Times New Roman" w:hAnsi="Times New Roman" w:eastAsia="仿宋_GB2312" w:cs="Times New Roman"/>
          <w:sz w:val="32"/>
          <w:szCs w:val="32"/>
          <w:highlight w:val="none"/>
        </w:rPr>
        <w:t>招生就业</w:t>
      </w:r>
      <w:r>
        <w:rPr>
          <w:rFonts w:hint="eastAsia" w:eastAsia="仿宋_GB2312" w:cs="Times New Roman"/>
          <w:sz w:val="32"/>
          <w:szCs w:val="32"/>
          <w:highlight w:val="none"/>
          <w:lang w:eastAsia="zh-CN"/>
        </w:rPr>
        <w:t>和业务用车</w:t>
      </w:r>
      <w:r>
        <w:rPr>
          <w:rFonts w:hint="default" w:ascii="Times New Roman" w:hAnsi="Times New Roman" w:eastAsia="仿宋_GB2312" w:cs="Times New Roman"/>
          <w:color w:val="auto"/>
          <w:kern w:val="2"/>
          <w:sz w:val="32"/>
          <w:szCs w:val="32"/>
          <w:highlight w:val="none"/>
          <w:lang w:val="en-US" w:eastAsia="zh-CN" w:bidi="ar-SA"/>
        </w:rPr>
        <w:t>。单价100万元（含）以上设备（不含车辆）</w:t>
      </w:r>
      <w:r>
        <w:rPr>
          <w:rFonts w:hint="default" w:ascii="Times New Roman" w:hAnsi="Times New Roman" w:eastAsia="仿宋_GB2312" w:cs="Times New Roman"/>
          <w:sz w:val="32"/>
          <w:szCs w:val="32"/>
          <w:highlight w:val="none"/>
        </w:rPr>
        <w:t>0</w:t>
      </w:r>
      <w:r>
        <w:rPr>
          <w:rFonts w:hint="default" w:ascii="Times New Roman" w:hAnsi="Times New Roman" w:eastAsia="仿宋_GB2312" w:cs="Times New Roman"/>
          <w:color w:val="auto"/>
          <w:kern w:val="2"/>
          <w:sz w:val="32"/>
          <w:szCs w:val="32"/>
          <w:highlight w:val="none"/>
          <w:lang w:val="en-US" w:eastAsia="zh-CN" w:bidi="ar-SA"/>
        </w:rPr>
        <w:t>台（套）。</w:t>
      </w:r>
    </w:p>
    <w:p>
      <w:pPr>
        <w:spacing w:line="600" w:lineRule="exact"/>
        <w:ind w:firstLine="642" w:firstLineChars="200"/>
        <w:outlineLvl w:val="2"/>
        <w:rPr>
          <w:rFonts w:hint="default" w:ascii="Times New Roman" w:hAnsi="Times New Roman" w:eastAsia="楷体_GB2312" w:cs="Times New Roman"/>
          <w:b/>
          <w:color w:val="auto"/>
          <w:sz w:val="32"/>
          <w:szCs w:val="32"/>
          <w:highlight w:val="none"/>
        </w:rPr>
      </w:pPr>
      <w:r>
        <w:rPr>
          <w:rFonts w:hint="default" w:ascii="Times New Roman" w:hAnsi="Times New Roman" w:eastAsia="楷体_GB2312" w:cs="Times New Roman"/>
          <w:b/>
          <w:color w:val="auto"/>
          <w:sz w:val="32"/>
          <w:szCs w:val="32"/>
          <w:highlight w:val="none"/>
        </w:rPr>
        <w:t>（四）预算绩效管理情况</w:t>
      </w:r>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根据预算绩效管理要求，</w:t>
      </w:r>
      <w:r>
        <w:rPr>
          <w:rFonts w:hint="default" w:ascii="Times New Roman" w:hAnsi="Times New Roman" w:eastAsia="仿宋_GB2312" w:cs="Times New Roman"/>
          <w:sz w:val="32"/>
          <w:szCs w:val="32"/>
          <w:highlight w:val="none"/>
        </w:rPr>
        <w:t>本单位</w:t>
      </w:r>
      <w:r>
        <w:rPr>
          <w:rFonts w:hint="default" w:ascii="Times New Roman" w:hAnsi="Times New Roman" w:eastAsia="仿宋_GB2312" w:cs="Times New Roman"/>
          <w:color w:val="auto"/>
          <w:kern w:val="2"/>
          <w:sz w:val="32"/>
          <w:szCs w:val="32"/>
          <w:highlight w:val="none"/>
          <w:lang w:val="en-US" w:eastAsia="zh-CN" w:bidi="ar-SA"/>
        </w:rPr>
        <w:t>在2024年度预算编制阶段，组织对中等职业教育学生资助补助经费（中央级）</w:t>
      </w:r>
      <w:r>
        <w:rPr>
          <w:rFonts w:hint="eastAsia" w:eastAsia="仿宋_GB2312" w:cs="Times New Roman"/>
          <w:color w:val="auto"/>
          <w:kern w:val="2"/>
          <w:sz w:val="32"/>
          <w:szCs w:val="32"/>
          <w:highlight w:val="none"/>
          <w:lang w:val="en-US" w:eastAsia="zh-CN" w:bidi="ar-SA"/>
        </w:rPr>
        <w:t>5</w:t>
      </w:r>
      <w:r>
        <w:rPr>
          <w:rFonts w:hint="default" w:ascii="Times New Roman" w:hAnsi="Times New Roman" w:eastAsia="仿宋_GB2312" w:cs="Times New Roman"/>
          <w:color w:val="auto"/>
          <w:kern w:val="2"/>
          <w:sz w:val="32"/>
          <w:szCs w:val="32"/>
          <w:highlight w:val="none"/>
          <w:lang w:val="en-US" w:eastAsia="zh-CN" w:bidi="ar-SA"/>
        </w:rPr>
        <w:t>个项目开展了预算事前绩效评估，对</w:t>
      </w:r>
      <w:r>
        <w:rPr>
          <w:rFonts w:hint="eastAsia" w:eastAsia="仿宋_GB2312" w:cs="Times New Roman"/>
          <w:color w:val="auto"/>
          <w:kern w:val="2"/>
          <w:sz w:val="32"/>
          <w:szCs w:val="32"/>
          <w:highlight w:val="none"/>
          <w:lang w:val="en-US" w:eastAsia="zh-CN" w:bidi="ar-SA"/>
        </w:rPr>
        <w:t>5</w:t>
      </w:r>
      <w:r>
        <w:rPr>
          <w:rFonts w:hint="default" w:ascii="Times New Roman" w:hAnsi="Times New Roman" w:eastAsia="仿宋_GB2312" w:cs="Times New Roman"/>
          <w:color w:val="auto"/>
          <w:kern w:val="2"/>
          <w:sz w:val="32"/>
          <w:szCs w:val="32"/>
          <w:highlight w:val="none"/>
          <w:lang w:val="en-US" w:eastAsia="zh-CN" w:bidi="ar-SA"/>
        </w:rPr>
        <w:t>个项目编制了绩效目标，预算执行过程中，选取</w:t>
      </w:r>
      <w:r>
        <w:rPr>
          <w:rFonts w:hint="eastAsia" w:eastAsia="仿宋_GB2312" w:cs="Times New Roman"/>
          <w:color w:val="auto"/>
          <w:kern w:val="2"/>
          <w:sz w:val="32"/>
          <w:szCs w:val="32"/>
          <w:highlight w:val="none"/>
          <w:lang w:val="en-US" w:eastAsia="zh-CN" w:bidi="ar-SA"/>
        </w:rPr>
        <w:t>5</w:t>
      </w:r>
      <w:r>
        <w:rPr>
          <w:rFonts w:hint="default" w:ascii="Times New Roman" w:hAnsi="Times New Roman" w:eastAsia="仿宋_GB2312" w:cs="Times New Roman"/>
          <w:color w:val="auto"/>
          <w:kern w:val="2"/>
          <w:sz w:val="32"/>
          <w:szCs w:val="32"/>
          <w:highlight w:val="none"/>
          <w:lang w:val="en-US" w:eastAsia="zh-CN" w:bidi="ar-SA"/>
        </w:rPr>
        <w:t>个项目开展绩效监控。</w:t>
      </w:r>
    </w:p>
    <w:p>
      <w:pPr>
        <w:numPr>
          <w:ilvl w:val="0"/>
          <w:numId w:val="0"/>
        </w:numPr>
        <w:spacing w:line="600" w:lineRule="exact"/>
        <w:jc w:val="center"/>
        <w:outlineLvl w:val="0"/>
        <w:rPr>
          <w:rFonts w:hint="default" w:ascii="Times New Roman" w:hAnsi="Times New Roman" w:eastAsia="黑体" w:cs="Times New Roman"/>
          <w:color w:val="auto"/>
          <w:sz w:val="44"/>
          <w:szCs w:val="44"/>
          <w:highlight w:val="none"/>
        </w:rPr>
      </w:pPr>
      <w:bookmarkStart w:id="43" w:name="_Toc15396613"/>
      <w:bookmarkStart w:id="44" w:name="_Toc15377225"/>
    </w:p>
    <w:p>
      <w:pPr>
        <w:numPr>
          <w:ilvl w:val="0"/>
          <w:numId w:val="0"/>
        </w:numPr>
        <w:spacing w:line="600" w:lineRule="exact"/>
        <w:jc w:val="center"/>
        <w:outlineLvl w:val="0"/>
        <w:rPr>
          <w:rFonts w:hint="default" w:ascii="Times New Roman" w:hAnsi="Times New Roman" w:eastAsia="黑体" w:cs="Times New Roman"/>
          <w:color w:val="auto"/>
          <w:sz w:val="44"/>
          <w:szCs w:val="44"/>
          <w:highlight w:val="none"/>
        </w:rPr>
      </w:pPr>
    </w:p>
    <w:p>
      <w:pPr>
        <w:numPr>
          <w:ilvl w:val="0"/>
          <w:numId w:val="0"/>
        </w:numPr>
        <w:spacing w:line="600" w:lineRule="exact"/>
        <w:jc w:val="center"/>
        <w:outlineLvl w:val="0"/>
        <w:rPr>
          <w:rFonts w:hint="default" w:ascii="Times New Roman" w:hAnsi="Times New Roman" w:eastAsia="黑体" w:cs="Times New Roman"/>
          <w:color w:val="auto"/>
          <w:sz w:val="44"/>
          <w:szCs w:val="44"/>
          <w:highlight w:val="none"/>
        </w:rPr>
      </w:pPr>
    </w:p>
    <w:p>
      <w:pPr>
        <w:numPr>
          <w:ilvl w:val="0"/>
          <w:numId w:val="0"/>
        </w:numPr>
        <w:spacing w:line="600" w:lineRule="exact"/>
        <w:jc w:val="center"/>
        <w:outlineLvl w:val="0"/>
        <w:rPr>
          <w:rFonts w:hint="default" w:ascii="Times New Roman" w:hAnsi="Times New Roman" w:eastAsia="黑体" w:cs="Times New Roman"/>
          <w:color w:val="auto"/>
          <w:sz w:val="44"/>
          <w:szCs w:val="44"/>
          <w:highlight w:val="none"/>
        </w:rPr>
      </w:pPr>
    </w:p>
    <w:p>
      <w:pPr>
        <w:numPr>
          <w:ilvl w:val="0"/>
          <w:numId w:val="0"/>
        </w:numPr>
        <w:spacing w:line="600" w:lineRule="exact"/>
        <w:jc w:val="center"/>
        <w:outlineLvl w:val="0"/>
        <w:rPr>
          <w:rFonts w:hint="default" w:ascii="Times New Roman" w:hAnsi="Times New Roman" w:eastAsia="黑体" w:cs="Times New Roman"/>
          <w:color w:val="auto"/>
          <w:sz w:val="44"/>
          <w:szCs w:val="44"/>
          <w:highlight w:val="none"/>
        </w:rPr>
      </w:pPr>
    </w:p>
    <w:p>
      <w:pPr>
        <w:numPr>
          <w:ilvl w:val="0"/>
          <w:numId w:val="0"/>
        </w:numPr>
        <w:spacing w:line="600" w:lineRule="exact"/>
        <w:jc w:val="center"/>
        <w:outlineLvl w:val="0"/>
        <w:rPr>
          <w:rFonts w:hint="default" w:ascii="Times New Roman" w:hAnsi="Times New Roman" w:eastAsia="黑体" w:cs="Times New Roman"/>
          <w:color w:val="auto"/>
          <w:sz w:val="44"/>
          <w:szCs w:val="44"/>
          <w:highlight w:val="none"/>
        </w:rPr>
      </w:pPr>
    </w:p>
    <w:p>
      <w:pPr>
        <w:numPr>
          <w:ilvl w:val="0"/>
          <w:numId w:val="0"/>
        </w:numPr>
        <w:spacing w:line="600" w:lineRule="exact"/>
        <w:jc w:val="center"/>
        <w:outlineLvl w:val="0"/>
        <w:rPr>
          <w:rFonts w:hint="default" w:ascii="Times New Roman" w:hAnsi="Times New Roman" w:eastAsia="黑体" w:cs="Times New Roman"/>
          <w:color w:val="auto"/>
          <w:sz w:val="44"/>
          <w:szCs w:val="44"/>
          <w:highlight w:val="none"/>
        </w:rPr>
      </w:pPr>
    </w:p>
    <w:p>
      <w:pPr>
        <w:numPr>
          <w:ilvl w:val="0"/>
          <w:numId w:val="0"/>
        </w:numPr>
        <w:spacing w:line="600" w:lineRule="exact"/>
        <w:jc w:val="center"/>
        <w:outlineLvl w:val="0"/>
        <w:rPr>
          <w:rFonts w:hint="default" w:ascii="Times New Roman" w:hAnsi="Times New Roman" w:eastAsia="黑体" w:cs="Times New Roman"/>
          <w:color w:val="auto"/>
          <w:sz w:val="44"/>
          <w:szCs w:val="44"/>
          <w:highlight w:val="none"/>
        </w:rPr>
      </w:pPr>
    </w:p>
    <w:p>
      <w:pPr>
        <w:numPr>
          <w:ilvl w:val="0"/>
          <w:numId w:val="0"/>
        </w:numPr>
        <w:spacing w:line="600" w:lineRule="exact"/>
        <w:jc w:val="both"/>
        <w:outlineLvl w:val="0"/>
        <w:rPr>
          <w:rFonts w:hint="default" w:ascii="Times New Roman" w:hAnsi="Times New Roman" w:eastAsia="黑体" w:cs="Times New Roman"/>
          <w:color w:val="auto"/>
          <w:sz w:val="44"/>
          <w:szCs w:val="44"/>
          <w:highlight w:val="none"/>
        </w:rPr>
      </w:pPr>
    </w:p>
    <w:p>
      <w:pPr>
        <w:numPr>
          <w:ilvl w:val="0"/>
          <w:numId w:val="0"/>
        </w:numPr>
        <w:spacing w:line="600" w:lineRule="exact"/>
        <w:jc w:val="center"/>
        <w:outlineLvl w:val="0"/>
        <w:rPr>
          <w:rFonts w:hint="default" w:ascii="Times New Roman" w:hAnsi="Times New Roman" w:eastAsia="黑体" w:cs="Times New Roman"/>
          <w:color w:val="auto"/>
          <w:sz w:val="44"/>
          <w:szCs w:val="44"/>
          <w:highlight w:val="none"/>
        </w:rPr>
      </w:pPr>
      <w:r>
        <w:rPr>
          <w:rFonts w:hint="default" w:ascii="Times New Roman" w:hAnsi="Times New Roman" w:eastAsia="黑体" w:cs="Times New Roman"/>
          <w:color w:val="auto"/>
          <w:sz w:val="44"/>
          <w:szCs w:val="44"/>
          <w:highlight w:val="none"/>
        </w:rPr>
        <w:t>第</w:t>
      </w:r>
      <w:r>
        <w:rPr>
          <w:rFonts w:hint="default" w:ascii="Times New Roman" w:hAnsi="Times New Roman" w:eastAsia="黑体" w:cs="Times New Roman"/>
          <w:color w:val="auto"/>
          <w:sz w:val="44"/>
          <w:szCs w:val="44"/>
          <w:highlight w:val="none"/>
          <w:lang w:eastAsia="zh-CN"/>
        </w:rPr>
        <w:t>三</w:t>
      </w:r>
      <w:r>
        <w:rPr>
          <w:rFonts w:hint="default" w:ascii="Times New Roman" w:hAnsi="Times New Roman" w:eastAsia="黑体" w:cs="Times New Roman"/>
          <w:color w:val="auto"/>
          <w:sz w:val="44"/>
          <w:szCs w:val="44"/>
          <w:highlight w:val="none"/>
        </w:rPr>
        <w:t>部分</w:t>
      </w:r>
      <w:r>
        <w:rPr>
          <w:rFonts w:hint="default" w:ascii="Times New Roman" w:hAnsi="Times New Roman" w:eastAsia="黑体" w:cs="Times New Roman"/>
          <w:color w:val="auto"/>
          <w:sz w:val="44"/>
          <w:szCs w:val="44"/>
          <w:highlight w:val="none"/>
          <w:lang w:val="en-US" w:eastAsia="zh-CN"/>
        </w:rPr>
        <w:t xml:space="preserve">  </w:t>
      </w:r>
      <w:r>
        <w:rPr>
          <w:rFonts w:hint="default" w:ascii="Times New Roman" w:hAnsi="Times New Roman" w:eastAsia="黑体" w:cs="Times New Roman"/>
          <w:color w:val="auto"/>
          <w:sz w:val="44"/>
          <w:szCs w:val="44"/>
          <w:highlight w:val="none"/>
        </w:rPr>
        <w:t>名词解释</w:t>
      </w:r>
      <w:bookmarkEnd w:id="43"/>
      <w:bookmarkEnd w:id="44"/>
    </w:p>
    <w:p>
      <w:pPr>
        <w:spacing w:line="600" w:lineRule="exact"/>
        <w:jc w:val="left"/>
        <w:rPr>
          <w:rFonts w:hint="default" w:ascii="Times New Roman" w:hAnsi="Times New Roman" w:cs="Times New Roman"/>
          <w:b/>
          <w:color w:val="auto"/>
          <w:sz w:val="44"/>
          <w:szCs w:val="44"/>
          <w:highlight w:val="none"/>
        </w:rPr>
      </w:pPr>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1.财政拨款收入：指单位从同级财政部门取得的财政预算资金。</w:t>
      </w:r>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2.事业收入：指事业单位开展专业业务活动及辅助活动取得的收入。</w:t>
      </w:r>
    </w:p>
    <w:p>
      <w:pPr>
        <w:pStyle w:val="28"/>
        <w:spacing w:line="560" w:lineRule="exact"/>
        <w:ind w:firstLine="640" w:firstLineChars="200"/>
        <w:rPr>
          <w:rFonts w:hint="default" w:ascii="Times New Roman" w:hAnsi="Times New Roman" w:eastAsia="仿宋_GB2312" w:cs="Times New Roman"/>
          <w:color w:val="auto"/>
          <w:sz w:val="32"/>
          <w:szCs w:val="32"/>
          <w:highlight w:val="none"/>
        </w:rPr>
      </w:pPr>
      <w:r>
        <w:rPr>
          <w:rFonts w:hint="eastAsia" w:ascii="Times New Roman" w:hAnsi="Times New Roman" w:eastAsia="仿宋_GB2312" w:cs="Times New Roman"/>
          <w:color w:val="auto"/>
          <w:kern w:val="2"/>
          <w:sz w:val="32"/>
          <w:szCs w:val="32"/>
          <w:highlight w:val="none"/>
          <w:lang w:val="en-US" w:eastAsia="zh-CN" w:bidi="ar-SA"/>
        </w:rPr>
        <w:t>3</w:t>
      </w:r>
      <w:r>
        <w:rPr>
          <w:rFonts w:hint="default" w:ascii="Times New Roman" w:hAnsi="Times New Roman" w:eastAsia="仿宋_GB2312" w:cs="Times New Roman"/>
          <w:color w:val="auto"/>
          <w:kern w:val="2"/>
          <w:sz w:val="32"/>
          <w:szCs w:val="32"/>
          <w:highlight w:val="none"/>
          <w:lang w:val="en-US" w:eastAsia="zh-CN" w:bidi="ar-SA"/>
        </w:rPr>
        <w:t>.其他收入：指单位取得的除上述收入以外的各项收入。</w:t>
      </w:r>
      <w:r>
        <w:rPr>
          <w:rFonts w:hint="default" w:ascii="Times New Roman" w:hAnsi="Times New Roman" w:eastAsia="仿宋_GB2312" w:cs="Times New Roman"/>
          <w:color w:val="auto"/>
          <w:sz w:val="32"/>
          <w:szCs w:val="32"/>
          <w:highlight w:val="none"/>
        </w:rPr>
        <w:t xml:space="preserve">主要是捐赠收入、利息收入等。 </w:t>
      </w:r>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eastAsia" w:eastAsia="仿宋_GB2312" w:cs="Times New Roman"/>
          <w:color w:val="auto"/>
          <w:kern w:val="2"/>
          <w:sz w:val="32"/>
          <w:szCs w:val="32"/>
          <w:highlight w:val="none"/>
          <w:lang w:val="en-US" w:eastAsia="zh-CN" w:bidi="ar-SA"/>
        </w:rPr>
        <w:t>4</w:t>
      </w:r>
      <w:r>
        <w:rPr>
          <w:rFonts w:hint="default" w:ascii="Times New Roman" w:hAnsi="Times New Roman" w:eastAsia="仿宋_GB2312" w:cs="Times New Roman"/>
          <w:color w:val="auto"/>
          <w:kern w:val="2"/>
          <w:sz w:val="32"/>
          <w:szCs w:val="32"/>
          <w:highlight w:val="none"/>
          <w:lang w:val="en-US" w:eastAsia="zh-CN" w:bidi="ar-SA"/>
        </w:rPr>
        <w:t xml:space="preserve">.使用非财政拨款结余（含专用结余）：指事业单位使用以前年度积累的非财政拨款结余弥补当年收支差额的金额。 </w:t>
      </w:r>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eastAsia" w:eastAsia="仿宋_GB2312" w:cs="Times New Roman"/>
          <w:color w:val="auto"/>
          <w:kern w:val="2"/>
          <w:sz w:val="32"/>
          <w:szCs w:val="32"/>
          <w:highlight w:val="none"/>
          <w:lang w:val="en-US" w:eastAsia="zh-CN" w:bidi="ar-SA"/>
        </w:rPr>
        <w:t>5</w:t>
      </w:r>
      <w:r>
        <w:rPr>
          <w:rFonts w:hint="default" w:ascii="Times New Roman" w:hAnsi="Times New Roman" w:eastAsia="仿宋_GB2312" w:cs="Times New Roman"/>
          <w:color w:val="auto"/>
          <w:kern w:val="2"/>
          <w:sz w:val="32"/>
          <w:szCs w:val="32"/>
          <w:highlight w:val="none"/>
          <w:lang w:val="en-US" w:eastAsia="zh-CN" w:bidi="ar-SA"/>
        </w:rPr>
        <w:t xml:space="preserve">.年初结转和结余：指以前年度尚未完成、结转到本年按有关规定继续使用的资金。 </w:t>
      </w:r>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eastAsia" w:eastAsia="仿宋_GB2312" w:cs="Times New Roman"/>
          <w:color w:val="auto"/>
          <w:kern w:val="2"/>
          <w:sz w:val="32"/>
          <w:szCs w:val="32"/>
          <w:highlight w:val="none"/>
          <w:lang w:val="en-US" w:eastAsia="zh-CN" w:bidi="ar-SA"/>
        </w:rPr>
        <w:t>6</w:t>
      </w:r>
      <w:r>
        <w:rPr>
          <w:rFonts w:hint="default" w:ascii="Times New Roman" w:hAnsi="Times New Roman" w:eastAsia="仿宋_GB2312" w:cs="Times New Roman"/>
          <w:color w:val="auto"/>
          <w:kern w:val="2"/>
          <w:sz w:val="32"/>
          <w:szCs w:val="32"/>
          <w:highlight w:val="none"/>
          <w:lang w:val="en-US" w:eastAsia="zh-CN" w:bidi="ar-SA"/>
        </w:rPr>
        <w:t>.结余分配：指事业单位按照会计制度规定缴纳的所得税、提取的专用结余以及转入非财政拨款结余的金额等。</w:t>
      </w:r>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eastAsia" w:eastAsia="仿宋_GB2312" w:cs="Times New Roman"/>
          <w:color w:val="auto"/>
          <w:kern w:val="2"/>
          <w:sz w:val="32"/>
          <w:szCs w:val="32"/>
          <w:highlight w:val="none"/>
          <w:lang w:val="en-US" w:eastAsia="zh-CN" w:bidi="ar-SA"/>
        </w:rPr>
        <w:t>7</w:t>
      </w:r>
      <w:r>
        <w:rPr>
          <w:rFonts w:hint="default" w:ascii="Times New Roman" w:hAnsi="Times New Roman" w:eastAsia="仿宋_GB2312" w:cs="Times New Roman"/>
          <w:color w:val="auto"/>
          <w:kern w:val="2"/>
          <w:sz w:val="32"/>
          <w:szCs w:val="32"/>
          <w:highlight w:val="none"/>
          <w:lang w:val="en-US" w:eastAsia="zh-CN" w:bidi="ar-SA"/>
        </w:rPr>
        <w:t>.年末结转和结余：指单位按有关规定结转到下年或以后年度继续使用的资金。</w:t>
      </w:r>
    </w:p>
    <w:p>
      <w:pPr>
        <w:ind w:firstLine="640" w:firstLineChars="200"/>
        <w:rPr>
          <w:rFonts w:hint="default" w:ascii="Times New Roman" w:hAnsi="Times New Roman" w:eastAsia="仿宋_GB2312" w:cs="Times New Roman"/>
          <w:color w:val="000000"/>
          <w:sz w:val="32"/>
          <w:szCs w:val="32"/>
          <w:highlight w:val="none"/>
        </w:rPr>
      </w:pPr>
      <w:r>
        <w:rPr>
          <w:rFonts w:hint="eastAsia" w:eastAsia="仿宋_GB2312" w:cs="Times New Roman"/>
          <w:color w:val="auto"/>
          <w:kern w:val="2"/>
          <w:sz w:val="32"/>
          <w:szCs w:val="32"/>
          <w:highlight w:val="none"/>
          <w:lang w:val="en-US" w:eastAsia="zh-CN" w:bidi="ar-SA"/>
        </w:rPr>
        <w:t>8</w:t>
      </w:r>
      <w:r>
        <w:rPr>
          <w:rFonts w:hint="default"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000000"/>
          <w:sz w:val="32"/>
          <w:szCs w:val="32"/>
          <w:highlight w:val="none"/>
        </w:rPr>
        <w:t>教育（类）职业教育（款）中专教育（项）：指反映各部门举办的各类中等专业学校的支出。</w:t>
      </w:r>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eastAsia" w:eastAsia="仿宋_GB2312" w:cs="Times New Roman"/>
          <w:color w:val="auto"/>
          <w:kern w:val="2"/>
          <w:sz w:val="32"/>
          <w:szCs w:val="32"/>
          <w:highlight w:val="none"/>
          <w:lang w:val="en-US" w:eastAsia="zh-CN" w:bidi="ar-SA"/>
        </w:rPr>
        <w:t>9</w:t>
      </w:r>
      <w:r>
        <w:rPr>
          <w:rFonts w:hint="default" w:ascii="Times New Roman" w:hAnsi="Times New Roman" w:eastAsia="仿宋_GB2312" w:cs="Times New Roman"/>
          <w:color w:val="auto"/>
          <w:kern w:val="2"/>
          <w:sz w:val="32"/>
          <w:szCs w:val="32"/>
          <w:highlight w:val="none"/>
          <w:lang w:val="en-US" w:eastAsia="zh-CN" w:bidi="ar-SA"/>
        </w:rPr>
        <w:t>.基本支出：指为保障机构正常运转、完成日常工作任务而发生的人员支出和公用支出。</w:t>
      </w:r>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1</w:t>
      </w:r>
      <w:r>
        <w:rPr>
          <w:rFonts w:hint="eastAsia" w:eastAsia="仿宋_GB2312" w:cs="Times New Roman"/>
          <w:color w:val="auto"/>
          <w:kern w:val="2"/>
          <w:sz w:val="32"/>
          <w:szCs w:val="32"/>
          <w:highlight w:val="none"/>
          <w:lang w:val="en-US" w:eastAsia="zh-CN" w:bidi="ar-SA"/>
        </w:rPr>
        <w:t>0</w:t>
      </w:r>
      <w:r>
        <w:rPr>
          <w:rFonts w:hint="default" w:ascii="Times New Roman" w:hAnsi="Times New Roman" w:eastAsia="仿宋_GB2312" w:cs="Times New Roman"/>
          <w:color w:val="auto"/>
          <w:kern w:val="2"/>
          <w:sz w:val="32"/>
          <w:szCs w:val="32"/>
          <w:highlight w:val="none"/>
          <w:lang w:val="en-US" w:eastAsia="zh-CN" w:bidi="ar-SA"/>
        </w:rPr>
        <w:t xml:space="preserve">.项目支出：指在基本支出之外为完成特定行政任务和事业发展目标所发生的支出。 </w:t>
      </w:r>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1</w:t>
      </w:r>
      <w:r>
        <w:rPr>
          <w:rFonts w:hint="eastAsia" w:eastAsia="仿宋_GB2312" w:cs="Times New Roman"/>
          <w:color w:val="auto"/>
          <w:kern w:val="2"/>
          <w:sz w:val="32"/>
          <w:szCs w:val="32"/>
          <w:highlight w:val="none"/>
          <w:lang w:val="en-US" w:eastAsia="zh-CN" w:bidi="ar-SA"/>
        </w:rPr>
        <w:t>1</w:t>
      </w:r>
      <w:r>
        <w:rPr>
          <w:rFonts w:hint="default" w:ascii="Times New Roman" w:hAnsi="Times New Roman" w:eastAsia="仿宋_GB2312" w:cs="Times New Roman"/>
          <w:color w:val="auto"/>
          <w:kern w:val="2"/>
          <w:sz w:val="32"/>
          <w:szCs w:val="32"/>
          <w:highlight w:val="none"/>
          <w:lang w:val="en-US" w:eastAsia="zh-CN" w:bidi="ar-SA"/>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spacing w:line="600" w:lineRule="exact"/>
        <w:ind w:firstLine="640"/>
        <w:rPr>
          <w:rFonts w:hint="default" w:ascii="Times New Roman" w:hAnsi="Times New Roman" w:eastAsia="仿宋_GB2312" w:cs="Times New Roman"/>
          <w:b/>
          <w:bCs/>
          <w:color w:val="auto"/>
          <w:kern w:val="2"/>
          <w:sz w:val="32"/>
          <w:szCs w:val="32"/>
          <w:highlight w:val="none"/>
          <w:lang w:val="en-US" w:eastAsia="zh-CN" w:bidi="ar-SA"/>
        </w:rPr>
      </w:pPr>
    </w:p>
    <w:p>
      <w:pPr>
        <w:spacing w:line="600" w:lineRule="exact"/>
        <w:jc w:val="center"/>
        <w:rPr>
          <w:rFonts w:hint="default" w:ascii="Times New Roman" w:hAnsi="Times New Roman" w:eastAsia="黑体" w:cs="Times New Roman"/>
          <w:color w:val="auto"/>
          <w:sz w:val="44"/>
          <w:szCs w:val="44"/>
          <w:highlight w:val="none"/>
        </w:rPr>
      </w:pPr>
      <w:bookmarkStart w:id="45" w:name="_Toc15396614"/>
      <w:bookmarkStart w:id="46" w:name="_Toc15377226"/>
    </w:p>
    <w:p>
      <w:pPr>
        <w:spacing w:line="600" w:lineRule="exact"/>
        <w:jc w:val="center"/>
        <w:rPr>
          <w:rFonts w:hint="default" w:ascii="Times New Roman" w:hAnsi="Times New Roman" w:eastAsia="黑体" w:cs="Times New Roman"/>
          <w:color w:val="auto"/>
          <w:sz w:val="44"/>
          <w:szCs w:val="44"/>
          <w:highlight w:val="none"/>
        </w:rPr>
      </w:pPr>
    </w:p>
    <w:p>
      <w:pPr>
        <w:spacing w:line="600" w:lineRule="exact"/>
        <w:jc w:val="center"/>
        <w:rPr>
          <w:rFonts w:hint="default" w:ascii="Times New Roman" w:hAnsi="Times New Roman" w:eastAsia="黑体" w:cs="Times New Roman"/>
          <w:color w:val="auto"/>
          <w:sz w:val="44"/>
          <w:szCs w:val="44"/>
          <w:highlight w:val="none"/>
        </w:rPr>
      </w:pPr>
    </w:p>
    <w:p>
      <w:pPr>
        <w:spacing w:line="600" w:lineRule="exact"/>
        <w:jc w:val="center"/>
        <w:rPr>
          <w:rFonts w:hint="default" w:ascii="Times New Roman" w:hAnsi="Times New Roman" w:eastAsia="黑体" w:cs="Times New Roman"/>
          <w:color w:val="auto"/>
          <w:sz w:val="44"/>
          <w:szCs w:val="44"/>
          <w:highlight w:val="none"/>
        </w:rPr>
      </w:pPr>
    </w:p>
    <w:p>
      <w:pPr>
        <w:spacing w:line="600" w:lineRule="exact"/>
        <w:jc w:val="center"/>
        <w:rPr>
          <w:rFonts w:hint="default" w:ascii="Times New Roman" w:hAnsi="Times New Roman" w:eastAsia="黑体" w:cs="Times New Roman"/>
          <w:color w:val="auto"/>
          <w:sz w:val="44"/>
          <w:szCs w:val="44"/>
          <w:highlight w:val="none"/>
        </w:rPr>
      </w:pPr>
    </w:p>
    <w:p>
      <w:pPr>
        <w:spacing w:line="600" w:lineRule="exact"/>
        <w:jc w:val="center"/>
        <w:rPr>
          <w:rFonts w:hint="default" w:ascii="Times New Roman" w:hAnsi="Times New Roman" w:eastAsia="黑体" w:cs="Times New Roman"/>
          <w:color w:val="auto"/>
          <w:sz w:val="44"/>
          <w:szCs w:val="44"/>
          <w:highlight w:val="none"/>
        </w:rPr>
      </w:pPr>
    </w:p>
    <w:p>
      <w:pPr>
        <w:spacing w:line="600" w:lineRule="exact"/>
        <w:jc w:val="center"/>
        <w:rPr>
          <w:rFonts w:hint="default" w:ascii="Times New Roman" w:hAnsi="Times New Roman" w:eastAsia="黑体" w:cs="Times New Roman"/>
          <w:color w:val="auto"/>
          <w:sz w:val="44"/>
          <w:szCs w:val="44"/>
          <w:highlight w:val="none"/>
        </w:rPr>
      </w:pPr>
    </w:p>
    <w:p>
      <w:pPr>
        <w:spacing w:line="600" w:lineRule="exact"/>
        <w:jc w:val="center"/>
        <w:rPr>
          <w:rFonts w:hint="default" w:ascii="Times New Roman" w:hAnsi="Times New Roman" w:eastAsia="黑体" w:cs="Times New Roman"/>
          <w:color w:val="auto"/>
          <w:sz w:val="44"/>
          <w:szCs w:val="44"/>
          <w:highlight w:val="none"/>
        </w:rPr>
      </w:pPr>
    </w:p>
    <w:p>
      <w:pPr>
        <w:spacing w:line="600" w:lineRule="exact"/>
        <w:jc w:val="center"/>
        <w:rPr>
          <w:rFonts w:hint="default" w:ascii="Times New Roman" w:hAnsi="Times New Roman" w:eastAsia="黑体" w:cs="Times New Roman"/>
          <w:color w:val="auto"/>
          <w:sz w:val="44"/>
          <w:szCs w:val="44"/>
          <w:highlight w:val="none"/>
        </w:rPr>
      </w:pPr>
    </w:p>
    <w:p>
      <w:pPr>
        <w:spacing w:line="600" w:lineRule="exact"/>
        <w:jc w:val="center"/>
        <w:rPr>
          <w:rFonts w:hint="default" w:ascii="Times New Roman" w:hAnsi="Times New Roman" w:eastAsia="黑体" w:cs="Times New Roman"/>
          <w:color w:val="auto"/>
          <w:sz w:val="44"/>
          <w:szCs w:val="44"/>
          <w:highlight w:val="none"/>
        </w:rPr>
      </w:pPr>
    </w:p>
    <w:p>
      <w:pPr>
        <w:spacing w:line="600" w:lineRule="exact"/>
        <w:jc w:val="center"/>
        <w:rPr>
          <w:rFonts w:hint="default" w:ascii="Times New Roman" w:hAnsi="Times New Roman" w:eastAsia="黑体" w:cs="Times New Roman"/>
          <w:color w:val="auto"/>
          <w:sz w:val="44"/>
          <w:szCs w:val="44"/>
          <w:highlight w:val="none"/>
        </w:rPr>
      </w:pPr>
    </w:p>
    <w:p>
      <w:pPr>
        <w:pStyle w:val="2"/>
        <w:rPr>
          <w:rFonts w:hint="default" w:ascii="Times New Roman" w:hAnsi="Times New Roman" w:eastAsia="黑体" w:cs="Times New Roman"/>
          <w:color w:val="auto"/>
          <w:sz w:val="44"/>
          <w:szCs w:val="44"/>
          <w:highlight w:val="none"/>
        </w:rPr>
      </w:pPr>
    </w:p>
    <w:p>
      <w:pPr>
        <w:spacing w:line="600" w:lineRule="exact"/>
        <w:jc w:val="both"/>
        <w:rPr>
          <w:rFonts w:hint="default" w:ascii="Times New Roman" w:hAnsi="Times New Roman" w:eastAsia="黑体" w:cs="Times New Roman"/>
          <w:color w:val="auto"/>
          <w:sz w:val="44"/>
          <w:szCs w:val="44"/>
          <w:highlight w:val="none"/>
        </w:rPr>
      </w:pPr>
    </w:p>
    <w:p>
      <w:pPr>
        <w:spacing w:line="600" w:lineRule="exact"/>
        <w:jc w:val="both"/>
        <w:rPr>
          <w:rFonts w:hint="default" w:ascii="Times New Roman" w:hAnsi="Times New Roman" w:eastAsia="黑体" w:cs="Times New Roman"/>
          <w:color w:val="auto"/>
          <w:sz w:val="44"/>
          <w:szCs w:val="44"/>
          <w:highlight w:val="none"/>
        </w:rPr>
      </w:pPr>
    </w:p>
    <w:p>
      <w:pPr>
        <w:spacing w:line="600" w:lineRule="exact"/>
        <w:jc w:val="center"/>
        <w:rPr>
          <w:rStyle w:val="30"/>
          <w:rFonts w:hint="default" w:ascii="Times New Roman" w:hAnsi="Times New Roman" w:eastAsia="黑体" w:cs="Times New Roman"/>
          <w:b w:val="0"/>
          <w:color w:val="auto"/>
          <w:highlight w:val="none"/>
          <w:lang w:eastAsia="zh-CN"/>
        </w:rPr>
      </w:pPr>
      <w:r>
        <w:rPr>
          <w:rFonts w:hint="default" w:ascii="Times New Roman" w:hAnsi="Times New Roman" w:eastAsia="黑体" w:cs="Times New Roman"/>
          <w:color w:val="auto"/>
          <w:sz w:val="44"/>
          <w:szCs w:val="44"/>
          <w:highlight w:val="none"/>
        </w:rPr>
        <w:t>第四部分</w:t>
      </w:r>
      <w:r>
        <w:rPr>
          <w:rFonts w:hint="default" w:ascii="Times New Roman" w:hAnsi="Times New Roman" w:eastAsia="黑体" w:cs="Times New Roman"/>
          <w:color w:val="auto"/>
          <w:sz w:val="44"/>
          <w:szCs w:val="44"/>
          <w:highlight w:val="none"/>
          <w:lang w:val="en-US" w:eastAsia="zh-CN"/>
        </w:rPr>
        <w:t xml:space="preserve"> </w:t>
      </w:r>
      <w:r>
        <w:rPr>
          <w:rFonts w:hint="default" w:ascii="Times New Roman" w:hAnsi="Times New Roman" w:eastAsia="黑体" w:cs="Times New Roman"/>
          <w:color w:val="auto"/>
          <w:sz w:val="44"/>
          <w:szCs w:val="44"/>
          <w:highlight w:val="none"/>
        </w:rPr>
        <w:t xml:space="preserve"> 附件</w:t>
      </w:r>
      <w:bookmarkEnd w:id="45"/>
    </w:p>
    <w:p>
      <w:pPr>
        <w:keepNext w:val="0"/>
        <w:keepLines w:val="0"/>
        <w:pageBreakBefore w:val="0"/>
        <w:kinsoku/>
        <w:wordWrap/>
        <w:overflowPunct/>
        <w:topLinePunct w:val="0"/>
        <w:autoSpaceDE/>
        <w:autoSpaceDN/>
        <w:bidi w:val="0"/>
        <w:spacing w:line="572" w:lineRule="exact"/>
        <w:jc w:val="left"/>
        <w:textAlignment w:val="auto"/>
        <w:outlineLvl w:val="0"/>
        <w:rPr>
          <w:rFonts w:hint="default" w:ascii="Times New Roman" w:hAnsi="Times New Roman" w:eastAsia="黑体" w:cs="Times New Roman"/>
          <w:color w:val="FF0000"/>
          <w:sz w:val="32"/>
          <w:szCs w:val="32"/>
          <w:highlight w:val="none"/>
        </w:rPr>
      </w:pPr>
    </w:p>
    <w:p>
      <w:pPr>
        <w:keepNext w:val="0"/>
        <w:keepLines w:val="0"/>
        <w:pageBreakBefore w:val="0"/>
        <w:kinsoku/>
        <w:wordWrap/>
        <w:overflowPunct/>
        <w:topLinePunct w:val="0"/>
        <w:autoSpaceDE/>
        <w:autoSpaceDN/>
        <w:bidi w:val="0"/>
        <w:spacing w:line="572" w:lineRule="exact"/>
        <w:jc w:val="left"/>
        <w:textAlignment w:val="auto"/>
        <w:outlineLvl w:val="0"/>
        <w:rPr>
          <w:rFonts w:hint="default" w:ascii="Times New Roman" w:hAnsi="Times New Roman" w:eastAsia="黑体" w:cs="Times New Roman"/>
          <w:color w:val="FF0000"/>
          <w:sz w:val="32"/>
          <w:szCs w:val="32"/>
          <w:highlight w:val="none"/>
        </w:rPr>
      </w:pPr>
    </w:p>
    <w:p>
      <w:pPr>
        <w:pStyle w:val="8"/>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kern w:val="2"/>
          <w:sz w:val="32"/>
          <w:szCs w:val="32"/>
          <w:highlight w:val="none"/>
          <w:u w:val="none"/>
          <w:lang w:val="en-US" w:eastAsia="zh-CN" w:bidi="ar"/>
        </w:rPr>
      </w:pPr>
      <w:r>
        <w:rPr>
          <w:rFonts w:hint="default" w:ascii="Times New Roman" w:hAnsi="Times New Roman" w:eastAsia="仿宋_GB2312" w:cs="Times New Roman"/>
          <w:kern w:val="2"/>
          <w:sz w:val="32"/>
          <w:szCs w:val="32"/>
          <w:highlight w:val="none"/>
          <w:u w:val="none"/>
          <w:lang w:val="en-US" w:eastAsia="zh-CN" w:bidi="ar"/>
        </w:rPr>
        <w:t>部门预算项目支出绩效自评表（2024年度）</w:t>
      </w:r>
    </w:p>
    <w:p>
      <w:pPr>
        <w:pStyle w:val="8"/>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kern w:val="2"/>
          <w:sz w:val="32"/>
          <w:szCs w:val="32"/>
          <w:highlight w:val="none"/>
          <w:u w:val="none"/>
          <w:lang w:val="en-US" w:eastAsia="zh-CN" w:bidi="ar"/>
        </w:rPr>
      </w:pPr>
      <w:r>
        <w:rPr>
          <w:rFonts w:hint="eastAsia" w:ascii="Times New Roman" w:hAnsi="Times New Roman" w:eastAsia="仿宋_GB2312" w:cs="Times New Roman"/>
          <w:kern w:val="2"/>
          <w:sz w:val="32"/>
          <w:szCs w:val="32"/>
          <w:highlight w:val="none"/>
          <w:u w:val="none"/>
          <w:lang w:val="en-US" w:eastAsia="zh-CN" w:bidi="ar"/>
        </w:rPr>
        <w:t>一、</w:t>
      </w:r>
      <w:r>
        <w:rPr>
          <w:rFonts w:hint="default" w:ascii="Times New Roman" w:hAnsi="Times New Roman" w:eastAsia="仿宋_GB2312" w:cs="Times New Roman"/>
          <w:kern w:val="2"/>
          <w:sz w:val="32"/>
          <w:szCs w:val="32"/>
          <w:highlight w:val="none"/>
          <w:u w:val="none"/>
          <w:lang w:val="en-US" w:eastAsia="zh-CN" w:bidi="ar"/>
        </w:rPr>
        <w:t>中等职业教育学生资助补助经费（中央级）</w:t>
      </w:r>
    </w:p>
    <w:p>
      <w:pPr>
        <w:pStyle w:val="8"/>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kern w:val="2"/>
          <w:sz w:val="32"/>
          <w:szCs w:val="32"/>
          <w:highlight w:val="none"/>
          <w:u w:val="none"/>
          <w:lang w:val="en-US" w:eastAsia="zh-CN" w:bidi="ar"/>
        </w:rPr>
      </w:pPr>
      <w:r>
        <w:rPr>
          <w:rFonts w:hint="eastAsia" w:ascii="Times New Roman" w:hAnsi="Times New Roman" w:eastAsia="仿宋_GB2312" w:cs="Times New Roman"/>
          <w:kern w:val="2"/>
          <w:sz w:val="32"/>
          <w:szCs w:val="32"/>
          <w:highlight w:val="none"/>
          <w:u w:val="none"/>
          <w:lang w:val="en-US" w:eastAsia="zh-CN" w:bidi="ar"/>
        </w:rPr>
        <w:t>二、</w:t>
      </w:r>
      <w:r>
        <w:rPr>
          <w:rFonts w:hint="default" w:ascii="Times New Roman" w:hAnsi="Times New Roman" w:eastAsia="仿宋_GB2312" w:cs="Times New Roman"/>
          <w:kern w:val="2"/>
          <w:sz w:val="32"/>
          <w:szCs w:val="32"/>
          <w:highlight w:val="none"/>
          <w:u w:val="none"/>
          <w:lang w:val="en-US" w:eastAsia="zh-CN" w:bidi="ar"/>
        </w:rPr>
        <w:t>现代职业教育质量提升资金</w:t>
      </w:r>
    </w:p>
    <w:p>
      <w:pPr>
        <w:pStyle w:val="8"/>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kern w:val="2"/>
          <w:sz w:val="32"/>
          <w:szCs w:val="32"/>
          <w:highlight w:val="none"/>
          <w:u w:val="none"/>
          <w:lang w:val="en-US" w:eastAsia="zh-CN" w:bidi="ar"/>
        </w:rPr>
      </w:pPr>
      <w:r>
        <w:rPr>
          <w:rFonts w:hint="eastAsia" w:ascii="Times New Roman" w:hAnsi="Times New Roman" w:eastAsia="仿宋_GB2312" w:cs="Times New Roman"/>
          <w:kern w:val="2"/>
          <w:sz w:val="32"/>
          <w:szCs w:val="32"/>
          <w:highlight w:val="none"/>
          <w:u w:val="none"/>
          <w:lang w:val="en-US" w:eastAsia="zh-CN" w:bidi="ar"/>
        </w:rPr>
        <w:t>三、</w:t>
      </w:r>
      <w:r>
        <w:rPr>
          <w:rFonts w:hint="default" w:ascii="Times New Roman" w:hAnsi="Times New Roman" w:eastAsia="仿宋_GB2312" w:cs="Times New Roman"/>
          <w:kern w:val="2"/>
          <w:sz w:val="32"/>
          <w:szCs w:val="32"/>
          <w:highlight w:val="none"/>
          <w:u w:val="none"/>
          <w:lang w:val="en-US" w:eastAsia="zh-CN" w:bidi="ar"/>
        </w:rPr>
        <w:t>2023学生资助补助经费</w:t>
      </w:r>
    </w:p>
    <w:p>
      <w:pPr>
        <w:pStyle w:val="8"/>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kern w:val="2"/>
          <w:sz w:val="32"/>
          <w:szCs w:val="32"/>
          <w:highlight w:val="none"/>
          <w:u w:val="none"/>
          <w:lang w:val="en-US" w:eastAsia="zh-CN" w:bidi="ar"/>
        </w:rPr>
      </w:pPr>
      <w:r>
        <w:rPr>
          <w:rFonts w:hint="eastAsia" w:ascii="Times New Roman" w:hAnsi="Times New Roman" w:eastAsia="仿宋_GB2312" w:cs="Times New Roman"/>
          <w:kern w:val="2"/>
          <w:sz w:val="32"/>
          <w:szCs w:val="32"/>
          <w:highlight w:val="none"/>
          <w:u w:val="none"/>
          <w:lang w:val="en-US" w:eastAsia="zh-CN" w:bidi="ar"/>
        </w:rPr>
        <w:t>四、</w:t>
      </w:r>
      <w:r>
        <w:rPr>
          <w:rFonts w:hint="default" w:ascii="Times New Roman" w:hAnsi="Times New Roman" w:eastAsia="仿宋_GB2312" w:cs="Times New Roman"/>
          <w:kern w:val="2"/>
          <w:sz w:val="32"/>
          <w:szCs w:val="32"/>
          <w:highlight w:val="none"/>
          <w:u w:val="none"/>
          <w:lang w:val="en-US" w:eastAsia="zh-CN" w:bidi="ar"/>
        </w:rPr>
        <w:t>中等职业教育学生资助补助资金（结算）</w:t>
      </w:r>
    </w:p>
    <w:p>
      <w:pPr>
        <w:pStyle w:val="8"/>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kern w:val="2"/>
          <w:sz w:val="32"/>
          <w:szCs w:val="32"/>
          <w:highlight w:val="none"/>
          <w:u w:val="none"/>
          <w:lang w:val="en-US" w:eastAsia="zh-CN" w:bidi="ar"/>
        </w:rPr>
      </w:pPr>
      <w:r>
        <w:rPr>
          <w:rFonts w:hint="eastAsia" w:ascii="Times New Roman" w:hAnsi="Times New Roman" w:eastAsia="仿宋_GB2312" w:cs="Times New Roman"/>
          <w:kern w:val="2"/>
          <w:sz w:val="32"/>
          <w:szCs w:val="32"/>
          <w:highlight w:val="none"/>
          <w:u w:val="none"/>
          <w:lang w:val="en-US" w:eastAsia="zh-CN" w:bidi="ar"/>
        </w:rPr>
        <w:t>五</w:t>
      </w:r>
      <w:r>
        <w:rPr>
          <w:rFonts w:hint="eastAsia" w:ascii="Times New Roman" w:eastAsia="仿宋_GB2312" w:cs="Times New Roman"/>
          <w:kern w:val="2"/>
          <w:sz w:val="32"/>
          <w:szCs w:val="32"/>
          <w:highlight w:val="none"/>
          <w:u w:val="none"/>
          <w:lang w:val="en-US" w:eastAsia="zh-CN" w:bidi="ar"/>
        </w:rPr>
        <w:t>、</w:t>
      </w:r>
      <w:r>
        <w:rPr>
          <w:rFonts w:hint="default" w:ascii="Times New Roman" w:hAnsi="Times New Roman" w:eastAsia="仿宋_GB2312" w:cs="Times New Roman"/>
          <w:kern w:val="2"/>
          <w:sz w:val="32"/>
          <w:szCs w:val="32"/>
          <w:highlight w:val="none"/>
          <w:u w:val="none"/>
          <w:lang w:val="en-US" w:eastAsia="zh-CN" w:bidi="ar"/>
        </w:rPr>
        <w:t>2024年支持职业教育改革发展资金</w:t>
      </w:r>
    </w:p>
    <w:p>
      <w:pPr>
        <w:pStyle w:val="8"/>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kern w:val="2"/>
          <w:sz w:val="32"/>
          <w:szCs w:val="32"/>
          <w:highlight w:val="none"/>
          <w:u w:val="none"/>
          <w:lang w:val="en-US" w:eastAsia="zh-CN" w:bidi="ar"/>
        </w:rPr>
      </w:pPr>
    </w:p>
    <w:p>
      <w:pPr>
        <w:pStyle w:val="8"/>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kern w:val="2"/>
          <w:sz w:val="32"/>
          <w:szCs w:val="32"/>
          <w:highlight w:val="none"/>
          <w:u w:val="none"/>
          <w:lang w:val="en-US" w:eastAsia="zh-CN" w:bidi="ar"/>
        </w:rPr>
      </w:pPr>
    </w:p>
    <w:p>
      <w:pPr>
        <w:pStyle w:val="8"/>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kern w:val="2"/>
          <w:sz w:val="32"/>
          <w:szCs w:val="32"/>
          <w:highlight w:val="none"/>
          <w:u w:val="none"/>
          <w:lang w:val="en-US" w:eastAsia="zh-CN" w:bidi="ar"/>
        </w:rPr>
      </w:pPr>
    </w:p>
    <w:p>
      <w:pPr>
        <w:pStyle w:val="8"/>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kern w:val="2"/>
          <w:sz w:val="32"/>
          <w:szCs w:val="32"/>
          <w:highlight w:val="none"/>
          <w:u w:val="none"/>
          <w:lang w:val="en-US" w:eastAsia="zh-CN" w:bidi="ar"/>
        </w:rPr>
      </w:pPr>
    </w:p>
    <w:p>
      <w:pPr>
        <w:pStyle w:val="8"/>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kern w:val="2"/>
          <w:sz w:val="32"/>
          <w:szCs w:val="32"/>
          <w:highlight w:val="none"/>
          <w:u w:val="none"/>
          <w:lang w:val="en-US" w:eastAsia="zh-CN" w:bidi="ar"/>
        </w:rPr>
      </w:pPr>
    </w:p>
    <w:p>
      <w:pPr>
        <w:pStyle w:val="8"/>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kern w:val="2"/>
          <w:sz w:val="32"/>
          <w:szCs w:val="32"/>
          <w:highlight w:val="none"/>
          <w:u w:val="none"/>
          <w:lang w:val="en-US" w:eastAsia="zh-CN" w:bidi="ar"/>
        </w:rPr>
      </w:pPr>
    </w:p>
    <w:p>
      <w:pPr>
        <w:pStyle w:val="8"/>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kern w:val="2"/>
          <w:sz w:val="32"/>
          <w:szCs w:val="32"/>
          <w:highlight w:val="none"/>
          <w:u w:val="none"/>
          <w:lang w:val="en-US" w:eastAsia="zh-CN" w:bidi="ar"/>
        </w:rPr>
      </w:pPr>
    </w:p>
    <w:p>
      <w:pPr>
        <w:pStyle w:val="8"/>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kern w:val="2"/>
          <w:sz w:val="32"/>
          <w:szCs w:val="32"/>
          <w:highlight w:val="none"/>
          <w:u w:val="none"/>
          <w:lang w:val="en-US" w:eastAsia="zh-CN" w:bidi="ar"/>
        </w:rPr>
      </w:pPr>
    </w:p>
    <w:p>
      <w:pPr>
        <w:pStyle w:val="8"/>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kern w:val="2"/>
          <w:sz w:val="32"/>
          <w:szCs w:val="32"/>
          <w:highlight w:val="none"/>
          <w:u w:val="none"/>
          <w:lang w:val="en-US" w:eastAsia="zh-CN" w:bidi="ar"/>
        </w:rPr>
      </w:pPr>
    </w:p>
    <w:p>
      <w:pPr>
        <w:pStyle w:val="8"/>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kern w:val="2"/>
          <w:sz w:val="32"/>
          <w:szCs w:val="32"/>
          <w:highlight w:val="none"/>
          <w:u w:val="none"/>
          <w:lang w:val="en-US" w:eastAsia="zh-CN" w:bidi="ar"/>
        </w:rPr>
      </w:pPr>
    </w:p>
    <w:p>
      <w:pPr>
        <w:pStyle w:val="8"/>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kern w:val="2"/>
          <w:sz w:val="32"/>
          <w:szCs w:val="32"/>
          <w:highlight w:val="none"/>
          <w:u w:val="none"/>
          <w:lang w:val="en-US" w:eastAsia="zh-CN" w:bidi="ar"/>
        </w:rPr>
      </w:pPr>
    </w:p>
    <w:tbl>
      <w:tblPr>
        <w:tblStyle w:val="17"/>
        <w:tblW w:w="9413"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78"/>
        <w:gridCol w:w="1361"/>
        <w:gridCol w:w="835"/>
        <w:gridCol w:w="2185"/>
        <w:gridCol w:w="516"/>
        <w:gridCol w:w="524"/>
        <w:gridCol w:w="756"/>
        <w:gridCol w:w="504"/>
        <w:gridCol w:w="452"/>
        <w:gridCol w:w="160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9413"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highlight w:val="none"/>
                <w:u w:val="none"/>
              </w:rPr>
            </w:pPr>
            <w:r>
              <w:rPr>
                <w:rFonts w:hint="eastAsia" w:ascii="黑体" w:hAnsi="宋体" w:eastAsia="黑体" w:cs="黑体"/>
                <w:b/>
                <w:bCs/>
                <w:i w:val="0"/>
                <w:iCs w:val="0"/>
                <w:color w:val="000000"/>
                <w:kern w:val="0"/>
                <w:sz w:val="30"/>
                <w:szCs w:val="30"/>
                <w:highlight w:val="none"/>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0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7374"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51000023T000009305727-中等职业教育学生资助补助经费（中央级）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0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40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四川省经济和信息化厅部门</w:t>
            </w:r>
          </w:p>
        </w:tc>
        <w:tc>
          <w:tcPr>
            <w:tcW w:w="756"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实施单位 （盖章）</w:t>
            </w:r>
          </w:p>
        </w:tc>
        <w:tc>
          <w:tcPr>
            <w:tcW w:w="25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四川省盐业学校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7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13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40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331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13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0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该项目投入后将促进学校内涵式发展，提高学校办学质量，提升学生升学就业率，为国家培养更多高素质技能人才。</w:t>
            </w:r>
          </w:p>
        </w:tc>
        <w:tc>
          <w:tcPr>
            <w:tcW w:w="331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为了确保家庭经济困难学生能够顺利完成中等职业教育</w:t>
            </w:r>
            <w:r>
              <w:rPr>
                <w:rFonts w:hint="eastAsia" w:ascii="宋体" w:hAnsi="宋体" w:cs="宋体"/>
                <w:i w:val="0"/>
                <w:iCs w:val="0"/>
                <w:color w:val="000000"/>
                <w:kern w:val="0"/>
                <w:sz w:val="18"/>
                <w:szCs w:val="18"/>
                <w:highlight w:val="none"/>
                <w:u w:val="none"/>
                <w:lang w:val="en-US" w:eastAsia="zh-CN" w:bidi="ar"/>
              </w:rPr>
              <w:t>，</w:t>
            </w:r>
            <w:r>
              <w:rPr>
                <w:rFonts w:hint="default" w:ascii="宋体" w:hAnsi="宋体" w:eastAsia="宋体" w:cs="宋体"/>
                <w:i w:val="0"/>
                <w:iCs w:val="0"/>
                <w:color w:val="000000"/>
                <w:kern w:val="0"/>
                <w:sz w:val="18"/>
                <w:szCs w:val="18"/>
                <w:highlight w:val="none"/>
                <w:u w:val="none"/>
                <w:lang w:val="en-US" w:eastAsia="zh-CN" w:bidi="ar"/>
              </w:rPr>
              <w:t>学</w:t>
            </w:r>
            <w:r>
              <w:rPr>
                <w:rFonts w:hint="eastAsia" w:ascii="宋体" w:hAnsi="宋体" w:cs="宋体"/>
                <w:i w:val="0"/>
                <w:iCs w:val="0"/>
                <w:color w:val="000000"/>
                <w:kern w:val="0"/>
                <w:sz w:val="18"/>
                <w:szCs w:val="18"/>
                <w:highlight w:val="none"/>
                <w:u w:val="none"/>
                <w:lang w:val="en-US" w:eastAsia="zh-CN" w:bidi="ar"/>
              </w:rPr>
              <w:t>校</w:t>
            </w:r>
            <w:r>
              <w:rPr>
                <w:rFonts w:hint="default" w:ascii="宋体" w:hAnsi="宋体" w:eastAsia="宋体" w:cs="宋体"/>
                <w:i w:val="0"/>
                <w:iCs w:val="0"/>
                <w:color w:val="000000"/>
                <w:kern w:val="0"/>
                <w:sz w:val="18"/>
                <w:szCs w:val="18"/>
                <w:highlight w:val="none"/>
                <w:u w:val="none"/>
                <w:lang w:val="en-US" w:eastAsia="zh-CN" w:bidi="ar"/>
              </w:rPr>
              <w:t>设立了学生资助补助资金，旨在通过经济支持帮助这些学生减轻生活负担，专心学习，提高教育公平性。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7374"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18"/>
                <w:szCs w:val="18"/>
                <w:highlight w:val="none"/>
                <w:u w:val="none"/>
                <w:lang w:val="en-US" w:eastAsia="zh-CN" w:bidi="ar"/>
              </w:rPr>
            </w:pPr>
            <w:r>
              <w:rPr>
                <w:rFonts w:ascii="宋体" w:hAnsi="宋体" w:eastAsia="宋体" w:cs="宋体"/>
                <w:i w:val="0"/>
                <w:iCs w:val="0"/>
                <w:color w:val="000000"/>
                <w:kern w:val="0"/>
                <w:sz w:val="18"/>
                <w:szCs w:val="18"/>
                <w:highlight w:val="none"/>
                <w:u w:val="none"/>
                <w:lang w:val="en-US" w:eastAsia="zh-CN" w:bidi="ar"/>
              </w:rPr>
              <w:t>1</w:t>
            </w:r>
            <w:r>
              <w:rPr>
                <w:rFonts w:hint="default" w:ascii="宋体" w:hAnsi="宋体" w:eastAsia="宋体" w:cs="宋体"/>
                <w:i w:val="0"/>
                <w:iCs w:val="0"/>
                <w:color w:val="000000"/>
                <w:kern w:val="0"/>
                <w:sz w:val="18"/>
                <w:szCs w:val="18"/>
                <w:highlight w:val="none"/>
                <w:u w:val="none"/>
                <w:lang w:val="en-US" w:eastAsia="zh-CN" w:bidi="ar"/>
              </w:rPr>
              <w:t>.资助政策制定：学</w:t>
            </w:r>
            <w:r>
              <w:rPr>
                <w:rFonts w:hint="eastAsia" w:ascii="宋体" w:hAnsi="宋体" w:cs="宋体"/>
                <w:i w:val="0"/>
                <w:iCs w:val="0"/>
                <w:color w:val="000000"/>
                <w:kern w:val="0"/>
                <w:sz w:val="18"/>
                <w:szCs w:val="18"/>
                <w:highlight w:val="none"/>
                <w:u w:val="none"/>
                <w:lang w:val="en-US" w:eastAsia="zh-CN" w:bidi="ar"/>
              </w:rPr>
              <w:t>校</w:t>
            </w:r>
            <w:r>
              <w:rPr>
                <w:rFonts w:hint="default" w:ascii="宋体" w:hAnsi="宋体" w:eastAsia="宋体" w:cs="宋体"/>
                <w:i w:val="0"/>
                <w:iCs w:val="0"/>
                <w:color w:val="000000"/>
                <w:kern w:val="0"/>
                <w:sz w:val="18"/>
                <w:szCs w:val="18"/>
                <w:highlight w:val="none"/>
                <w:u w:val="none"/>
                <w:lang w:val="en-US" w:eastAsia="zh-CN" w:bidi="ar"/>
              </w:rPr>
              <w:t>制定了详细的学生资助政策，明确了资助对象、资助标准、申请流程等，确保资助工作的规范性和透明度。</w:t>
            </w:r>
          </w:p>
          <w:p>
            <w:pPr>
              <w:keepNext w:val="0"/>
              <w:keepLines w:val="0"/>
              <w:widowControl/>
              <w:suppressLineNumbers w:val="0"/>
              <w:jc w:val="left"/>
              <w:textAlignment w:val="center"/>
              <w:rPr>
                <w:rFonts w:hint="default" w:ascii="宋体" w:hAnsi="宋体" w:eastAsia="宋体" w:cs="宋体"/>
                <w:i w:val="0"/>
                <w:iCs w:val="0"/>
                <w:color w:val="000000"/>
                <w:sz w:val="18"/>
                <w:szCs w:val="18"/>
                <w:highlight w:val="none"/>
                <w:u w:val="none"/>
                <w:lang w:val="en-US"/>
              </w:rPr>
            </w:pPr>
            <w:r>
              <w:rPr>
                <w:rFonts w:hint="default" w:ascii="宋体" w:hAnsi="宋体" w:eastAsia="宋体" w:cs="宋体"/>
                <w:i w:val="0"/>
                <w:iCs w:val="0"/>
                <w:color w:val="000000"/>
                <w:kern w:val="0"/>
                <w:sz w:val="18"/>
                <w:szCs w:val="18"/>
                <w:highlight w:val="none"/>
                <w:u w:val="none"/>
                <w:lang w:val="en-US" w:eastAsia="zh-CN" w:bidi="ar"/>
              </w:rPr>
              <w:t>2.资助资金发放：学</w:t>
            </w:r>
            <w:r>
              <w:rPr>
                <w:rFonts w:hint="eastAsia" w:ascii="宋体" w:hAnsi="宋体" w:cs="宋体"/>
                <w:i w:val="0"/>
                <w:iCs w:val="0"/>
                <w:color w:val="000000"/>
                <w:kern w:val="0"/>
                <w:sz w:val="18"/>
                <w:szCs w:val="18"/>
                <w:highlight w:val="none"/>
                <w:u w:val="none"/>
                <w:lang w:val="en-US" w:eastAsia="zh-CN" w:bidi="ar"/>
              </w:rPr>
              <w:t>校</w:t>
            </w:r>
            <w:r>
              <w:rPr>
                <w:rFonts w:hint="default" w:ascii="宋体" w:hAnsi="宋体" w:eastAsia="宋体" w:cs="宋体"/>
                <w:i w:val="0"/>
                <w:iCs w:val="0"/>
                <w:color w:val="000000"/>
                <w:kern w:val="0"/>
                <w:sz w:val="18"/>
                <w:szCs w:val="18"/>
                <w:highlight w:val="none"/>
                <w:u w:val="none"/>
                <w:lang w:val="en-US" w:eastAsia="zh-CN" w:bidi="ar"/>
              </w:rPr>
              <w:t>按照资助标准，及时向受资助学生发放资助金，确保资金能够直</w:t>
            </w:r>
            <w:r>
              <w:rPr>
                <w:rFonts w:ascii="宋体" w:hAnsi="宋体" w:eastAsia="宋体" w:cs="宋体"/>
                <w:i w:val="0"/>
                <w:iCs w:val="0"/>
                <w:color w:val="000000"/>
                <w:kern w:val="0"/>
                <w:sz w:val="18"/>
                <w:szCs w:val="18"/>
                <w:highlight w:val="none"/>
                <w:u w:val="none"/>
                <w:lang w:val="en-US" w:eastAsia="zh-CN" w:bidi="ar"/>
              </w:rPr>
              <w:t>接</w:t>
            </w:r>
            <w:r>
              <w:rPr>
                <w:rFonts w:hint="default" w:ascii="宋体" w:hAnsi="宋体" w:eastAsia="宋体" w:cs="宋体"/>
                <w:i w:val="0"/>
                <w:iCs w:val="0"/>
                <w:color w:val="000000"/>
                <w:kern w:val="0"/>
                <w:sz w:val="18"/>
                <w:szCs w:val="18"/>
                <w:highlight w:val="none"/>
                <w:u w:val="none"/>
                <w:lang w:val="en-US" w:eastAsia="zh-CN" w:bidi="ar"/>
              </w:rPr>
              <w:t>用于学生的生活和学习。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7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2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10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16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209.30</w:t>
            </w:r>
          </w:p>
        </w:tc>
        <w:tc>
          <w:tcPr>
            <w:tcW w:w="2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1,672.30</w:t>
            </w:r>
          </w:p>
        </w:tc>
        <w:tc>
          <w:tcPr>
            <w:tcW w:w="10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1,302.00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77.86%</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8</w:t>
            </w:r>
          </w:p>
        </w:tc>
        <w:tc>
          <w:tcPr>
            <w:tcW w:w="160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iCs/>
                <w:color w:val="00000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bidi="ar"/>
              </w:rPr>
              <w:t>按规定结转至2025年执行</w:t>
            </w:r>
            <w:r>
              <w:rPr>
                <w:rFonts w:hint="eastAsia" w:ascii="宋体" w:hAnsi="宋体" w:cs="宋体"/>
                <w:i w:val="0"/>
                <w:iCs w:val="0"/>
                <w:color w:val="000000"/>
                <w:kern w:val="0"/>
                <w:sz w:val="18"/>
                <w:szCs w:val="18"/>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209.30</w:t>
            </w:r>
          </w:p>
        </w:tc>
        <w:tc>
          <w:tcPr>
            <w:tcW w:w="2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1,672.30</w:t>
            </w:r>
          </w:p>
        </w:tc>
        <w:tc>
          <w:tcPr>
            <w:tcW w:w="10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1,302.00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77.86%</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6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6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6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8"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21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10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6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7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2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5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16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3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8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2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完成改善中职学校办学条件规划任务</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16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3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2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中等职业学校免学费受助人数占应受助学生数的比例</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16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3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2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中等职业学校国家助学金受助人数占应受助学生数的比例</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16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3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2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教师国家级培训任务完成率</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16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3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质量指标</w:t>
            </w:r>
          </w:p>
        </w:tc>
        <w:tc>
          <w:tcPr>
            <w:tcW w:w="2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中职学校新建或改建校舍、场地达到规划建设要求的比率</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16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3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2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“双师型”教师占专业课教师比例</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16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3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2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中职学生就业率</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16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3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时效指标</w:t>
            </w:r>
          </w:p>
        </w:tc>
        <w:tc>
          <w:tcPr>
            <w:tcW w:w="2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预算执行进度</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kern w:val="0"/>
                <w:sz w:val="18"/>
                <w:szCs w:val="18"/>
                <w:highlight w:val="none"/>
                <w:u w:val="none"/>
                <w:lang w:val="en-US" w:eastAsia="zh-CN" w:bidi="ar"/>
              </w:rPr>
              <w:t>100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6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微软雅黑" w:hAnsi="微软雅黑" w:eastAsia="微软雅黑" w:cs="微软雅黑"/>
                <w:i/>
                <w:iCs/>
                <w:color w:val="000000"/>
                <w:sz w:val="16"/>
                <w:szCs w:val="16"/>
                <w:highlight w:val="none"/>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社会效益指标</w:t>
            </w:r>
          </w:p>
        </w:tc>
        <w:tc>
          <w:tcPr>
            <w:tcW w:w="2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中等职业学生因贫辍学率</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30</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30</w:t>
            </w:r>
          </w:p>
        </w:tc>
        <w:tc>
          <w:tcPr>
            <w:tcW w:w="16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满意度指标</w:t>
            </w: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服务对象满意度指标</w:t>
            </w:r>
          </w:p>
        </w:tc>
        <w:tc>
          <w:tcPr>
            <w:tcW w:w="2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学生、家长满意度</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16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5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kern w:val="0"/>
                <w:sz w:val="18"/>
                <w:szCs w:val="18"/>
                <w:highlight w:val="none"/>
                <w:u w:val="none"/>
                <w:lang w:val="en-US" w:eastAsia="zh-CN" w:bidi="ar"/>
              </w:rPr>
              <w:t>98</w:t>
            </w:r>
          </w:p>
        </w:tc>
        <w:tc>
          <w:tcPr>
            <w:tcW w:w="16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873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宋体" w:hAnsi="宋体" w:eastAsia="宋体" w:cs="宋体"/>
                <w:i w:val="0"/>
                <w:iCs w:val="0"/>
                <w:color w:val="000000"/>
                <w:kern w:val="0"/>
                <w:sz w:val="18"/>
                <w:szCs w:val="18"/>
                <w:highlight w:val="none"/>
                <w:u w:val="none"/>
                <w:lang w:val="en-US" w:eastAsia="zh-CN" w:bidi="ar"/>
              </w:rPr>
            </w:pPr>
            <w:r>
              <w:rPr>
                <w:rFonts w:hint="default" w:ascii="宋体" w:hAnsi="宋体" w:eastAsia="宋体" w:cs="宋体"/>
                <w:i w:val="0"/>
                <w:iCs w:val="0"/>
                <w:color w:val="000000"/>
                <w:kern w:val="0"/>
                <w:sz w:val="18"/>
                <w:szCs w:val="18"/>
                <w:highlight w:val="none"/>
                <w:u w:val="none"/>
                <w:lang w:val="en-US" w:eastAsia="zh-CN" w:bidi="ar"/>
              </w:rPr>
              <w:t>项目自评总分</w:t>
            </w:r>
            <w:r>
              <w:rPr>
                <w:rFonts w:hint="eastAsia" w:ascii="宋体" w:hAnsi="宋体" w:eastAsia="宋体" w:cs="宋体"/>
                <w:i w:val="0"/>
                <w:iCs w:val="0"/>
                <w:color w:val="000000"/>
                <w:kern w:val="0"/>
                <w:sz w:val="18"/>
                <w:szCs w:val="18"/>
                <w:highlight w:val="none"/>
                <w:u w:val="none"/>
                <w:lang w:val="en-US" w:eastAsia="zh-CN" w:bidi="ar"/>
              </w:rPr>
              <w:t>98</w:t>
            </w:r>
            <w:r>
              <w:rPr>
                <w:rFonts w:hint="default" w:ascii="宋体" w:hAnsi="宋体" w:eastAsia="宋体" w:cs="宋体"/>
                <w:i w:val="0"/>
                <w:iCs w:val="0"/>
                <w:color w:val="000000"/>
                <w:kern w:val="0"/>
                <w:sz w:val="18"/>
                <w:szCs w:val="18"/>
                <w:highlight w:val="none"/>
                <w:u w:val="none"/>
                <w:lang w:val="en-US" w:eastAsia="zh-CN" w:bidi="ar"/>
              </w:rPr>
              <w:t>分，项目实施取得的成效或成果。</w:t>
            </w:r>
          </w:p>
          <w:p>
            <w:pPr>
              <w:keepNext w:val="0"/>
              <w:keepLines w:val="0"/>
              <w:widowControl/>
              <w:numPr>
                <w:ilvl w:val="0"/>
                <w:numId w:val="0"/>
              </w:numPr>
              <w:suppressLineNumbers w:val="0"/>
              <w:jc w:val="both"/>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1.</w:t>
            </w:r>
            <w:r>
              <w:rPr>
                <w:rFonts w:hint="default" w:ascii="宋体" w:hAnsi="宋体" w:eastAsia="宋体" w:cs="宋体"/>
                <w:i w:val="0"/>
                <w:iCs w:val="0"/>
                <w:color w:val="000000"/>
                <w:kern w:val="0"/>
                <w:sz w:val="18"/>
                <w:szCs w:val="18"/>
                <w:highlight w:val="none"/>
                <w:u w:val="none"/>
                <w:lang w:val="en-US" w:eastAsia="zh-CN" w:bidi="ar"/>
              </w:rPr>
              <w:t>经济压力</w:t>
            </w:r>
            <w:r>
              <w:rPr>
                <w:rFonts w:hint="eastAsia" w:ascii="宋体" w:hAnsi="宋体" w:cs="宋体"/>
                <w:i w:val="0"/>
                <w:iCs w:val="0"/>
                <w:color w:val="000000"/>
                <w:kern w:val="0"/>
                <w:sz w:val="18"/>
                <w:szCs w:val="18"/>
                <w:highlight w:val="none"/>
                <w:u w:val="none"/>
                <w:lang w:val="en-US" w:eastAsia="zh-CN" w:bidi="ar"/>
              </w:rPr>
              <w:t>显著</w:t>
            </w:r>
            <w:r>
              <w:rPr>
                <w:rFonts w:hint="default" w:ascii="宋体" w:hAnsi="宋体" w:eastAsia="宋体" w:cs="宋体"/>
                <w:i w:val="0"/>
                <w:iCs w:val="0"/>
                <w:color w:val="000000"/>
                <w:kern w:val="0"/>
                <w:sz w:val="18"/>
                <w:szCs w:val="18"/>
                <w:highlight w:val="none"/>
                <w:u w:val="none"/>
                <w:lang w:val="en-US" w:eastAsia="zh-CN" w:bidi="ar"/>
              </w:rPr>
              <w:t>减轻</w:t>
            </w:r>
            <w:r>
              <w:rPr>
                <w:rFonts w:hint="eastAsia" w:ascii="宋体" w:hAnsi="宋体" w:cs="宋体"/>
                <w:i w:val="0"/>
                <w:iCs w:val="0"/>
                <w:color w:val="000000"/>
                <w:kern w:val="0"/>
                <w:sz w:val="18"/>
                <w:szCs w:val="18"/>
                <w:highlight w:val="none"/>
                <w:u w:val="none"/>
                <w:lang w:val="en-US" w:eastAsia="zh-CN" w:bidi="ar"/>
              </w:rPr>
              <w:t>。</w:t>
            </w:r>
          </w:p>
          <w:p>
            <w:pPr>
              <w:keepNext w:val="0"/>
              <w:keepLines w:val="0"/>
              <w:widowControl/>
              <w:numPr>
                <w:ilvl w:val="0"/>
                <w:numId w:val="0"/>
              </w:numPr>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default" w:ascii="宋体" w:hAnsi="宋体" w:eastAsia="宋体" w:cs="宋体"/>
                <w:i w:val="0"/>
                <w:iCs w:val="0"/>
                <w:color w:val="000000"/>
                <w:kern w:val="0"/>
                <w:sz w:val="18"/>
                <w:szCs w:val="18"/>
                <w:highlight w:val="none"/>
                <w:u w:val="none"/>
                <w:lang w:val="en-US" w:eastAsia="zh-CN" w:bidi="ar"/>
              </w:rPr>
              <w:t>2.学业成绩</w:t>
            </w:r>
            <w:r>
              <w:rPr>
                <w:rFonts w:hint="eastAsia" w:ascii="宋体" w:hAnsi="宋体" w:cs="宋体"/>
                <w:i w:val="0"/>
                <w:iCs w:val="0"/>
                <w:color w:val="000000"/>
                <w:kern w:val="0"/>
                <w:sz w:val="18"/>
                <w:szCs w:val="18"/>
                <w:highlight w:val="none"/>
                <w:u w:val="none"/>
                <w:lang w:val="en-US" w:eastAsia="zh-CN" w:bidi="ar"/>
              </w:rPr>
              <w:t>显著提高</w:t>
            </w:r>
            <w:r>
              <w:rPr>
                <w:rFonts w:hint="default" w:ascii="宋体" w:hAnsi="宋体" w:eastAsia="宋体" w:cs="宋体"/>
                <w:i w:val="0"/>
                <w:iCs w:val="0"/>
                <w:color w:val="000000"/>
                <w:kern w:val="0"/>
                <w:sz w:val="18"/>
                <w:szCs w:val="18"/>
                <w:highlight w:val="none"/>
                <w:u w:val="none"/>
                <w:lang w:val="en-US" w:eastAsia="zh-CN" w:bidi="ar"/>
              </w:rPr>
              <w:t>。</w:t>
            </w:r>
          </w:p>
          <w:p>
            <w:pPr>
              <w:keepNext w:val="0"/>
              <w:keepLines w:val="0"/>
              <w:widowControl/>
              <w:suppressLineNumbers w:val="0"/>
              <w:jc w:val="both"/>
              <w:textAlignment w:val="center"/>
              <w:rPr>
                <w:rFonts w:hint="eastAsia" w:ascii="微软雅黑" w:hAnsi="微软雅黑" w:eastAsia="微软雅黑" w:cs="微软雅黑"/>
                <w:i/>
                <w:iCs/>
                <w:color w:val="000000"/>
                <w:sz w:val="16"/>
                <w:szCs w:val="16"/>
                <w:highlight w:val="none"/>
                <w:u w:val="none"/>
              </w:rPr>
            </w:pPr>
            <w:r>
              <w:rPr>
                <w:rFonts w:hint="default" w:ascii="宋体" w:hAnsi="宋体" w:eastAsia="宋体" w:cs="宋体"/>
                <w:i w:val="0"/>
                <w:iCs w:val="0"/>
                <w:color w:val="000000"/>
                <w:kern w:val="0"/>
                <w:sz w:val="18"/>
                <w:szCs w:val="18"/>
                <w:highlight w:val="none"/>
                <w:u w:val="none"/>
                <w:lang w:val="en-US" w:eastAsia="zh-CN" w:bidi="ar"/>
              </w:rPr>
              <w:t>3资助资金</w:t>
            </w:r>
            <w:r>
              <w:rPr>
                <w:rFonts w:hint="eastAsia" w:ascii="宋体" w:hAnsi="宋体" w:cs="宋体"/>
                <w:i w:val="0"/>
                <w:iCs w:val="0"/>
                <w:color w:val="000000"/>
                <w:kern w:val="0"/>
                <w:sz w:val="18"/>
                <w:szCs w:val="18"/>
                <w:highlight w:val="none"/>
                <w:u w:val="none"/>
                <w:lang w:val="en-US" w:eastAsia="zh-CN" w:bidi="ar"/>
              </w:rPr>
              <w:t>及时准确发放</w:t>
            </w:r>
            <w:r>
              <w:rPr>
                <w:rFonts w:hint="default" w:ascii="宋体" w:hAnsi="宋体" w:eastAsia="宋体" w:cs="宋体"/>
                <w:i w:val="0"/>
                <w:iCs w:val="0"/>
                <w:color w:val="000000"/>
                <w:kern w:val="0"/>
                <w:sz w:val="18"/>
                <w:szCs w:val="18"/>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873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iCs/>
                <w:color w:val="000000"/>
                <w:sz w:val="16"/>
                <w:szCs w:val="16"/>
                <w:highlight w:val="none"/>
                <w:u w:val="none"/>
                <w:lang w:val="en-US" w:eastAsia="zh-CN"/>
              </w:rPr>
            </w:pPr>
            <w:r>
              <w:rPr>
                <w:rFonts w:hint="default" w:ascii="宋体" w:hAnsi="宋体" w:eastAsia="宋体" w:cs="宋体"/>
                <w:i w:val="0"/>
                <w:iCs w:val="0"/>
                <w:color w:val="000000"/>
                <w:kern w:val="0"/>
                <w:sz w:val="18"/>
                <w:szCs w:val="18"/>
                <w:highlight w:val="none"/>
                <w:u w:val="none"/>
                <w:lang w:val="en-US" w:eastAsia="zh-CN" w:bidi="ar"/>
              </w:rPr>
              <w:t>资金覆盖面有限：尽管资助资金在一定程度上缓解了家庭经济困难学生的经济压力，但仍有部分学生未能得到充分资助。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873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default" w:ascii="宋体" w:hAnsi="宋体" w:eastAsia="宋体" w:cs="宋体"/>
                <w:i w:val="0"/>
                <w:iCs w:val="0"/>
                <w:color w:val="000000"/>
                <w:kern w:val="0"/>
                <w:sz w:val="18"/>
                <w:szCs w:val="18"/>
                <w:highlight w:val="none"/>
                <w:u w:val="none"/>
                <w:lang w:val="en-US" w:eastAsia="zh-CN" w:bidi="ar"/>
              </w:rPr>
              <w:t>扩大资金覆盖面：通过增加资金投入，扩大资助范围，确保更多家庭经济困难学生能够受益。</w:t>
            </w:r>
          </w:p>
        </w:tc>
      </w:tr>
    </w:tbl>
    <w:p>
      <w:pPr>
        <w:pStyle w:val="8"/>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kern w:val="2"/>
          <w:sz w:val="32"/>
          <w:szCs w:val="32"/>
          <w:highlight w:val="none"/>
          <w:u w:val="none"/>
          <w:lang w:val="zh-CN" w:eastAsia="zh-CN" w:bidi="ar"/>
        </w:rPr>
      </w:pPr>
    </w:p>
    <w:p>
      <w:pPr>
        <w:pStyle w:val="8"/>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kern w:val="2"/>
          <w:sz w:val="32"/>
          <w:szCs w:val="32"/>
          <w:highlight w:val="none"/>
          <w:u w:val="none"/>
          <w:lang w:val="zh-CN" w:eastAsia="zh-CN" w:bidi="ar"/>
        </w:rPr>
      </w:pPr>
    </w:p>
    <w:p>
      <w:pPr>
        <w:pStyle w:val="8"/>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kern w:val="2"/>
          <w:sz w:val="32"/>
          <w:szCs w:val="32"/>
          <w:highlight w:val="none"/>
          <w:u w:val="none"/>
          <w:lang w:val="zh-CN" w:eastAsia="zh-CN" w:bidi="ar"/>
        </w:rPr>
      </w:pPr>
    </w:p>
    <w:p>
      <w:pPr>
        <w:pStyle w:val="8"/>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kern w:val="2"/>
          <w:sz w:val="32"/>
          <w:szCs w:val="32"/>
          <w:highlight w:val="none"/>
          <w:u w:val="none"/>
          <w:lang w:val="zh-CN" w:eastAsia="zh-CN" w:bidi="ar"/>
        </w:rPr>
      </w:pPr>
    </w:p>
    <w:p>
      <w:pPr>
        <w:pStyle w:val="8"/>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kern w:val="2"/>
          <w:sz w:val="32"/>
          <w:szCs w:val="32"/>
          <w:highlight w:val="none"/>
          <w:u w:val="none"/>
          <w:lang w:val="zh-CN" w:eastAsia="zh-CN" w:bidi="ar"/>
        </w:rPr>
      </w:pPr>
    </w:p>
    <w:p>
      <w:pPr>
        <w:pStyle w:val="8"/>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kern w:val="2"/>
          <w:sz w:val="32"/>
          <w:szCs w:val="32"/>
          <w:highlight w:val="none"/>
          <w:u w:val="none"/>
          <w:lang w:val="zh-CN" w:eastAsia="zh-CN" w:bidi="ar"/>
        </w:rPr>
      </w:pPr>
    </w:p>
    <w:p>
      <w:pPr>
        <w:pStyle w:val="8"/>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kern w:val="2"/>
          <w:sz w:val="32"/>
          <w:szCs w:val="32"/>
          <w:highlight w:val="none"/>
          <w:u w:val="none"/>
          <w:lang w:val="zh-CN" w:eastAsia="zh-CN" w:bidi="ar"/>
        </w:rPr>
      </w:pPr>
    </w:p>
    <w:p>
      <w:pPr>
        <w:pStyle w:val="8"/>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kern w:val="2"/>
          <w:sz w:val="32"/>
          <w:szCs w:val="32"/>
          <w:highlight w:val="none"/>
          <w:u w:val="none"/>
          <w:lang w:val="zh-CN" w:eastAsia="zh-CN" w:bidi="ar"/>
        </w:rPr>
      </w:pPr>
    </w:p>
    <w:p>
      <w:pPr>
        <w:pStyle w:val="8"/>
        <w:keepNext w:val="0"/>
        <w:keepLines w:val="0"/>
        <w:pageBreakBefore w:val="0"/>
        <w:numPr>
          <w:ilvl w:val="0"/>
          <w:numId w:val="0"/>
        </w:numPr>
        <w:kinsoku/>
        <w:wordWrap/>
        <w:overflowPunct/>
        <w:topLinePunct w:val="0"/>
        <w:autoSpaceDE/>
        <w:autoSpaceDN/>
        <w:bidi w:val="0"/>
        <w:spacing w:line="560" w:lineRule="exact"/>
        <w:textAlignment w:val="auto"/>
        <w:rPr>
          <w:rFonts w:hint="default" w:ascii="Times New Roman" w:hAnsi="Times New Roman" w:eastAsia="仿宋_GB2312" w:cs="Times New Roman"/>
          <w:kern w:val="2"/>
          <w:sz w:val="32"/>
          <w:szCs w:val="32"/>
          <w:highlight w:val="none"/>
          <w:u w:val="none"/>
          <w:lang w:val="zh-CN" w:eastAsia="zh-CN" w:bidi="ar"/>
        </w:rPr>
      </w:pPr>
    </w:p>
    <w:tbl>
      <w:tblPr>
        <w:tblStyle w:val="17"/>
        <w:tblW w:w="927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77"/>
        <w:gridCol w:w="1360"/>
        <w:gridCol w:w="835"/>
        <w:gridCol w:w="2174"/>
        <w:gridCol w:w="514"/>
        <w:gridCol w:w="523"/>
        <w:gridCol w:w="890"/>
        <w:gridCol w:w="630"/>
        <w:gridCol w:w="650"/>
        <w:gridCol w:w="101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927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highlight w:val="none"/>
                <w:u w:val="none"/>
              </w:rPr>
            </w:pPr>
            <w:r>
              <w:rPr>
                <w:rFonts w:hint="eastAsia" w:ascii="黑体" w:hAnsi="宋体" w:eastAsia="黑体" w:cs="黑体"/>
                <w:b/>
                <w:bCs/>
                <w:i w:val="0"/>
                <w:iCs w:val="0"/>
                <w:color w:val="000000"/>
                <w:kern w:val="0"/>
                <w:sz w:val="30"/>
                <w:szCs w:val="30"/>
                <w:highlight w:val="none"/>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0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723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51000023T000009609535-现代职业教育质量提升资金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0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404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四川省经济和信息化厅部门</w:t>
            </w:r>
          </w:p>
        </w:tc>
        <w:tc>
          <w:tcPr>
            <w:tcW w:w="89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实施单位 （盖章）</w:t>
            </w:r>
          </w:p>
        </w:tc>
        <w:tc>
          <w:tcPr>
            <w:tcW w:w="22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四川省盐业学校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13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404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31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13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04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bidi="ar"/>
              </w:rPr>
              <w:t>用</w:t>
            </w:r>
            <w:r>
              <w:rPr>
                <w:rFonts w:hint="default" w:ascii="宋体" w:hAnsi="宋体" w:eastAsia="宋体" w:cs="宋体"/>
                <w:i w:val="0"/>
                <w:iCs w:val="0"/>
                <w:color w:val="000000"/>
                <w:kern w:val="0"/>
                <w:sz w:val="18"/>
                <w:szCs w:val="18"/>
                <w:highlight w:val="none"/>
                <w:u w:val="none"/>
                <w:lang w:val="en-US" w:eastAsia="zh-CN" w:bidi="ar"/>
              </w:rPr>
              <w:t>于师资力量建设、职业教育建设等，着力实施深化体制机制创新、内部质量保障体系建设、特色专业群建设、双师型教师队伍建设、教学条件建设、社会服务能力提升、校园信息化建设等建设体系，完善现代职业教育质量提升</w:t>
            </w:r>
            <w:r>
              <w:rPr>
                <w:rFonts w:hint="eastAsia" w:ascii="宋体" w:hAnsi="宋体" w:eastAsia="宋体" w:cs="宋体"/>
                <w:i w:val="0"/>
                <w:iCs w:val="0"/>
                <w:color w:val="000000"/>
                <w:kern w:val="0"/>
                <w:sz w:val="18"/>
                <w:szCs w:val="18"/>
                <w:highlight w:val="none"/>
                <w:u w:val="none"/>
                <w:lang w:val="en-US" w:eastAsia="zh-CN" w:bidi="ar"/>
              </w:rPr>
              <w:t>体系</w:t>
            </w:r>
            <w:r>
              <w:rPr>
                <w:rFonts w:hint="eastAsia" w:ascii="宋体" w:hAnsi="宋体" w:cs="宋体"/>
                <w:i w:val="0"/>
                <w:iCs w:val="0"/>
                <w:color w:val="000000"/>
                <w:kern w:val="0"/>
                <w:sz w:val="18"/>
                <w:szCs w:val="18"/>
                <w:highlight w:val="none"/>
                <w:u w:val="none"/>
                <w:lang w:val="en-US" w:eastAsia="zh-CN" w:bidi="ar"/>
              </w:rPr>
              <w:t>。</w:t>
            </w:r>
          </w:p>
        </w:tc>
        <w:tc>
          <w:tcPr>
            <w:tcW w:w="31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lang w:val="en-US"/>
              </w:rPr>
            </w:pPr>
            <w:r>
              <w:rPr>
                <w:rFonts w:hint="default" w:ascii="宋体" w:hAnsi="宋体" w:eastAsia="宋体" w:cs="宋体"/>
                <w:i w:val="0"/>
                <w:iCs w:val="0"/>
                <w:color w:val="000000"/>
                <w:kern w:val="0"/>
                <w:sz w:val="18"/>
                <w:szCs w:val="18"/>
                <w:highlight w:val="none"/>
                <w:u w:val="none"/>
                <w:lang w:val="en-US" w:eastAsia="zh-CN" w:bidi="ar"/>
              </w:rPr>
              <w:t>学</w:t>
            </w:r>
            <w:r>
              <w:rPr>
                <w:rFonts w:hint="eastAsia" w:ascii="宋体" w:hAnsi="宋体" w:cs="宋体"/>
                <w:i w:val="0"/>
                <w:iCs w:val="0"/>
                <w:color w:val="000000"/>
                <w:kern w:val="0"/>
                <w:sz w:val="18"/>
                <w:szCs w:val="18"/>
                <w:highlight w:val="none"/>
                <w:u w:val="none"/>
                <w:lang w:val="en-US" w:eastAsia="zh-CN" w:bidi="ar"/>
              </w:rPr>
              <w:t>校</w:t>
            </w:r>
            <w:r>
              <w:rPr>
                <w:rFonts w:hint="default" w:ascii="宋体" w:hAnsi="宋体" w:eastAsia="宋体" w:cs="宋体"/>
                <w:i w:val="0"/>
                <w:iCs w:val="0"/>
                <w:color w:val="000000"/>
                <w:kern w:val="0"/>
                <w:sz w:val="18"/>
                <w:szCs w:val="18"/>
                <w:highlight w:val="none"/>
                <w:u w:val="none"/>
                <w:lang w:val="en-US" w:eastAsia="zh-CN" w:bidi="ar"/>
              </w:rPr>
              <w:t>作为职业教育的重要基地，承担着培养适应现代社会需求的人才的使命。为提升现代职业教育质量，学</w:t>
            </w:r>
            <w:r>
              <w:rPr>
                <w:rFonts w:hint="eastAsia" w:ascii="宋体" w:hAnsi="宋体" w:cs="宋体"/>
                <w:i w:val="0"/>
                <w:iCs w:val="0"/>
                <w:color w:val="000000"/>
                <w:kern w:val="0"/>
                <w:sz w:val="18"/>
                <w:szCs w:val="18"/>
                <w:highlight w:val="none"/>
                <w:u w:val="none"/>
                <w:lang w:val="en-US" w:eastAsia="zh-CN" w:bidi="ar"/>
              </w:rPr>
              <w:t>校</w:t>
            </w:r>
            <w:r>
              <w:rPr>
                <w:rFonts w:hint="default" w:ascii="宋体" w:hAnsi="宋体" w:eastAsia="宋体" w:cs="宋体"/>
                <w:i w:val="0"/>
                <w:iCs w:val="0"/>
                <w:color w:val="000000"/>
                <w:kern w:val="0"/>
                <w:sz w:val="18"/>
                <w:szCs w:val="18"/>
                <w:highlight w:val="none"/>
                <w:u w:val="none"/>
                <w:lang w:val="en-US" w:eastAsia="zh-CN" w:bidi="ar"/>
              </w:rPr>
              <w:t>实施了一系列旨在提高教学质量、优化教学资源配置、增强师资力量和提升学生就业</w:t>
            </w:r>
            <w:r>
              <w:rPr>
                <w:rFonts w:hint="eastAsia" w:ascii="宋体" w:hAnsi="宋体" w:cs="宋体"/>
                <w:i w:val="0"/>
                <w:iCs w:val="0"/>
                <w:color w:val="000000"/>
                <w:kern w:val="0"/>
                <w:sz w:val="18"/>
                <w:szCs w:val="18"/>
                <w:highlight w:val="none"/>
                <w:u w:val="none"/>
                <w:lang w:val="en-US" w:eastAsia="zh-CN" w:bidi="ar"/>
              </w:rPr>
              <w:t>率的措施。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723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18"/>
                <w:szCs w:val="18"/>
                <w:highlight w:val="none"/>
                <w:u w:val="none"/>
                <w:lang w:val="en-US"/>
              </w:rPr>
            </w:pPr>
            <w:r>
              <w:rPr>
                <w:rFonts w:hint="default" w:ascii="宋体" w:hAnsi="宋体" w:eastAsia="宋体" w:cs="宋体"/>
                <w:i w:val="0"/>
                <w:iCs w:val="0"/>
                <w:color w:val="000000"/>
                <w:kern w:val="0"/>
                <w:sz w:val="18"/>
                <w:szCs w:val="18"/>
                <w:highlight w:val="none"/>
                <w:u w:val="none"/>
                <w:lang w:val="en-US" w:eastAsia="zh-CN" w:bidi="ar"/>
              </w:rPr>
              <w:t>学</w:t>
            </w:r>
            <w:r>
              <w:rPr>
                <w:rFonts w:hint="eastAsia" w:ascii="宋体" w:hAnsi="宋体" w:cs="宋体"/>
                <w:i w:val="0"/>
                <w:iCs w:val="0"/>
                <w:color w:val="000000"/>
                <w:kern w:val="0"/>
                <w:sz w:val="18"/>
                <w:szCs w:val="18"/>
                <w:highlight w:val="none"/>
                <w:u w:val="none"/>
                <w:lang w:val="en-US" w:eastAsia="zh-CN" w:bidi="ar"/>
              </w:rPr>
              <w:t>校</w:t>
            </w:r>
            <w:r>
              <w:rPr>
                <w:rFonts w:hint="default" w:ascii="宋体" w:hAnsi="宋体" w:eastAsia="宋体" w:cs="宋体"/>
                <w:i w:val="0"/>
                <w:iCs w:val="0"/>
                <w:color w:val="000000"/>
                <w:kern w:val="0"/>
                <w:sz w:val="18"/>
                <w:szCs w:val="18"/>
                <w:highlight w:val="none"/>
                <w:u w:val="none"/>
                <w:lang w:val="en-US" w:eastAsia="zh-CN" w:bidi="ar"/>
              </w:rPr>
              <w:t>通过修订专业课程体系，引入行业最新技术和标准，使课程内容与行业需求紧密对接。同时，增加实践教学课时，强化学生的技能训练。学</w:t>
            </w:r>
            <w:r>
              <w:rPr>
                <w:rFonts w:hint="eastAsia" w:ascii="宋体" w:hAnsi="宋体" w:cs="宋体"/>
                <w:i w:val="0"/>
                <w:iCs w:val="0"/>
                <w:color w:val="000000"/>
                <w:kern w:val="0"/>
                <w:sz w:val="18"/>
                <w:szCs w:val="18"/>
                <w:highlight w:val="none"/>
                <w:u w:val="none"/>
                <w:lang w:val="en-US" w:eastAsia="zh-CN" w:bidi="ar"/>
              </w:rPr>
              <w:t>校</w:t>
            </w:r>
            <w:r>
              <w:rPr>
                <w:rFonts w:hint="default" w:ascii="宋体" w:hAnsi="宋体" w:eastAsia="宋体" w:cs="宋体"/>
                <w:i w:val="0"/>
                <w:iCs w:val="0"/>
                <w:color w:val="000000"/>
                <w:kern w:val="0"/>
                <w:sz w:val="18"/>
                <w:szCs w:val="18"/>
                <w:highlight w:val="none"/>
                <w:u w:val="none"/>
                <w:lang w:val="en-US" w:eastAsia="zh-CN" w:bidi="ar"/>
              </w:rPr>
              <w:t>合理规划教育经费，优先保障教学需要。对于教学设施，学</w:t>
            </w:r>
            <w:r>
              <w:rPr>
                <w:rFonts w:hint="eastAsia" w:ascii="宋体" w:hAnsi="宋体" w:cs="宋体"/>
                <w:i w:val="0"/>
                <w:iCs w:val="0"/>
                <w:color w:val="000000"/>
                <w:kern w:val="0"/>
                <w:sz w:val="18"/>
                <w:szCs w:val="18"/>
                <w:highlight w:val="none"/>
                <w:u w:val="none"/>
                <w:lang w:val="en-US" w:eastAsia="zh-CN" w:bidi="ar"/>
              </w:rPr>
              <w:t>校</w:t>
            </w:r>
            <w:r>
              <w:rPr>
                <w:rFonts w:hint="default" w:ascii="宋体" w:hAnsi="宋体" w:eastAsia="宋体" w:cs="宋体"/>
                <w:i w:val="0"/>
                <w:iCs w:val="0"/>
                <w:color w:val="000000"/>
                <w:kern w:val="0"/>
                <w:sz w:val="18"/>
                <w:szCs w:val="18"/>
                <w:highlight w:val="none"/>
                <w:u w:val="none"/>
                <w:lang w:val="en-US" w:eastAsia="zh-CN" w:bidi="ar"/>
              </w:rPr>
              <w:t>进行了升级改造，添置了先进的实训设备，并建立了信息化教学管理平台，提高了教学管理的效率</w:t>
            </w:r>
            <w:r>
              <w:rPr>
                <w:rFonts w:hint="eastAsia" w:ascii="宋体" w:hAnsi="宋体" w:cs="宋体"/>
                <w:i w:val="0"/>
                <w:iCs w:val="0"/>
                <w:color w:val="000000"/>
                <w:kern w:val="0"/>
                <w:sz w:val="18"/>
                <w:szCs w:val="18"/>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21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10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157.94</w:t>
            </w:r>
          </w:p>
        </w:tc>
        <w:tc>
          <w:tcPr>
            <w:tcW w:w="21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480.94</w:t>
            </w:r>
          </w:p>
        </w:tc>
        <w:tc>
          <w:tcPr>
            <w:tcW w:w="10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170.49</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35.45%</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w:t>
            </w:r>
          </w:p>
        </w:tc>
        <w:tc>
          <w:tcPr>
            <w:tcW w:w="10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进入政府采购程序，</w:t>
            </w:r>
            <w:r>
              <w:rPr>
                <w:rFonts w:hint="eastAsia" w:ascii="宋体" w:hAnsi="宋体" w:eastAsia="宋体" w:cs="宋体"/>
                <w:i w:val="0"/>
                <w:iCs w:val="0"/>
                <w:color w:val="000000"/>
                <w:kern w:val="0"/>
                <w:sz w:val="18"/>
                <w:szCs w:val="18"/>
                <w:highlight w:val="none"/>
                <w:u w:val="none"/>
                <w:lang w:val="en-US" w:eastAsia="zh-CN" w:bidi="ar"/>
              </w:rPr>
              <w:t>按规定结转至2025年执行</w:t>
            </w:r>
            <w:r>
              <w:rPr>
                <w:rFonts w:hint="eastAsia" w:ascii="宋体" w:hAnsi="宋体" w:cs="宋体"/>
                <w:i w:val="0"/>
                <w:iCs w:val="0"/>
                <w:color w:val="000000"/>
                <w:kern w:val="0"/>
                <w:sz w:val="18"/>
                <w:szCs w:val="18"/>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157.94</w:t>
            </w:r>
          </w:p>
        </w:tc>
        <w:tc>
          <w:tcPr>
            <w:tcW w:w="21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480.94</w:t>
            </w:r>
          </w:p>
        </w:tc>
        <w:tc>
          <w:tcPr>
            <w:tcW w:w="10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170.49</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35.45%</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0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1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0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1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0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217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10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0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21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3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8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21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完成改善中职学校办学条件规划任务</w:t>
            </w:r>
          </w:p>
        </w:tc>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100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3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21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教师国家级培训任务完成率</w:t>
            </w:r>
          </w:p>
        </w:tc>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100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3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21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中等职业学校免学费受助人数占应受助学生数的比例</w:t>
            </w:r>
          </w:p>
        </w:tc>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100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3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21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中等职业学校国家助学金受助人数占应受助学生数的比例</w:t>
            </w:r>
          </w:p>
        </w:tc>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3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质量指标</w:t>
            </w:r>
          </w:p>
        </w:tc>
        <w:tc>
          <w:tcPr>
            <w:tcW w:w="21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“双师型”教师占专业课教师比例</w:t>
            </w:r>
          </w:p>
        </w:tc>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60</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60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3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21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中职学校新建或改建校舍、场地达到规划建设要求的比率</w:t>
            </w:r>
          </w:p>
        </w:tc>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100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3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21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中职学生就业率</w:t>
            </w:r>
          </w:p>
        </w:tc>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90</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90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3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时效指标</w:t>
            </w:r>
          </w:p>
        </w:tc>
        <w:tc>
          <w:tcPr>
            <w:tcW w:w="21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预算执行进度</w:t>
            </w:r>
          </w:p>
        </w:tc>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35.45</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kern w:val="0"/>
                <w:sz w:val="18"/>
                <w:szCs w:val="18"/>
                <w:highlight w:val="none"/>
                <w:u w:val="none"/>
                <w:lang w:val="en-US" w:eastAsia="zh-CN" w:bidi="ar"/>
              </w:rPr>
              <w:t>10</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社会效益指标</w:t>
            </w:r>
          </w:p>
        </w:tc>
        <w:tc>
          <w:tcPr>
            <w:tcW w:w="21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中等职业学生因贫辍学率</w:t>
            </w:r>
          </w:p>
        </w:tc>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30</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30</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满意度指标</w:t>
            </w: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服务对象满意度指标</w:t>
            </w:r>
          </w:p>
        </w:tc>
        <w:tc>
          <w:tcPr>
            <w:tcW w:w="21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学生、家长满意度</w:t>
            </w:r>
          </w:p>
        </w:tc>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90</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90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97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kern w:val="0"/>
                <w:sz w:val="18"/>
                <w:szCs w:val="18"/>
                <w:highlight w:val="none"/>
                <w:u w:val="none"/>
                <w:lang w:val="en-US" w:eastAsia="zh-CN" w:bidi="ar"/>
              </w:rPr>
              <w:t>95</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859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18"/>
                <w:szCs w:val="18"/>
                <w:highlight w:val="none"/>
                <w:u w:val="none"/>
                <w:lang w:val="en-US" w:eastAsia="zh-CN" w:bidi="ar"/>
              </w:rPr>
            </w:pPr>
            <w:r>
              <w:rPr>
                <w:rFonts w:hint="default" w:ascii="宋体" w:hAnsi="宋体" w:eastAsia="宋体" w:cs="宋体"/>
                <w:i w:val="0"/>
                <w:iCs w:val="0"/>
                <w:color w:val="000000"/>
                <w:kern w:val="0"/>
                <w:sz w:val="18"/>
                <w:szCs w:val="18"/>
                <w:highlight w:val="none"/>
                <w:u w:val="none"/>
                <w:lang w:val="en-US" w:eastAsia="zh-CN" w:bidi="ar"/>
              </w:rPr>
              <w:t>项目自评总分为</w:t>
            </w:r>
            <w:r>
              <w:rPr>
                <w:rFonts w:hint="eastAsia" w:ascii="宋体" w:hAnsi="宋体" w:eastAsia="宋体" w:cs="宋体"/>
                <w:i w:val="0"/>
                <w:iCs w:val="0"/>
                <w:color w:val="000000"/>
                <w:kern w:val="0"/>
                <w:sz w:val="18"/>
                <w:szCs w:val="18"/>
                <w:highlight w:val="none"/>
                <w:u w:val="none"/>
                <w:lang w:val="en-US" w:eastAsia="zh-CN" w:bidi="ar"/>
              </w:rPr>
              <w:t>95</w:t>
            </w:r>
            <w:r>
              <w:rPr>
                <w:rFonts w:hint="default" w:ascii="宋体" w:hAnsi="宋体" w:eastAsia="宋体" w:cs="宋体"/>
                <w:i w:val="0"/>
                <w:iCs w:val="0"/>
                <w:color w:val="000000"/>
                <w:kern w:val="0"/>
                <w:sz w:val="18"/>
                <w:szCs w:val="18"/>
                <w:highlight w:val="none"/>
                <w:u w:val="none"/>
                <w:lang w:val="en-US" w:eastAsia="zh-CN" w:bidi="ar"/>
              </w:rPr>
              <w:t>分，项目实施取得的成效或成果：</w:t>
            </w:r>
          </w:p>
          <w:p>
            <w:pPr>
              <w:keepNext w:val="0"/>
              <w:keepLines w:val="0"/>
              <w:widowControl/>
              <w:numPr>
                <w:ilvl w:val="0"/>
                <w:numId w:val="2"/>
              </w:numPr>
              <w:suppressLineNumbers w:val="0"/>
              <w:jc w:val="left"/>
              <w:textAlignment w:val="center"/>
              <w:rPr>
                <w:rFonts w:hint="default" w:ascii="宋体" w:hAnsi="宋体" w:eastAsia="宋体" w:cs="宋体"/>
                <w:i w:val="0"/>
                <w:iCs w:val="0"/>
                <w:color w:val="000000"/>
                <w:kern w:val="0"/>
                <w:sz w:val="18"/>
                <w:szCs w:val="18"/>
                <w:highlight w:val="none"/>
                <w:u w:val="none"/>
                <w:lang w:val="en-US" w:eastAsia="zh-CN" w:bidi="ar"/>
              </w:rPr>
            </w:pPr>
            <w:r>
              <w:rPr>
                <w:rFonts w:hint="default" w:ascii="宋体" w:hAnsi="宋体" w:eastAsia="宋体" w:cs="宋体"/>
                <w:i w:val="0"/>
                <w:iCs w:val="0"/>
                <w:color w:val="000000"/>
                <w:kern w:val="0"/>
                <w:sz w:val="18"/>
                <w:szCs w:val="18"/>
                <w:highlight w:val="none"/>
                <w:u w:val="none"/>
                <w:lang w:val="en-US" w:eastAsia="zh-CN" w:bidi="ar"/>
              </w:rPr>
              <w:t>教育质量方面：学</w:t>
            </w:r>
            <w:r>
              <w:rPr>
                <w:rFonts w:hint="eastAsia" w:ascii="宋体" w:hAnsi="宋体" w:cs="宋体"/>
                <w:i w:val="0"/>
                <w:iCs w:val="0"/>
                <w:color w:val="000000"/>
                <w:kern w:val="0"/>
                <w:sz w:val="18"/>
                <w:szCs w:val="18"/>
                <w:highlight w:val="none"/>
                <w:u w:val="none"/>
                <w:lang w:val="en-US" w:eastAsia="zh-CN" w:bidi="ar"/>
              </w:rPr>
              <w:t>校</w:t>
            </w:r>
            <w:r>
              <w:rPr>
                <w:rFonts w:hint="default" w:ascii="宋体" w:hAnsi="宋体" w:eastAsia="宋体" w:cs="宋体"/>
                <w:i w:val="0"/>
                <w:iCs w:val="0"/>
                <w:color w:val="000000"/>
                <w:kern w:val="0"/>
                <w:sz w:val="18"/>
                <w:szCs w:val="18"/>
                <w:highlight w:val="none"/>
                <w:u w:val="none"/>
                <w:lang w:val="en-US" w:eastAsia="zh-CN" w:bidi="ar"/>
              </w:rPr>
              <w:t>通过深化校企合作，强化实践环节，学生的技能掌握程度得到了显著提升，职业资格证书获取率逐年上升，企业满意度保持在较高水平。</w:t>
            </w:r>
          </w:p>
          <w:p>
            <w:pPr>
              <w:keepNext w:val="0"/>
              <w:keepLines w:val="0"/>
              <w:widowControl/>
              <w:numPr>
                <w:ilvl w:val="0"/>
                <w:numId w:val="2"/>
              </w:numPr>
              <w:suppressLineNumbers w:val="0"/>
              <w:ind w:left="0" w:leftChars="0" w:firstLine="0" w:firstLineChars="0"/>
              <w:jc w:val="left"/>
              <w:textAlignment w:val="center"/>
              <w:rPr>
                <w:rFonts w:hint="default" w:ascii="宋体" w:hAnsi="宋体" w:eastAsia="宋体" w:cs="宋体"/>
                <w:i w:val="0"/>
                <w:iCs w:val="0"/>
                <w:color w:val="000000"/>
                <w:kern w:val="0"/>
                <w:sz w:val="18"/>
                <w:szCs w:val="18"/>
                <w:highlight w:val="none"/>
                <w:u w:val="none"/>
                <w:lang w:val="en-US" w:eastAsia="zh-CN" w:bidi="ar"/>
              </w:rPr>
            </w:pPr>
            <w:r>
              <w:rPr>
                <w:rFonts w:hint="default" w:ascii="宋体" w:hAnsi="宋体" w:eastAsia="宋体" w:cs="宋体"/>
                <w:i w:val="0"/>
                <w:iCs w:val="0"/>
                <w:color w:val="000000"/>
                <w:kern w:val="0"/>
                <w:sz w:val="18"/>
                <w:szCs w:val="18"/>
                <w:highlight w:val="none"/>
                <w:u w:val="none"/>
                <w:lang w:val="en-US" w:eastAsia="zh-CN" w:bidi="ar"/>
              </w:rPr>
              <w:t>资源配置方面：学</w:t>
            </w:r>
            <w:r>
              <w:rPr>
                <w:rFonts w:hint="eastAsia" w:ascii="宋体" w:hAnsi="宋体" w:cs="宋体"/>
                <w:i w:val="0"/>
                <w:iCs w:val="0"/>
                <w:color w:val="000000"/>
                <w:kern w:val="0"/>
                <w:sz w:val="18"/>
                <w:szCs w:val="18"/>
                <w:highlight w:val="none"/>
                <w:u w:val="none"/>
                <w:lang w:val="en-US" w:eastAsia="zh-CN" w:bidi="ar"/>
              </w:rPr>
              <w:t>校</w:t>
            </w:r>
            <w:r>
              <w:rPr>
                <w:rFonts w:hint="default" w:ascii="宋体" w:hAnsi="宋体" w:eastAsia="宋体" w:cs="宋体"/>
                <w:i w:val="0"/>
                <w:iCs w:val="0"/>
                <w:color w:val="000000"/>
                <w:kern w:val="0"/>
                <w:sz w:val="18"/>
                <w:szCs w:val="18"/>
                <w:highlight w:val="none"/>
                <w:u w:val="none"/>
                <w:lang w:val="en-US" w:eastAsia="zh-CN" w:bidi="ar"/>
              </w:rPr>
              <w:t>合理规划教育经费，提高教学设施利用率，通过信息化手段提升教育管理效率，资源使用效率得到提升。</w:t>
            </w:r>
          </w:p>
          <w:p>
            <w:pPr>
              <w:keepNext w:val="0"/>
              <w:keepLines w:val="0"/>
              <w:widowControl/>
              <w:numPr>
                <w:ilvl w:val="0"/>
                <w:numId w:val="3"/>
              </w:numPr>
              <w:suppressLineNumbers w:val="0"/>
              <w:ind w:leftChars="0"/>
              <w:jc w:val="left"/>
              <w:textAlignment w:val="center"/>
              <w:rPr>
                <w:rFonts w:hint="default" w:ascii="宋体" w:hAnsi="宋体" w:eastAsia="宋体" w:cs="宋体"/>
                <w:i w:val="0"/>
                <w:iCs w:val="0"/>
                <w:color w:val="000000"/>
                <w:kern w:val="0"/>
                <w:sz w:val="18"/>
                <w:szCs w:val="18"/>
                <w:highlight w:val="none"/>
                <w:u w:val="none"/>
                <w:lang w:val="en-US" w:eastAsia="zh-CN" w:bidi="ar"/>
              </w:rPr>
            </w:pPr>
            <w:r>
              <w:rPr>
                <w:rFonts w:hint="default" w:ascii="宋体" w:hAnsi="宋体" w:eastAsia="宋体" w:cs="宋体"/>
                <w:i w:val="0"/>
                <w:iCs w:val="0"/>
                <w:color w:val="000000"/>
                <w:kern w:val="0"/>
                <w:sz w:val="18"/>
                <w:szCs w:val="18"/>
                <w:highlight w:val="none"/>
                <w:u w:val="none"/>
                <w:lang w:val="en-US" w:eastAsia="zh-CN" w:bidi="ar"/>
              </w:rPr>
              <w:t>师资力量方面：学</w:t>
            </w:r>
            <w:r>
              <w:rPr>
                <w:rFonts w:hint="eastAsia" w:ascii="宋体" w:hAnsi="宋体" w:cs="宋体"/>
                <w:i w:val="0"/>
                <w:iCs w:val="0"/>
                <w:color w:val="000000"/>
                <w:kern w:val="0"/>
                <w:sz w:val="18"/>
                <w:szCs w:val="18"/>
                <w:highlight w:val="none"/>
                <w:u w:val="none"/>
                <w:lang w:val="en-US" w:eastAsia="zh-CN" w:bidi="ar"/>
              </w:rPr>
              <w:t>校</w:t>
            </w:r>
            <w:r>
              <w:rPr>
                <w:rFonts w:hint="default" w:ascii="宋体" w:hAnsi="宋体" w:eastAsia="宋体" w:cs="宋体"/>
                <w:i w:val="0"/>
                <w:iCs w:val="0"/>
                <w:color w:val="000000"/>
                <w:kern w:val="0"/>
                <w:sz w:val="18"/>
                <w:szCs w:val="18"/>
                <w:highlight w:val="none"/>
                <w:u w:val="none"/>
                <w:lang w:val="en-US" w:eastAsia="zh-CN" w:bidi="ar"/>
              </w:rPr>
              <w:t>加大师资培训力度，引进高学历、高技能人才，教师队伍结构不断优化，教学质量得到提高</w:t>
            </w:r>
            <w:r>
              <w:rPr>
                <w:rFonts w:hint="eastAsia" w:ascii="宋体" w:hAnsi="宋体" w:cs="宋体"/>
                <w:i w:val="0"/>
                <w:iCs w:val="0"/>
                <w:color w:val="000000"/>
                <w:kern w:val="0"/>
                <w:sz w:val="18"/>
                <w:szCs w:val="18"/>
                <w:highlight w:val="none"/>
                <w:u w:val="none"/>
                <w:lang w:val="en-US" w:eastAsia="zh-CN" w:bidi="ar"/>
              </w:rPr>
              <w:t>。</w:t>
            </w:r>
          </w:p>
          <w:p>
            <w:pPr>
              <w:keepNext w:val="0"/>
              <w:keepLines w:val="0"/>
              <w:widowControl/>
              <w:numPr>
                <w:ilvl w:val="0"/>
                <w:numId w:val="0"/>
              </w:numPr>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default" w:ascii="宋体" w:hAnsi="宋体" w:eastAsia="宋体" w:cs="宋体"/>
                <w:i w:val="0"/>
                <w:iCs w:val="0"/>
                <w:color w:val="000000"/>
                <w:kern w:val="0"/>
                <w:sz w:val="18"/>
                <w:szCs w:val="18"/>
                <w:highlight w:val="none"/>
                <w:u w:val="none"/>
                <w:lang w:val="en-US" w:eastAsia="zh-CN" w:bidi="ar"/>
              </w:rPr>
              <w:t>4.学生就业方面：学院就业指导服务完善，学生就业率稳步提升，专业对口率和起薪水平均达到预期目标。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859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iCs/>
                <w:color w:val="000000"/>
                <w:sz w:val="16"/>
                <w:szCs w:val="16"/>
                <w:highlight w:val="none"/>
                <w:u w:val="none"/>
                <w:lang w:val="en-US" w:eastAsia="zh-CN"/>
              </w:rPr>
            </w:pPr>
            <w:r>
              <w:rPr>
                <w:rFonts w:hint="default" w:ascii="宋体" w:hAnsi="宋体" w:eastAsia="宋体" w:cs="宋体"/>
                <w:i w:val="0"/>
                <w:iCs w:val="0"/>
                <w:color w:val="000000"/>
                <w:kern w:val="0"/>
                <w:sz w:val="18"/>
                <w:szCs w:val="18"/>
                <w:highlight w:val="none"/>
                <w:u w:val="none"/>
                <w:lang w:val="en-US" w:eastAsia="zh-CN" w:bidi="ar"/>
              </w:rPr>
              <w:t>部分专业课程内容与行业需求存在差距，实践教学设施和资源有限，企业参与教育的深度不足；高学历、高技能教师的引进和培养力度需要加强，部分教师缺乏企业实际工作经验。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859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iCs/>
                <w:color w:val="000000"/>
                <w:sz w:val="16"/>
                <w:szCs w:val="16"/>
                <w:highlight w:val="none"/>
                <w:u w:val="none"/>
                <w:lang w:val="en-US" w:eastAsia="zh-CN"/>
              </w:rPr>
            </w:pPr>
            <w:r>
              <w:rPr>
                <w:rFonts w:hint="default" w:ascii="宋体" w:hAnsi="宋体" w:eastAsia="宋体" w:cs="宋体"/>
                <w:i w:val="0"/>
                <w:iCs w:val="0"/>
                <w:color w:val="000000"/>
                <w:kern w:val="0"/>
                <w:sz w:val="18"/>
                <w:szCs w:val="18"/>
                <w:highlight w:val="none"/>
                <w:u w:val="none"/>
                <w:lang w:val="en-US" w:eastAsia="zh-CN" w:bidi="ar"/>
              </w:rPr>
              <w:t>进一步深化校企合作，引入企业真实项目，提升学生的实践能力和就业竞争力；继续优化师资队伍结构，加强教师的企业实践能力培养</w:t>
            </w:r>
            <w:r>
              <w:rPr>
                <w:rFonts w:hint="eastAsia" w:ascii="宋体" w:hAnsi="宋体" w:cs="宋体"/>
                <w:i w:val="0"/>
                <w:iCs w:val="0"/>
                <w:color w:val="000000"/>
                <w:kern w:val="0"/>
                <w:sz w:val="18"/>
                <w:szCs w:val="18"/>
                <w:highlight w:val="none"/>
                <w:u w:val="none"/>
                <w:lang w:val="en-US" w:eastAsia="zh-CN" w:bidi="ar"/>
              </w:rPr>
              <w:t>.</w:t>
            </w:r>
          </w:p>
        </w:tc>
      </w:tr>
    </w:tbl>
    <w:p>
      <w:pPr>
        <w:pStyle w:val="8"/>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kern w:val="2"/>
          <w:sz w:val="32"/>
          <w:szCs w:val="32"/>
          <w:highlight w:val="none"/>
          <w:u w:val="none"/>
          <w:lang w:val="zh-CN" w:eastAsia="zh-CN" w:bidi="ar"/>
        </w:rPr>
      </w:pPr>
    </w:p>
    <w:p>
      <w:pPr>
        <w:pStyle w:val="8"/>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kern w:val="2"/>
          <w:sz w:val="32"/>
          <w:szCs w:val="32"/>
          <w:highlight w:val="none"/>
          <w:u w:val="none"/>
          <w:lang w:val="zh-CN" w:eastAsia="zh-CN" w:bidi="ar"/>
        </w:rPr>
      </w:pPr>
    </w:p>
    <w:p>
      <w:pPr>
        <w:pStyle w:val="8"/>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kern w:val="2"/>
          <w:sz w:val="32"/>
          <w:szCs w:val="32"/>
          <w:highlight w:val="none"/>
          <w:u w:val="none"/>
          <w:lang w:val="zh-CN" w:eastAsia="zh-CN" w:bidi="ar"/>
        </w:rPr>
      </w:pPr>
    </w:p>
    <w:p>
      <w:pPr>
        <w:pStyle w:val="8"/>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kern w:val="2"/>
          <w:sz w:val="32"/>
          <w:szCs w:val="32"/>
          <w:highlight w:val="none"/>
          <w:u w:val="none"/>
          <w:lang w:val="zh-CN" w:eastAsia="zh-CN" w:bidi="ar"/>
        </w:rPr>
      </w:pPr>
    </w:p>
    <w:p>
      <w:pPr>
        <w:pStyle w:val="8"/>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kern w:val="2"/>
          <w:sz w:val="32"/>
          <w:szCs w:val="32"/>
          <w:highlight w:val="none"/>
          <w:u w:val="none"/>
          <w:lang w:val="zh-CN" w:eastAsia="zh-CN" w:bidi="ar"/>
        </w:rPr>
      </w:pPr>
    </w:p>
    <w:p>
      <w:pPr>
        <w:pStyle w:val="8"/>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kern w:val="2"/>
          <w:sz w:val="32"/>
          <w:szCs w:val="32"/>
          <w:highlight w:val="none"/>
          <w:u w:val="none"/>
          <w:lang w:val="zh-CN" w:eastAsia="zh-CN" w:bidi="ar"/>
        </w:rPr>
      </w:pPr>
    </w:p>
    <w:p>
      <w:pPr>
        <w:pStyle w:val="8"/>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kern w:val="2"/>
          <w:sz w:val="32"/>
          <w:szCs w:val="32"/>
          <w:highlight w:val="none"/>
          <w:u w:val="none"/>
          <w:lang w:val="zh-CN" w:eastAsia="zh-CN" w:bidi="ar"/>
        </w:rPr>
      </w:pPr>
    </w:p>
    <w:p>
      <w:pPr>
        <w:pStyle w:val="8"/>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kern w:val="2"/>
          <w:sz w:val="32"/>
          <w:szCs w:val="32"/>
          <w:highlight w:val="none"/>
          <w:u w:val="none"/>
          <w:lang w:val="zh-CN" w:eastAsia="zh-CN" w:bidi="ar"/>
        </w:rPr>
      </w:pPr>
    </w:p>
    <w:p>
      <w:pPr>
        <w:pStyle w:val="8"/>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kern w:val="2"/>
          <w:sz w:val="32"/>
          <w:szCs w:val="32"/>
          <w:highlight w:val="none"/>
          <w:u w:val="none"/>
          <w:lang w:val="zh-CN" w:eastAsia="zh-CN" w:bidi="ar"/>
        </w:rPr>
      </w:pPr>
    </w:p>
    <w:tbl>
      <w:tblPr>
        <w:tblStyle w:val="17"/>
        <w:tblW w:w="950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80"/>
        <w:gridCol w:w="1080"/>
        <w:gridCol w:w="1080"/>
        <w:gridCol w:w="1080"/>
        <w:gridCol w:w="520"/>
        <w:gridCol w:w="740"/>
        <w:gridCol w:w="460"/>
        <w:gridCol w:w="1080"/>
        <w:gridCol w:w="720"/>
        <w:gridCol w:w="580"/>
        <w:gridCol w:w="10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95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highlight w:val="none"/>
                <w:u w:val="none"/>
              </w:rPr>
            </w:pPr>
            <w:r>
              <w:rPr>
                <w:rFonts w:hint="eastAsia" w:ascii="黑体" w:hAnsi="宋体" w:eastAsia="黑体" w:cs="黑体"/>
                <w:b/>
                <w:bCs/>
                <w:i w:val="0"/>
                <w:iCs w:val="0"/>
                <w:color w:val="000000"/>
                <w:kern w:val="0"/>
                <w:sz w:val="30"/>
                <w:szCs w:val="30"/>
                <w:highlight w:val="none"/>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7340" w:type="dxa"/>
            <w:gridSpan w:val="9"/>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51000024T000010116453-2023学生资助补助经费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3880" w:type="dxa"/>
            <w:gridSpan w:val="5"/>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四川省经济和信息化厅部门</w:t>
            </w:r>
          </w:p>
        </w:tc>
        <w:tc>
          <w:tcPr>
            <w:tcW w:w="108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实施单位 （盖章）</w:t>
            </w:r>
          </w:p>
        </w:tc>
        <w:tc>
          <w:tcPr>
            <w:tcW w:w="23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四川省盐业学校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1080"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1080"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3880" w:type="dxa"/>
            <w:gridSpan w:val="5"/>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3460"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80"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1080"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3880" w:type="dxa"/>
            <w:gridSpan w:val="5"/>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 xml:space="preserve"> 1.</w:t>
            </w:r>
            <w:r>
              <w:rPr>
                <w:rFonts w:hint="default" w:ascii="宋体" w:hAnsi="宋体" w:eastAsia="宋体" w:cs="宋体"/>
                <w:i w:val="0"/>
                <w:iCs w:val="0"/>
                <w:color w:val="000000"/>
                <w:kern w:val="0"/>
                <w:sz w:val="18"/>
                <w:szCs w:val="18"/>
                <w:highlight w:val="none"/>
                <w:u w:val="none"/>
                <w:lang w:val="en-US" w:eastAsia="zh-CN" w:bidi="ar"/>
              </w:rPr>
              <w:t>‌兜底保障‌：确保各学段困难学生"应助尽助"，消除失学风险</w:t>
            </w:r>
            <w:r>
              <w:rPr>
                <w:rFonts w:hint="eastAsia" w:ascii="宋体" w:hAnsi="宋体" w:eastAsia="宋体" w:cs="宋体"/>
                <w:i w:val="0"/>
                <w:iCs w:val="0"/>
                <w:color w:val="000000"/>
                <w:kern w:val="0"/>
                <w:sz w:val="18"/>
                <w:szCs w:val="18"/>
                <w:highlight w:val="none"/>
                <w:u w:val="none"/>
                <w:lang w:val="en-US" w:eastAsia="zh-CN" w:bidi="ar"/>
              </w:rPr>
              <w:t>。</w:t>
            </w:r>
          </w:p>
          <w:p>
            <w:pPr>
              <w:keepNext w:val="0"/>
              <w:keepLines w:val="0"/>
              <w:widowControl/>
              <w:suppressLineNumbers w:val="0"/>
              <w:jc w:val="left"/>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2.</w:t>
            </w:r>
            <w:r>
              <w:rPr>
                <w:rFonts w:hint="default" w:ascii="宋体" w:hAnsi="宋体" w:eastAsia="宋体" w:cs="宋体"/>
                <w:i w:val="0"/>
                <w:iCs w:val="0"/>
                <w:color w:val="000000"/>
                <w:kern w:val="0"/>
                <w:sz w:val="18"/>
                <w:szCs w:val="18"/>
                <w:highlight w:val="none"/>
                <w:u w:val="none"/>
                <w:lang w:val="en-US" w:eastAsia="zh-CN" w:bidi="ar"/>
              </w:rPr>
              <w:t>‌质量提升‌：支持重点学科、职业教育发展，优化人力资源结构</w:t>
            </w:r>
            <w:r>
              <w:rPr>
                <w:rFonts w:hint="eastAsia" w:ascii="宋体" w:hAnsi="宋体" w:eastAsia="宋体" w:cs="宋体"/>
                <w:i w:val="0"/>
                <w:iCs w:val="0"/>
                <w:color w:val="000000"/>
                <w:kern w:val="0"/>
                <w:sz w:val="18"/>
                <w:szCs w:val="18"/>
                <w:highlight w:val="none"/>
                <w:u w:val="none"/>
                <w:lang w:val="en-US" w:eastAsia="zh-CN" w:bidi="ar"/>
              </w:rPr>
              <w:t>。</w:t>
            </w:r>
          </w:p>
          <w:p>
            <w:pPr>
              <w:keepNext w:val="0"/>
              <w:keepLines w:val="0"/>
              <w:widowControl/>
              <w:suppressLineNumbers w:val="0"/>
              <w:jc w:val="left"/>
              <w:textAlignment w:val="center"/>
              <w:rPr>
                <w:rFonts w:hint="default" w:ascii="Arial" w:hAnsi="Arial" w:cs="Arial" w:eastAsiaTheme="minorEastAsia"/>
                <w:b w:val="0"/>
                <w:bCs w:val="0"/>
                <w:i w:val="0"/>
                <w:iCs w:val="0"/>
                <w:caps w:val="0"/>
                <w:color w:val="333333"/>
                <w:spacing w:val="0"/>
                <w:kern w:val="2"/>
                <w:sz w:val="28"/>
                <w:szCs w:val="28"/>
                <w:highlight w:val="none"/>
                <w:shd w:val="clear" w:fill="FFFFFF"/>
                <w:lang w:val="en-US" w:eastAsia="zh-CN" w:bidi="ar-SA"/>
              </w:rPr>
            </w:pPr>
            <w:r>
              <w:rPr>
                <w:rFonts w:hint="eastAsia" w:ascii="宋体" w:hAnsi="宋体" w:cs="宋体"/>
                <w:i w:val="0"/>
                <w:iCs w:val="0"/>
                <w:color w:val="000000"/>
                <w:kern w:val="0"/>
                <w:sz w:val="18"/>
                <w:szCs w:val="18"/>
                <w:highlight w:val="none"/>
                <w:u w:val="none"/>
                <w:lang w:val="en-US" w:eastAsia="zh-CN" w:bidi="ar"/>
              </w:rPr>
              <w:t>3.</w:t>
            </w:r>
            <w:r>
              <w:rPr>
                <w:rFonts w:hint="default" w:ascii="宋体" w:hAnsi="宋体" w:eastAsia="宋体" w:cs="宋体"/>
                <w:i w:val="0"/>
                <w:iCs w:val="0"/>
                <w:color w:val="000000"/>
                <w:kern w:val="0"/>
                <w:sz w:val="18"/>
                <w:szCs w:val="18"/>
                <w:highlight w:val="none"/>
                <w:u w:val="none"/>
                <w:lang w:val="en-US" w:eastAsia="zh-CN" w:bidi="ar"/>
              </w:rPr>
              <w:t>‌效能优化‌：建立"预算-执行-评价"全链条管理，推动政策从"输血"向"造血"转型</w:t>
            </w:r>
            <w:r>
              <w:rPr>
                <w:rFonts w:hint="eastAsia" w:ascii="宋体" w:hAnsi="宋体" w:eastAsia="宋体" w:cs="宋体"/>
                <w:i w:val="0"/>
                <w:iCs w:val="0"/>
                <w:color w:val="000000"/>
                <w:kern w:val="0"/>
                <w:sz w:val="18"/>
                <w:szCs w:val="18"/>
                <w:highlight w:val="none"/>
                <w:u w:val="none"/>
                <w:lang w:val="en-US" w:eastAsia="zh-CN" w:bidi="ar"/>
              </w:rPr>
              <w:t>。</w:t>
            </w:r>
          </w:p>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p>
        </w:tc>
        <w:tc>
          <w:tcPr>
            <w:tcW w:w="3460"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通过制度完善、精准施策和育人导向，显著提升了教育公平性、资金使用效能及受助者发展潜力，为促进社会公平与人才储备提供了坚实支撑。</w:t>
            </w:r>
          </w:p>
          <w:p>
            <w:pPr>
              <w:keepNext w:val="0"/>
              <w:keepLines w:val="0"/>
              <w:widowControl/>
              <w:suppressLineNumbers w:val="0"/>
              <w:jc w:val="left"/>
              <w:textAlignment w:val="center"/>
              <w:rPr>
                <w:rFonts w:hint="eastAsia" w:ascii="黑体" w:hAnsi="黑体" w:eastAsia="黑体" w:cs="黑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5" w:hRule="atLeast"/>
        </w:trPr>
        <w:tc>
          <w:tcPr>
            <w:tcW w:w="1080"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7340" w:type="dxa"/>
            <w:gridSpan w:val="9"/>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1.</w:t>
            </w:r>
            <w:r>
              <w:rPr>
                <w:rFonts w:hint="eastAsia" w:ascii="宋体" w:hAnsi="宋体" w:eastAsia="宋体" w:cs="宋体"/>
                <w:i w:val="0"/>
                <w:iCs w:val="0"/>
                <w:color w:val="000000"/>
                <w:kern w:val="0"/>
                <w:sz w:val="18"/>
                <w:szCs w:val="18"/>
                <w:highlight w:val="none"/>
                <w:u w:val="none"/>
                <w:lang w:val="en-US" w:eastAsia="zh-CN" w:bidi="ar"/>
              </w:rPr>
              <w:t>国家出台的学生资助政策:中等职业教育国家奖学金、国家助学金、免学费资金。</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2.</w:t>
            </w:r>
            <w:r>
              <w:rPr>
                <w:rFonts w:hint="eastAsia" w:ascii="宋体" w:hAnsi="宋体" w:eastAsia="宋体" w:cs="宋体"/>
                <w:i w:val="0"/>
                <w:iCs w:val="0"/>
                <w:color w:val="000000"/>
                <w:kern w:val="0"/>
                <w:sz w:val="18"/>
                <w:szCs w:val="18"/>
                <w:highlight w:val="none"/>
                <w:u w:val="none"/>
                <w:lang w:val="en-US" w:eastAsia="zh-CN" w:bidi="ar"/>
              </w:rPr>
              <w:t>省级出台的学生资助政策:原建档立卡贫困户家庭中职学生特别资助、原集中连片特困地区29县中职三年级学生生活补助、凉山州与内地中职联合办学生活补助等。</w:t>
            </w:r>
          </w:p>
          <w:p>
            <w:pPr>
              <w:keepNext w:val="0"/>
              <w:keepLines w:val="0"/>
              <w:widowControl/>
              <w:suppressLineNumbers w:val="0"/>
              <w:jc w:val="left"/>
              <w:textAlignment w:val="center"/>
              <w:rPr>
                <w:rFonts w:hint="default"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80"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1720"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72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5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8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409.89</w:t>
            </w: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409.89</w:t>
            </w:r>
          </w:p>
        </w:tc>
        <w:tc>
          <w:tcPr>
            <w:tcW w:w="1720"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348.09</w:t>
            </w: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84.92%</w:t>
            </w:r>
          </w:p>
        </w:tc>
        <w:tc>
          <w:tcPr>
            <w:tcW w:w="72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5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9</w:t>
            </w:r>
            <w:r>
              <w:rPr>
                <w:rFonts w:ascii="宋体" w:hAnsi="宋体" w:eastAsia="宋体" w:cs="宋体"/>
                <w:i w:val="0"/>
                <w:iCs w:val="0"/>
                <w:color w:val="000000"/>
                <w:kern w:val="0"/>
                <w:sz w:val="18"/>
                <w:szCs w:val="18"/>
                <w:highlight w:val="none"/>
                <w:u w:val="none"/>
                <w:lang w:val="en-US" w:eastAsia="zh-CN" w:bidi="ar"/>
              </w:rPr>
              <w:t>　</w:t>
            </w:r>
          </w:p>
        </w:tc>
        <w:tc>
          <w:tcPr>
            <w:tcW w:w="1080"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按规定结转至2025年执行</w:t>
            </w:r>
            <w:r>
              <w:rPr>
                <w:rFonts w:hint="eastAsia" w:ascii="宋体" w:hAnsi="宋体" w:cs="宋体"/>
                <w:i w:val="0"/>
                <w:iCs w:val="0"/>
                <w:color w:val="000000"/>
                <w:kern w:val="0"/>
                <w:sz w:val="18"/>
                <w:szCs w:val="18"/>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8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409.89</w:t>
            </w: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409.89</w:t>
            </w:r>
          </w:p>
        </w:tc>
        <w:tc>
          <w:tcPr>
            <w:tcW w:w="1720"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348.09</w:t>
            </w: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84.92%</w:t>
            </w:r>
          </w:p>
        </w:tc>
        <w:tc>
          <w:tcPr>
            <w:tcW w:w="72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080"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8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720"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72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080"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720"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72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080"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　</w:t>
            </w: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　</w:t>
            </w:r>
          </w:p>
        </w:tc>
        <w:tc>
          <w:tcPr>
            <w:tcW w:w="1720"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　</w:t>
            </w: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　</w:t>
            </w:r>
          </w:p>
        </w:tc>
        <w:tc>
          <w:tcPr>
            <w:tcW w:w="72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080"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80"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52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74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46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72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5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5" w:hRule="atLeast"/>
        </w:trPr>
        <w:tc>
          <w:tcPr>
            <w:tcW w:w="108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080"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1080"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中等职业学校免学费受助人数占应受助学生数的比例</w:t>
            </w:r>
          </w:p>
        </w:tc>
        <w:tc>
          <w:tcPr>
            <w:tcW w:w="52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74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46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72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5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5</w:t>
            </w:r>
            <w:r>
              <w:rPr>
                <w:rFonts w:ascii="宋体" w:hAnsi="宋体" w:eastAsia="宋体" w:cs="宋体"/>
                <w:i w:val="0"/>
                <w:iCs w:val="0"/>
                <w:color w:val="000000"/>
                <w:kern w:val="0"/>
                <w:sz w:val="18"/>
                <w:szCs w:val="18"/>
                <w:highlight w:val="none"/>
                <w:u w:val="none"/>
                <w:lang w:val="en-US" w:eastAsia="zh-CN" w:bidi="ar"/>
              </w:rPr>
              <w:t>　</w:t>
            </w: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5" w:hRule="atLeast"/>
        </w:trPr>
        <w:tc>
          <w:tcPr>
            <w:tcW w:w="108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08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08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中等职业学校国家助学金受助人数占应受助学生数的比例</w:t>
            </w:r>
          </w:p>
        </w:tc>
        <w:tc>
          <w:tcPr>
            <w:tcW w:w="52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74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46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72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5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5</w:t>
            </w:r>
            <w:r>
              <w:rPr>
                <w:rFonts w:ascii="宋体" w:hAnsi="宋体" w:eastAsia="宋体" w:cs="宋体"/>
                <w:i w:val="0"/>
                <w:iCs w:val="0"/>
                <w:color w:val="000000"/>
                <w:kern w:val="0"/>
                <w:sz w:val="18"/>
                <w:szCs w:val="18"/>
                <w:highlight w:val="none"/>
                <w:u w:val="none"/>
                <w:lang w:val="en-US" w:eastAsia="zh-CN" w:bidi="ar"/>
              </w:rPr>
              <w:t>　</w:t>
            </w: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108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08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08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完成改善中职学校办学条件规划任务</w:t>
            </w:r>
          </w:p>
        </w:tc>
        <w:tc>
          <w:tcPr>
            <w:tcW w:w="52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74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46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72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5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5</w:t>
            </w:r>
            <w:r>
              <w:rPr>
                <w:rFonts w:ascii="宋体" w:hAnsi="宋体" w:eastAsia="宋体" w:cs="宋体"/>
                <w:i w:val="0"/>
                <w:iCs w:val="0"/>
                <w:color w:val="000000"/>
                <w:kern w:val="0"/>
                <w:sz w:val="18"/>
                <w:szCs w:val="18"/>
                <w:highlight w:val="none"/>
                <w:u w:val="none"/>
                <w:lang w:val="en-US" w:eastAsia="zh-CN" w:bidi="ar"/>
              </w:rPr>
              <w:t>　</w:t>
            </w: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5" w:hRule="atLeast"/>
        </w:trPr>
        <w:tc>
          <w:tcPr>
            <w:tcW w:w="108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08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08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教师国家级培训任务完成率</w:t>
            </w:r>
          </w:p>
        </w:tc>
        <w:tc>
          <w:tcPr>
            <w:tcW w:w="52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74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46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72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5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5</w:t>
            </w:r>
            <w:r>
              <w:rPr>
                <w:rFonts w:ascii="宋体" w:hAnsi="宋体" w:eastAsia="宋体" w:cs="宋体"/>
                <w:i w:val="0"/>
                <w:iCs w:val="0"/>
                <w:color w:val="000000"/>
                <w:kern w:val="0"/>
                <w:sz w:val="18"/>
                <w:szCs w:val="18"/>
                <w:highlight w:val="none"/>
                <w:u w:val="none"/>
                <w:lang w:val="en-US" w:eastAsia="zh-CN" w:bidi="ar"/>
              </w:rPr>
              <w:t>　</w:t>
            </w: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22" w:hRule="atLeast"/>
        </w:trPr>
        <w:tc>
          <w:tcPr>
            <w:tcW w:w="108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08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080"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质量指标</w:t>
            </w: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中职学校新建或改建校舍、场地达到规划建设要求的比率</w:t>
            </w:r>
          </w:p>
        </w:tc>
        <w:tc>
          <w:tcPr>
            <w:tcW w:w="52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74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46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72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5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10</w:t>
            </w:r>
            <w:r>
              <w:rPr>
                <w:rFonts w:ascii="宋体" w:hAnsi="宋体" w:eastAsia="宋体" w:cs="宋体"/>
                <w:i w:val="0"/>
                <w:iCs w:val="0"/>
                <w:color w:val="000000"/>
                <w:kern w:val="0"/>
                <w:sz w:val="18"/>
                <w:szCs w:val="18"/>
                <w:highlight w:val="none"/>
                <w:u w:val="none"/>
                <w:lang w:val="en-US" w:eastAsia="zh-CN" w:bidi="ar"/>
              </w:rPr>
              <w:t>　</w:t>
            </w: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8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08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08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中职学生就业率</w:t>
            </w:r>
          </w:p>
        </w:tc>
        <w:tc>
          <w:tcPr>
            <w:tcW w:w="52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74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90</w:t>
            </w:r>
          </w:p>
        </w:tc>
        <w:tc>
          <w:tcPr>
            <w:tcW w:w="46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90</w:t>
            </w:r>
          </w:p>
        </w:tc>
        <w:tc>
          <w:tcPr>
            <w:tcW w:w="72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5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5</w:t>
            </w:r>
            <w:r>
              <w:rPr>
                <w:rFonts w:ascii="宋体" w:hAnsi="宋体" w:eastAsia="宋体" w:cs="宋体"/>
                <w:i w:val="0"/>
                <w:iCs w:val="0"/>
                <w:color w:val="000000"/>
                <w:kern w:val="0"/>
                <w:sz w:val="18"/>
                <w:szCs w:val="18"/>
                <w:highlight w:val="none"/>
                <w:u w:val="none"/>
                <w:lang w:val="en-US" w:eastAsia="zh-CN" w:bidi="ar"/>
              </w:rPr>
              <w:t>　</w:t>
            </w: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5" w:hRule="atLeast"/>
        </w:trPr>
        <w:tc>
          <w:tcPr>
            <w:tcW w:w="108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08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08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“双师型”教师占专业课教师比例</w:t>
            </w:r>
          </w:p>
        </w:tc>
        <w:tc>
          <w:tcPr>
            <w:tcW w:w="52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74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60</w:t>
            </w:r>
          </w:p>
        </w:tc>
        <w:tc>
          <w:tcPr>
            <w:tcW w:w="46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60</w:t>
            </w:r>
          </w:p>
        </w:tc>
        <w:tc>
          <w:tcPr>
            <w:tcW w:w="72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5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5</w:t>
            </w:r>
            <w:r>
              <w:rPr>
                <w:rFonts w:ascii="宋体" w:hAnsi="宋体" w:eastAsia="宋体" w:cs="宋体"/>
                <w:i w:val="0"/>
                <w:iCs w:val="0"/>
                <w:color w:val="000000"/>
                <w:kern w:val="0"/>
                <w:sz w:val="18"/>
                <w:szCs w:val="18"/>
                <w:highlight w:val="none"/>
                <w:u w:val="none"/>
                <w:lang w:val="en-US" w:eastAsia="zh-CN" w:bidi="ar"/>
              </w:rPr>
              <w:t>　</w:t>
            </w: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8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08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时效指标</w:t>
            </w: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预算执行进度</w:t>
            </w:r>
          </w:p>
        </w:tc>
        <w:tc>
          <w:tcPr>
            <w:tcW w:w="52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74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46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kern w:val="0"/>
                <w:sz w:val="18"/>
                <w:szCs w:val="18"/>
                <w:highlight w:val="none"/>
                <w:u w:val="none"/>
                <w:lang w:val="en-US" w:eastAsia="zh-CN" w:bidi="ar"/>
              </w:rPr>
              <w:t>84.29</w:t>
            </w:r>
          </w:p>
        </w:tc>
        <w:tc>
          <w:tcPr>
            <w:tcW w:w="72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kern w:val="0"/>
                <w:sz w:val="18"/>
                <w:szCs w:val="18"/>
                <w:highlight w:val="none"/>
                <w:u w:val="none"/>
                <w:lang w:val="en-US" w:eastAsia="zh-CN" w:bidi="ar"/>
              </w:rPr>
              <w:t>10</w:t>
            </w:r>
          </w:p>
        </w:tc>
        <w:tc>
          <w:tcPr>
            <w:tcW w:w="5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10</w:t>
            </w:r>
            <w:r>
              <w:rPr>
                <w:rFonts w:ascii="宋体" w:hAnsi="宋体" w:eastAsia="宋体" w:cs="宋体"/>
                <w:i w:val="0"/>
                <w:iCs w:val="0"/>
                <w:color w:val="000000"/>
                <w:kern w:val="0"/>
                <w:sz w:val="18"/>
                <w:szCs w:val="18"/>
                <w:highlight w:val="none"/>
                <w:u w:val="none"/>
                <w:lang w:val="en-US" w:eastAsia="zh-CN" w:bidi="ar"/>
              </w:rPr>
              <w:t>　</w:t>
            </w: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6" w:hRule="atLeast"/>
        </w:trPr>
        <w:tc>
          <w:tcPr>
            <w:tcW w:w="108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社会效益指标</w:t>
            </w: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中等职业学生因贫辍学率</w:t>
            </w:r>
          </w:p>
        </w:tc>
        <w:tc>
          <w:tcPr>
            <w:tcW w:w="52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74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w:t>
            </w:r>
          </w:p>
        </w:tc>
        <w:tc>
          <w:tcPr>
            <w:tcW w:w="46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w:t>
            </w:r>
          </w:p>
        </w:tc>
        <w:tc>
          <w:tcPr>
            <w:tcW w:w="72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30</w:t>
            </w:r>
          </w:p>
        </w:tc>
        <w:tc>
          <w:tcPr>
            <w:tcW w:w="5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30</w:t>
            </w:r>
            <w:r>
              <w:rPr>
                <w:rFonts w:ascii="宋体" w:hAnsi="宋体" w:eastAsia="宋体" w:cs="宋体"/>
                <w:i w:val="0"/>
                <w:iCs w:val="0"/>
                <w:color w:val="000000"/>
                <w:kern w:val="0"/>
                <w:sz w:val="18"/>
                <w:szCs w:val="18"/>
                <w:highlight w:val="none"/>
                <w:u w:val="none"/>
                <w:lang w:val="en-US" w:eastAsia="zh-CN" w:bidi="ar"/>
              </w:rPr>
              <w:t>　</w:t>
            </w: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8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满意度指标</w:t>
            </w: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服务对象满意度指标</w:t>
            </w: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学生、家长满意度</w:t>
            </w:r>
          </w:p>
        </w:tc>
        <w:tc>
          <w:tcPr>
            <w:tcW w:w="52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74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90</w:t>
            </w:r>
          </w:p>
        </w:tc>
        <w:tc>
          <w:tcPr>
            <w:tcW w:w="46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90</w:t>
            </w:r>
          </w:p>
        </w:tc>
        <w:tc>
          <w:tcPr>
            <w:tcW w:w="72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5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10</w:t>
            </w:r>
            <w:r>
              <w:rPr>
                <w:rFonts w:ascii="宋体" w:hAnsi="宋体" w:eastAsia="宋体" w:cs="宋体"/>
                <w:i w:val="0"/>
                <w:iCs w:val="0"/>
                <w:color w:val="000000"/>
                <w:kern w:val="0"/>
                <w:sz w:val="18"/>
                <w:szCs w:val="18"/>
                <w:highlight w:val="none"/>
                <w:u w:val="none"/>
                <w:lang w:val="en-US" w:eastAsia="zh-CN" w:bidi="ar"/>
              </w:rPr>
              <w:t>　</w:t>
            </w: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12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72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kern w:val="0"/>
                <w:sz w:val="18"/>
                <w:szCs w:val="18"/>
                <w:highlight w:val="none"/>
                <w:u w:val="none"/>
                <w:lang w:val="en-US" w:eastAsia="zh-CN" w:bidi="ar"/>
              </w:rPr>
              <w:t>100</w:t>
            </w:r>
          </w:p>
        </w:tc>
        <w:tc>
          <w:tcPr>
            <w:tcW w:w="5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18"/>
                <w:szCs w:val="18"/>
                <w:highlight w:val="none"/>
                <w:u w:val="none"/>
                <w:lang w:val="en-US"/>
              </w:rPr>
            </w:pPr>
            <w:r>
              <w:rPr>
                <w:rFonts w:ascii="宋体" w:hAnsi="宋体" w:eastAsia="宋体" w:cs="宋体"/>
                <w:i w:val="0"/>
                <w:iCs w:val="0"/>
                <w:color w:val="000000"/>
                <w:kern w:val="0"/>
                <w:sz w:val="18"/>
                <w:szCs w:val="18"/>
                <w:highlight w:val="none"/>
                <w:u w:val="none"/>
                <w:lang w:val="en-US" w:eastAsia="zh-CN" w:bidi="ar"/>
              </w:rPr>
              <w:t>　</w:t>
            </w:r>
            <w:r>
              <w:rPr>
                <w:rFonts w:hint="eastAsia" w:ascii="宋体" w:hAnsi="宋体" w:cs="宋体"/>
                <w:i w:val="0"/>
                <w:iCs w:val="0"/>
                <w:color w:val="000000"/>
                <w:kern w:val="0"/>
                <w:sz w:val="18"/>
                <w:szCs w:val="18"/>
                <w:highlight w:val="none"/>
                <w:u w:val="none"/>
                <w:lang w:val="en-US" w:eastAsia="zh-CN" w:bidi="ar"/>
              </w:rPr>
              <w:t>99</w:t>
            </w: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8420" w:type="dxa"/>
            <w:gridSpan w:val="10"/>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宋体" w:hAnsi="宋体" w:eastAsia="宋体" w:cs="宋体"/>
                <w:i w:val="0"/>
                <w:iCs w:val="0"/>
                <w:color w:val="000000"/>
                <w:kern w:val="0"/>
                <w:sz w:val="18"/>
                <w:szCs w:val="18"/>
                <w:highlight w:val="none"/>
                <w:u w:val="none"/>
                <w:lang w:val="en-US" w:eastAsia="zh-CN" w:bidi="ar"/>
              </w:rPr>
            </w:pPr>
            <w:r>
              <w:rPr>
                <w:rFonts w:ascii="宋体" w:hAnsi="宋体" w:eastAsia="宋体" w:cs="宋体"/>
                <w:i w:val="0"/>
                <w:iCs w:val="0"/>
                <w:color w:val="000000"/>
                <w:kern w:val="0"/>
                <w:sz w:val="18"/>
                <w:szCs w:val="18"/>
                <w:highlight w:val="none"/>
                <w:u w:val="none"/>
                <w:lang w:val="en-US" w:eastAsia="zh-CN" w:bidi="ar"/>
              </w:rPr>
              <w:t>项</w:t>
            </w:r>
            <w:r>
              <w:rPr>
                <w:rFonts w:hint="default" w:ascii="宋体" w:hAnsi="宋体" w:eastAsia="宋体" w:cs="宋体"/>
                <w:i w:val="0"/>
                <w:iCs w:val="0"/>
                <w:color w:val="000000"/>
                <w:kern w:val="0"/>
                <w:sz w:val="18"/>
                <w:szCs w:val="18"/>
                <w:highlight w:val="none"/>
                <w:u w:val="none"/>
                <w:lang w:val="en-US" w:eastAsia="zh-CN" w:bidi="ar"/>
              </w:rPr>
              <w:t>目自评总分</w:t>
            </w:r>
            <w:r>
              <w:rPr>
                <w:rFonts w:hint="eastAsia" w:ascii="宋体" w:hAnsi="宋体" w:cs="宋体"/>
                <w:i w:val="0"/>
                <w:iCs w:val="0"/>
                <w:color w:val="000000"/>
                <w:kern w:val="0"/>
                <w:sz w:val="18"/>
                <w:szCs w:val="18"/>
                <w:highlight w:val="none"/>
                <w:u w:val="none"/>
                <w:lang w:val="en-US" w:eastAsia="zh-CN" w:bidi="ar"/>
              </w:rPr>
              <w:t>99</w:t>
            </w:r>
            <w:r>
              <w:rPr>
                <w:rFonts w:hint="default" w:ascii="宋体" w:hAnsi="宋体" w:eastAsia="宋体" w:cs="宋体"/>
                <w:i w:val="0"/>
                <w:iCs w:val="0"/>
                <w:color w:val="000000"/>
                <w:kern w:val="0"/>
                <w:sz w:val="18"/>
                <w:szCs w:val="18"/>
                <w:highlight w:val="none"/>
                <w:u w:val="none"/>
                <w:lang w:val="en-US" w:eastAsia="zh-CN" w:bidi="ar"/>
              </w:rPr>
              <w:t>分，项目实施取得的成效或成果</w:t>
            </w:r>
            <w:r>
              <w:rPr>
                <w:rFonts w:hint="eastAsia" w:ascii="宋体" w:hAnsi="宋体" w:cs="宋体"/>
                <w:i w:val="0"/>
                <w:iCs w:val="0"/>
                <w:color w:val="000000"/>
                <w:kern w:val="0"/>
                <w:sz w:val="18"/>
                <w:szCs w:val="18"/>
                <w:highlight w:val="none"/>
                <w:u w:val="none"/>
                <w:lang w:val="en-US" w:eastAsia="zh-CN" w:bidi="ar"/>
              </w:rPr>
              <w:t>：</w:t>
            </w:r>
          </w:p>
          <w:p>
            <w:pPr>
              <w:keepNext w:val="0"/>
              <w:keepLines w:val="0"/>
              <w:widowControl/>
              <w:suppressLineNumbers w:val="0"/>
              <w:jc w:val="both"/>
              <w:textAlignment w:val="center"/>
              <w:rPr>
                <w:rFonts w:hint="default" w:ascii="微软雅黑" w:hAnsi="微软雅黑" w:eastAsia="微软雅黑" w:cs="微软雅黑"/>
                <w:i/>
                <w:iCs/>
                <w:color w:val="000000"/>
                <w:sz w:val="16"/>
                <w:szCs w:val="16"/>
                <w:highlight w:val="none"/>
                <w:u w:val="none"/>
                <w:lang w:val="en-US"/>
              </w:rPr>
            </w:pPr>
            <w:r>
              <w:rPr>
                <w:rFonts w:hint="eastAsia" w:ascii="宋体" w:hAnsi="宋体" w:eastAsia="宋体" w:cs="宋体"/>
                <w:i w:val="0"/>
                <w:iCs w:val="0"/>
                <w:color w:val="000000"/>
                <w:kern w:val="0"/>
                <w:sz w:val="18"/>
                <w:szCs w:val="18"/>
                <w:highlight w:val="none"/>
                <w:u w:val="none"/>
                <w:lang w:val="en-US" w:eastAsia="zh-CN" w:bidi="ar"/>
              </w:rPr>
              <w:t>目标符合国家职教改革方向，资金分配机制成熟</w:t>
            </w:r>
            <w:r>
              <w:rPr>
                <w:rFonts w:hint="eastAsia" w:ascii="宋体" w:hAnsi="宋体" w:cs="宋体"/>
                <w:i w:val="0"/>
                <w:iCs w:val="0"/>
                <w:color w:val="000000"/>
                <w:kern w:val="0"/>
                <w:sz w:val="18"/>
                <w:szCs w:val="18"/>
                <w:highlight w:val="none"/>
                <w:u w:val="none"/>
                <w:lang w:val="en-US" w:eastAsia="zh-CN" w:bidi="ar"/>
              </w:rPr>
              <w:t>，达到了预期目标。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1080"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8420" w:type="dxa"/>
            <w:gridSpan w:val="10"/>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项目总体达成预期目标，资金使用合规，但需提升预算执行效率与指标精细化水平，后续将结合学校战略目标建设优化资金分配。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8420" w:type="dxa"/>
            <w:gridSpan w:val="10"/>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优化动态调整机制，深化数字化管理，确保资助政策在公平性、效率性、可持续性上同步提升。</w:t>
            </w:r>
          </w:p>
          <w:p>
            <w:pPr>
              <w:keepNext w:val="0"/>
              <w:keepLines w:val="0"/>
              <w:widowControl/>
              <w:suppressLineNumbers w:val="0"/>
              <w:jc w:val="both"/>
              <w:textAlignment w:val="center"/>
              <w:rPr>
                <w:rFonts w:hint="default" w:ascii="微软雅黑" w:hAnsi="微软雅黑" w:eastAsia="微软雅黑" w:cs="微软雅黑"/>
                <w:i/>
                <w:iCs/>
                <w:color w:val="000000"/>
                <w:sz w:val="16"/>
                <w:szCs w:val="16"/>
                <w:highlight w:val="none"/>
                <w:u w:val="none"/>
                <w:lang w:val="en-US" w:eastAsia="zh-CN"/>
              </w:rPr>
            </w:pPr>
          </w:p>
        </w:tc>
      </w:tr>
    </w:tbl>
    <w:p>
      <w:pPr>
        <w:pStyle w:val="8"/>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kern w:val="2"/>
          <w:sz w:val="32"/>
          <w:szCs w:val="32"/>
          <w:highlight w:val="none"/>
          <w:u w:val="none"/>
          <w:lang w:val="zh-CN" w:eastAsia="zh-CN" w:bidi="ar"/>
        </w:rPr>
      </w:pPr>
    </w:p>
    <w:p>
      <w:pPr>
        <w:pStyle w:val="8"/>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kern w:val="2"/>
          <w:sz w:val="32"/>
          <w:szCs w:val="32"/>
          <w:highlight w:val="none"/>
          <w:u w:val="none"/>
          <w:lang w:val="zh-CN" w:eastAsia="zh-CN" w:bidi="ar"/>
        </w:rPr>
      </w:pPr>
    </w:p>
    <w:p>
      <w:pPr>
        <w:pStyle w:val="8"/>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kern w:val="2"/>
          <w:sz w:val="32"/>
          <w:szCs w:val="32"/>
          <w:highlight w:val="none"/>
          <w:u w:val="none"/>
          <w:lang w:val="zh-CN" w:eastAsia="zh-CN" w:bidi="ar"/>
        </w:rPr>
      </w:pPr>
    </w:p>
    <w:p>
      <w:pPr>
        <w:pStyle w:val="8"/>
        <w:keepNext w:val="0"/>
        <w:keepLines w:val="0"/>
        <w:pageBreakBefore w:val="0"/>
        <w:numPr>
          <w:ilvl w:val="0"/>
          <w:numId w:val="0"/>
        </w:numPr>
        <w:kinsoku/>
        <w:wordWrap/>
        <w:overflowPunct/>
        <w:topLinePunct w:val="0"/>
        <w:autoSpaceDE/>
        <w:autoSpaceDN/>
        <w:bidi w:val="0"/>
        <w:spacing w:line="560" w:lineRule="exact"/>
        <w:textAlignment w:val="auto"/>
        <w:rPr>
          <w:rFonts w:hint="default" w:ascii="Times New Roman" w:hAnsi="Times New Roman" w:eastAsia="仿宋_GB2312" w:cs="Times New Roman"/>
          <w:kern w:val="2"/>
          <w:sz w:val="32"/>
          <w:szCs w:val="32"/>
          <w:highlight w:val="none"/>
          <w:u w:val="none"/>
          <w:lang w:val="zh-CN" w:eastAsia="zh-CN" w:bidi="ar"/>
        </w:rPr>
      </w:pPr>
    </w:p>
    <w:tbl>
      <w:tblPr>
        <w:tblStyle w:val="17"/>
        <w:tblW w:w="950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33"/>
        <w:gridCol w:w="1033"/>
        <w:gridCol w:w="1033"/>
        <w:gridCol w:w="1050"/>
        <w:gridCol w:w="508"/>
        <w:gridCol w:w="716"/>
        <w:gridCol w:w="756"/>
        <w:gridCol w:w="1050"/>
        <w:gridCol w:w="698"/>
        <w:gridCol w:w="564"/>
        <w:gridCol w:w="105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95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highlight w:val="none"/>
                <w:u w:val="none"/>
              </w:rPr>
            </w:pPr>
            <w:r>
              <w:rPr>
                <w:rFonts w:hint="eastAsia" w:ascii="黑体" w:hAnsi="宋体" w:eastAsia="黑体" w:cs="黑体"/>
                <w:b/>
                <w:bCs/>
                <w:i w:val="0"/>
                <w:iCs w:val="0"/>
                <w:color w:val="000000"/>
                <w:kern w:val="0"/>
                <w:sz w:val="30"/>
                <w:szCs w:val="30"/>
                <w:highlight w:val="none"/>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0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7434" w:type="dxa"/>
            <w:gridSpan w:val="9"/>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51000025T000012745277-中等职业教育学生资助补助资金（结算）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20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4063" w:type="dxa"/>
            <w:gridSpan w:val="5"/>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四川省经济和信息化厅部门</w:t>
            </w:r>
          </w:p>
        </w:tc>
        <w:tc>
          <w:tcPr>
            <w:tcW w:w="105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实施单位 （盖章）</w:t>
            </w:r>
          </w:p>
        </w:tc>
        <w:tc>
          <w:tcPr>
            <w:tcW w:w="232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四川省盐业学校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1033"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1033"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4063" w:type="dxa"/>
            <w:gridSpan w:val="5"/>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3371"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33"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1033"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063" w:type="dxa"/>
            <w:gridSpan w:val="5"/>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该项目投入后将促进学校内涵式发展，提高学校办学质量，提升学生升学就业率，为国家培养更多高素质技能人才。</w:t>
            </w:r>
          </w:p>
        </w:tc>
        <w:tc>
          <w:tcPr>
            <w:tcW w:w="3371"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kern w:val="2"/>
                <w:sz w:val="18"/>
                <w:szCs w:val="18"/>
                <w:highlight w:val="none"/>
                <w:u w:val="none"/>
                <w:lang w:val="en-US" w:eastAsia="zh-CN" w:bidi="ar-SA"/>
              </w:rPr>
            </w:pPr>
            <w:r>
              <w:rPr>
                <w:rFonts w:hint="default" w:ascii="宋体" w:hAnsi="宋体" w:eastAsia="宋体" w:cs="宋体"/>
                <w:i w:val="0"/>
                <w:iCs w:val="0"/>
                <w:color w:val="000000"/>
                <w:kern w:val="0"/>
                <w:sz w:val="18"/>
                <w:szCs w:val="18"/>
                <w:highlight w:val="none"/>
                <w:u w:val="none"/>
                <w:lang w:val="en-US" w:eastAsia="zh-CN" w:bidi="ar"/>
              </w:rPr>
              <w:t>为了确保家庭经济困难学生能够顺利完成中等职业教育，学</w:t>
            </w:r>
            <w:r>
              <w:rPr>
                <w:rFonts w:hint="eastAsia" w:ascii="宋体" w:hAnsi="宋体" w:cs="宋体"/>
                <w:i w:val="0"/>
                <w:iCs w:val="0"/>
                <w:color w:val="000000"/>
                <w:kern w:val="0"/>
                <w:sz w:val="18"/>
                <w:szCs w:val="18"/>
                <w:highlight w:val="none"/>
                <w:u w:val="none"/>
                <w:lang w:val="en-US" w:eastAsia="zh-CN" w:bidi="ar"/>
              </w:rPr>
              <w:t>校</w:t>
            </w:r>
            <w:r>
              <w:rPr>
                <w:rFonts w:hint="default" w:ascii="宋体" w:hAnsi="宋体" w:eastAsia="宋体" w:cs="宋体"/>
                <w:i w:val="0"/>
                <w:iCs w:val="0"/>
                <w:color w:val="000000"/>
                <w:kern w:val="0"/>
                <w:sz w:val="18"/>
                <w:szCs w:val="18"/>
                <w:highlight w:val="none"/>
                <w:u w:val="none"/>
                <w:lang w:val="en-US" w:eastAsia="zh-CN" w:bidi="ar"/>
              </w:rPr>
              <w:t>设立了学生资助补助资金，旨在通过经济支持帮助这些学生减轻生活负担</w:t>
            </w:r>
            <w:r>
              <w:rPr>
                <w:rFonts w:hint="eastAsia" w:ascii="宋体" w:hAnsi="宋体" w:eastAsia="宋体" w:cs="宋体"/>
                <w:i w:val="0"/>
                <w:iCs w:val="0"/>
                <w:color w:val="000000"/>
                <w:kern w:val="0"/>
                <w:sz w:val="18"/>
                <w:szCs w:val="18"/>
                <w:highlight w:val="none"/>
                <w:u w:val="none"/>
                <w:lang w:val="en-US" w:eastAsia="zh-CN" w:bidi="ar"/>
              </w:rPr>
              <w:t>专心</w:t>
            </w:r>
            <w:r>
              <w:rPr>
                <w:rFonts w:hint="default" w:ascii="宋体" w:hAnsi="宋体" w:eastAsia="宋体" w:cs="宋体"/>
                <w:i w:val="0"/>
                <w:iCs w:val="0"/>
                <w:color w:val="000000"/>
                <w:kern w:val="0"/>
                <w:sz w:val="18"/>
                <w:szCs w:val="18"/>
                <w:highlight w:val="none"/>
                <w:u w:val="none"/>
                <w:lang w:val="en-US" w:eastAsia="zh-CN" w:bidi="ar"/>
              </w:rPr>
              <w:t>学习，提高教育公平性。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5" w:hRule="atLeast"/>
        </w:trPr>
        <w:tc>
          <w:tcPr>
            <w:tcW w:w="1033"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1033"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7434" w:type="dxa"/>
            <w:gridSpan w:val="9"/>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w:t>
            </w:r>
            <w:r>
              <w:rPr>
                <w:rFonts w:hint="default" w:ascii="宋体" w:hAnsi="宋体" w:eastAsia="宋体" w:cs="宋体"/>
                <w:i w:val="0"/>
                <w:iCs w:val="0"/>
                <w:color w:val="000000"/>
                <w:kern w:val="0"/>
                <w:sz w:val="18"/>
                <w:szCs w:val="18"/>
                <w:highlight w:val="none"/>
                <w:u w:val="none"/>
                <w:lang w:val="en-US" w:eastAsia="zh-CN" w:bidi="ar"/>
              </w:rPr>
              <w:t>.资助政策制定：学</w:t>
            </w:r>
            <w:r>
              <w:rPr>
                <w:rFonts w:hint="eastAsia" w:ascii="宋体" w:hAnsi="宋体" w:cs="宋体"/>
                <w:i w:val="0"/>
                <w:iCs w:val="0"/>
                <w:color w:val="000000"/>
                <w:kern w:val="0"/>
                <w:sz w:val="18"/>
                <w:szCs w:val="18"/>
                <w:highlight w:val="none"/>
                <w:u w:val="none"/>
                <w:lang w:val="en-US" w:eastAsia="zh-CN" w:bidi="ar"/>
              </w:rPr>
              <w:t>校</w:t>
            </w:r>
            <w:r>
              <w:rPr>
                <w:rFonts w:hint="default" w:ascii="宋体" w:hAnsi="宋体" w:eastAsia="宋体" w:cs="宋体"/>
                <w:i w:val="0"/>
                <w:iCs w:val="0"/>
                <w:color w:val="000000"/>
                <w:kern w:val="0"/>
                <w:sz w:val="18"/>
                <w:szCs w:val="18"/>
                <w:highlight w:val="none"/>
                <w:u w:val="none"/>
                <w:lang w:val="en-US" w:eastAsia="zh-CN" w:bidi="ar"/>
              </w:rPr>
              <w:t>制定了详细的学生资助政策，明确了资助对象、资助标准、申请流程等，确保资助工作的规范性和透明度。</w:t>
            </w:r>
          </w:p>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hint="default" w:ascii="宋体" w:hAnsi="宋体" w:eastAsia="宋体" w:cs="宋体"/>
                <w:i w:val="0"/>
                <w:iCs w:val="0"/>
                <w:color w:val="000000"/>
                <w:kern w:val="0"/>
                <w:sz w:val="18"/>
                <w:szCs w:val="18"/>
                <w:highlight w:val="none"/>
                <w:u w:val="none"/>
                <w:lang w:val="en-US" w:eastAsia="zh-CN" w:bidi="ar"/>
              </w:rPr>
              <w:t>2.资助资金发放：学</w:t>
            </w:r>
            <w:r>
              <w:rPr>
                <w:rFonts w:hint="eastAsia" w:ascii="宋体" w:hAnsi="宋体" w:cs="宋体"/>
                <w:i w:val="0"/>
                <w:iCs w:val="0"/>
                <w:color w:val="000000"/>
                <w:kern w:val="0"/>
                <w:sz w:val="18"/>
                <w:szCs w:val="18"/>
                <w:highlight w:val="none"/>
                <w:u w:val="none"/>
                <w:lang w:val="en-US" w:eastAsia="zh-CN" w:bidi="ar"/>
              </w:rPr>
              <w:t>校</w:t>
            </w:r>
            <w:r>
              <w:rPr>
                <w:rFonts w:hint="default" w:ascii="宋体" w:hAnsi="宋体" w:eastAsia="宋体" w:cs="宋体"/>
                <w:i w:val="0"/>
                <w:iCs w:val="0"/>
                <w:color w:val="000000"/>
                <w:kern w:val="0"/>
                <w:sz w:val="18"/>
                <w:szCs w:val="18"/>
                <w:highlight w:val="none"/>
                <w:u w:val="none"/>
                <w:lang w:val="en-US" w:eastAsia="zh-CN" w:bidi="ar"/>
              </w:rPr>
              <w:t>按照资助标准，及时向受资助学生发放资助金，确保资金能够直接用于学生的生活和学习。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33"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1033"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1033"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105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1980"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105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69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564"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1059"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5" w:hRule="atLeast"/>
        </w:trPr>
        <w:tc>
          <w:tcPr>
            <w:tcW w:w="1033"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033"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1033"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5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555.55</w:t>
            </w:r>
          </w:p>
        </w:tc>
        <w:tc>
          <w:tcPr>
            <w:tcW w:w="1980"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252.64</w:t>
            </w:r>
          </w:p>
        </w:tc>
        <w:tc>
          <w:tcPr>
            <w:tcW w:w="105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45.48%</w:t>
            </w:r>
          </w:p>
        </w:tc>
        <w:tc>
          <w:tcPr>
            <w:tcW w:w="69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kern w:val="0"/>
                <w:sz w:val="18"/>
                <w:szCs w:val="18"/>
                <w:highlight w:val="none"/>
                <w:u w:val="none"/>
                <w:lang w:val="en-US" w:eastAsia="zh-CN" w:bidi="ar"/>
              </w:rPr>
              <w:t>10</w:t>
            </w:r>
          </w:p>
        </w:tc>
        <w:tc>
          <w:tcPr>
            <w:tcW w:w="564"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5</w:t>
            </w:r>
            <w:r>
              <w:rPr>
                <w:rFonts w:ascii="宋体" w:hAnsi="宋体" w:eastAsia="宋体" w:cs="宋体"/>
                <w:i w:val="0"/>
                <w:iCs w:val="0"/>
                <w:color w:val="000000"/>
                <w:kern w:val="0"/>
                <w:sz w:val="18"/>
                <w:szCs w:val="18"/>
                <w:highlight w:val="none"/>
                <w:u w:val="none"/>
                <w:lang w:val="en-US" w:eastAsia="zh-CN" w:bidi="ar"/>
              </w:rPr>
              <w:t>　</w:t>
            </w:r>
          </w:p>
        </w:tc>
        <w:tc>
          <w:tcPr>
            <w:tcW w:w="1059"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年末下达指标，</w:t>
            </w:r>
            <w:r>
              <w:rPr>
                <w:rFonts w:hint="eastAsia" w:ascii="宋体" w:hAnsi="宋体" w:eastAsia="宋体" w:cs="宋体"/>
                <w:i w:val="0"/>
                <w:iCs w:val="0"/>
                <w:color w:val="000000"/>
                <w:kern w:val="0"/>
                <w:sz w:val="18"/>
                <w:szCs w:val="18"/>
                <w:highlight w:val="none"/>
                <w:u w:val="none"/>
                <w:lang w:val="en-US" w:eastAsia="zh-CN" w:bidi="ar"/>
              </w:rPr>
              <w:t>按规定结转至2025年执行</w:t>
            </w:r>
            <w:r>
              <w:rPr>
                <w:rFonts w:hint="eastAsia" w:ascii="宋体" w:hAnsi="宋体" w:cs="宋体"/>
                <w:i w:val="0"/>
                <w:iCs w:val="0"/>
                <w:color w:val="000000"/>
                <w:kern w:val="0"/>
                <w:sz w:val="18"/>
                <w:szCs w:val="18"/>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33"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033"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1033"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5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555.55</w:t>
            </w:r>
          </w:p>
        </w:tc>
        <w:tc>
          <w:tcPr>
            <w:tcW w:w="1980"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252.64</w:t>
            </w:r>
          </w:p>
        </w:tc>
        <w:tc>
          <w:tcPr>
            <w:tcW w:w="105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45.48%</w:t>
            </w:r>
          </w:p>
        </w:tc>
        <w:tc>
          <w:tcPr>
            <w:tcW w:w="69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64"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059"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33"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033"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1033"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5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980"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5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64"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059"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33"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033"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1033"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5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980"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5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69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64"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059"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33"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033"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1033"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　</w:t>
            </w:r>
          </w:p>
        </w:tc>
        <w:tc>
          <w:tcPr>
            <w:tcW w:w="105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　</w:t>
            </w:r>
          </w:p>
        </w:tc>
        <w:tc>
          <w:tcPr>
            <w:tcW w:w="1980"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　</w:t>
            </w:r>
          </w:p>
        </w:tc>
        <w:tc>
          <w:tcPr>
            <w:tcW w:w="105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　</w:t>
            </w:r>
          </w:p>
        </w:tc>
        <w:tc>
          <w:tcPr>
            <w:tcW w:w="69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64"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059"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33"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1033"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1033"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105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50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71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75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105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69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564"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1059"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33"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033"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1033"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105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购置设备数量</w:t>
            </w:r>
          </w:p>
        </w:tc>
        <w:tc>
          <w:tcPr>
            <w:tcW w:w="50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71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75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台（套）</w:t>
            </w:r>
          </w:p>
        </w:tc>
        <w:tc>
          <w:tcPr>
            <w:tcW w:w="105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69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564"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10</w:t>
            </w:r>
            <w:r>
              <w:rPr>
                <w:rFonts w:ascii="宋体" w:hAnsi="宋体" w:eastAsia="宋体" w:cs="宋体"/>
                <w:i w:val="0"/>
                <w:iCs w:val="0"/>
                <w:color w:val="000000"/>
                <w:kern w:val="0"/>
                <w:sz w:val="18"/>
                <w:szCs w:val="18"/>
                <w:highlight w:val="none"/>
                <w:u w:val="none"/>
                <w:lang w:val="en-US" w:eastAsia="zh-CN" w:bidi="ar"/>
              </w:rPr>
              <w:t>　</w:t>
            </w:r>
          </w:p>
        </w:tc>
        <w:tc>
          <w:tcPr>
            <w:tcW w:w="1059"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33"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033"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033"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05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政府采购率</w:t>
            </w:r>
          </w:p>
        </w:tc>
        <w:tc>
          <w:tcPr>
            <w:tcW w:w="50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71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75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05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69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564"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10</w:t>
            </w:r>
            <w:r>
              <w:rPr>
                <w:rFonts w:ascii="宋体" w:hAnsi="宋体" w:eastAsia="宋体" w:cs="宋体"/>
                <w:i w:val="0"/>
                <w:iCs w:val="0"/>
                <w:color w:val="000000"/>
                <w:kern w:val="0"/>
                <w:sz w:val="18"/>
                <w:szCs w:val="18"/>
                <w:highlight w:val="none"/>
                <w:u w:val="none"/>
                <w:lang w:val="en-US" w:eastAsia="zh-CN" w:bidi="ar"/>
              </w:rPr>
              <w:t>　</w:t>
            </w:r>
          </w:p>
        </w:tc>
        <w:tc>
          <w:tcPr>
            <w:tcW w:w="1059"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33"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033"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033"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质量指标</w:t>
            </w:r>
          </w:p>
        </w:tc>
        <w:tc>
          <w:tcPr>
            <w:tcW w:w="105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设备故障率</w:t>
            </w:r>
          </w:p>
        </w:tc>
        <w:tc>
          <w:tcPr>
            <w:tcW w:w="50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71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w:t>
            </w:r>
          </w:p>
        </w:tc>
        <w:tc>
          <w:tcPr>
            <w:tcW w:w="75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05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w:t>
            </w:r>
          </w:p>
        </w:tc>
        <w:tc>
          <w:tcPr>
            <w:tcW w:w="69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564"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5</w:t>
            </w:r>
            <w:r>
              <w:rPr>
                <w:rFonts w:ascii="宋体" w:hAnsi="宋体" w:eastAsia="宋体" w:cs="宋体"/>
                <w:i w:val="0"/>
                <w:iCs w:val="0"/>
                <w:color w:val="000000"/>
                <w:kern w:val="0"/>
                <w:sz w:val="18"/>
                <w:szCs w:val="18"/>
                <w:highlight w:val="none"/>
                <w:u w:val="none"/>
                <w:lang w:val="en-US" w:eastAsia="zh-CN" w:bidi="ar"/>
              </w:rPr>
              <w:t>　</w:t>
            </w:r>
          </w:p>
        </w:tc>
        <w:tc>
          <w:tcPr>
            <w:tcW w:w="1059"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33"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033"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033"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05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设备质量合格率</w:t>
            </w:r>
          </w:p>
        </w:tc>
        <w:tc>
          <w:tcPr>
            <w:tcW w:w="50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71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75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05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69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564"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10</w:t>
            </w:r>
            <w:r>
              <w:rPr>
                <w:rFonts w:ascii="宋体" w:hAnsi="宋体" w:eastAsia="宋体" w:cs="宋体"/>
                <w:i w:val="0"/>
                <w:iCs w:val="0"/>
                <w:color w:val="000000"/>
                <w:kern w:val="0"/>
                <w:sz w:val="18"/>
                <w:szCs w:val="18"/>
                <w:highlight w:val="none"/>
                <w:u w:val="none"/>
                <w:lang w:val="en-US" w:eastAsia="zh-CN" w:bidi="ar"/>
              </w:rPr>
              <w:t>　</w:t>
            </w:r>
          </w:p>
        </w:tc>
        <w:tc>
          <w:tcPr>
            <w:tcW w:w="1059"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33"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033"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033"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05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安装工程验收合格率</w:t>
            </w:r>
          </w:p>
        </w:tc>
        <w:tc>
          <w:tcPr>
            <w:tcW w:w="50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71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75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05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69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564"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5</w:t>
            </w:r>
            <w:r>
              <w:rPr>
                <w:rFonts w:ascii="宋体" w:hAnsi="宋体" w:eastAsia="宋体" w:cs="宋体"/>
                <w:i w:val="0"/>
                <w:iCs w:val="0"/>
                <w:color w:val="000000"/>
                <w:kern w:val="0"/>
                <w:sz w:val="18"/>
                <w:szCs w:val="18"/>
                <w:highlight w:val="none"/>
                <w:u w:val="none"/>
                <w:lang w:val="en-US" w:eastAsia="zh-CN" w:bidi="ar"/>
              </w:rPr>
              <w:t>　</w:t>
            </w:r>
          </w:p>
        </w:tc>
        <w:tc>
          <w:tcPr>
            <w:tcW w:w="1059"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33"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033"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033"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时效指标</w:t>
            </w:r>
          </w:p>
        </w:tc>
        <w:tc>
          <w:tcPr>
            <w:tcW w:w="105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50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71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75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05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kern w:val="0"/>
                <w:sz w:val="18"/>
                <w:szCs w:val="18"/>
                <w:highlight w:val="none"/>
                <w:u w:val="none"/>
                <w:lang w:val="en-US" w:eastAsia="zh-CN" w:bidi="ar"/>
              </w:rPr>
              <w:t>45.48</w:t>
            </w:r>
          </w:p>
        </w:tc>
        <w:tc>
          <w:tcPr>
            <w:tcW w:w="69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564"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10</w:t>
            </w:r>
            <w:r>
              <w:rPr>
                <w:rFonts w:ascii="宋体" w:hAnsi="宋体" w:eastAsia="宋体" w:cs="宋体"/>
                <w:i w:val="0"/>
                <w:iCs w:val="0"/>
                <w:color w:val="000000"/>
                <w:kern w:val="0"/>
                <w:sz w:val="18"/>
                <w:szCs w:val="18"/>
                <w:highlight w:val="none"/>
                <w:u w:val="none"/>
                <w:lang w:val="en-US" w:eastAsia="zh-CN" w:bidi="ar"/>
              </w:rPr>
              <w:t>　</w:t>
            </w:r>
          </w:p>
        </w:tc>
        <w:tc>
          <w:tcPr>
            <w:tcW w:w="1059"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微软雅黑" w:hAnsi="微软雅黑" w:eastAsia="微软雅黑" w:cs="微软雅黑"/>
                <w:i/>
                <w:iCs/>
                <w:color w:val="000000"/>
                <w:sz w:val="16"/>
                <w:szCs w:val="16"/>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r>
              <w:rPr>
                <w:rFonts w:hint="eastAsia" w:ascii="微软雅黑" w:hAnsi="微软雅黑" w:eastAsia="微软雅黑" w:cs="微软雅黑"/>
                <w:i/>
                <w:iCs/>
                <w:color w:val="000000"/>
                <w:kern w:val="0"/>
                <w:sz w:val="16"/>
                <w:szCs w:val="16"/>
                <w:highlight w:val="none"/>
                <w:u w:val="no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33"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033"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1033"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社会效益指标</w:t>
            </w:r>
          </w:p>
        </w:tc>
        <w:tc>
          <w:tcPr>
            <w:tcW w:w="105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设备利用率</w:t>
            </w:r>
          </w:p>
        </w:tc>
        <w:tc>
          <w:tcPr>
            <w:tcW w:w="50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71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75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05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69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564"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20</w:t>
            </w:r>
            <w:r>
              <w:rPr>
                <w:rFonts w:ascii="宋体" w:hAnsi="宋体" w:eastAsia="宋体" w:cs="宋体"/>
                <w:i w:val="0"/>
                <w:iCs w:val="0"/>
                <w:color w:val="000000"/>
                <w:kern w:val="0"/>
                <w:sz w:val="18"/>
                <w:szCs w:val="18"/>
                <w:highlight w:val="none"/>
                <w:u w:val="none"/>
                <w:lang w:val="en-US" w:eastAsia="zh-CN" w:bidi="ar"/>
              </w:rPr>
              <w:t>　</w:t>
            </w:r>
          </w:p>
        </w:tc>
        <w:tc>
          <w:tcPr>
            <w:tcW w:w="1059"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33"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033"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033"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可持续影响指标</w:t>
            </w:r>
          </w:p>
        </w:tc>
        <w:tc>
          <w:tcPr>
            <w:tcW w:w="105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设备使用年限</w:t>
            </w:r>
          </w:p>
        </w:tc>
        <w:tc>
          <w:tcPr>
            <w:tcW w:w="50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71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75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w:t>
            </w:r>
          </w:p>
        </w:tc>
        <w:tc>
          <w:tcPr>
            <w:tcW w:w="105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69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564"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10</w:t>
            </w:r>
            <w:r>
              <w:rPr>
                <w:rFonts w:ascii="宋体" w:hAnsi="宋体" w:eastAsia="宋体" w:cs="宋体"/>
                <w:i w:val="0"/>
                <w:iCs w:val="0"/>
                <w:color w:val="000000"/>
                <w:kern w:val="0"/>
                <w:sz w:val="18"/>
                <w:szCs w:val="18"/>
                <w:highlight w:val="none"/>
                <w:u w:val="none"/>
                <w:lang w:val="en-US" w:eastAsia="zh-CN" w:bidi="ar"/>
              </w:rPr>
              <w:t>　</w:t>
            </w:r>
          </w:p>
        </w:tc>
        <w:tc>
          <w:tcPr>
            <w:tcW w:w="1059"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33"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033"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满意度指标</w:t>
            </w:r>
          </w:p>
        </w:tc>
        <w:tc>
          <w:tcPr>
            <w:tcW w:w="1033"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服务对象满意度指标</w:t>
            </w:r>
          </w:p>
        </w:tc>
        <w:tc>
          <w:tcPr>
            <w:tcW w:w="105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使用人员满意度</w:t>
            </w:r>
          </w:p>
        </w:tc>
        <w:tc>
          <w:tcPr>
            <w:tcW w:w="50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71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90</w:t>
            </w:r>
          </w:p>
        </w:tc>
        <w:tc>
          <w:tcPr>
            <w:tcW w:w="75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05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90</w:t>
            </w:r>
          </w:p>
        </w:tc>
        <w:tc>
          <w:tcPr>
            <w:tcW w:w="69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564"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10</w:t>
            </w:r>
            <w:r>
              <w:rPr>
                <w:rFonts w:ascii="宋体" w:hAnsi="宋体" w:eastAsia="宋体" w:cs="宋体"/>
                <w:i w:val="0"/>
                <w:iCs w:val="0"/>
                <w:color w:val="000000"/>
                <w:kern w:val="0"/>
                <w:sz w:val="18"/>
                <w:szCs w:val="18"/>
                <w:highlight w:val="none"/>
                <w:u w:val="none"/>
                <w:lang w:val="en-US" w:eastAsia="zh-CN" w:bidi="ar"/>
              </w:rPr>
              <w:t>　</w:t>
            </w:r>
          </w:p>
        </w:tc>
        <w:tc>
          <w:tcPr>
            <w:tcW w:w="1059"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17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69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564"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kern w:val="0"/>
                <w:sz w:val="18"/>
                <w:szCs w:val="18"/>
                <w:highlight w:val="none"/>
                <w:u w:val="none"/>
                <w:lang w:val="en-US" w:eastAsia="zh-CN" w:bidi="ar"/>
              </w:rPr>
              <w:t>95</w:t>
            </w:r>
          </w:p>
        </w:tc>
        <w:tc>
          <w:tcPr>
            <w:tcW w:w="1059"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33"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8467" w:type="dxa"/>
            <w:gridSpan w:val="10"/>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宋体" w:hAnsi="宋体" w:eastAsia="宋体" w:cs="宋体"/>
                <w:i w:val="0"/>
                <w:iCs w:val="0"/>
                <w:color w:val="000000"/>
                <w:kern w:val="0"/>
                <w:sz w:val="18"/>
                <w:szCs w:val="18"/>
                <w:highlight w:val="none"/>
                <w:u w:val="none"/>
                <w:lang w:val="en-US" w:eastAsia="zh-CN" w:bidi="ar"/>
              </w:rPr>
            </w:pPr>
            <w:r>
              <w:rPr>
                <w:rFonts w:ascii="宋体" w:hAnsi="宋体" w:eastAsia="宋体" w:cs="宋体"/>
                <w:i w:val="0"/>
                <w:iCs w:val="0"/>
                <w:color w:val="000000"/>
                <w:kern w:val="0"/>
                <w:sz w:val="18"/>
                <w:szCs w:val="18"/>
                <w:highlight w:val="none"/>
                <w:u w:val="none"/>
                <w:lang w:val="en-US" w:eastAsia="zh-CN" w:bidi="ar"/>
              </w:rPr>
              <w:t>项</w:t>
            </w:r>
            <w:r>
              <w:rPr>
                <w:rFonts w:hint="default" w:ascii="宋体" w:hAnsi="宋体" w:eastAsia="宋体" w:cs="宋体"/>
                <w:i w:val="0"/>
                <w:iCs w:val="0"/>
                <w:color w:val="000000"/>
                <w:kern w:val="0"/>
                <w:sz w:val="18"/>
                <w:szCs w:val="18"/>
                <w:highlight w:val="none"/>
                <w:u w:val="none"/>
                <w:lang w:val="en-US" w:eastAsia="zh-CN" w:bidi="ar"/>
              </w:rPr>
              <w:t>目自评总分</w:t>
            </w:r>
            <w:r>
              <w:rPr>
                <w:rFonts w:hint="eastAsia" w:ascii="宋体" w:hAnsi="宋体" w:eastAsia="宋体" w:cs="宋体"/>
                <w:i w:val="0"/>
                <w:iCs w:val="0"/>
                <w:color w:val="000000"/>
                <w:kern w:val="0"/>
                <w:sz w:val="18"/>
                <w:szCs w:val="18"/>
                <w:highlight w:val="none"/>
                <w:u w:val="none"/>
                <w:lang w:val="en-US" w:eastAsia="zh-CN" w:bidi="ar"/>
              </w:rPr>
              <w:t>95</w:t>
            </w:r>
            <w:r>
              <w:rPr>
                <w:rFonts w:hint="default" w:ascii="宋体" w:hAnsi="宋体" w:eastAsia="宋体" w:cs="宋体"/>
                <w:i w:val="0"/>
                <w:iCs w:val="0"/>
                <w:color w:val="000000"/>
                <w:kern w:val="0"/>
                <w:sz w:val="18"/>
                <w:szCs w:val="18"/>
                <w:highlight w:val="none"/>
                <w:u w:val="none"/>
                <w:lang w:val="en-US" w:eastAsia="zh-CN" w:bidi="ar"/>
              </w:rPr>
              <w:t>分，项目实施取得的成效或成果。</w:t>
            </w:r>
          </w:p>
          <w:p>
            <w:pPr>
              <w:keepNext w:val="0"/>
              <w:keepLines w:val="0"/>
              <w:widowControl/>
              <w:numPr>
                <w:ilvl w:val="0"/>
                <w:numId w:val="0"/>
              </w:numPr>
              <w:suppressLineNumbers w:val="0"/>
              <w:jc w:val="both"/>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1.</w:t>
            </w:r>
            <w:r>
              <w:rPr>
                <w:rFonts w:hint="default" w:ascii="宋体" w:hAnsi="宋体" w:eastAsia="宋体" w:cs="宋体"/>
                <w:i w:val="0"/>
                <w:iCs w:val="0"/>
                <w:color w:val="000000"/>
                <w:kern w:val="0"/>
                <w:sz w:val="18"/>
                <w:szCs w:val="18"/>
                <w:highlight w:val="none"/>
                <w:u w:val="none"/>
                <w:lang w:val="en-US" w:eastAsia="zh-CN" w:bidi="ar"/>
              </w:rPr>
              <w:t>经济压力</w:t>
            </w:r>
            <w:r>
              <w:rPr>
                <w:rFonts w:hint="eastAsia" w:ascii="宋体" w:hAnsi="宋体" w:cs="宋体"/>
                <w:i w:val="0"/>
                <w:iCs w:val="0"/>
                <w:color w:val="000000"/>
                <w:kern w:val="0"/>
                <w:sz w:val="18"/>
                <w:szCs w:val="18"/>
                <w:highlight w:val="none"/>
                <w:u w:val="none"/>
                <w:lang w:val="en-US" w:eastAsia="zh-CN" w:bidi="ar"/>
              </w:rPr>
              <w:t>显著</w:t>
            </w:r>
            <w:r>
              <w:rPr>
                <w:rFonts w:hint="default" w:ascii="宋体" w:hAnsi="宋体" w:eastAsia="宋体" w:cs="宋体"/>
                <w:i w:val="0"/>
                <w:iCs w:val="0"/>
                <w:color w:val="000000"/>
                <w:kern w:val="0"/>
                <w:sz w:val="18"/>
                <w:szCs w:val="18"/>
                <w:highlight w:val="none"/>
                <w:u w:val="none"/>
                <w:lang w:val="en-US" w:eastAsia="zh-CN" w:bidi="ar"/>
              </w:rPr>
              <w:t>减轻</w:t>
            </w:r>
            <w:r>
              <w:rPr>
                <w:rFonts w:hint="eastAsia" w:ascii="宋体" w:hAnsi="宋体" w:cs="宋体"/>
                <w:i w:val="0"/>
                <w:iCs w:val="0"/>
                <w:color w:val="000000"/>
                <w:kern w:val="0"/>
                <w:sz w:val="18"/>
                <w:szCs w:val="18"/>
                <w:highlight w:val="none"/>
                <w:u w:val="none"/>
                <w:lang w:val="en-US" w:eastAsia="zh-CN" w:bidi="ar"/>
              </w:rPr>
              <w:t>。</w:t>
            </w:r>
          </w:p>
          <w:p>
            <w:pPr>
              <w:keepNext w:val="0"/>
              <w:keepLines w:val="0"/>
              <w:widowControl/>
              <w:numPr>
                <w:ilvl w:val="0"/>
                <w:numId w:val="0"/>
              </w:numPr>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default" w:ascii="宋体" w:hAnsi="宋体" w:eastAsia="宋体" w:cs="宋体"/>
                <w:i w:val="0"/>
                <w:iCs w:val="0"/>
                <w:color w:val="000000"/>
                <w:kern w:val="0"/>
                <w:sz w:val="18"/>
                <w:szCs w:val="18"/>
                <w:highlight w:val="none"/>
                <w:u w:val="none"/>
                <w:lang w:val="en-US" w:eastAsia="zh-CN" w:bidi="ar"/>
              </w:rPr>
              <w:t>2.学业成绩</w:t>
            </w:r>
            <w:r>
              <w:rPr>
                <w:rFonts w:hint="eastAsia" w:ascii="宋体" w:hAnsi="宋体" w:cs="宋体"/>
                <w:i w:val="0"/>
                <w:iCs w:val="0"/>
                <w:color w:val="000000"/>
                <w:kern w:val="0"/>
                <w:sz w:val="18"/>
                <w:szCs w:val="18"/>
                <w:highlight w:val="none"/>
                <w:u w:val="none"/>
                <w:lang w:val="en-US" w:eastAsia="zh-CN" w:bidi="ar"/>
              </w:rPr>
              <w:t>显著提高</w:t>
            </w:r>
            <w:r>
              <w:rPr>
                <w:rFonts w:hint="default" w:ascii="宋体" w:hAnsi="宋体" w:eastAsia="宋体" w:cs="宋体"/>
                <w:i w:val="0"/>
                <w:iCs w:val="0"/>
                <w:color w:val="000000"/>
                <w:kern w:val="0"/>
                <w:sz w:val="18"/>
                <w:szCs w:val="18"/>
                <w:highlight w:val="none"/>
                <w:u w:val="none"/>
                <w:lang w:val="en-US" w:eastAsia="zh-CN" w:bidi="ar"/>
              </w:rPr>
              <w:t>。</w:t>
            </w:r>
          </w:p>
          <w:p>
            <w:pPr>
              <w:keepNext w:val="0"/>
              <w:keepLines w:val="0"/>
              <w:widowControl/>
              <w:suppressLineNumbers w:val="0"/>
              <w:jc w:val="both"/>
              <w:textAlignment w:val="center"/>
              <w:rPr>
                <w:rFonts w:hint="default" w:ascii="微软雅黑" w:hAnsi="微软雅黑" w:eastAsia="微软雅黑" w:cs="微软雅黑"/>
                <w:i/>
                <w:iCs/>
                <w:color w:val="000000"/>
                <w:sz w:val="16"/>
                <w:szCs w:val="16"/>
                <w:highlight w:val="none"/>
                <w:u w:val="none"/>
                <w:lang w:val="en-US"/>
              </w:rPr>
            </w:pPr>
            <w:r>
              <w:rPr>
                <w:rFonts w:hint="default" w:ascii="宋体" w:hAnsi="宋体" w:eastAsia="宋体" w:cs="宋体"/>
                <w:i w:val="0"/>
                <w:iCs w:val="0"/>
                <w:color w:val="000000"/>
                <w:kern w:val="0"/>
                <w:sz w:val="18"/>
                <w:szCs w:val="18"/>
                <w:highlight w:val="none"/>
                <w:u w:val="none"/>
                <w:lang w:val="en-US" w:eastAsia="zh-CN" w:bidi="ar"/>
              </w:rPr>
              <w:t>3资助资金</w:t>
            </w:r>
            <w:r>
              <w:rPr>
                <w:rFonts w:hint="eastAsia" w:ascii="宋体" w:hAnsi="宋体" w:cs="宋体"/>
                <w:i w:val="0"/>
                <w:iCs w:val="0"/>
                <w:color w:val="000000"/>
                <w:kern w:val="0"/>
                <w:sz w:val="18"/>
                <w:szCs w:val="18"/>
                <w:highlight w:val="none"/>
                <w:u w:val="none"/>
                <w:lang w:val="en-US" w:eastAsia="zh-CN" w:bidi="ar"/>
              </w:rPr>
              <w:t>及时准确发放</w:t>
            </w:r>
            <w:r>
              <w:rPr>
                <w:rFonts w:hint="default" w:ascii="宋体" w:hAnsi="宋体" w:eastAsia="宋体" w:cs="宋体"/>
                <w:i w:val="0"/>
                <w:iCs w:val="0"/>
                <w:color w:val="000000"/>
                <w:kern w:val="0"/>
                <w:sz w:val="18"/>
                <w:szCs w:val="18"/>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33"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8467" w:type="dxa"/>
            <w:gridSpan w:val="10"/>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宋体" w:cs="微软雅黑"/>
                <w:i/>
                <w:iCs/>
                <w:color w:val="000000"/>
                <w:sz w:val="16"/>
                <w:szCs w:val="16"/>
                <w:highlight w:val="none"/>
                <w:u w:val="none"/>
                <w:lang w:val="en-US" w:eastAsia="zh-CN"/>
              </w:rPr>
            </w:pPr>
            <w:r>
              <w:rPr>
                <w:rFonts w:hint="default" w:ascii="宋体" w:hAnsi="宋体" w:eastAsia="宋体" w:cs="宋体"/>
                <w:i w:val="0"/>
                <w:iCs w:val="0"/>
                <w:color w:val="000000"/>
                <w:kern w:val="0"/>
                <w:sz w:val="18"/>
                <w:szCs w:val="18"/>
                <w:highlight w:val="none"/>
                <w:u w:val="none"/>
                <w:lang w:val="en-US" w:eastAsia="zh-CN" w:bidi="ar"/>
              </w:rPr>
              <w:t>资金覆盖面有限：尽管资助资金在一定程度上缓解了家庭经济困难学生的经济压力，但仍有部分学生未能得到充分资助</w:t>
            </w:r>
            <w:r>
              <w:rPr>
                <w:rFonts w:hint="eastAsia" w:ascii="宋体" w:hAnsi="宋体" w:eastAsia="宋体" w:cs="宋体"/>
                <w:i w:val="0"/>
                <w:iCs w:val="0"/>
                <w:color w:val="000000"/>
                <w:kern w:val="0"/>
                <w:sz w:val="18"/>
                <w:szCs w:val="18"/>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33"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8467" w:type="dxa"/>
            <w:gridSpan w:val="10"/>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iCs/>
                <w:color w:val="000000"/>
                <w:sz w:val="16"/>
                <w:szCs w:val="16"/>
                <w:highlight w:val="none"/>
                <w:u w:val="none"/>
                <w:lang w:val="en-US" w:eastAsia="zh-CN"/>
              </w:rPr>
            </w:pPr>
            <w:r>
              <w:rPr>
                <w:rFonts w:hint="default" w:ascii="宋体" w:hAnsi="宋体" w:eastAsia="宋体" w:cs="宋体"/>
                <w:i w:val="0"/>
                <w:iCs w:val="0"/>
                <w:color w:val="000000"/>
                <w:kern w:val="0"/>
                <w:sz w:val="18"/>
                <w:szCs w:val="18"/>
                <w:highlight w:val="none"/>
                <w:u w:val="none"/>
                <w:lang w:val="en-US" w:eastAsia="zh-CN" w:bidi="ar"/>
              </w:rPr>
              <w:t>扩大资金覆盖面：通过增加资金投入，扩大资助范围，确保更多家庭经济困难学生能够受益。</w:t>
            </w:r>
          </w:p>
        </w:tc>
      </w:tr>
    </w:tbl>
    <w:p>
      <w:pPr>
        <w:pStyle w:val="8"/>
        <w:keepNext w:val="0"/>
        <w:keepLines w:val="0"/>
        <w:pageBreakBefore w:val="0"/>
        <w:numPr>
          <w:ilvl w:val="0"/>
          <w:numId w:val="0"/>
        </w:numPr>
        <w:kinsoku/>
        <w:wordWrap/>
        <w:overflowPunct/>
        <w:topLinePunct w:val="0"/>
        <w:autoSpaceDE/>
        <w:autoSpaceDN/>
        <w:bidi w:val="0"/>
        <w:spacing w:line="560" w:lineRule="exact"/>
        <w:textAlignment w:val="auto"/>
        <w:rPr>
          <w:rFonts w:hint="default" w:ascii="Times New Roman" w:hAnsi="Times New Roman" w:eastAsia="仿宋_GB2312" w:cs="Times New Roman"/>
          <w:kern w:val="2"/>
          <w:sz w:val="32"/>
          <w:szCs w:val="32"/>
          <w:highlight w:val="none"/>
          <w:u w:val="none"/>
          <w:lang w:val="zh-CN" w:eastAsia="zh-CN" w:bidi="ar"/>
        </w:rPr>
      </w:pPr>
    </w:p>
    <w:p>
      <w:pPr>
        <w:pStyle w:val="8"/>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kern w:val="2"/>
          <w:sz w:val="32"/>
          <w:szCs w:val="32"/>
          <w:highlight w:val="none"/>
          <w:u w:val="none"/>
          <w:lang w:val="zh-CN" w:eastAsia="zh-CN" w:bidi="ar"/>
        </w:rPr>
      </w:pPr>
    </w:p>
    <w:p>
      <w:pPr>
        <w:pStyle w:val="8"/>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kern w:val="2"/>
          <w:sz w:val="32"/>
          <w:szCs w:val="32"/>
          <w:highlight w:val="none"/>
          <w:u w:val="none"/>
          <w:lang w:val="zh-CN" w:eastAsia="zh-CN" w:bidi="ar"/>
        </w:rPr>
      </w:pPr>
    </w:p>
    <w:p>
      <w:pPr>
        <w:pStyle w:val="8"/>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kern w:val="2"/>
          <w:sz w:val="32"/>
          <w:szCs w:val="32"/>
          <w:highlight w:val="none"/>
          <w:u w:val="none"/>
          <w:lang w:val="zh-CN" w:eastAsia="zh-CN" w:bidi="ar"/>
        </w:rPr>
      </w:pPr>
    </w:p>
    <w:p>
      <w:pPr>
        <w:pStyle w:val="8"/>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kern w:val="2"/>
          <w:sz w:val="32"/>
          <w:szCs w:val="32"/>
          <w:highlight w:val="none"/>
          <w:u w:val="none"/>
          <w:lang w:val="zh-CN" w:eastAsia="zh-CN" w:bidi="ar"/>
        </w:rPr>
      </w:pPr>
    </w:p>
    <w:p>
      <w:pPr>
        <w:pStyle w:val="8"/>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kern w:val="2"/>
          <w:sz w:val="32"/>
          <w:szCs w:val="32"/>
          <w:highlight w:val="none"/>
          <w:u w:val="none"/>
          <w:lang w:val="zh-CN" w:eastAsia="zh-CN" w:bidi="ar"/>
        </w:rPr>
      </w:pPr>
    </w:p>
    <w:p>
      <w:pPr>
        <w:pStyle w:val="8"/>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kern w:val="2"/>
          <w:sz w:val="32"/>
          <w:szCs w:val="32"/>
          <w:highlight w:val="none"/>
          <w:u w:val="none"/>
          <w:lang w:val="zh-CN" w:eastAsia="zh-CN" w:bidi="ar"/>
        </w:rPr>
      </w:pPr>
    </w:p>
    <w:p>
      <w:pPr>
        <w:pStyle w:val="8"/>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kern w:val="2"/>
          <w:sz w:val="32"/>
          <w:szCs w:val="32"/>
          <w:highlight w:val="none"/>
          <w:u w:val="none"/>
          <w:lang w:val="zh-CN" w:eastAsia="zh-CN" w:bidi="ar"/>
        </w:rPr>
      </w:pPr>
    </w:p>
    <w:p>
      <w:pPr>
        <w:pStyle w:val="8"/>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kern w:val="2"/>
          <w:sz w:val="32"/>
          <w:szCs w:val="32"/>
          <w:highlight w:val="none"/>
          <w:u w:val="none"/>
          <w:lang w:val="zh-CN" w:eastAsia="zh-CN" w:bidi="ar"/>
        </w:rPr>
      </w:pPr>
    </w:p>
    <w:p>
      <w:pPr>
        <w:pStyle w:val="8"/>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kern w:val="2"/>
          <w:sz w:val="32"/>
          <w:szCs w:val="32"/>
          <w:highlight w:val="none"/>
          <w:u w:val="none"/>
          <w:lang w:val="zh-CN" w:eastAsia="zh-CN" w:bidi="ar"/>
        </w:rPr>
      </w:pPr>
    </w:p>
    <w:tbl>
      <w:tblPr>
        <w:tblStyle w:val="17"/>
        <w:tblW w:w="950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35"/>
        <w:gridCol w:w="1036"/>
        <w:gridCol w:w="1036"/>
        <w:gridCol w:w="1067"/>
        <w:gridCol w:w="509"/>
        <w:gridCol w:w="718"/>
        <w:gridCol w:w="756"/>
        <w:gridCol w:w="1044"/>
        <w:gridCol w:w="699"/>
        <w:gridCol w:w="564"/>
        <w:gridCol w:w="103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95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highlight w:val="none"/>
                <w:u w:val="none"/>
              </w:rPr>
            </w:pPr>
            <w:r>
              <w:rPr>
                <w:rFonts w:hint="eastAsia" w:ascii="黑体" w:hAnsi="宋体" w:eastAsia="黑体" w:cs="黑体"/>
                <w:b/>
                <w:bCs/>
                <w:i w:val="0"/>
                <w:iCs w:val="0"/>
                <w:color w:val="000000"/>
                <w:kern w:val="0"/>
                <w:sz w:val="30"/>
                <w:szCs w:val="30"/>
                <w:highlight w:val="none"/>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7340" w:type="dxa"/>
            <w:gridSpan w:val="9"/>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51000025T000013041859-2024年支持职业教育改革发展资金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3880" w:type="dxa"/>
            <w:gridSpan w:val="5"/>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四川省经济和信息化厅部门</w:t>
            </w:r>
          </w:p>
        </w:tc>
        <w:tc>
          <w:tcPr>
            <w:tcW w:w="108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实施单位 （盖章）</w:t>
            </w:r>
          </w:p>
        </w:tc>
        <w:tc>
          <w:tcPr>
            <w:tcW w:w="23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四川省盐业学校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1080"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1080"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3880" w:type="dxa"/>
            <w:gridSpan w:val="5"/>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3460"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80"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1080"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3880" w:type="dxa"/>
            <w:gridSpan w:val="5"/>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 xml:space="preserve"> </w:t>
            </w:r>
            <w:r>
              <w:rPr>
                <w:rFonts w:hint="eastAsia" w:ascii="宋体" w:hAnsi="宋体" w:eastAsia="宋体" w:cs="宋体"/>
                <w:i w:val="0"/>
                <w:iCs w:val="0"/>
                <w:color w:val="000000"/>
                <w:kern w:val="0"/>
                <w:sz w:val="18"/>
                <w:szCs w:val="18"/>
                <w:highlight w:val="none"/>
                <w:u w:val="none"/>
                <w:lang w:val="en-US" w:eastAsia="zh-CN" w:bidi="ar"/>
              </w:rPr>
              <w:t>聚焦改善办学条件、提升师资队伍、推进产教融合及学生就业能力培养。</w:t>
            </w:r>
          </w:p>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p>
        </w:tc>
        <w:tc>
          <w:tcPr>
            <w:tcW w:w="3460"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项目总体达成预期目标，资金使用合规，但需提升预算执行效率与指标精细化水平，后续将结合“双建目标”建设优化资金分配。</w:t>
            </w:r>
          </w:p>
          <w:p>
            <w:pPr>
              <w:keepNext w:val="0"/>
              <w:keepLines w:val="0"/>
              <w:widowControl/>
              <w:suppressLineNumbers w:val="0"/>
              <w:jc w:val="left"/>
              <w:textAlignment w:val="center"/>
              <w:rPr>
                <w:rFonts w:hint="default" w:ascii="黑体" w:hAnsi="黑体" w:eastAsia="黑体" w:cs="黑体"/>
                <w:i w:val="0"/>
                <w:iCs w:val="0"/>
                <w:color w:val="000000"/>
                <w:sz w:val="18"/>
                <w:szCs w:val="18"/>
                <w:highlight w:val="none"/>
                <w:u w:val="none"/>
                <w:lang w:val="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8" w:hRule="atLeast"/>
        </w:trPr>
        <w:tc>
          <w:tcPr>
            <w:tcW w:w="1080"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7340" w:type="dxa"/>
            <w:gridSpan w:val="9"/>
            <w:tcBorders>
              <w:top w:val="single" w:color="000000" w:sz="4" w:space="0"/>
              <w:left w:val="nil"/>
              <w:bottom w:val="single" w:color="000000" w:sz="4" w:space="0"/>
              <w:right w:val="single" w:color="000000" w:sz="4" w:space="0"/>
            </w:tcBorders>
            <w:shd w:val="clear" w:color="auto" w:fill="auto"/>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10" w:beforeAutospacing="0" w:after="60" w:afterAutospacing="0" w:line="360" w:lineRule="auto"/>
              <w:ind w:right="0"/>
              <w:jc w:val="left"/>
              <w:textAlignment w:val="auto"/>
              <w:rPr>
                <w:rFonts w:hint="eastAsia" w:ascii="宋体" w:hAnsi="宋体" w:eastAsia="宋体" w:cs="宋体"/>
                <w:b w:val="0"/>
                <w:bCs w:val="0"/>
                <w:i w:val="0"/>
                <w:iCs w:val="0"/>
                <w:color w:val="000000"/>
                <w:kern w:val="0"/>
                <w:sz w:val="18"/>
                <w:szCs w:val="18"/>
                <w:highlight w:val="none"/>
                <w:u w:val="none"/>
                <w:lang w:val="en-US" w:eastAsia="zh-CN" w:bidi="ar"/>
              </w:rPr>
            </w:pPr>
            <w:r>
              <w:rPr>
                <w:rFonts w:hint="eastAsia" w:ascii="宋体" w:hAnsi="宋体" w:eastAsia="宋体" w:cs="宋体"/>
                <w:b w:val="0"/>
                <w:bCs w:val="0"/>
                <w:i w:val="0"/>
                <w:iCs w:val="0"/>
                <w:color w:val="000000"/>
                <w:kern w:val="0"/>
                <w:sz w:val="18"/>
                <w:szCs w:val="18"/>
                <w:highlight w:val="none"/>
                <w:u w:val="none"/>
                <w:lang w:val="en-US" w:eastAsia="zh-CN" w:bidi="ar"/>
              </w:rPr>
              <w:t>1.</w:t>
            </w:r>
            <w:r>
              <w:rPr>
                <w:rFonts w:hint="default" w:ascii="宋体" w:hAnsi="宋体" w:eastAsia="宋体" w:cs="宋体"/>
                <w:b w:val="0"/>
                <w:bCs w:val="0"/>
                <w:i w:val="0"/>
                <w:iCs w:val="0"/>
                <w:color w:val="000000"/>
                <w:kern w:val="0"/>
                <w:sz w:val="18"/>
                <w:szCs w:val="18"/>
                <w:highlight w:val="none"/>
                <w:u w:val="none"/>
                <w:lang w:val="en-US" w:eastAsia="zh-CN" w:bidi="ar"/>
              </w:rPr>
              <w:t>基础设施与办学条件改善</w:t>
            </w:r>
            <w:r>
              <w:rPr>
                <w:rFonts w:hint="eastAsia" w:ascii="宋体" w:hAnsi="宋体" w:cs="宋体"/>
                <w:b w:val="0"/>
                <w:bCs w:val="0"/>
                <w:i w:val="0"/>
                <w:iCs w:val="0"/>
                <w:color w:val="000000"/>
                <w:kern w:val="0"/>
                <w:sz w:val="18"/>
                <w:szCs w:val="18"/>
                <w:highlight w:val="none"/>
                <w:u w:val="none"/>
                <w:lang w:val="en-US" w:eastAsia="zh-CN" w:bidi="ar"/>
              </w:rPr>
              <w:t>；</w:t>
            </w:r>
            <w:r>
              <w:rPr>
                <w:rFonts w:hint="eastAsia" w:ascii="宋体" w:hAnsi="宋体" w:eastAsia="宋体" w:cs="宋体"/>
                <w:b w:val="0"/>
                <w:bCs w:val="0"/>
                <w:i w:val="0"/>
                <w:iCs w:val="0"/>
                <w:color w:val="000000"/>
                <w:kern w:val="0"/>
                <w:sz w:val="18"/>
                <w:szCs w:val="18"/>
                <w:highlight w:val="none"/>
                <w:u w:val="none"/>
                <w:lang w:val="en-US" w:eastAsia="zh-CN" w:bidi="ar"/>
              </w:rPr>
              <w:t>2.</w:t>
            </w:r>
            <w:r>
              <w:rPr>
                <w:rFonts w:hint="default" w:ascii="宋体" w:hAnsi="宋体" w:eastAsia="宋体" w:cs="宋体"/>
                <w:b w:val="0"/>
                <w:bCs w:val="0"/>
                <w:i w:val="0"/>
                <w:iCs w:val="0"/>
                <w:color w:val="000000"/>
                <w:kern w:val="0"/>
                <w:sz w:val="18"/>
                <w:szCs w:val="18"/>
                <w:highlight w:val="none"/>
                <w:u w:val="none"/>
                <w:lang w:val="en-US" w:eastAsia="zh-CN" w:bidi="ar"/>
              </w:rPr>
              <w:t>产教融合与校企合作深化</w:t>
            </w:r>
            <w:r>
              <w:rPr>
                <w:rFonts w:hint="eastAsia" w:ascii="宋体" w:hAnsi="宋体" w:cs="宋体"/>
                <w:b w:val="0"/>
                <w:bCs w:val="0"/>
                <w:i w:val="0"/>
                <w:iCs w:val="0"/>
                <w:color w:val="000000"/>
                <w:kern w:val="0"/>
                <w:sz w:val="18"/>
                <w:szCs w:val="18"/>
                <w:highlight w:val="none"/>
                <w:u w:val="none"/>
                <w:lang w:val="en-US" w:eastAsia="zh-CN" w:bidi="ar"/>
              </w:rPr>
              <w:t>；</w:t>
            </w:r>
            <w:r>
              <w:rPr>
                <w:rFonts w:hint="eastAsia" w:ascii="宋体" w:hAnsi="宋体" w:eastAsia="宋体" w:cs="宋体"/>
                <w:b w:val="0"/>
                <w:bCs w:val="0"/>
                <w:i w:val="0"/>
                <w:iCs w:val="0"/>
                <w:color w:val="000000"/>
                <w:kern w:val="0"/>
                <w:sz w:val="18"/>
                <w:szCs w:val="18"/>
                <w:highlight w:val="none"/>
                <w:u w:val="none"/>
                <w:lang w:val="en-US" w:eastAsia="zh-CN" w:bidi="ar"/>
              </w:rPr>
              <w:t>3.</w:t>
            </w:r>
            <w:r>
              <w:rPr>
                <w:rFonts w:hint="default" w:ascii="宋体" w:hAnsi="宋体" w:eastAsia="宋体" w:cs="宋体"/>
                <w:b w:val="0"/>
                <w:bCs w:val="0"/>
                <w:i w:val="0"/>
                <w:iCs w:val="0"/>
                <w:color w:val="000000"/>
                <w:kern w:val="0"/>
                <w:sz w:val="18"/>
                <w:szCs w:val="18"/>
                <w:highlight w:val="none"/>
                <w:u w:val="none"/>
                <w:lang w:val="en-US" w:eastAsia="zh-CN" w:bidi="ar"/>
              </w:rPr>
              <w:t>师资队伍与教学质量提升</w:t>
            </w:r>
            <w:r>
              <w:rPr>
                <w:rFonts w:hint="eastAsia" w:ascii="宋体" w:hAnsi="宋体" w:cs="宋体"/>
                <w:b w:val="0"/>
                <w:bCs w:val="0"/>
                <w:i w:val="0"/>
                <w:iCs w:val="0"/>
                <w:color w:val="000000"/>
                <w:kern w:val="0"/>
                <w:sz w:val="18"/>
                <w:szCs w:val="18"/>
                <w:highlight w:val="none"/>
                <w:u w:val="none"/>
                <w:lang w:val="en-US" w:eastAsia="zh-CN" w:bidi="ar"/>
              </w:rPr>
              <w:t>；</w:t>
            </w:r>
            <w:r>
              <w:rPr>
                <w:rFonts w:hint="eastAsia" w:ascii="宋体" w:hAnsi="宋体" w:eastAsia="宋体" w:cs="宋体"/>
                <w:b w:val="0"/>
                <w:bCs w:val="0"/>
                <w:i w:val="0"/>
                <w:iCs w:val="0"/>
                <w:color w:val="000000"/>
                <w:kern w:val="0"/>
                <w:sz w:val="18"/>
                <w:szCs w:val="18"/>
                <w:highlight w:val="none"/>
                <w:u w:val="none"/>
                <w:lang w:val="en-US" w:eastAsia="zh-CN" w:bidi="ar"/>
              </w:rPr>
              <w:t>4.学生就业能力培养；5.</w:t>
            </w:r>
            <w:r>
              <w:rPr>
                <w:rFonts w:hint="default" w:ascii="宋体" w:hAnsi="宋体" w:eastAsia="宋体" w:cs="宋体"/>
                <w:b w:val="0"/>
                <w:bCs w:val="0"/>
                <w:i w:val="0"/>
                <w:iCs w:val="0"/>
                <w:color w:val="000000"/>
                <w:kern w:val="0"/>
                <w:sz w:val="18"/>
                <w:szCs w:val="18"/>
                <w:highlight w:val="none"/>
                <w:u w:val="none"/>
                <w:lang w:val="en-US" w:eastAsia="zh-CN" w:bidi="ar"/>
              </w:rPr>
              <w:t>数字化转型与资源优化</w:t>
            </w:r>
            <w:r>
              <w:rPr>
                <w:rFonts w:hint="eastAsia" w:ascii="宋体" w:hAnsi="宋体" w:cs="宋体"/>
                <w:b w:val="0"/>
                <w:bCs w:val="0"/>
                <w:i w:val="0"/>
                <w:iCs w:val="0"/>
                <w:color w:val="000000"/>
                <w:kern w:val="0"/>
                <w:sz w:val="18"/>
                <w:szCs w:val="18"/>
                <w:highlight w:val="none"/>
                <w:u w:val="none"/>
                <w:lang w:val="en-US" w:eastAsia="zh-CN" w:bidi="ar"/>
              </w:rPr>
              <w:t>。</w:t>
            </w:r>
          </w:p>
          <w:p>
            <w:pPr>
              <w:keepNext w:val="0"/>
              <w:keepLines w:val="0"/>
              <w:widowControl/>
              <w:suppressLineNumbers w:val="0"/>
              <w:jc w:val="left"/>
              <w:textAlignment w:val="center"/>
              <w:rPr>
                <w:rFonts w:hint="default" w:ascii="宋体" w:hAnsi="宋体" w:eastAsia="宋体" w:cs="宋体"/>
                <w:i w:val="0"/>
                <w:iCs w:val="0"/>
                <w:color w:val="000000"/>
                <w:sz w:val="18"/>
                <w:szCs w:val="18"/>
                <w:highlight w:val="none"/>
                <w:u w:val="none"/>
                <w:lang w:val="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80"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1720"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72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5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5" w:hRule="atLeast"/>
        </w:trPr>
        <w:tc>
          <w:tcPr>
            <w:tcW w:w="108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1,309.00</w:t>
            </w:r>
          </w:p>
        </w:tc>
        <w:tc>
          <w:tcPr>
            <w:tcW w:w="1720"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72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5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0</w:t>
            </w:r>
            <w:r>
              <w:rPr>
                <w:rFonts w:ascii="宋体" w:hAnsi="宋体" w:eastAsia="宋体" w:cs="宋体"/>
                <w:i w:val="0"/>
                <w:iCs w:val="0"/>
                <w:color w:val="000000"/>
                <w:kern w:val="0"/>
                <w:sz w:val="18"/>
                <w:szCs w:val="18"/>
                <w:highlight w:val="none"/>
                <w:u w:val="none"/>
                <w:lang w:val="en-US" w:eastAsia="zh-CN" w:bidi="ar"/>
              </w:rPr>
              <w:t>　</w:t>
            </w:r>
          </w:p>
        </w:tc>
        <w:tc>
          <w:tcPr>
            <w:tcW w:w="1080"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年末下达指标，</w:t>
            </w:r>
            <w:r>
              <w:rPr>
                <w:rFonts w:hint="eastAsia" w:ascii="宋体" w:hAnsi="宋体" w:eastAsia="宋体" w:cs="宋体"/>
                <w:i w:val="0"/>
                <w:iCs w:val="0"/>
                <w:color w:val="000000"/>
                <w:kern w:val="0"/>
                <w:sz w:val="18"/>
                <w:szCs w:val="18"/>
                <w:highlight w:val="none"/>
                <w:u w:val="none"/>
                <w:lang w:val="en-US" w:eastAsia="zh-CN" w:bidi="ar"/>
              </w:rPr>
              <w:t>按规定结转至2025年执行</w:t>
            </w:r>
            <w:r>
              <w:rPr>
                <w:rFonts w:hint="eastAsia" w:ascii="宋体" w:hAnsi="宋体" w:cs="宋体"/>
                <w:i w:val="0"/>
                <w:iCs w:val="0"/>
                <w:color w:val="000000"/>
                <w:kern w:val="0"/>
                <w:sz w:val="18"/>
                <w:szCs w:val="18"/>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8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1,309.00</w:t>
            </w:r>
          </w:p>
        </w:tc>
        <w:tc>
          <w:tcPr>
            <w:tcW w:w="1720"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72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080"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8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720"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72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080"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720"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72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080"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　</w:t>
            </w: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　</w:t>
            </w:r>
          </w:p>
        </w:tc>
        <w:tc>
          <w:tcPr>
            <w:tcW w:w="1720"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　</w:t>
            </w: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　</w:t>
            </w:r>
          </w:p>
        </w:tc>
        <w:tc>
          <w:tcPr>
            <w:tcW w:w="72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5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080"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80"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52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74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46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72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5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8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080"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1080"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购置设备数量</w:t>
            </w:r>
          </w:p>
        </w:tc>
        <w:tc>
          <w:tcPr>
            <w:tcW w:w="52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74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16</w:t>
            </w:r>
          </w:p>
        </w:tc>
        <w:tc>
          <w:tcPr>
            <w:tcW w:w="46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台（套）</w:t>
            </w: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16</w:t>
            </w:r>
          </w:p>
        </w:tc>
        <w:tc>
          <w:tcPr>
            <w:tcW w:w="72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5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10</w:t>
            </w:r>
            <w:r>
              <w:rPr>
                <w:rFonts w:ascii="宋体" w:hAnsi="宋体" w:eastAsia="宋体" w:cs="宋体"/>
                <w:i w:val="0"/>
                <w:iCs w:val="0"/>
                <w:color w:val="000000"/>
                <w:kern w:val="0"/>
                <w:sz w:val="18"/>
                <w:szCs w:val="18"/>
                <w:highlight w:val="none"/>
                <w:u w:val="none"/>
                <w:lang w:val="en-US" w:eastAsia="zh-CN" w:bidi="ar"/>
              </w:rPr>
              <w:t>　</w:t>
            </w: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08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08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政府采购率</w:t>
            </w:r>
          </w:p>
        </w:tc>
        <w:tc>
          <w:tcPr>
            <w:tcW w:w="52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74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46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72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5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10</w:t>
            </w:r>
            <w:r>
              <w:rPr>
                <w:rFonts w:ascii="宋体" w:hAnsi="宋体" w:eastAsia="宋体" w:cs="宋体"/>
                <w:i w:val="0"/>
                <w:iCs w:val="0"/>
                <w:color w:val="000000"/>
                <w:kern w:val="0"/>
                <w:sz w:val="18"/>
                <w:szCs w:val="18"/>
                <w:highlight w:val="none"/>
                <w:u w:val="none"/>
                <w:lang w:val="en-US" w:eastAsia="zh-CN" w:bidi="ar"/>
              </w:rPr>
              <w:t>　</w:t>
            </w: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08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080"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质量指标</w:t>
            </w: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设备故障率</w:t>
            </w:r>
          </w:p>
        </w:tc>
        <w:tc>
          <w:tcPr>
            <w:tcW w:w="52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74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w:t>
            </w:r>
          </w:p>
        </w:tc>
        <w:tc>
          <w:tcPr>
            <w:tcW w:w="46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w:t>
            </w:r>
          </w:p>
        </w:tc>
        <w:tc>
          <w:tcPr>
            <w:tcW w:w="72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5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10</w:t>
            </w:r>
            <w:r>
              <w:rPr>
                <w:rFonts w:ascii="宋体" w:hAnsi="宋体" w:eastAsia="宋体" w:cs="宋体"/>
                <w:i w:val="0"/>
                <w:iCs w:val="0"/>
                <w:color w:val="000000"/>
                <w:kern w:val="0"/>
                <w:sz w:val="18"/>
                <w:szCs w:val="18"/>
                <w:highlight w:val="none"/>
                <w:u w:val="none"/>
                <w:lang w:val="en-US" w:eastAsia="zh-CN" w:bidi="ar"/>
              </w:rPr>
              <w:t>　</w:t>
            </w: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highlight w:val="none"/>
                <w:u w:val="none"/>
              </w:rPr>
            </w:pPr>
            <w:r>
              <w:rPr>
                <w:rFonts w:hint="eastAsia" w:ascii="微软雅黑" w:hAnsi="微软雅黑" w:eastAsia="微软雅黑" w:cs="微软雅黑"/>
                <w:i/>
                <w:iCs/>
                <w:color w:val="000000"/>
                <w:kern w:val="0"/>
                <w:sz w:val="16"/>
                <w:szCs w:val="16"/>
                <w:highlight w:val="none"/>
                <w:u w:val="no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8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设备质量合格率</w:t>
            </w:r>
          </w:p>
        </w:tc>
        <w:tc>
          <w:tcPr>
            <w:tcW w:w="52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4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6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2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10</w:t>
            </w:r>
            <w:r>
              <w:rPr>
                <w:rFonts w:ascii="宋体" w:hAnsi="宋体" w:eastAsia="宋体" w:cs="宋体"/>
                <w:i w:val="0"/>
                <w:iCs w:val="0"/>
                <w:color w:val="000000"/>
                <w:kern w:val="0"/>
                <w:sz w:val="18"/>
                <w:szCs w:val="18"/>
                <w:u w:val="none"/>
                <w:lang w:val="en-US" w:eastAsia="zh-CN" w:bidi="ar"/>
              </w:rPr>
              <w:t>　</w:t>
            </w: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8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系统故障修复处理时间</w:t>
            </w:r>
          </w:p>
        </w:tc>
        <w:tc>
          <w:tcPr>
            <w:tcW w:w="52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4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24</w:t>
            </w:r>
          </w:p>
        </w:tc>
        <w:tc>
          <w:tcPr>
            <w:tcW w:w="46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小时</w:t>
            </w: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24</w:t>
            </w:r>
          </w:p>
        </w:tc>
        <w:tc>
          <w:tcPr>
            <w:tcW w:w="72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5</w:t>
            </w:r>
            <w:r>
              <w:rPr>
                <w:rFonts w:ascii="宋体" w:hAnsi="宋体" w:eastAsia="宋体" w:cs="宋体"/>
                <w:i w:val="0"/>
                <w:iCs w:val="0"/>
                <w:color w:val="000000"/>
                <w:kern w:val="0"/>
                <w:sz w:val="18"/>
                <w:szCs w:val="18"/>
                <w:u w:val="none"/>
                <w:lang w:val="en-US" w:eastAsia="zh-CN" w:bidi="ar"/>
              </w:rPr>
              <w:t>　</w:t>
            </w: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8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系统运行维护响应时间</w:t>
            </w:r>
          </w:p>
        </w:tc>
        <w:tc>
          <w:tcPr>
            <w:tcW w:w="52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4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24</w:t>
            </w:r>
          </w:p>
        </w:tc>
        <w:tc>
          <w:tcPr>
            <w:tcW w:w="46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分钟</w:t>
            </w: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24</w:t>
            </w:r>
          </w:p>
        </w:tc>
        <w:tc>
          <w:tcPr>
            <w:tcW w:w="72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5</w:t>
            </w:r>
            <w:r>
              <w:rPr>
                <w:rFonts w:ascii="宋体" w:hAnsi="宋体" w:eastAsia="宋体" w:cs="宋体"/>
                <w:i w:val="0"/>
                <w:iCs w:val="0"/>
                <w:color w:val="000000"/>
                <w:kern w:val="0"/>
                <w:sz w:val="18"/>
                <w:szCs w:val="18"/>
                <w:u w:val="none"/>
                <w:lang w:val="en-US" w:eastAsia="zh-CN" w:bidi="ar"/>
              </w:rPr>
              <w:t>　</w:t>
            </w: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8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设备利用率</w:t>
            </w:r>
          </w:p>
        </w:tc>
        <w:tc>
          <w:tcPr>
            <w:tcW w:w="52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4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6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2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20</w:t>
            </w:r>
            <w:r>
              <w:rPr>
                <w:rFonts w:ascii="宋体" w:hAnsi="宋体" w:eastAsia="宋体" w:cs="宋体"/>
                <w:i w:val="0"/>
                <w:iCs w:val="0"/>
                <w:color w:val="000000"/>
                <w:kern w:val="0"/>
                <w:sz w:val="18"/>
                <w:szCs w:val="18"/>
                <w:u w:val="none"/>
                <w:lang w:val="en-US" w:eastAsia="zh-CN" w:bidi="ar"/>
              </w:rPr>
              <w:t>　</w:t>
            </w: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8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可持续影响指标</w:t>
            </w: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设备使用年限</w:t>
            </w:r>
          </w:p>
        </w:tc>
        <w:tc>
          <w:tcPr>
            <w:tcW w:w="52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4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6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2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10</w:t>
            </w:r>
            <w:r>
              <w:rPr>
                <w:rFonts w:ascii="宋体" w:hAnsi="宋体" w:eastAsia="宋体" w:cs="宋体"/>
                <w:i w:val="0"/>
                <w:iCs w:val="0"/>
                <w:color w:val="000000"/>
                <w:kern w:val="0"/>
                <w:sz w:val="18"/>
                <w:szCs w:val="18"/>
                <w:u w:val="none"/>
                <w:lang w:val="en-US" w:eastAsia="zh-CN" w:bidi="ar"/>
              </w:rPr>
              <w:t>　</w:t>
            </w: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8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使用人员满意度</w:t>
            </w:r>
          </w:p>
        </w:tc>
        <w:tc>
          <w:tcPr>
            <w:tcW w:w="52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4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46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72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10</w:t>
            </w:r>
            <w:r>
              <w:rPr>
                <w:rFonts w:ascii="宋体" w:hAnsi="宋体" w:eastAsia="宋体" w:cs="宋体"/>
                <w:i w:val="0"/>
                <w:iCs w:val="0"/>
                <w:color w:val="000000"/>
                <w:kern w:val="0"/>
                <w:sz w:val="18"/>
                <w:szCs w:val="18"/>
                <w:u w:val="none"/>
                <w:lang w:val="en-US" w:eastAsia="zh-CN" w:bidi="ar"/>
              </w:rPr>
              <w:t>　</w:t>
            </w: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12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72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18"/>
                <w:szCs w:val="18"/>
                <w:u w:val="none"/>
                <w:lang w:val="en-US"/>
              </w:rPr>
            </w:pPr>
            <w:r>
              <w:rPr>
                <w:rFonts w:hint="eastAsia" w:ascii="宋体" w:hAnsi="宋体" w:cs="宋体"/>
                <w:i w:val="0"/>
                <w:iCs w:val="0"/>
                <w:color w:val="000000"/>
                <w:kern w:val="0"/>
                <w:sz w:val="18"/>
                <w:szCs w:val="18"/>
                <w:u w:val="none"/>
                <w:lang w:val="en-US" w:eastAsia="zh-CN" w:bidi="ar"/>
              </w:rPr>
              <w:t>90</w:t>
            </w:r>
          </w:p>
        </w:tc>
        <w:tc>
          <w:tcPr>
            <w:tcW w:w="10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8420" w:type="dxa"/>
            <w:gridSpan w:val="10"/>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项目自评总分为</w:t>
            </w:r>
            <w:r>
              <w:rPr>
                <w:rFonts w:hint="eastAsia" w:ascii="宋体" w:hAnsi="宋体" w:eastAsia="宋体" w:cs="宋体"/>
                <w:i w:val="0"/>
                <w:iCs w:val="0"/>
                <w:color w:val="000000"/>
                <w:kern w:val="0"/>
                <w:sz w:val="18"/>
                <w:szCs w:val="18"/>
                <w:u w:val="none"/>
                <w:lang w:val="en-US" w:eastAsia="zh-CN" w:bidi="ar"/>
              </w:rPr>
              <w:t>90</w:t>
            </w:r>
            <w:r>
              <w:rPr>
                <w:rFonts w:hint="default" w:ascii="宋体" w:hAnsi="宋体" w:eastAsia="宋体" w:cs="宋体"/>
                <w:i w:val="0"/>
                <w:iCs w:val="0"/>
                <w:color w:val="000000"/>
                <w:kern w:val="0"/>
                <w:sz w:val="18"/>
                <w:szCs w:val="18"/>
                <w:u w:val="none"/>
                <w:lang w:val="en-US" w:eastAsia="zh-CN" w:bidi="ar"/>
              </w:rPr>
              <w:t>分，项目实施取得的成效或成果：</w:t>
            </w:r>
          </w:p>
          <w:p>
            <w:pPr>
              <w:keepNext w:val="0"/>
              <w:keepLines w:val="0"/>
              <w:widowControl/>
              <w:suppressLineNumbers w:val="0"/>
              <w:jc w:val="left"/>
              <w:textAlignment w:val="center"/>
              <w:rPr>
                <w:rFonts w:hint="default" w:ascii="微软雅黑" w:hAnsi="微软雅黑" w:eastAsia="宋体" w:cs="微软雅黑"/>
                <w:i/>
                <w:iCs/>
                <w:color w:val="000000"/>
                <w:sz w:val="16"/>
                <w:szCs w:val="16"/>
                <w:u w:val="none"/>
                <w:lang w:val="en-US" w:eastAsia="zh-CN"/>
              </w:rPr>
            </w:pPr>
            <w:r>
              <w:rPr>
                <w:rFonts w:ascii="宋体" w:hAnsi="宋体" w:eastAsia="宋体" w:cs="宋体"/>
                <w:i w:val="0"/>
                <w:iCs w:val="0"/>
                <w:color w:val="000000"/>
                <w:kern w:val="0"/>
                <w:sz w:val="18"/>
                <w:szCs w:val="18"/>
                <w:u w:val="none"/>
                <w:lang w:val="en-US" w:eastAsia="zh-CN" w:bidi="ar"/>
              </w:rPr>
              <w:t>资金重点用于专业设备升级、实训室建设、师资培训等，有效改善了职业学校办学条件</w:t>
            </w:r>
            <w:r>
              <w:rPr>
                <w:rFonts w:hint="eastAsia" w:ascii="宋体" w:hAnsi="宋体" w:eastAsia="宋体" w:cs="宋体"/>
                <w:i w:val="0"/>
                <w:iCs w:val="0"/>
                <w:color w:val="000000"/>
                <w:kern w:val="0"/>
                <w:sz w:val="18"/>
                <w:szCs w:val="18"/>
                <w:u w:val="none"/>
                <w:lang w:val="en-US" w:eastAsia="zh-CN" w:bidi="ar"/>
              </w:rPr>
              <w:t>，提高了办学质量，促进了学校高质量发展。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8420" w:type="dxa"/>
            <w:gridSpan w:val="10"/>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宋体" w:cs="微软雅黑"/>
                <w:i/>
                <w:iCs/>
                <w:color w:val="000000"/>
                <w:sz w:val="16"/>
                <w:szCs w:val="16"/>
                <w:u w:val="none"/>
                <w:lang w:val="en-US" w:eastAsia="zh-CN"/>
              </w:rPr>
            </w:pPr>
            <w:r>
              <w:rPr>
                <w:rFonts w:hint="default" w:ascii="宋体" w:hAnsi="宋体" w:eastAsia="宋体" w:cs="宋体"/>
                <w:i w:val="0"/>
                <w:iCs w:val="0"/>
                <w:color w:val="000000"/>
                <w:kern w:val="0"/>
                <w:sz w:val="18"/>
                <w:szCs w:val="18"/>
                <w:u w:val="none"/>
                <w:lang w:val="en-US" w:eastAsia="zh-CN" w:bidi="ar"/>
              </w:rPr>
              <w:t>优化资金分配机制、加强专项管理</w:t>
            </w:r>
            <w:r>
              <w:rPr>
                <w:rFonts w:hint="eastAsia" w:ascii="宋体" w:hAnsi="宋体" w:eastAsia="宋体" w:cs="宋体"/>
                <w:i w:val="0"/>
                <w:iCs w:val="0"/>
                <w:color w:val="000000"/>
                <w:kern w:val="0"/>
                <w:sz w:val="18"/>
                <w:szCs w:val="18"/>
                <w:u w:val="none"/>
                <w:lang w:val="en-US" w:eastAsia="zh-CN" w:bidi="ar"/>
              </w:rPr>
              <w:t>，</w:t>
            </w:r>
            <w:r>
              <w:rPr>
                <w:rFonts w:hint="default" w:ascii="宋体" w:hAnsi="宋体" w:eastAsia="宋体" w:cs="宋体"/>
                <w:i w:val="0"/>
                <w:iCs w:val="0"/>
                <w:color w:val="000000"/>
                <w:kern w:val="0"/>
                <w:sz w:val="18"/>
                <w:szCs w:val="18"/>
                <w:u w:val="none"/>
                <w:lang w:val="en-US" w:eastAsia="zh-CN" w:bidi="ar"/>
              </w:rPr>
              <w:t>提升资金使用效能</w:t>
            </w: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8420" w:type="dxa"/>
            <w:gridSpan w:val="10"/>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宋体" w:cs="微软雅黑"/>
                <w:i/>
                <w:iCs/>
                <w:color w:val="000000"/>
                <w:sz w:val="16"/>
                <w:szCs w:val="16"/>
                <w:u w:val="none"/>
                <w:lang w:val="en-US" w:eastAsia="zh-CN"/>
              </w:rPr>
            </w:pPr>
            <w:r>
              <w:rPr>
                <w:rFonts w:hint="eastAsia" w:ascii="宋体" w:hAnsi="宋体" w:eastAsia="宋体" w:cs="宋体"/>
                <w:i w:val="0"/>
                <w:iCs w:val="0"/>
                <w:color w:val="000000"/>
                <w:kern w:val="0"/>
                <w:sz w:val="18"/>
                <w:szCs w:val="18"/>
                <w:u w:val="none"/>
                <w:lang w:val="en-US" w:eastAsia="zh-CN" w:bidi="ar"/>
              </w:rPr>
              <w:t>通过制度创新与资源整合，提升资金使用的精准性和效益性。</w:t>
            </w:r>
          </w:p>
        </w:tc>
      </w:tr>
    </w:tbl>
    <w:p>
      <w:pPr>
        <w:pStyle w:val="8"/>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kern w:val="2"/>
          <w:sz w:val="32"/>
          <w:szCs w:val="32"/>
          <w:u w:val="none"/>
          <w:lang w:val="zh-CN" w:eastAsia="zh-CN" w:bidi="ar"/>
        </w:rPr>
      </w:pPr>
    </w:p>
    <w:p>
      <w:pPr>
        <w:pStyle w:val="8"/>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kern w:val="2"/>
          <w:sz w:val="32"/>
          <w:szCs w:val="32"/>
          <w:u w:val="none"/>
          <w:lang w:val="zh-CN" w:eastAsia="zh-CN" w:bidi="ar"/>
        </w:rPr>
      </w:pPr>
    </w:p>
    <w:p>
      <w:pPr>
        <w:pStyle w:val="8"/>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kern w:val="2"/>
          <w:sz w:val="32"/>
          <w:szCs w:val="32"/>
          <w:u w:val="none"/>
          <w:lang w:val="zh-CN" w:eastAsia="zh-CN" w:bidi="ar"/>
        </w:rPr>
      </w:pPr>
    </w:p>
    <w:p>
      <w:pPr>
        <w:pStyle w:val="8"/>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kern w:val="2"/>
          <w:sz w:val="32"/>
          <w:szCs w:val="32"/>
          <w:u w:val="none"/>
          <w:lang w:val="zh-CN" w:eastAsia="zh-CN" w:bidi="ar"/>
        </w:rPr>
      </w:pPr>
    </w:p>
    <w:p>
      <w:pPr>
        <w:pStyle w:val="8"/>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kern w:val="2"/>
          <w:sz w:val="32"/>
          <w:szCs w:val="32"/>
          <w:u w:val="none"/>
          <w:lang w:val="zh-CN" w:eastAsia="zh-CN" w:bidi="ar"/>
        </w:rPr>
      </w:pPr>
    </w:p>
    <w:p>
      <w:pPr>
        <w:pStyle w:val="8"/>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kern w:val="2"/>
          <w:sz w:val="32"/>
          <w:szCs w:val="32"/>
          <w:u w:val="none"/>
          <w:lang w:val="zh-CN" w:eastAsia="zh-CN" w:bidi="ar"/>
        </w:rPr>
      </w:pPr>
    </w:p>
    <w:p>
      <w:pPr>
        <w:pStyle w:val="8"/>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kern w:val="2"/>
          <w:sz w:val="32"/>
          <w:szCs w:val="32"/>
          <w:u w:val="none"/>
          <w:lang w:val="zh-CN" w:eastAsia="zh-CN" w:bidi="ar"/>
        </w:rPr>
      </w:pPr>
    </w:p>
    <w:p>
      <w:pPr>
        <w:pStyle w:val="8"/>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kern w:val="2"/>
          <w:sz w:val="32"/>
          <w:szCs w:val="32"/>
          <w:u w:val="none"/>
          <w:lang w:val="zh-CN" w:eastAsia="zh-CN" w:bidi="ar"/>
        </w:rPr>
      </w:pPr>
    </w:p>
    <w:p>
      <w:pPr>
        <w:pStyle w:val="8"/>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kern w:val="2"/>
          <w:sz w:val="32"/>
          <w:szCs w:val="32"/>
          <w:u w:val="none"/>
          <w:lang w:val="zh-CN" w:eastAsia="zh-CN" w:bidi="ar"/>
        </w:rPr>
      </w:pPr>
    </w:p>
    <w:p>
      <w:pPr>
        <w:pStyle w:val="8"/>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kern w:val="2"/>
          <w:sz w:val="32"/>
          <w:szCs w:val="32"/>
          <w:u w:val="none"/>
          <w:lang w:val="zh-CN" w:eastAsia="zh-CN" w:bidi="ar"/>
        </w:rPr>
      </w:pPr>
    </w:p>
    <w:p>
      <w:pPr>
        <w:jc w:val="center"/>
        <w:rPr>
          <w:rFonts w:hint="default" w:ascii="Times New Roman" w:hAnsi="Times New Roman" w:eastAsia="仿宋" w:cs="Times New Roman"/>
          <w:b w:val="0"/>
          <w:color w:val="auto"/>
          <w:highlight w:val="none"/>
        </w:rPr>
      </w:pPr>
      <w:bookmarkStart w:id="47" w:name="_Toc15396618"/>
      <w:r>
        <w:rPr>
          <w:rFonts w:hint="default" w:ascii="Times New Roman" w:hAnsi="Times New Roman" w:eastAsia="黑体" w:cs="Times New Roman"/>
          <w:color w:val="auto"/>
          <w:sz w:val="44"/>
          <w:szCs w:val="44"/>
          <w:highlight w:val="none"/>
        </w:rPr>
        <w:t>第</w:t>
      </w:r>
      <w:r>
        <w:rPr>
          <w:rStyle w:val="30"/>
          <w:rFonts w:hint="default" w:ascii="Times New Roman" w:hAnsi="Times New Roman" w:eastAsia="黑体" w:cs="Times New Roman"/>
          <w:b w:val="0"/>
          <w:color w:val="auto"/>
          <w:highlight w:val="none"/>
        </w:rPr>
        <w:t>五部分 附表</w:t>
      </w:r>
      <w:bookmarkEnd w:id="46"/>
      <w:bookmarkEnd w:id="47"/>
      <w:bookmarkStart w:id="48" w:name="_Toc15396619"/>
    </w:p>
    <w:p>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default" w:ascii="Times New Roman" w:hAnsi="Times New Roman" w:eastAsia="仿宋_GB2312" w:cs="Times New Roman"/>
          <w:color w:val="auto"/>
          <w:sz w:val="32"/>
          <w:szCs w:val="32"/>
          <w:highlight w:val="none"/>
        </w:rPr>
      </w:pPr>
    </w:p>
    <w:p>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一、收入支出决算总表</w:t>
      </w:r>
      <w:bookmarkEnd w:id="48"/>
    </w:p>
    <w:p>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default" w:ascii="Times New Roman" w:hAnsi="Times New Roman" w:eastAsia="仿宋_GB2312" w:cs="Times New Roman"/>
          <w:color w:val="auto"/>
          <w:sz w:val="32"/>
          <w:szCs w:val="32"/>
          <w:highlight w:val="none"/>
        </w:rPr>
      </w:pPr>
      <w:bookmarkStart w:id="49" w:name="_Toc15396620"/>
      <w:r>
        <w:rPr>
          <w:rFonts w:hint="default" w:ascii="Times New Roman" w:hAnsi="Times New Roman" w:eastAsia="仿宋_GB2312" w:cs="Times New Roman"/>
          <w:color w:val="auto"/>
          <w:sz w:val="32"/>
          <w:szCs w:val="32"/>
          <w:highlight w:val="none"/>
        </w:rPr>
        <w:t>二、收入决算表</w:t>
      </w:r>
      <w:bookmarkEnd w:id="49"/>
    </w:p>
    <w:p>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default" w:ascii="Times New Roman" w:hAnsi="Times New Roman" w:eastAsia="仿宋_GB2312" w:cs="Times New Roman"/>
          <w:color w:val="auto"/>
          <w:sz w:val="32"/>
          <w:szCs w:val="32"/>
          <w:highlight w:val="none"/>
        </w:rPr>
      </w:pPr>
      <w:bookmarkStart w:id="50" w:name="_Toc15396621"/>
      <w:r>
        <w:rPr>
          <w:rFonts w:hint="default" w:ascii="Times New Roman" w:hAnsi="Times New Roman" w:eastAsia="仿宋_GB2312" w:cs="Times New Roman"/>
          <w:color w:val="auto"/>
          <w:sz w:val="32"/>
          <w:szCs w:val="32"/>
          <w:highlight w:val="none"/>
        </w:rPr>
        <w:t>三、支出决算表</w:t>
      </w:r>
      <w:bookmarkEnd w:id="50"/>
    </w:p>
    <w:p>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default" w:ascii="Times New Roman" w:hAnsi="Times New Roman" w:eastAsia="仿宋_GB2312" w:cs="Times New Roman"/>
          <w:color w:val="auto"/>
          <w:sz w:val="32"/>
          <w:szCs w:val="32"/>
          <w:highlight w:val="none"/>
        </w:rPr>
      </w:pPr>
      <w:bookmarkStart w:id="51" w:name="_Toc15396622"/>
      <w:r>
        <w:rPr>
          <w:rFonts w:hint="default" w:ascii="Times New Roman" w:hAnsi="Times New Roman" w:eastAsia="仿宋_GB2312" w:cs="Times New Roman"/>
          <w:color w:val="auto"/>
          <w:sz w:val="32"/>
          <w:szCs w:val="32"/>
          <w:highlight w:val="none"/>
        </w:rPr>
        <w:t>四、财政拨款收入支出决算总表</w:t>
      </w:r>
      <w:bookmarkEnd w:id="51"/>
    </w:p>
    <w:p>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default" w:ascii="Times New Roman" w:hAnsi="Times New Roman" w:eastAsia="仿宋_GB2312" w:cs="Times New Roman"/>
          <w:color w:val="auto"/>
          <w:sz w:val="32"/>
          <w:szCs w:val="32"/>
          <w:highlight w:val="none"/>
        </w:rPr>
      </w:pPr>
      <w:bookmarkStart w:id="52" w:name="_Toc15396623"/>
      <w:r>
        <w:rPr>
          <w:rFonts w:hint="default" w:ascii="Times New Roman" w:hAnsi="Times New Roman" w:eastAsia="仿宋_GB2312" w:cs="Times New Roman"/>
          <w:color w:val="auto"/>
          <w:sz w:val="32"/>
          <w:szCs w:val="32"/>
          <w:highlight w:val="none"/>
        </w:rPr>
        <w:t>五、财政拨款支出决算明细表</w:t>
      </w:r>
      <w:bookmarkEnd w:id="52"/>
      <w:bookmarkStart w:id="53" w:name="_Toc15396624"/>
    </w:p>
    <w:p>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六、一般公共预算财政拨款支出决算表</w:t>
      </w:r>
      <w:bookmarkEnd w:id="53"/>
    </w:p>
    <w:p>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default" w:ascii="Times New Roman" w:hAnsi="Times New Roman" w:eastAsia="仿宋_GB2312" w:cs="Times New Roman"/>
          <w:color w:val="auto"/>
          <w:sz w:val="32"/>
          <w:szCs w:val="32"/>
          <w:highlight w:val="none"/>
        </w:rPr>
      </w:pPr>
      <w:bookmarkStart w:id="54" w:name="_Toc15396625"/>
      <w:r>
        <w:rPr>
          <w:rFonts w:hint="default" w:ascii="Times New Roman" w:hAnsi="Times New Roman" w:eastAsia="仿宋_GB2312" w:cs="Times New Roman"/>
          <w:color w:val="auto"/>
          <w:sz w:val="32"/>
          <w:szCs w:val="32"/>
          <w:highlight w:val="none"/>
        </w:rPr>
        <w:t>七、一般公共预算财政拨款支出决算明细表</w:t>
      </w:r>
      <w:bookmarkEnd w:id="54"/>
    </w:p>
    <w:p>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default" w:ascii="Times New Roman" w:hAnsi="Times New Roman" w:eastAsia="仿宋_GB2312" w:cs="Times New Roman"/>
          <w:color w:val="auto"/>
          <w:sz w:val="32"/>
          <w:szCs w:val="32"/>
          <w:highlight w:val="none"/>
        </w:rPr>
      </w:pPr>
      <w:bookmarkStart w:id="55" w:name="_Toc15396626"/>
      <w:r>
        <w:rPr>
          <w:rFonts w:hint="default" w:ascii="Times New Roman" w:hAnsi="Times New Roman" w:eastAsia="仿宋_GB2312" w:cs="Times New Roman"/>
          <w:color w:val="auto"/>
          <w:sz w:val="32"/>
          <w:szCs w:val="32"/>
          <w:highlight w:val="none"/>
        </w:rPr>
        <w:t>八、一般公共预算财政拨款基本支出决算表</w:t>
      </w:r>
      <w:bookmarkEnd w:id="55"/>
    </w:p>
    <w:p>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default" w:ascii="Times New Roman" w:hAnsi="Times New Roman" w:eastAsia="仿宋_GB2312" w:cs="Times New Roman"/>
          <w:color w:val="auto"/>
          <w:sz w:val="32"/>
          <w:szCs w:val="32"/>
          <w:highlight w:val="none"/>
        </w:rPr>
      </w:pPr>
      <w:bookmarkStart w:id="56" w:name="_Toc15396627"/>
      <w:r>
        <w:rPr>
          <w:rFonts w:hint="default" w:ascii="Times New Roman" w:hAnsi="Times New Roman" w:eastAsia="仿宋_GB2312" w:cs="Times New Roman"/>
          <w:color w:val="auto"/>
          <w:sz w:val="32"/>
          <w:szCs w:val="32"/>
          <w:highlight w:val="none"/>
        </w:rPr>
        <w:t>九、一般公共预算财政拨款项目支出决算表</w:t>
      </w:r>
      <w:bookmarkEnd w:id="56"/>
    </w:p>
    <w:p>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default" w:ascii="Times New Roman" w:hAnsi="Times New Roman" w:eastAsia="仿宋_GB2312" w:cs="Times New Roman"/>
          <w:color w:val="auto"/>
          <w:sz w:val="32"/>
          <w:szCs w:val="32"/>
          <w:highlight w:val="none"/>
        </w:rPr>
      </w:pPr>
      <w:bookmarkStart w:id="57" w:name="_Toc15396628"/>
      <w:r>
        <w:rPr>
          <w:rFonts w:hint="default" w:ascii="Times New Roman" w:hAnsi="Times New Roman" w:eastAsia="仿宋_GB2312" w:cs="Times New Roman"/>
          <w:color w:val="auto"/>
          <w:sz w:val="32"/>
          <w:szCs w:val="32"/>
          <w:highlight w:val="none"/>
        </w:rPr>
        <w:t>十、</w:t>
      </w:r>
      <w:bookmarkEnd w:id="57"/>
      <w:r>
        <w:rPr>
          <w:rFonts w:hint="default" w:ascii="Times New Roman" w:hAnsi="Times New Roman" w:eastAsia="仿宋_GB2312" w:cs="Times New Roman"/>
          <w:color w:val="auto"/>
          <w:sz w:val="32"/>
          <w:szCs w:val="32"/>
          <w:highlight w:val="none"/>
        </w:rPr>
        <w:t>政府性基金预算财政拨款收入支出决算表</w:t>
      </w:r>
    </w:p>
    <w:p>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default" w:ascii="Times New Roman" w:hAnsi="Times New Roman" w:eastAsia="仿宋_GB2312" w:cs="Times New Roman"/>
          <w:color w:val="auto"/>
          <w:sz w:val="32"/>
          <w:szCs w:val="32"/>
          <w:highlight w:val="none"/>
        </w:rPr>
      </w:pPr>
      <w:bookmarkStart w:id="58" w:name="_Toc15396629"/>
      <w:r>
        <w:rPr>
          <w:rFonts w:hint="default" w:ascii="Times New Roman" w:hAnsi="Times New Roman" w:eastAsia="仿宋_GB2312" w:cs="Times New Roman"/>
          <w:color w:val="auto"/>
          <w:sz w:val="32"/>
          <w:szCs w:val="32"/>
          <w:highlight w:val="none"/>
        </w:rPr>
        <w:t>十一、</w:t>
      </w:r>
      <w:bookmarkEnd w:id="58"/>
      <w:r>
        <w:rPr>
          <w:rFonts w:hint="default" w:ascii="Times New Roman" w:hAnsi="Times New Roman" w:eastAsia="仿宋_GB2312" w:cs="Times New Roman"/>
          <w:color w:val="auto"/>
          <w:sz w:val="32"/>
          <w:szCs w:val="32"/>
          <w:highlight w:val="none"/>
        </w:rPr>
        <w:t>国有资本经营预算</w:t>
      </w:r>
      <w:r>
        <w:rPr>
          <w:rFonts w:hint="default" w:ascii="Times New Roman" w:hAnsi="Times New Roman" w:eastAsia="仿宋_GB2312" w:cs="Times New Roman"/>
          <w:color w:val="auto"/>
          <w:sz w:val="32"/>
          <w:szCs w:val="32"/>
          <w:highlight w:val="none"/>
          <w:lang w:eastAsia="zh-CN"/>
        </w:rPr>
        <w:t>财政拨款收入</w:t>
      </w:r>
      <w:r>
        <w:rPr>
          <w:rFonts w:hint="default" w:ascii="Times New Roman" w:hAnsi="Times New Roman" w:eastAsia="仿宋_GB2312" w:cs="Times New Roman"/>
          <w:color w:val="auto"/>
          <w:sz w:val="32"/>
          <w:szCs w:val="32"/>
          <w:highlight w:val="none"/>
        </w:rPr>
        <w:t>支出决算表</w:t>
      </w:r>
    </w:p>
    <w:p>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default" w:ascii="Times New Roman" w:hAnsi="Times New Roman" w:eastAsia="仿宋_GB2312" w:cs="Times New Roman"/>
          <w:color w:val="auto"/>
          <w:sz w:val="32"/>
          <w:szCs w:val="32"/>
          <w:highlight w:val="none"/>
        </w:rPr>
      </w:pPr>
      <w:bookmarkStart w:id="59" w:name="_Toc15396630"/>
      <w:r>
        <w:rPr>
          <w:rFonts w:hint="default" w:ascii="Times New Roman" w:hAnsi="Times New Roman" w:eastAsia="仿宋_GB2312" w:cs="Times New Roman"/>
          <w:color w:val="auto"/>
          <w:sz w:val="32"/>
          <w:szCs w:val="32"/>
          <w:highlight w:val="none"/>
        </w:rPr>
        <w:t>十二、</w:t>
      </w:r>
      <w:bookmarkEnd w:id="59"/>
      <w:r>
        <w:rPr>
          <w:rFonts w:hint="default" w:ascii="Times New Roman" w:hAnsi="Times New Roman" w:eastAsia="仿宋_GB2312" w:cs="Times New Roman"/>
          <w:color w:val="auto"/>
          <w:sz w:val="32"/>
          <w:szCs w:val="32"/>
          <w:highlight w:val="none"/>
          <w:lang w:eastAsia="zh-CN"/>
        </w:rPr>
        <w:t>国有资本经营预算财政拨款支出决算表</w:t>
      </w:r>
    </w:p>
    <w:p>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default" w:ascii="Times New Roman" w:hAnsi="Times New Roman" w:eastAsia="仿宋_GB2312" w:cs="Times New Roman"/>
          <w:color w:val="auto"/>
          <w:sz w:val="32"/>
          <w:szCs w:val="32"/>
          <w:highlight w:val="none"/>
          <w:lang w:eastAsia="zh-CN"/>
        </w:rPr>
      </w:pPr>
      <w:bookmarkStart w:id="60" w:name="_Toc15396631"/>
      <w:r>
        <w:rPr>
          <w:rFonts w:hint="default" w:ascii="Times New Roman" w:hAnsi="Times New Roman" w:eastAsia="仿宋_GB2312" w:cs="Times New Roman"/>
          <w:color w:val="auto"/>
          <w:sz w:val="32"/>
          <w:szCs w:val="32"/>
          <w:highlight w:val="none"/>
        </w:rPr>
        <w:t>十三、</w:t>
      </w:r>
      <w:bookmarkEnd w:id="60"/>
      <w:r>
        <w:rPr>
          <w:rFonts w:hint="default" w:ascii="Times New Roman" w:hAnsi="Times New Roman" w:eastAsia="仿宋_GB2312" w:cs="Times New Roman"/>
          <w:color w:val="auto"/>
          <w:sz w:val="32"/>
          <w:szCs w:val="32"/>
          <w:highlight w:val="none"/>
          <w:lang w:eastAsia="zh-CN"/>
        </w:rPr>
        <w:t>财政拨款“三公”经费支出决算表</w:t>
      </w:r>
    </w:p>
    <w:p>
      <w:pPr>
        <w:rPr>
          <w:rFonts w:hint="default" w:ascii="Times New Roman" w:hAnsi="Times New Roman" w:cs="Times New Roman"/>
          <w:lang w:eastAsia="zh-CN"/>
        </w:rPr>
      </w:pPr>
    </w:p>
    <w:sectPr>
      <w:footerReference r:id="rId7" w:type="first"/>
      <w:footerReference r:id="rId6" w:type="default"/>
      <w:pgSz w:w="11906" w:h="16838"/>
      <w:pgMar w:top="1440" w:right="1800" w:bottom="1440" w:left="1800" w:header="851" w:footer="992" w:gutter="0"/>
      <w:pgNumType w:fmt="numberInDash"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Cambria">
    <w:altName w:val="Noto Sans Syriac Eastern"/>
    <w:panose1 w:val="02040503050406030204"/>
    <w:charset w:val="00"/>
    <w:family w:val="roman"/>
    <w:pitch w:val="default"/>
    <w:sig w:usb0="00000000" w:usb1="00000000" w:usb2="02000000" w:usb3="00000000" w:csb0="2000019F" w:csb1="00000000"/>
  </w:font>
  <w:font w:name="仿宋">
    <w:panose1 w:val="02010609060101010101"/>
    <w:charset w:val="86"/>
    <w:family w:val="modern"/>
    <w:pitch w:val="default"/>
    <w:sig w:usb0="800002BF" w:usb1="38CF7CFA" w:usb2="00000016" w:usb3="00000000" w:csb0="00040001" w:csb1="00000000"/>
  </w:font>
  <w:font w:name="??">
    <w:altName w:val="仿宋"/>
    <w:panose1 w:val="00000000000000000000"/>
    <w:charset w:val="00"/>
    <w:family w:val="roman"/>
    <w:pitch w:val="default"/>
    <w:sig w:usb0="00000000" w:usb1="00000000" w:usb2="00000000" w:usb3="00000000" w:csb0="00000000" w:csb1="0000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微软雅黑">
    <w:altName w:val="黑体"/>
    <w:panose1 w:val="020B0503020204020204"/>
    <w:charset w:val="86"/>
    <w:family w:val="auto"/>
    <w:pitch w:val="default"/>
    <w:sig w:usb0="00000000" w:usb1="00000000" w:usb2="00000016" w:usb3="00000000" w:csb0="0004001F" w:csb1="00000000"/>
  </w:font>
  <w:font w:name="DejaVu Sans">
    <w:panose1 w:val="020B0603030804020204"/>
    <w:charset w:val="00"/>
    <w:family w:val="auto"/>
    <w:pitch w:val="default"/>
    <w:sig w:usb0="E7006EFF" w:usb1="D200FDFF" w:usb2="0A246029" w:usb3="0400200C" w:csb0="600001FF" w:csb1="DFFF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- 1 -</w:t>
                    </w:r>
                    <w:r>
                      <w:fldChar w:fldCharType="end"/>
                    </w:r>
                  </w:p>
                </w:txbxContent>
              </v:textbox>
            </v:shape>
          </w:pict>
        </mc:Fallback>
      </mc:AlternateContent>
    </w:r>
  </w:p>
  <w:p>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BYAAABkcnMvUEsBAhQAFAAAAAgA&#10;h07iQLNJWO7QAAAABQEAAA8AAAAAAAAAAQAgAAAAOAAAAGRycy9kb3ducmV2LnhtbFBLAQIUABQA&#10;AAAIAIdO4kA8FiLyGwIAACkEAAAOAAAAAAAAAAEAIAAAADUBAABkcnMvZTJvRG9jLnhtbFBLBQYA&#10;AAAABgAGAFkBAADCBQ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SQizEBwCAAApBAAADgAAAAAAAAABACAAAAA1AQAAZHJzL2Uyb0RvYy54bWxQSwUG&#10;AAAAAAYABgBZAQAAwwU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- 2 -</w:t>
                    </w:r>
                    <w:r>
                      <w:fldChar w:fldCharType="end"/>
                    </w:r>
                  </w:p>
                </w:txbxContent>
              </v:textbox>
            </v:shape>
          </w:pict>
        </mc:Fallback>
      </mc:AlternateContent>
    </w:r>
  </w:p>
  <w:p>
    <w:pPr>
      <w:pStyle w:val="11"/>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IDxM9IdAgAAKQQAAA4AAAAAAAAAAQAgAAAANQEAAGRycy9lMm9Eb2MueG1sUEsF&#10;BgAAAAAGAAYAWQEAAMQFA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47F4318"/>
    <w:multiLevelType w:val="singleLevel"/>
    <w:tmpl w:val="147F4318"/>
    <w:lvl w:ilvl="0" w:tentative="0">
      <w:start w:val="1"/>
      <w:numFmt w:val="decimal"/>
      <w:suff w:val="nothing"/>
      <w:lvlText w:val="%1、"/>
      <w:lvlJc w:val="left"/>
    </w:lvl>
  </w:abstractNum>
  <w:abstractNum w:abstractNumId="1">
    <w:nsid w:val="16ABF4F0"/>
    <w:multiLevelType w:val="singleLevel"/>
    <w:tmpl w:val="16ABF4F0"/>
    <w:lvl w:ilvl="0" w:tentative="0">
      <w:start w:val="3"/>
      <w:numFmt w:val="decimal"/>
      <w:lvlText w:val="%1."/>
      <w:lvlJc w:val="left"/>
      <w:pPr>
        <w:tabs>
          <w:tab w:val="left" w:pos="312"/>
        </w:tabs>
      </w:pPr>
    </w:lvl>
  </w:abstractNum>
  <w:abstractNum w:abstractNumId="2">
    <w:nsid w:val="419A3808"/>
    <w:multiLevelType w:val="singleLevel"/>
    <w:tmpl w:val="419A3808"/>
    <w:lvl w:ilvl="0" w:tentative="0">
      <w:start w:val="1"/>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4633"/>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2A5EC2"/>
    <w:rsid w:val="015975B8"/>
    <w:rsid w:val="027F681D"/>
    <w:rsid w:val="02FEBE30"/>
    <w:rsid w:val="04916F1E"/>
    <w:rsid w:val="05EF48B6"/>
    <w:rsid w:val="061E35DE"/>
    <w:rsid w:val="066E0107"/>
    <w:rsid w:val="078249E7"/>
    <w:rsid w:val="07996F6E"/>
    <w:rsid w:val="07DFD8BA"/>
    <w:rsid w:val="09867E8F"/>
    <w:rsid w:val="0A2032A3"/>
    <w:rsid w:val="0CA8290A"/>
    <w:rsid w:val="0D35B1ED"/>
    <w:rsid w:val="0E254B6B"/>
    <w:rsid w:val="0EC03963"/>
    <w:rsid w:val="0F98263C"/>
    <w:rsid w:val="101860EC"/>
    <w:rsid w:val="101F47CC"/>
    <w:rsid w:val="10440440"/>
    <w:rsid w:val="10555FEC"/>
    <w:rsid w:val="10C055FF"/>
    <w:rsid w:val="11694EBD"/>
    <w:rsid w:val="11772AA4"/>
    <w:rsid w:val="118107EC"/>
    <w:rsid w:val="11D01EC4"/>
    <w:rsid w:val="11FFE00A"/>
    <w:rsid w:val="12E24EE2"/>
    <w:rsid w:val="13D50BC4"/>
    <w:rsid w:val="14B17F78"/>
    <w:rsid w:val="152C6376"/>
    <w:rsid w:val="165B162F"/>
    <w:rsid w:val="165E0673"/>
    <w:rsid w:val="16B831D5"/>
    <w:rsid w:val="16BB723D"/>
    <w:rsid w:val="17E50567"/>
    <w:rsid w:val="186504BB"/>
    <w:rsid w:val="18A7555D"/>
    <w:rsid w:val="197440D8"/>
    <w:rsid w:val="19A445FC"/>
    <w:rsid w:val="1B2B32E5"/>
    <w:rsid w:val="1BCF3A18"/>
    <w:rsid w:val="1BE8440E"/>
    <w:rsid w:val="1D155CEE"/>
    <w:rsid w:val="1D1638FE"/>
    <w:rsid w:val="1DDD0FF1"/>
    <w:rsid w:val="1E312DEB"/>
    <w:rsid w:val="1E740ACF"/>
    <w:rsid w:val="1EEBC2DB"/>
    <w:rsid w:val="1FF35744"/>
    <w:rsid w:val="1FF6BC77"/>
    <w:rsid w:val="2021740A"/>
    <w:rsid w:val="2186353C"/>
    <w:rsid w:val="23860B96"/>
    <w:rsid w:val="240371BF"/>
    <w:rsid w:val="244F3473"/>
    <w:rsid w:val="249A2EB3"/>
    <w:rsid w:val="24C97D99"/>
    <w:rsid w:val="255337FB"/>
    <w:rsid w:val="25A718F0"/>
    <w:rsid w:val="25BB59F6"/>
    <w:rsid w:val="260F557C"/>
    <w:rsid w:val="26970054"/>
    <w:rsid w:val="281408E2"/>
    <w:rsid w:val="28C055AB"/>
    <w:rsid w:val="293E1B35"/>
    <w:rsid w:val="29FD04D3"/>
    <w:rsid w:val="2B367DA6"/>
    <w:rsid w:val="2BFF7BC6"/>
    <w:rsid w:val="2C520C10"/>
    <w:rsid w:val="2C8A61B5"/>
    <w:rsid w:val="2DB60142"/>
    <w:rsid w:val="2DEB7B53"/>
    <w:rsid w:val="2DF04E50"/>
    <w:rsid w:val="2E586DFA"/>
    <w:rsid w:val="2F040D46"/>
    <w:rsid w:val="2F6B035B"/>
    <w:rsid w:val="2FAE5751"/>
    <w:rsid w:val="2FB1A395"/>
    <w:rsid w:val="2FD9A7D8"/>
    <w:rsid w:val="2FDBF714"/>
    <w:rsid w:val="30AB6865"/>
    <w:rsid w:val="319F7F4E"/>
    <w:rsid w:val="31EF0C14"/>
    <w:rsid w:val="32BD1EF1"/>
    <w:rsid w:val="3304709D"/>
    <w:rsid w:val="335551C0"/>
    <w:rsid w:val="33A773CB"/>
    <w:rsid w:val="349D6851"/>
    <w:rsid w:val="35AC204A"/>
    <w:rsid w:val="36AA5135"/>
    <w:rsid w:val="36BE0DA7"/>
    <w:rsid w:val="376B6AA6"/>
    <w:rsid w:val="376D39B2"/>
    <w:rsid w:val="37E16F03"/>
    <w:rsid w:val="37F53A3B"/>
    <w:rsid w:val="37FA1204"/>
    <w:rsid w:val="389B6C89"/>
    <w:rsid w:val="38D469F0"/>
    <w:rsid w:val="39627CCD"/>
    <w:rsid w:val="397BAF1F"/>
    <w:rsid w:val="3AB79AF3"/>
    <w:rsid w:val="3AE834C0"/>
    <w:rsid w:val="3B7EF35A"/>
    <w:rsid w:val="3B9FDB6C"/>
    <w:rsid w:val="3BF5BC2F"/>
    <w:rsid w:val="3C669616"/>
    <w:rsid w:val="3CEBA265"/>
    <w:rsid w:val="3CFE095F"/>
    <w:rsid w:val="3D98207C"/>
    <w:rsid w:val="3DEE7CF3"/>
    <w:rsid w:val="3E740A63"/>
    <w:rsid w:val="3E78745D"/>
    <w:rsid w:val="3EE17838"/>
    <w:rsid w:val="3F55381A"/>
    <w:rsid w:val="3F6EDD5C"/>
    <w:rsid w:val="3F7F7599"/>
    <w:rsid w:val="3FF4CAE0"/>
    <w:rsid w:val="3FF7B227"/>
    <w:rsid w:val="40485E56"/>
    <w:rsid w:val="427C5942"/>
    <w:rsid w:val="42C4599B"/>
    <w:rsid w:val="444C1F91"/>
    <w:rsid w:val="44E268DA"/>
    <w:rsid w:val="450D13D7"/>
    <w:rsid w:val="45506656"/>
    <w:rsid w:val="486A6C7A"/>
    <w:rsid w:val="4A627F82"/>
    <w:rsid w:val="4B0E749A"/>
    <w:rsid w:val="4B2477C4"/>
    <w:rsid w:val="4B287D28"/>
    <w:rsid w:val="4B4F25DA"/>
    <w:rsid w:val="4BE068DB"/>
    <w:rsid w:val="4D577224"/>
    <w:rsid w:val="4DBA0A36"/>
    <w:rsid w:val="4DBF1CEB"/>
    <w:rsid w:val="4DF0007C"/>
    <w:rsid w:val="4E21623C"/>
    <w:rsid w:val="4E593C28"/>
    <w:rsid w:val="4EAB630A"/>
    <w:rsid w:val="4ECE2238"/>
    <w:rsid w:val="4F833267"/>
    <w:rsid w:val="4FE9BD67"/>
    <w:rsid w:val="4FFB052F"/>
    <w:rsid w:val="514457E6"/>
    <w:rsid w:val="52B93B63"/>
    <w:rsid w:val="537E6D0A"/>
    <w:rsid w:val="53F74C96"/>
    <w:rsid w:val="55170BA8"/>
    <w:rsid w:val="553218C9"/>
    <w:rsid w:val="567E1AA5"/>
    <w:rsid w:val="56E47B74"/>
    <w:rsid w:val="57175D52"/>
    <w:rsid w:val="57BD3DD4"/>
    <w:rsid w:val="58674AD0"/>
    <w:rsid w:val="5A37194A"/>
    <w:rsid w:val="5AF92295"/>
    <w:rsid w:val="5B250254"/>
    <w:rsid w:val="5BDD79E6"/>
    <w:rsid w:val="5BF561CA"/>
    <w:rsid w:val="5BFF5DFC"/>
    <w:rsid w:val="5CD71FC4"/>
    <w:rsid w:val="5D1F11B5"/>
    <w:rsid w:val="5D695134"/>
    <w:rsid w:val="5D7B9408"/>
    <w:rsid w:val="5DAE1B18"/>
    <w:rsid w:val="5DE7D9E5"/>
    <w:rsid w:val="5E106839"/>
    <w:rsid w:val="5ECEC941"/>
    <w:rsid w:val="5FBF52EE"/>
    <w:rsid w:val="5FBF9FF3"/>
    <w:rsid w:val="5FCD4E2C"/>
    <w:rsid w:val="5FEF394A"/>
    <w:rsid w:val="5FF67715"/>
    <w:rsid w:val="61324818"/>
    <w:rsid w:val="62BF3928"/>
    <w:rsid w:val="63B3701E"/>
    <w:rsid w:val="63C235C9"/>
    <w:rsid w:val="647F5392"/>
    <w:rsid w:val="65E66580"/>
    <w:rsid w:val="664B1D71"/>
    <w:rsid w:val="664B4E8E"/>
    <w:rsid w:val="67277B67"/>
    <w:rsid w:val="67AA3209"/>
    <w:rsid w:val="698D0931"/>
    <w:rsid w:val="6A7FE5F3"/>
    <w:rsid w:val="6B053271"/>
    <w:rsid w:val="6BDD78B3"/>
    <w:rsid w:val="6C4A05C8"/>
    <w:rsid w:val="6C8742B8"/>
    <w:rsid w:val="6DB8513F"/>
    <w:rsid w:val="6DBF5E93"/>
    <w:rsid w:val="6DFF077E"/>
    <w:rsid w:val="6E714EF0"/>
    <w:rsid w:val="6E7E3605"/>
    <w:rsid w:val="6E7FDCC7"/>
    <w:rsid w:val="6E87794E"/>
    <w:rsid w:val="6ECB67D2"/>
    <w:rsid w:val="6ED6A62E"/>
    <w:rsid w:val="6EE00B15"/>
    <w:rsid w:val="6EE221DF"/>
    <w:rsid w:val="6F3BCED4"/>
    <w:rsid w:val="6F4200C5"/>
    <w:rsid w:val="6F6FB3EB"/>
    <w:rsid w:val="6F8731EA"/>
    <w:rsid w:val="6FCE6052"/>
    <w:rsid w:val="6FD57C00"/>
    <w:rsid w:val="6FEFFFD8"/>
    <w:rsid w:val="6FF5CC65"/>
    <w:rsid w:val="6FFB47EC"/>
    <w:rsid w:val="6FFD49AD"/>
    <w:rsid w:val="6FFF034A"/>
    <w:rsid w:val="70484440"/>
    <w:rsid w:val="712A28F1"/>
    <w:rsid w:val="715C0E4B"/>
    <w:rsid w:val="71992E7C"/>
    <w:rsid w:val="721875CE"/>
    <w:rsid w:val="72233669"/>
    <w:rsid w:val="72734D90"/>
    <w:rsid w:val="73160E6D"/>
    <w:rsid w:val="7332FE48"/>
    <w:rsid w:val="73AB61DA"/>
    <w:rsid w:val="73AD73D5"/>
    <w:rsid w:val="73B6EB34"/>
    <w:rsid w:val="73C37098"/>
    <w:rsid w:val="73E9ED5B"/>
    <w:rsid w:val="73FA497D"/>
    <w:rsid w:val="744731E5"/>
    <w:rsid w:val="74BBD01D"/>
    <w:rsid w:val="74ED5379"/>
    <w:rsid w:val="75DEEEC2"/>
    <w:rsid w:val="75E32345"/>
    <w:rsid w:val="767C06C7"/>
    <w:rsid w:val="76E3355F"/>
    <w:rsid w:val="76FF5125"/>
    <w:rsid w:val="776F6FFA"/>
    <w:rsid w:val="778769C8"/>
    <w:rsid w:val="77A75DCA"/>
    <w:rsid w:val="77DC22F5"/>
    <w:rsid w:val="783E271A"/>
    <w:rsid w:val="78616DE9"/>
    <w:rsid w:val="78E875D7"/>
    <w:rsid w:val="79086DAD"/>
    <w:rsid w:val="797F4F00"/>
    <w:rsid w:val="79D7FD79"/>
    <w:rsid w:val="79EE5BA4"/>
    <w:rsid w:val="7A0E57BC"/>
    <w:rsid w:val="7A3113AC"/>
    <w:rsid w:val="7A894339"/>
    <w:rsid w:val="7AD284E8"/>
    <w:rsid w:val="7AFF7572"/>
    <w:rsid w:val="7B6C7DFB"/>
    <w:rsid w:val="7BB1D2FD"/>
    <w:rsid w:val="7BBFA3D0"/>
    <w:rsid w:val="7BBFBED0"/>
    <w:rsid w:val="7BC3E394"/>
    <w:rsid w:val="7C09676F"/>
    <w:rsid w:val="7C1F3737"/>
    <w:rsid w:val="7CBFC87B"/>
    <w:rsid w:val="7CFBACED"/>
    <w:rsid w:val="7CFE0F48"/>
    <w:rsid w:val="7D1868D9"/>
    <w:rsid w:val="7D272ABC"/>
    <w:rsid w:val="7D5E7190"/>
    <w:rsid w:val="7D7EC23E"/>
    <w:rsid w:val="7E8ADEBF"/>
    <w:rsid w:val="7EEF11BF"/>
    <w:rsid w:val="7EEF11D3"/>
    <w:rsid w:val="7EFE4840"/>
    <w:rsid w:val="7F0971A6"/>
    <w:rsid w:val="7F1D62E7"/>
    <w:rsid w:val="7F3F679B"/>
    <w:rsid w:val="7F4F67F0"/>
    <w:rsid w:val="7F4FC4EF"/>
    <w:rsid w:val="7F5E4D54"/>
    <w:rsid w:val="7F6E0135"/>
    <w:rsid w:val="7F79F205"/>
    <w:rsid w:val="7FA30C79"/>
    <w:rsid w:val="7FA79C44"/>
    <w:rsid w:val="7FAF8ABF"/>
    <w:rsid w:val="7FB7269E"/>
    <w:rsid w:val="7FC96657"/>
    <w:rsid w:val="7FDA9588"/>
    <w:rsid w:val="7FDF220F"/>
    <w:rsid w:val="7FEDC5F7"/>
    <w:rsid w:val="7FEDD9DE"/>
    <w:rsid w:val="7FF5890D"/>
    <w:rsid w:val="7FF93490"/>
    <w:rsid w:val="88AFA245"/>
    <w:rsid w:val="977DA11F"/>
    <w:rsid w:val="99FF2014"/>
    <w:rsid w:val="A6DD0D7F"/>
    <w:rsid w:val="ACFF4FBB"/>
    <w:rsid w:val="ADC6F725"/>
    <w:rsid w:val="AF8A8522"/>
    <w:rsid w:val="B7CF06AB"/>
    <w:rsid w:val="B7CFA926"/>
    <w:rsid w:val="B7F8786B"/>
    <w:rsid w:val="BABB6AA1"/>
    <w:rsid w:val="BB2F4199"/>
    <w:rsid w:val="BCFFB442"/>
    <w:rsid w:val="BD079C78"/>
    <w:rsid w:val="BD733540"/>
    <w:rsid w:val="BF3735D5"/>
    <w:rsid w:val="BF7F09AC"/>
    <w:rsid w:val="BFD475C3"/>
    <w:rsid w:val="BFD6AF54"/>
    <w:rsid w:val="BFDE5EA6"/>
    <w:rsid w:val="CF6FC6F3"/>
    <w:rsid w:val="CFD3D3D7"/>
    <w:rsid w:val="CFDF1009"/>
    <w:rsid w:val="D7D7B16A"/>
    <w:rsid w:val="D7DE8DF6"/>
    <w:rsid w:val="D8D6DB89"/>
    <w:rsid w:val="DB6F4CAB"/>
    <w:rsid w:val="DB777682"/>
    <w:rsid w:val="DD1FB521"/>
    <w:rsid w:val="DEFBFEAE"/>
    <w:rsid w:val="DF1F3B80"/>
    <w:rsid w:val="DF6F9789"/>
    <w:rsid w:val="DF7A0007"/>
    <w:rsid w:val="DFE9BE81"/>
    <w:rsid w:val="DFFFA9E8"/>
    <w:rsid w:val="E5F4E9DC"/>
    <w:rsid w:val="E70FE695"/>
    <w:rsid w:val="EB2E368B"/>
    <w:rsid w:val="ECFED1BC"/>
    <w:rsid w:val="ED1D69BB"/>
    <w:rsid w:val="ED7FD312"/>
    <w:rsid w:val="EF2E1AC6"/>
    <w:rsid w:val="EF53993F"/>
    <w:rsid w:val="EF6FD633"/>
    <w:rsid w:val="EFBFB2F4"/>
    <w:rsid w:val="EFBFFA21"/>
    <w:rsid w:val="F2BEBCB8"/>
    <w:rsid w:val="F36FB518"/>
    <w:rsid w:val="F3DE1A04"/>
    <w:rsid w:val="F3F722E5"/>
    <w:rsid w:val="F4FBCD07"/>
    <w:rsid w:val="FA5F1E70"/>
    <w:rsid w:val="FA5FDB97"/>
    <w:rsid w:val="FB7F486A"/>
    <w:rsid w:val="FBFF5B2E"/>
    <w:rsid w:val="FD0FAB90"/>
    <w:rsid w:val="FD7FFE2B"/>
    <w:rsid w:val="FDEE196B"/>
    <w:rsid w:val="FDFE6575"/>
    <w:rsid w:val="FE7FCCA5"/>
    <w:rsid w:val="FEDFDDC2"/>
    <w:rsid w:val="FEED32F6"/>
    <w:rsid w:val="FEF781DD"/>
    <w:rsid w:val="FF3F7E3F"/>
    <w:rsid w:val="FFBA12D7"/>
    <w:rsid w:val="FFCBD314"/>
    <w:rsid w:val="FFDFF91C"/>
    <w:rsid w:val="FFDFFAEE"/>
    <w:rsid w:val="FFEF6777"/>
    <w:rsid w:val="FFF9B57B"/>
    <w:rsid w:val="FFFD61D9"/>
    <w:rsid w:val="FFFD8F59"/>
    <w:rsid w:val="FFFF2BB1"/>
    <w:rsid w:val="FFFFB04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30"/>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3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4"/>
    <w:unhideWhenUsed/>
    <w:qFormat/>
    <w:uiPriority w:val="9"/>
    <w:pPr>
      <w:keepNext/>
      <w:keepLines/>
      <w:spacing w:before="260" w:after="260" w:line="416" w:lineRule="auto"/>
      <w:outlineLvl w:val="2"/>
    </w:pPr>
    <w:rPr>
      <w:b/>
      <w:bCs/>
      <w:sz w:val="32"/>
      <w:szCs w:val="32"/>
    </w:rPr>
  </w:style>
  <w:style w:type="paragraph" w:styleId="6">
    <w:name w:val="heading 4"/>
    <w:basedOn w:val="1"/>
    <w:next w:val="1"/>
    <w:semiHidden/>
    <w:unhideWhenUsed/>
    <w:qFormat/>
    <w:uiPriority w:val="9"/>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8">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27"/>
    <w:qFormat/>
    <w:uiPriority w:val="99"/>
    <w:pPr>
      <w:spacing w:beforeLines="30"/>
    </w:pPr>
    <w:rPr>
      <w:rFonts w:ascii="仿宋_GB2312" w:eastAsia="仿宋_GB2312"/>
      <w:kern w:val="0"/>
      <w:sz w:val="30"/>
    </w:rPr>
  </w:style>
  <w:style w:type="paragraph" w:styleId="7">
    <w:name w:val="Body Text Indent"/>
    <w:basedOn w:val="1"/>
    <w:next w:val="8"/>
    <w:qFormat/>
    <w:uiPriority w:val="0"/>
    <w:pPr>
      <w:spacing w:after="120"/>
      <w:ind w:leftChars="200"/>
    </w:pPr>
    <w:rPr>
      <w:rFonts w:ascii="仿宋_GB2312"/>
      <w:szCs w:val="32"/>
    </w:rPr>
  </w:style>
  <w:style w:type="paragraph" w:styleId="8">
    <w:name w:val="Body Text First Indent 2"/>
    <w:basedOn w:val="7"/>
    <w:unhideWhenUsed/>
    <w:qFormat/>
    <w:uiPriority w:val="99"/>
    <w:pPr>
      <w:ind w:firstLine="420" w:firstLineChars="200"/>
    </w:pPr>
  </w:style>
  <w:style w:type="paragraph" w:styleId="9">
    <w:name w:val="toc 3"/>
    <w:basedOn w:val="1"/>
    <w:next w:val="1"/>
    <w:unhideWhenUsed/>
    <w:qFormat/>
    <w:uiPriority w:val="39"/>
    <w:pPr>
      <w:tabs>
        <w:tab w:val="right" w:leader="dot" w:pos="8296"/>
      </w:tabs>
      <w:ind w:left="840" w:leftChars="400"/>
    </w:pPr>
  </w:style>
  <w:style w:type="paragraph" w:styleId="10">
    <w:name w:val="Balloon Text"/>
    <w:basedOn w:val="1"/>
    <w:link w:val="33"/>
    <w:semiHidden/>
    <w:unhideWhenUsed/>
    <w:qFormat/>
    <w:uiPriority w:val="99"/>
    <w:rPr>
      <w:sz w:val="18"/>
      <w:szCs w:val="18"/>
    </w:rPr>
  </w:style>
  <w:style w:type="paragraph" w:styleId="11">
    <w:name w:val="footer"/>
    <w:basedOn w:val="1"/>
    <w:link w:val="25"/>
    <w:qFormat/>
    <w:uiPriority w:val="99"/>
    <w:pPr>
      <w:tabs>
        <w:tab w:val="center" w:pos="4153"/>
        <w:tab w:val="right" w:pos="8306"/>
      </w:tabs>
      <w:snapToGrid w:val="0"/>
      <w:jc w:val="left"/>
    </w:pPr>
    <w:rPr>
      <w:rFonts w:ascii="Calibri" w:hAnsi="Calibri"/>
      <w:kern w:val="0"/>
      <w:sz w:val="18"/>
      <w:szCs w:val="18"/>
    </w:rPr>
  </w:style>
  <w:style w:type="paragraph" w:styleId="12">
    <w:name w:val="header"/>
    <w:basedOn w:val="1"/>
    <w:link w:val="23"/>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3">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4">
    <w:name w:val="footnote text"/>
    <w:basedOn w:val="1"/>
    <w:next w:val="8"/>
    <w:semiHidden/>
    <w:qFormat/>
    <w:uiPriority w:val="0"/>
    <w:pPr>
      <w:snapToGrid w:val="0"/>
      <w:jc w:val="left"/>
    </w:pPr>
    <w:rPr>
      <w:sz w:val="18"/>
      <w:szCs w:val="18"/>
    </w:rPr>
  </w:style>
  <w:style w:type="paragraph" w:styleId="15">
    <w:name w:val="toc 2"/>
    <w:basedOn w:val="1"/>
    <w:next w:val="1"/>
    <w:unhideWhenUsed/>
    <w:qFormat/>
    <w:uiPriority w:val="39"/>
    <w:pPr>
      <w:tabs>
        <w:tab w:val="right" w:leader="dot" w:pos="8296"/>
      </w:tabs>
      <w:ind w:left="420" w:leftChars="200"/>
    </w:pPr>
  </w:style>
  <w:style w:type="paragraph" w:styleId="16">
    <w:name w:val="Normal (Web)"/>
    <w:basedOn w:val="1"/>
    <w:qFormat/>
    <w:uiPriority w:val="0"/>
    <w:rPr>
      <w:sz w:val="24"/>
    </w:rPr>
  </w:style>
  <w:style w:type="character" w:styleId="19">
    <w:name w:val="Strong"/>
    <w:basedOn w:val="18"/>
    <w:qFormat/>
    <w:uiPriority w:val="99"/>
    <w:rPr>
      <w:b/>
    </w:rPr>
  </w:style>
  <w:style w:type="character" w:styleId="20">
    <w:name w:val="Hyperlink"/>
    <w:basedOn w:val="18"/>
    <w:unhideWhenUsed/>
    <w:qFormat/>
    <w:uiPriority w:val="99"/>
    <w:rPr>
      <w:color w:val="0000FF" w:themeColor="hyperlink"/>
      <w:u w:val="single"/>
      <w14:textFill>
        <w14:solidFill>
          <w14:schemeClr w14:val="hlink"/>
        </w14:solidFill>
      </w14:textFill>
    </w:rPr>
  </w:style>
  <w:style w:type="paragraph" w:customStyle="1" w:styleId="21">
    <w:name w:val="标题 5（有编号）（绿盟科技）"/>
    <w:next w:val="1"/>
    <w:qFormat/>
    <w:uiPriority w:val="99"/>
    <w:pPr>
      <w:keepNext/>
      <w:keepLines/>
      <w:widowControl w:val="0"/>
      <w:spacing w:before="280" w:after="156" w:line="377" w:lineRule="auto"/>
      <w:jc w:val="left"/>
      <w:outlineLvl w:val="4"/>
    </w:pPr>
    <w:rPr>
      <w:rFonts w:ascii="Arial" w:hAnsi="Arial" w:eastAsia="黑体" w:cs="Times New Roman"/>
      <w:b/>
      <w:kern w:val="2"/>
      <w:sz w:val="24"/>
      <w:szCs w:val="28"/>
      <w:lang w:val="en-US" w:eastAsia="zh-CN" w:bidi="ar-SA"/>
    </w:rPr>
  </w:style>
  <w:style w:type="character" w:customStyle="1" w:styleId="22">
    <w:name w:val="Header Char"/>
    <w:basedOn w:val="18"/>
    <w:semiHidden/>
    <w:qFormat/>
    <w:uiPriority w:val="99"/>
    <w:rPr>
      <w:rFonts w:ascii="Times New Roman" w:hAnsi="Times New Roman"/>
      <w:sz w:val="18"/>
      <w:szCs w:val="18"/>
    </w:rPr>
  </w:style>
  <w:style w:type="character" w:customStyle="1" w:styleId="23">
    <w:name w:val="页眉 Char"/>
    <w:link w:val="12"/>
    <w:semiHidden/>
    <w:qFormat/>
    <w:locked/>
    <w:uiPriority w:val="99"/>
    <w:rPr>
      <w:sz w:val="18"/>
    </w:rPr>
  </w:style>
  <w:style w:type="character" w:customStyle="1" w:styleId="24">
    <w:name w:val="Footer Char"/>
    <w:basedOn w:val="18"/>
    <w:semiHidden/>
    <w:qFormat/>
    <w:uiPriority w:val="99"/>
    <w:rPr>
      <w:rFonts w:ascii="Times New Roman" w:hAnsi="Times New Roman"/>
      <w:sz w:val="18"/>
      <w:szCs w:val="18"/>
    </w:rPr>
  </w:style>
  <w:style w:type="character" w:customStyle="1" w:styleId="25">
    <w:name w:val="页脚 Char"/>
    <w:link w:val="11"/>
    <w:qFormat/>
    <w:locked/>
    <w:uiPriority w:val="99"/>
    <w:rPr>
      <w:sz w:val="18"/>
    </w:rPr>
  </w:style>
  <w:style w:type="character" w:customStyle="1" w:styleId="26">
    <w:name w:val="Body Text Char"/>
    <w:basedOn w:val="18"/>
    <w:semiHidden/>
    <w:qFormat/>
    <w:uiPriority w:val="99"/>
    <w:rPr>
      <w:rFonts w:ascii="Times New Roman" w:hAnsi="Times New Roman"/>
      <w:szCs w:val="24"/>
    </w:rPr>
  </w:style>
  <w:style w:type="character" w:customStyle="1" w:styleId="27">
    <w:name w:val="正文文本 Char"/>
    <w:link w:val="2"/>
    <w:qFormat/>
    <w:locked/>
    <w:uiPriority w:val="99"/>
    <w:rPr>
      <w:rFonts w:ascii="仿宋_GB2312" w:hAnsi="Times New Roman" w:eastAsia="仿宋_GB2312"/>
      <w:sz w:val="24"/>
    </w:rPr>
  </w:style>
  <w:style w:type="paragraph" w:customStyle="1" w:styleId="28">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9">
    <w:name w:val="List Paragraph"/>
    <w:basedOn w:val="1"/>
    <w:qFormat/>
    <w:uiPriority w:val="34"/>
    <w:pPr>
      <w:ind w:firstLine="420" w:firstLineChars="200"/>
    </w:pPr>
  </w:style>
  <w:style w:type="character" w:customStyle="1" w:styleId="30">
    <w:name w:val="标题 1 Char"/>
    <w:basedOn w:val="18"/>
    <w:link w:val="3"/>
    <w:qFormat/>
    <w:uiPriority w:val="9"/>
    <w:rPr>
      <w:rFonts w:ascii="Times New Roman" w:hAnsi="Times New Roman"/>
      <w:b/>
      <w:bCs/>
      <w:kern w:val="44"/>
      <w:sz w:val="44"/>
      <w:szCs w:val="44"/>
    </w:rPr>
  </w:style>
  <w:style w:type="character" w:customStyle="1" w:styleId="31">
    <w:name w:val="标题 2 Char"/>
    <w:basedOn w:val="18"/>
    <w:link w:val="4"/>
    <w:qFormat/>
    <w:uiPriority w:val="9"/>
    <w:rPr>
      <w:rFonts w:asciiTheme="majorHAnsi" w:hAnsiTheme="majorHAnsi" w:eastAsiaTheme="majorEastAsia" w:cstheme="majorBidi"/>
      <w:b/>
      <w:bCs/>
      <w:kern w:val="2"/>
      <w:sz w:val="32"/>
      <w:szCs w:val="32"/>
    </w:rPr>
  </w:style>
  <w:style w:type="paragraph" w:customStyle="1" w:styleId="32">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3">
    <w:name w:val="批注框文本 Char"/>
    <w:basedOn w:val="18"/>
    <w:link w:val="10"/>
    <w:semiHidden/>
    <w:qFormat/>
    <w:uiPriority w:val="99"/>
    <w:rPr>
      <w:rFonts w:ascii="Times New Roman" w:hAnsi="Times New Roman"/>
      <w:kern w:val="2"/>
      <w:sz w:val="18"/>
      <w:szCs w:val="18"/>
    </w:rPr>
  </w:style>
  <w:style w:type="character" w:customStyle="1" w:styleId="34">
    <w:name w:val="标题 3 Char"/>
    <w:basedOn w:val="18"/>
    <w:link w:val="5"/>
    <w:qFormat/>
    <w:uiPriority w:val="9"/>
    <w:rPr>
      <w:rFonts w:ascii="Times New Roman" w:hAnsi="Times New Roman"/>
      <w:b/>
      <w:bCs/>
      <w:kern w:val="2"/>
      <w:sz w:val="32"/>
      <w:szCs w:val="32"/>
    </w:rPr>
  </w:style>
  <w:style w:type="paragraph" w:customStyle="1" w:styleId="35">
    <w:name w:val="TOC Heading"/>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6">
    <w:name w:val="四号正文"/>
    <w:basedOn w:val="1"/>
    <w:qFormat/>
    <w:uiPriority w:val="0"/>
    <w:pPr>
      <w:spacing w:line="360" w:lineRule="auto"/>
    </w:pPr>
    <w:rPr>
      <w:rFonts w:ascii="??" w:hAnsi="??" w:eastAsia="宋体"/>
      <w:color w:val="000000"/>
      <w:kern w:val="0"/>
      <w:sz w:val="28"/>
      <w:szCs w:val="21"/>
      <w:lang w:val="zh-CN" w:eastAsia="zh-CN"/>
    </w:rPr>
  </w:style>
  <w:style w:type="paragraph" w:customStyle="1" w:styleId="37">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7.png"/><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26</Pages>
  <Words>8649</Words>
  <Characters>11830</Characters>
  <Lines>61</Lines>
  <Paragraphs>17</Paragraphs>
  <TotalTime>22</TotalTime>
  <ScaleCrop>false</ScaleCrop>
  <LinksUpToDate>false</LinksUpToDate>
  <CharactersWithSpaces>11939</CharactersWithSpaces>
  <Application>WPS Office_11.8.2.9793_F1E327BC-269C-435d-A152-05C5408002CA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2020-08-10T09:49:00Z</dcterms:created>
  <dc:creator>曹颖</dc:creator>
  <cp:lastModifiedBy>user</cp:lastModifiedBy>
  <cp:lastPrinted>2025-08-07T17:34:00Z</cp:lastPrinted>
  <dcterms:modified xsi:type="dcterms:W3CDTF">2025-09-10T09:48:34Z</dcterms:modified>
  <dc:title>四川省***</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2052-11.8.2.9793</vt:lpwstr>
  </property>
  <property fmtid="{D5CDD505-2E9C-101B-9397-08002B2CF9AE}" pid="3" name="ICV">
    <vt:lpwstr>04787F2533EB45DC91BCDE4AB213247F</vt:lpwstr>
  </property>
  <property fmtid="{D5CDD505-2E9C-101B-9397-08002B2CF9AE}" pid="4" name="KSOTemplateDocerSaveRecord">
    <vt:lpwstr>eyJoZGlkIjoiOTlmMDUxNTQzYTA4NTkyYjYwYmNmZTZjODgyN2UxMjkiLCJ1c2VySWQiOiIzNjc0MjgwMTkifQ==</vt:lpwstr>
  </property>
</Properties>
</file>