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rPr>
      </w:pPr>
      <w:bookmarkStart w:id="0" w:name="_Toc15396475"/>
      <w:bookmarkStart w:id="1" w:name="_Toc15377425"/>
      <w:bookmarkStart w:id="2" w:name="_Toc15378441"/>
      <w:bookmarkStart w:id="3" w:name="_Toc15396597"/>
      <w:bookmarkStart w:id="4" w:name="_Toc15377193"/>
      <w:bookmarkStart w:id="5" w:name="_Toc15306267"/>
    </w:p>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p>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p>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p>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bookmarkStart w:id="6" w:name="_Toc15377426"/>
      <w:bookmarkStart w:id="7" w:name="_Toc15377194"/>
      <w:bookmarkStart w:id="8" w:name="_Toc15396476"/>
      <w:bookmarkStart w:id="9" w:name="_Toc15378442"/>
      <w:bookmarkStart w:id="10" w:name="_Toc15396598"/>
      <w:r>
        <w:rPr>
          <w:rFonts w:hint="default"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default" w:ascii="Times New Roman" w:hAnsi="Times New Roman" w:eastAsia="方正小标宋简体" w:cs="Times New Roman"/>
          <w:color w:val="auto"/>
          <w:kern w:val="2"/>
          <w:sz w:val="44"/>
          <w:szCs w:val="44"/>
          <w:highlight w:val="none"/>
          <w:lang w:val="en-US" w:eastAsia="zh-CN" w:bidi="ar-SA"/>
        </w:rPr>
        <w:t>纺织工业设计院单位决算</w:t>
      </w:r>
      <w:bookmarkEnd w:id="6"/>
      <w:bookmarkEnd w:id="7"/>
      <w:bookmarkEnd w:id="8"/>
      <w:bookmarkEnd w:id="9"/>
      <w:bookmarkEnd w:id="10"/>
      <w:bookmarkEnd w:id="11"/>
    </w:p>
    <w:p>
      <w:pPr>
        <w:widowControl/>
        <w:jc w:val="center"/>
        <w:rPr>
          <w:rFonts w:hint="default" w:ascii="Times New Roman" w:hAnsi="Times New Roman" w:eastAsia="黑体" w:cs="Times New Roman"/>
          <w:color w:val="auto"/>
          <w:sz w:val="48"/>
          <w:szCs w:val="48"/>
          <w:highlight w:val="none"/>
        </w:rPr>
      </w:pPr>
      <w:r>
        <w:rPr>
          <w:rFonts w:hint="default" w:ascii="Times New Roman" w:hAnsi="Times New Roman" w:eastAsia="方正小标宋简体" w:cs="Times New Roman"/>
          <w:color w:val="auto"/>
          <w:sz w:val="36"/>
          <w:szCs w:val="36"/>
          <w:highlight w:val="none"/>
        </w:rPr>
        <w:br w:type="page"/>
      </w:r>
      <w:r>
        <w:rPr>
          <w:rFonts w:hint="default" w:ascii="Times New Roman" w:hAnsi="Times New Roman" w:eastAsia="黑体" w:cs="Times New Roman"/>
          <w:color w:val="auto"/>
          <w:sz w:val="48"/>
          <w:szCs w:val="48"/>
          <w:highlight w:val="none"/>
        </w:rPr>
        <w:t>目录</w:t>
      </w:r>
    </w:p>
    <w:p>
      <w:pPr>
        <w:widowControl/>
        <w:jc w:val="center"/>
        <w:rPr>
          <w:rFonts w:hint="default" w:ascii="Times New Roman" w:hAnsi="Times New Roman" w:eastAsia="黑体" w:cs="Times New Roman"/>
          <w:color w:val="auto"/>
          <w:sz w:val="28"/>
          <w:szCs w:val="28"/>
          <w:highlight w:val="none"/>
        </w:rPr>
      </w:pPr>
    </w:p>
    <w:p>
      <w:pPr>
        <w:pStyle w:val="13"/>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公开时间：20</w:t>
      </w:r>
      <w:r>
        <w:rPr>
          <w:rFonts w:hint="default" w:ascii="Times New Roman" w:hAnsi="Times New Roman" w:eastAsia="仿宋_GB2312" w:cs="Times New Roman"/>
          <w:color w:val="auto"/>
          <w:sz w:val="32"/>
          <w:szCs w:val="32"/>
          <w:highlight w:val="none"/>
          <w:lang w:val="en-US" w:eastAsia="zh-CN"/>
        </w:rPr>
        <w:t>25</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月</w:t>
      </w:r>
      <w:r>
        <w:rPr>
          <w:rFonts w:hint="default" w:ascii="Times New Roman" w:hAnsi="Times New Roman" w:eastAsia="仿宋_GB2312" w:cs="Times New Roman"/>
          <w:color w:val="auto"/>
          <w:sz w:val="32"/>
          <w:szCs w:val="32"/>
          <w:highlight w:val="none"/>
          <w:lang w:val="en-US" w:eastAsia="zh-CN"/>
        </w:rPr>
        <w:t>12</w:t>
      </w:r>
      <w:r>
        <w:rPr>
          <w:rFonts w:hint="default" w:ascii="Times New Roman" w:hAnsi="Times New Roman" w:eastAsia="仿宋_GB2312" w:cs="Times New Roman"/>
          <w:color w:val="auto"/>
          <w:sz w:val="32"/>
          <w:szCs w:val="32"/>
          <w:highlight w:val="none"/>
        </w:rPr>
        <w:t>日</w:t>
      </w:r>
    </w:p>
    <w:p>
      <w:pPr>
        <w:rPr>
          <w:rFonts w:hint="default" w:ascii="Times New Roman" w:hAnsi="Times New Roman" w:cs="Times New Roman"/>
          <w:color w:val="auto"/>
          <w:highlight w:val="none"/>
        </w:rPr>
      </w:pP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Times New Roman"/>
          <w:color w:val="auto"/>
          <w:sz w:val="32"/>
          <w:szCs w:val="32"/>
          <w:highlight w:val="none"/>
          <w:lang w:val="en-US"/>
        </w:rPr>
      </w:pPr>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val="en-US" w:eastAsia="zh-CN"/>
        </w:rPr>
        <w:t>单位</w:t>
      </w:r>
      <w:r>
        <w:rPr>
          <w:rFonts w:hint="default" w:ascii="Times New Roman" w:hAnsi="Times New Roman" w:eastAsia="黑体" w:cs="Times New Roman"/>
          <w:color w:val="auto"/>
          <w:sz w:val="32"/>
          <w:szCs w:val="32"/>
          <w:highlight w:val="none"/>
        </w:rPr>
        <w:t>概况</w:t>
      </w:r>
      <w:r>
        <w:rPr>
          <w:rFonts w:hint="default" w:ascii="Times New Roman" w:hAnsi="Times New Roman" w:cs="Times New Roman"/>
          <w:sz w:val="24"/>
          <w:lang w:val="en-US" w:eastAsia="zh-CN"/>
        </w:rPr>
        <w:t xml:space="preserve">...........................................................................................1  </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一、</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职责</w:t>
      </w:r>
      <w:r>
        <w:rPr>
          <w:rFonts w:hint="default" w:ascii="Times New Roman" w:hAnsi="Times New Roman" w:cs="Times New Roman"/>
          <w:sz w:val="24"/>
          <w:lang w:val="en-US" w:eastAsia="zh-CN"/>
        </w:rPr>
        <w:t>.............................................................................................1</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二、机构设置</w:t>
      </w:r>
      <w:r>
        <w:rPr>
          <w:rFonts w:hint="default" w:ascii="Times New Roman" w:hAnsi="Times New Roman" w:cs="Times New Roman"/>
          <w:sz w:val="24"/>
          <w:lang w:val="en-US" w:eastAsia="zh-CN"/>
        </w:rPr>
        <w:t>.............................................................................................1</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Times New Roman"/>
          <w:color w:val="auto"/>
          <w:sz w:val="32"/>
          <w:szCs w:val="32"/>
          <w:highlight w:val="none"/>
          <w:lang w:val="en-US"/>
        </w:rPr>
      </w:pPr>
      <w:r>
        <w:rPr>
          <w:rFonts w:hint="default" w:ascii="Times New Roman" w:hAnsi="Times New Roman" w:eastAsia="黑体" w:cs="Times New Roman"/>
          <w:color w:val="auto"/>
          <w:sz w:val="32"/>
          <w:szCs w:val="32"/>
          <w:highlight w:val="none"/>
        </w:rPr>
        <w:t>第二部分</w:t>
      </w:r>
      <w:r>
        <w:rPr>
          <w:rFonts w:hint="default" w:ascii="Times New Roman" w:hAnsi="Times New Roman" w:eastAsia="黑体" w:cs="Times New Roman"/>
          <w:color w:val="auto"/>
          <w:sz w:val="32"/>
          <w:szCs w:val="32"/>
          <w:highlight w:val="none"/>
          <w:lang w:val="en-US" w:eastAsia="zh-CN"/>
        </w:rPr>
        <w:t xml:space="preserve"> 2024年度单位</w:t>
      </w:r>
      <w:r>
        <w:rPr>
          <w:rFonts w:hint="default" w:ascii="Times New Roman" w:hAnsi="Times New Roman" w:eastAsia="黑体" w:cs="Times New Roman"/>
          <w:color w:val="auto"/>
          <w:sz w:val="32"/>
          <w:szCs w:val="32"/>
          <w:highlight w:val="none"/>
        </w:rPr>
        <w:t>决算情况说明</w:t>
      </w:r>
      <w:r>
        <w:rPr>
          <w:rFonts w:hint="default" w:ascii="Times New Roman" w:hAnsi="Times New Roman" w:cs="Times New Roman"/>
          <w:sz w:val="24"/>
          <w:lang w:val="en-US" w:eastAsia="zh-CN"/>
        </w:rPr>
        <w:t>..............................................2</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一、收入支出决算总体情况说明</w:t>
      </w:r>
      <w:r>
        <w:rPr>
          <w:rFonts w:hint="default" w:ascii="Times New Roman" w:hAnsi="Times New Roman" w:cs="Times New Roman"/>
          <w:sz w:val="24"/>
          <w:lang w:val="en-US" w:eastAsia="zh-CN"/>
        </w:rPr>
        <w:t>..................................................2</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二、收入决算情况说明</w:t>
      </w:r>
      <w:r>
        <w:rPr>
          <w:rFonts w:hint="default" w:ascii="Times New Roman" w:hAnsi="Times New Roman" w:cs="Times New Roman"/>
          <w:sz w:val="24"/>
          <w:lang w:val="en-US" w:eastAsia="zh-CN"/>
        </w:rPr>
        <w:t>.......................................................................2</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三、支出决算情况说明</w:t>
      </w:r>
      <w:r>
        <w:rPr>
          <w:rFonts w:hint="default" w:ascii="Times New Roman" w:hAnsi="Times New Roman" w:cs="Times New Roman"/>
          <w:sz w:val="24"/>
          <w:lang w:val="en-US" w:eastAsia="zh-CN"/>
        </w:rPr>
        <w:t>.......................................................................3</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四、财政拨款收入支出决算总体情况说明</w:t>
      </w:r>
      <w:r>
        <w:rPr>
          <w:rFonts w:hint="default" w:ascii="Times New Roman" w:hAnsi="Times New Roman" w:cs="Times New Roman"/>
          <w:sz w:val="24"/>
          <w:lang w:val="en-US" w:eastAsia="zh-CN"/>
        </w:rPr>
        <w:t>........................</w:t>
      </w:r>
      <w:r>
        <w:rPr>
          <w:rFonts w:hint="eastAsia" w:cs="Times New Roman"/>
          <w:sz w:val="24"/>
          <w:lang w:val="en-US" w:eastAsia="zh-CN"/>
        </w:rPr>
        <w:t>.</w:t>
      </w:r>
      <w:r>
        <w:rPr>
          <w:rFonts w:hint="default" w:ascii="Times New Roman" w:hAnsi="Times New Roman" w:cs="Times New Roman"/>
          <w:sz w:val="24"/>
          <w:lang w:val="en-US" w:eastAsia="zh-CN"/>
        </w:rPr>
        <w:t>...4</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五、一般公共预算财政拨款支出决算情况说明</w:t>
      </w:r>
      <w:r>
        <w:rPr>
          <w:rFonts w:hint="default" w:ascii="Times New Roman" w:hAnsi="Times New Roman" w:cs="Times New Roman"/>
          <w:sz w:val="24"/>
          <w:lang w:val="en-US" w:eastAsia="zh-CN"/>
        </w:rPr>
        <w:t>...........</w:t>
      </w:r>
      <w:r>
        <w:rPr>
          <w:rFonts w:hint="eastAsia" w:cs="Times New Roman"/>
          <w:sz w:val="24"/>
          <w:lang w:val="en-US" w:eastAsia="zh-CN"/>
        </w:rPr>
        <w:t>.</w:t>
      </w:r>
      <w:r>
        <w:rPr>
          <w:rFonts w:hint="default" w:ascii="Times New Roman" w:hAnsi="Times New Roman" w:cs="Times New Roman"/>
          <w:sz w:val="24"/>
          <w:lang w:val="en-US" w:eastAsia="zh-CN"/>
        </w:rPr>
        <w:t>.....4</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六、一般公共预算财政拨款基本支出决算情况说明</w:t>
      </w:r>
      <w:r>
        <w:rPr>
          <w:rFonts w:hint="default" w:ascii="Times New Roman" w:hAnsi="Times New Roman" w:cs="Times New Roman"/>
          <w:sz w:val="24"/>
          <w:lang w:val="en-US" w:eastAsia="zh-CN"/>
        </w:rPr>
        <w:t>.....</w:t>
      </w:r>
      <w:r>
        <w:rPr>
          <w:rFonts w:hint="eastAsia" w:cs="Times New Roman"/>
          <w:sz w:val="24"/>
          <w:lang w:val="en-US" w:eastAsia="zh-CN"/>
        </w:rPr>
        <w:t>.</w:t>
      </w:r>
      <w:r>
        <w:rPr>
          <w:rFonts w:hint="default" w:ascii="Times New Roman" w:hAnsi="Times New Roman" w:cs="Times New Roman"/>
          <w:sz w:val="24"/>
          <w:lang w:val="en-US" w:eastAsia="zh-CN"/>
        </w:rPr>
        <w:t>.</w:t>
      </w:r>
      <w:r>
        <w:rPr>
          <w:rFonts w:hint="eastAsia" w:ascii="Times New Roman" w:hAnsi="Times New Roman" w:cs="Times New Roman"/>
          <w:sz w:val="24"/>
          <w:lang w:val="en-US" w:eastAsia="zh-CN"/>
        </w:rPr>
        <w:t>6</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七、财政拨款</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三公”经费支出决算情况说明</w:t>
      </w:r>
      <w:r>
        <w:rPr>
          <w:rFonts w:hint="default" w:ascii="Times New Roman" w:hAnsi="Times New Roman" w:cs="Times New Roman"/>
          <w:sz w:val="24"/>
          <w:lang w:val="en-US" w:eastAsia="zh-CN"/>
        </w:rPr>
        <w:t>.....................</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7</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八、政府性基金预算支出决算情况说明</w:t>
      </w:r>
      <w:r>
        <w:rPr>
          <w:rFonts w:hint="default" w:ascii="Times New Roman" w:hAnsi="Times New Roman" w:cs="Times New Roman"/>
          <w:sz w:val="24"/>
          <w:lang w:val="en-US" w:eastAsia="zh-CN"/>
        </w:rPr>
        <w:t>.................................</w:t>
      </w:r>
      <w:r>
        <w:rPr>
          <w:rFonts w:hint="eastAsia" w:ascii="Times New Roman" w:hAnsi="Times New Roman" w:cs="Times New Roman"/>
          <w:sz w:val="24"/>
          <w:lang w:val="en-US" w:eastAsia="zh-CN"/>
        </w:rPr>
        <w:t>8</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九、</w:t>
      </w:r>
      <w:r>
        <w:rPr>
          <w:rFonts w:hint="default" w:ascii="Times New Roman" w:hAnsi="Times New Roman" w:eastAsia="仿宋_GB2312" w:cs="Times New Roman"/>
          <w:color w:val="auto"/>
          <w:sz w:val="32"/>
          <w:szCs w:val="32"/>
          <w:highlight w:val="none"/>
          <w:lang w:eastAsia="zh-CN"/>
        </w:rPr>
        <w:t>国</w:t>
      </w:r>
      <w:r>
        <w:rPr>
          <w:rFonts w:hint="default" w:ascii="Times New Roman" w:hAnsi="Times New Roman" w:eastAsia="仿宋_GB2312" w:cs="Times New Roman"/>
          <w:color w:val="auto"/>
          <w:sz w:val="32"/>
          <w:szCs w:val="32"/>
          <w:highlight w:val="none"/>
        </w:rPr>
        <w:t>有资本经营预算支出决算情况说明</w:t>
      </w:r>
      <w:r>
        <w:rPr>
          <w:rFonts w:hint="default" w:ascii="Times New Roman" w:hAnsi="Times New Roman" w:cs="Times New Roman"/>
          <w:sz w:val="24"/>
          <w:lang w:val="en-US" w:eastAsia="zh-CN"/>
        </w:rPr>
        <w:t>...........................</w:t>
      </w:r>
      <w:r>
        <w:rPr>
          <w:rFonts w:hint="eastAsia" w:ascii="Times New Roman" w:hAnsi="Times New Roman" w:cs="Times New Roman"/>
          <w:sz w:val="24"/>
          <w:lang w:val="en-US" w:eastAsia="zh-CN"/>
        </w:rPr>
        <w:t>8</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color w:val="auto"/>
          <w:sz w:val="32"/>
          <w:szCs w:val="32"/>
          <w:highlight w:val="none"/>
        </w:rPr>
        <w:t>、其他重要事项的情况说明</w:t>
      </w:r>
      <w:r>
        <w:rPr>
          <w:rFonts w:hint="default" w:ascii="Times New Roman" w:hAnsi="Times New Roman" w:cs="Times New Roman"/>
          <w:sz w:val="24"/>
          <w:lang w:val="en-US" w:eastAsia="zh-CN"/>
        </w:rPr>
        <w:t>......................................................</w:t>
      </w:r>
      <w:r>
        <w:rPr>
          <w:rFonts w:hint="eastAsia" w:ascii="Times New Roman" w:hAnsi="Times New Roman" w:cs="Times New Roman"/>
          <w:sz w:val="24"/>
          <w:lang w:val="en-US" w:eastAsia="zh-CN"/>
        </w:rPr>
        <w:t>8</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Times New Roman"/>
          <w:color w:val="auto"/>
          <w:sz w:val="32"/>
          <w:szCs w:val="32"/>
          <w:highlight w:val="none"/>
          <w:lang w:val="en-US"/>
        </w:rPr>
      </w:pPr>
      <w:r>
        <w:rPr>
          <w:rFonts w:hint="default" w:ascii="Times New Roman" w:hAnsi="Times New Roman" w:eastAsia="黑体" w:cs="Times New Roman"/>
          <w:color w:val="auto"/>
          <w:sz w:val="32"/>
          <w:szCs w:val="32"/>
          <w:highlight w:val="none"/>
        </w:rPr>
        <w:t>第三部分 名词解释</w:t>
      </w:r>
      <w:r>
        <w:rPr>
          <w:rFonts w:hint="default" w:ascii="Times New Roman" w:hAnsi="Times New Roman" w:cs="Times New Roman"/>
          <w:sz w:val="24"/>
          <w:lang w:val="en-US" w:eastAsia="zh-CN"/>
        </w:rPr>
        <w:t>........................................................................................11</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Times New Roman"/>
          <w:color w:val="auto"/>
          <w:sz w:val="32"/>
          <w:szCs w:val="32"/>
          <w:highlight w:val="none"/>
          <w:lang w:val="en-US"/>
        </w:rPr>
      </w:pPr>
      <w:r>
        <w:rPr>
          <w:rFonts w:hint="default" w:ascii="Times New Roman" w:hAnsi="Times New Roman" w:eastAsia="黑体" w:cs="Times New Roman"/>
          <w:color w:val="auto"/>
          <w:sz w:val="32"/>
          <w:szCs w:val="32"/>
          <w:highlight w:val="none"/>
        </w:rPr>
        <w:t>第四部分 附件</w:t>
      </w:r>
      <w:r>
        <w:rPr>
          <w:rFonts w:hint="default" w:ascii="Times New Roman" w:hAnsi="Times New Roman" w:cs="Times New Roman"/>
          <w:sz w:val="24"/>
          <w:lang w:val="en-US" w:eastAsia="zh-CN"/>
        </w:rPr>
        <w:t>...................................................................................................14</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Times New Roman"/>
          <w:color w:val="auto"/>
          <w:sz w:val="32"/>
          <w:szCs w:val="32"/>
          <w:highlight w:val="none"/>
          <w:lang w:val="en-US"/>
        </w:rPr>
      </w:pPr>
      <w:r>
        <w:rPr>
          <w:rFonts w:hint="default" w:ascii="Times New Roman" w:hAnsi="Times New Roman" w:eastAsia="黑体" w:cs="Times New Roman"/>
          <w:color w:val="auto"/>
          <w:sz w:val="32"/>
          <w:szCs w:val="32"/>
          <w:highlight w:val="none"/>
        </w:rPr>
        <w:t>第五部分 附表</w:t>
      </w:r>
      <w:r>
        <w:rPr>
          <w:rFonts w:hint="default" w:ascii="Times New Roman" w:hAnsi="Times New Roman" w:cs="Times New Roman"/>
          <w:sz w:val="24"/>
          <w:lang w:val="en-US" w:eastAsia="zh-CN"/>
        </w:rPr>
        <w:t>...................................................................................................1</w:t>
      </w:r>
      <w:r>
        <w:rPr>
          <w:rFonts w:hint="eastAsia" w:ascii="Times New Roman" w:hAnsi="Times New Roman" w:cs="Times New Roman"/>
          <w:sz w:val="24"/>
          <w:lang w:val="en-US" w:eastAsia="zh-CN"/>
        </w:rP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一、收入支出决算总表</w:t>
      </w:r>
      <w:r>
        <w:rPr>
          <w:rFonts w:hint="default" w:ascii="Times New Roman" w:hAnsi="Times New Roman" w:cs="Times New Roman"/>
          <w:sz w:val="24"/>
          <w:lang w:val="en-US" w:eastAsia="zh-CN"/>
        </w:rPr>
        <w:t>.......................................................................1</w:t>
      </w:r>
      <w:r>
        <w:rPr>
          <w:rFonts w:hint="eastAsia" w:cs="Times New Roman"/>
          <w:sz w:val="24"/>
          <w:lang w:val="en-US" w:eastAsia="zh-CN"/>
        </w:rP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二、收入决算表</w:t>
      </w:r>
      <w:r>
        <w:rPr>
          <w:rFonts w:hint="default" w:ascii="Times New Roman" w:hAnsi="Times New Roman" w:cs="Times New Roman"/>
          <w:sz w:val="24"/>
          <w:lang w:val="en-US" w:eastAsia="zh-CN"/>
        </w:rPr>
        <w:t>......................................................................................1</w:t>
      </w:r>
      <w:r>
        <w:rPr>
          <w:rFonts w:hint="eastAsia" w:cs="Times New Roman"/>
          <w:sz w:val="24"/>
          <w:lang w:val="en-US" w:eastAsia="zh-CN"/>
        </w:rP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三、支出决算表</w:t>
      </w:r>
      <w:r>
        <w:rPr>
          <w:rFonts w:hint="default" w:ascii="Times New Roman" w:hAnsi="Times New Roman" w:cs="Times New Roman"/>
          <w:sz w:val="24"/>
          <w:lang w:val="en-US" w:eastAsia="zh-CN"/>
        </w:rPr>
        <w:t>.........................................................................................1</w:t>
      </w:r>
      <w:r>
        <w:rPr>
          <w:rFonts w:hint="eastAsia" w:cs="Times New Roman"/>
          <w:sz w:val="24"/>
          <w:lang w:val="en-US" w:eastAsia="zh-CN"/>
        </w:rP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四、财政拨款收入支出决算总表</w:t>
      </w:r>
      <w:r>
        <w:rPr>
          <w:rFonts w:hint="default" w:ascii="Times New Roman" w:hAnsi="Times New Roman" w:cs="Times New Roman"/>
          <w:sz w:val="24"/>
          <w:lang w:val="en-US" w:eastAsia="zh-CN"/>
        </w:rPr>
        <w:t>................................................1</w:t>
      </w:r>
      <w:r>
        <w:rPr>
          <w:rFonts w:hint="eastAsia" w:cs="Times New Roman"/>
          <w:sz w:val="24"/>
          <w:lang w:val="en-US" w:eastAsia="zh-CN"/>
        </w:rP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五、财政拨款支出决算明细表</w:t>
      </w:r>
      <w:r>
        <w:rPr>
          <w:rFonts w:hint="default" w:ascii="Times New Roman" w:hAnsi="Times New Roman" w:cs="Times New Roman"/>
          <w:sz w:val="24"/>
          <w:lang w:val="en-US" w:eastAsia="zh-CN"/>
        </w:rPr>
        <w:t>.....................................................1</w:t>
      </w:r>
      <w:r>
        <w:rPr>
          <w:rFonts w:hint="eastAsia" w:cs="Times New Roman"/>
          <w:sz w:val="24"/>
          <w:lang w:val="en-US" w:eastAsia="zh-CN"/>
        </w:rP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六、一般公共预算财政拨款支出决算表</w:t>
      </w:r>
      <w:r>
        <w:rPr>
          <w:rFonts w:hint="default" w:ascii="Times New Roman" w:hAnsi="Times New Roman" w:cs="Times New Roman"/>
          <w:sz w:val="24"/>
          <w:lang w:val="en-US" w:eastAsia="zh-CN"/>
        </w:rPr>
        <w:t>................................1</w:t>
      </w:r>
      <w:r>
        <w:rPr>
          <w:rFonts w:hint="eastAsia" w:cs="Times New Roman"/>
          <w:sz w:val="24"/>
          <w:lang w:val="en-US" w:eastAsia="zh-CN"/>
        </w:rP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七、一般公共预算财政拨款支出决算明细表</w:t>
      </w:r>
      <w:r>
        <w:rPr>
          <w:rFonts w:hint="default" w:ascii="Times New Roman" w:hAnsi="Times New Roman" w:cs="Times New Roman"/>
          <w:sz w:val="24"/>
          <w:lang w:val="en-US" w:eastAsia="zh-CN"/>
        </w:rPr>
        <w:t>.....................1</w:t>
      </w:r>
      <w:r>
        <w:rPr>
          <w:rFonts w:hint="eastAsia" w:cs="Times New Roman"/>
          <w:sz w:val="24"/>
          <w:lang w:val="en-US" w:eastAsia="zh-CN"/>
        </w:rP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八、一般公共预算财政拨款基本支出决算</w:t>
      </w:r>
      <w:r>
        <w:rPr>
          <w:rFonts w:hint="default" w:ascii="Times New Roman" w:hAnsi="Times New Roman" w:eastAsia="仿宋_GB2312" w:cs="Times New Roman"/>
          <w:color w:val="auto"/>
          <w:sz w:val="32"/>
          <w:szCs w:val="32"/>
          <w:highlight w:val="none"/>
          <w:lang w:eastAsia="zh-CN"/>
        </w:rPr>
        <w:t>明细</w:t>
      </w:r>
      <w:r>
        <w:rPr>
          <w:rFonts w:hint="default" w:ascii="Times New Roman" w:hAnsi="Times New Roman" w:eastAsia="仿宋_GB2312" w:cs="Times New Roman"/>
          <w:color w:val="auto"/>
          <w:sz w:val="32"/>
          <w:szCs w:val="32"/>
          <w:highlight w:val="none"/>
        </w:rPr>
        <w:t>表</w:t>
      </w:r>
      <w:r>
        <w:rPr>
          <w:rFonts w:hint="default" w:ascii="Times New Roman" w:hAnsi="Times New Roman" w:cs="Times New Roman"/>
          <w:sz w:val="24"/>
          <w:lang w:val="en-US" w:eastAsia="zh-CN"/>
        </w:rPr>
        <w:t>..........1</w:t>
      </w:r>
      <w:r>
        <w:rPr>
          <w:rFonts w:hint="eastAsia" w:cs="Times New Roman"/>
          <w:sz w:val="24"/>
          <w:lang w:val="en-US" w:eastAsia="zh-CN"/>
        </w:rP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九、一般公共预算财政拨款项目支出决算表</w:t>
      </w:r>
      <w:r>
        <w:rPr>
          <w:rFonts w:hint="default" w:ascii="Times New Roman" w:hAnsi="Times New Roman" w:cs="Times New Roman"/>
          <w:sz w:val="24"/>
          <w:lang w:val="en-US" w:eastAsia="zh-CN"/>
        </w:rPr>
        <w:t>.....................1</w:t>
      </w:r>
      <w:r>
        <w:rPr>
          <w:rFonts w:hint="eastAsia" w:cs="Times New Roman"/>
          <w:sz w:val="24"/>
          <w:lang w:val="en-US" w:eastAsia="zh-CN"/>
        </w:rP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十、政府性基金预算财政拨款收入支出决算表</w:t>
      </w:r>
      <w:r>
        <w:rPr>
          <w:rFonts w:hint="default" w:ascii="Times New Roman" w:hAnsi="Times New Roman" w:cs="Times New Roman"/>
          <w:sz w:val="24"/>
          <w:lang w:val="en-US" w:eastAsia="zh-CN"/>
        </w:rPr>
        <w:t>................1</w:t>
      </w:r>
      <w:r>
        <w:rPr>
          <w:rFonts w:hint="eastAsia" w:cs="Times New Roman"/>
          <w:sz w:val="24"/>
          <w:lang w:val="en-US" w:eastAsia="zh-CN"/>
        </w:rP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十一、国有资本经营预算财政拨款收入支出决算表</w:t>
      </w:r>
      <w:r>
        <w:rPr>
          <w:rFonts w:hint="default" w:ascii="Times New Roman" w:hAnsi="Times New Roman" w:cs="Times New Roman"/>
          <w:sz w:val="24"/>
          <w:lang w:val="en-US" w:eastAsia="zh-CN"/>
        </w:rPr>
        <w:t>.....1</w:t>
      </w:r>
      <w:r>
        <w:rPr>
          <w:rFonts w:hint="eastAsia" w:cs="Times New Roman"/>
          <w:sz w:val="24"/>
          <w:lang w:val="en-US" w:eastAsia="zh-CN"/>
        </w:rPr>
        <w:t>5</w:t>
      </w:r>
      <w:bookmarkStart w:id="67" w:name="_GoBack"/>
      <w:bookmarkEnd w:id="67"/>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十二、</w:t>
      </w:r>
      <w:r>
        <w:rPr>
          <w:rFonts w:hint="default" w:ascii="Times New Roman" w:hAnsi="Times New Roman" w:eastAsia="仿宋_GB2312" w:cs="Times New Roman"/>
          <w:color w:val="auto"/>
          <w:sz w:val="32"/>
          <w:szCs w:val="32"/>
          <w:highlight w:val="none"/>
          <w:lang w:val="en-US" w:eastAsia="zh-CN"/>
        </w:rPr>
        <w:t>国有资本经营预算财政拨款支出决算表</w:t>
      </w:r>
      <w:r>
        <w:rPr>
          <w:rFonts w:hint="default" w:ascii="Times New Roman" w:hAnsi="Times New Roman" w:cs="Times New Roman"/>
          <w:sz w:val="24"/>
          <w:lang w:val="en-US" w:eastAsia="zh-CN"/>
        </w:rPr>
        <w:t>................1</w:t>
      </w:r>
      <w:r>
        <w:rPr>
          <w:rFonts w:hint="eastAsia" w:cs="Times New Roman"/>
          <w:sz w:val="24"/>
          <w:lang w:val="en-US" w:eastAsia="zh-CN"/>
        </w:rP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十三、财政拨款“三公”经费支出决算表</w:t>
      </w:r>
      <w:r>
        <w:rPr>
          <w:rFonts w:hint="default" w:ascii="Times New Roman" w:hAnsi="Times New Roman" w:cs="Times New Roman"/>
          <w:sz w:val="24"/>
          <w:lang w:val="en-US" w:eastAsia="zh-CN"/>
        </w:rPr>
        <w:t>............</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..............1</w:t>
      </w:r>
      <w:r>
        <w:rPr>
          <w:rFonts w:hint="eastAsia" w:cs="Times New Roman"/>
          <w:sz w:val="24"/>
          <w:lang w:val="en-US" w:eastAsia="zh-CN"/>
        </w:rPr>
        <w:t>5</w:t>
      </w:r>
    </w:p>
    <w:p>
      <w:pPr>
        <w:pStyle w:val="3"/>
        <w:jc w:val="center"/>
        <w:rPr>
          <w:rFonts w:hint="default" w:ascii="Times New Roman" w:hAnsi="Times New Roman" w:eastAsia="方正小标宋简体" w:cs="Times New Roman"/>
          <w:b w:val="0"/>
          <w:color w:val="auto"/>
          <w:highlight w:val="none"/>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bookmarkStart w:id="12" w:name="_Toc15377196"/>
      <w:bookmarkStart w:id="13" w:name="_Toc15396599"/>
    </w:p>
    <w:p>
      <w:pPr>
        <w:pStyle w:val="3"/>
        <w:jc w:val="center"/>
        <w:rPr>
          <w:rStyle w:val="29"/>
          <w:rFonts w:hint="default" w:ascii="Times New Roman" w:hAnsi="Times New Roman" w:eastAsia="方正小标宋简体" w:cs="Times New Roman"/>
          <w:b/>
          <w:bCs w:val="0"/>
          <w:color w:val="auto"/>
          <w:highlight w:val="none"/>
        </w:rPr>
      </w:pPr>
      <w:r>
        <w:rPr>
          <w:rFonts w:hint="default" w:ascii="Times New Roman" w:hAnsi="Times New Roman" w:eastAsia="方正小标宋简体" w:cs="Times New Roman"/>
          <w:b w:val="0"/>
          <w:color w:val="auto"/>
          <w:highlight w:val="none"/>
        </w:rPr>
        <w:t>第一部分</w:t>
      </w:r>
      <w:r>
        <w:rPr>
          <w:rFonts w:hint="default" w:ascii="Times New Roman" w:hAnsi="Times New Roman" w:eastAsia="方正小标宋简体" w:cs="Times New Roman"/>
          <w:b w:val="0"/>
          <w:color w:val="auto"/>
          <w:highlight w:val="none"/>
          <w:lang w:val="en-US" w:eastAsia="zh-CN"/>
        </w:rPr>
        <w:t xml:space="preserve"> 单位</w:t>
      </w:r>
      <w:r>
        <w:rPr>
          <w:rStyle w:val="29"/>
          <w:rFonts w:hint="default" w:ascii="Times New Roman" w:hAnsi="Times New Roman" w:eastAsia="方正小标宋简体" w:cs="Times New Roman"/>
          <w:b w:val="0"/>
          <w:bCs w:val="0"/>
          <w:color w:val="auto"/>
          <w:highlight w:val="none"/>
        </w:rPr>
        <w:t>概况</w:t>
      </w:r>
      <w:bookmarkEnd w:id="12"/>
      <w:bookmarkEnd w:id="13"/>
    </w:p>
    <w:p>
      <w:pPr>
        <w:widowControl/>
        <w:jc w:val="left"/>
        <w:rPr>
          <w:rFonts w:hint="default" w:ascii="Times New Roman" w:hAnsi="Times New Roman" w:eastAsia="黑体" w:cs="Times New Roman"/>
          <w:color w:val="auto"/>
          <w:sz w:val="32"/>
          <w:szCs w:val="32"/>
          <w:highlight w:val="none"/>
        </w:rPr>
      </w:pPr>
    </w:p>
    <w:p>
      <w:pPr>
        <w:pStyle w:val="4"/>
        <w:numPr>
          <w:ilvl w:val="0"/>
          <w:numId w:val="1"/>
        </w:numPr>
        <w:rPr>
          <w:rFonts w:hint="default" w:ascii="Times New Roman" w:hAnsi="Times New Roman" w:eastAsia="黑体" w:cs="Times New Roman"/>
          <w:b w:val="0"/>
          <w:color w:val="auto"/>
          <w:highlight w:val="none"/>
          <w:lang w:eastAsia="zh-CN"/>
        </w:rPr>
      </w:pPr>
      <w:r>
        <w:rPr>
          <w:rFonts w:hint="default" w:ascii="Times New Roman" w:hAnsi="Times New Roman" w:eastAsia="黑体" w:cs="Times New Roman"/>
          <w:b w:val="0"/>
          <w:color w:val="auto"/>
          <w:highlight w:val="none"/>
          <w:lang w:val="en-US" w:eastAsia="zh-CN"/>
        </w:rPr>
        <w:t>单位</w:t>
      </w:r>
      <w:r>
        <w:rPr>
          <w:rFonts w:hint="default" w:ascii="Times New Roman" w:hAnsi="Times New Roman" w:eastAsia="黑体" w:cs="Times New Roman"/>
          <w:b w:val="0"/>
          <w:color w:val="auto"/>
          <w:highlight w:val="none"/>
          <w:lang w:eastAsia="zh-CN"/>
        </w:rPr>
        <w:t>职责</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cs="Times New Roman"/>
          <w:lang w:eastAsia="zh-CN"/>
        </w:rPr>
      </w:pPr>
      <w:r>
        <w:rPr>
          <w:rFonts w:hint="default" w:ascii="Times New Roman" w:hAnsi="Times New Roman" w:eastAsia="仿宋_GB2312" w:cs="Times New Roman"/>
          <w:sz w:val="32"/>
          <w:szCs w:val="32"/>
        </w:rPr>
        <w:t>四川省纺织工业设计院是直属于四川省经济和信息化厅的事业单位，前身是1953年成立的西南纺管局设计室，1978年11月经原国家纺织工业部批准独立建院，定名为纺织工业部成都设计院，1980年5月更名为四川省纺织工业设计院。经过四十余年的发展壮大，我院现有国家轻纺行业（纺织工程）甲级设计资质、建筑行业（建筑工程）甲级设计资质、工程咨询甲级资信（轻工、纺织、建筑）、工程总承包甲级资质、风景园林工程设计专项乙级资质、城乡规划乙级资质、建设工程项目管理资格和对外经营资质。</w:t>
      </w:r>
    </w:p>
    <w:p>
      <w:pPr>
        <w:pStyle w:val="4"/>
        <w:rPr>
          <w:rStyle w:val="30"/>
          <w:rFonts w:hint="default" w:ascii="Times New Roman" w:hAnsi="Times New Roman" w:cs="Times New Roman"/>
          <w:b w:val="0"/>
          <w:bCs w:val="0"/>
          <w:color w:val="auto"/>
          <w:highlight w:val="none"/>
        </w:rPr>
      </w:pPr>
      <w:bookmarkStart w:id="14" w:name="_Toc15377200"/>
      <w:bookmarkStart w:id="15" w:name="_Toc15396601"/>
      <w:r>
        <w:rPr>
          <w:rFonts w:hint="default" w:ascii="Times New Roman" w:hAnsi="Times New Roman" w:eastAsia="黑体" w:cs="Times New Roman"/>
          <w:b w:val="0"/>
          <w:color w:val="auto"/>
          <w:highlight w:val="none"/>
        </w:rPr>
        <w:t>二、机</w:t>
      </w:r>
      <w:r>
        <w:rPr>
          <w:rStyle w:val="30"/>
          <w:rFonts w:hint="default" w:ascii="Times New Roman" w:hAnsi="Times New Roman" w:eastAsia="黑体" w:cs="Times New Roman"/>
          <w:b w:val="0"/>
          <w:bCs w:val="0"/>
          <w:color w:val="auto"/>
          <w:highlight w:val="none"/>
        </w:rPr>
        <w:t>构设置</w:t>
      </w:r>
      <w:bookmarkEnd w:id="14"/>
      <w:bookmarkEnd w:id="15"/>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四川省纺织工业设计院单位领导班子设院长（党委书记）1人、副院长2人、纪委书记1人；下设五个部门，分别是综合办公室、市场管理部、设计管理部、总工办、技术信息部。</w:t>
      </w:r>
    </w:p>
    <w:p>
      <w:pPr>
        <w:widowControl/>
        <w:jc w:val="left"/>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sz w:val="32"/>
          <w:szCs w:val="32"/>
          <w:highlight w:val="none"/>
        </w:rPr>
        <w:br w:type="page"/>
      </w:r>
    </w:p>
    <w:p>
      <w:pPr>
        <w:pStyle w:val="3"/>
        <w:jc w:val="center"/>
        <w:rPr>
          <w:rFonts w:hint="default" w:ascii="Times New Roman" w:hAnsi="Times New Roman" w:cs="Times New Roman"/>
          <w:color w:val="auto"/>
          <w:highlight w:val="none"/>
        </w:rPr>
      </w:pPr>
      <w:bookmarkStart w:id="16" w:name="_Toc15377204"/>
      <w:bookmarkStart w:id="17" w:name="_Toc15396602"/>
      <w:r>
        <w:rPr>
          <w:rFonts w:hint="default" w:ascii="Times New Roman" w:hAnsi="Times New Roman" w:eastAsia="方正小标宋简体" w:cs="Times New Roman"/>
          <w:b w:val="0"/>
          <w:color w:val="auto"/>
          <w:highlight w:val="none"/>
        </w:rPr>
        <w:t>第二部分</w:t>
      </w:r>
      <w:r>
        <w:rPr>
          <w:rFonts w:hint="default" w:ascii="Times New Roman" w:hAnsi="Times New Roman" w:eastAsia="方正小标宋简体" w:cs="Times New Roman"/>
          <w:b w:val="0"/>
          <w:color w:val="auto"/>
          <w:highlight w:val="none"/>
          <w:lang w:val="en-US" w:eastAsia="zh-CN"/>
        </w:rPr>
        <w:t xml:space="preserve"> </w:t>
      </w:r>
      <w:r>
        <w:rPr>
          <w:rFonts w:hint="default" w:ascii="Times New Roman" w:hAnsi="Times New Roman" w:eastAsia="方正小标宋简体" w:cs="Times New Roman"/>
          <w:b w:val="0"/>
          <w:color w:val="auto"/>
          <w:highlight w:val="none"/>
        </w:rPr>
        <w:t xml:space="preserve"> </w:t>
      </w:r>
      <w:r>
        <w:rPr>
          <w:rFonts w:hint="default" w:ascii="Times New Roman" w:hAnsi="Times New Roman" w:eastAsia="方正小标宋简体" w:cs="Times New Roman"/>
          <w:b w:val="0"/>
          <w:color w:val="auto"/>
          <w:highlight w:val="none"/>
          <w:lang w:val="en-US" w:eastAsia="zh-CN"/>
        </w:rPr>
        <w:t>2024年度单位</w:t>
      </w:r>
      <w:r>
        <w:rPr>
          <w:rFonts w:hint="default" w:ascii="Times New Roman" w:hAnsi="Times New Roman" w:eastAsia="方正小标宋简体" w:cs="Times New Roman"/>
          <w:b w:val="0"/>
          <w:color w:val="auto"/>
          <w:highlight w:val="none"/>
        </w:rPr>
        <w:t>决算情况说明</w:t>
      </w:r>
      <w:bookmarkEnd w:id="16"/>
      <w:bookmarkEnd w:id="17"/>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default" w:ascii="Times New Roman" w:hAnsi="Times New Roman" w:eastAsia="黑体" w:cs="Times New Roman"/>
          <w:b w:val="0"/>
          <w:color w:val="auto"/>
          <w:highlight w:val="none"/>
        </w:rPr>
      </w:pPr>
      <w:bookmarkStart w:id="18" w:name="_Toc15396603"/>
      <w:bookmarkStart w:id="19" w:name="_Toc15377205"/>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收</w:t>
      </w:r>
      <w:r>
        <w:rPr>
          <w:rStyle w:val="30"/>
          <w:rFonts w:hint="default" w:ascii="Times New Roman" w:hAnsi="Times New Roman" w:eastAsia="黑体" w:cs="Times New Roman"/>
          <w:b w:val="0"/>
          <w:color w:val="auto"/>
          <w:highlight w:val="none"/>
        </w:rPr>
        <w:t>入支出决算总体情况说明</w:t>
      </w:r>
      <w:bookmarkEnd w:id="18"/>
      <w:bookmarkEnd w:id="19"/>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2024年度收入、支出总计均为1810.7万元。与2023年度相比，收入、支出总计各减少879.3万元，下降32.7%。主要变动原因是上年结转结余在年中已调减。</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lang w:eastAsia="zh-CN"/>
        </w:rPr>
        <w:drawing>
          <wp:anchor distT="0" distB="0" distL="114935" distR="114935" simplePos="0" relativeHeight="251660288" behindDoc="0" locked="0" layoutInCell="1" allowOverlap="1">
            <wp:simplePos x="0" y="0"/>
            <wp:positionH relativeFrom="column">
              <wp:posOffset>352425</wp:posOffset>
            </wp:positionH>
            <wp:positionV relativeFrom="page">
              <wp:posOffset>3286125</wp:posOffset>
            </wp:positionV>
            <wp:extent cx="4451985" cy="4079875"/>
            <wp:effectExtent l="4445" t="5080" r="20320" b="10795"/>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val="en-US"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val="en-US"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val="en-US"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val="en-US"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val="en-US"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val="en-US"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val="en-US"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val="en-US"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val="en-US"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（图1：收入、支出决算总计变动情况图）（柱状图）</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color w:val="auto"/>
          <w:sz w:val="32"/>
          <w:szCs w:val="32"/>
          <w:highlight w:val="none"/>
          <w:lang w:eastAsia="zh-CN"/>
        </w:rPr>
      </w:pPr>
      <w:bookmarkStart w:id="20" w:name="_Toc15396604"/>
      <w:bookmarkStart w:id="21" w:name="_Toc15377206"/>
      <w:r>
        <w:rPr>
          <w:rFonts w:hint="default" w:ascii="Times New Roman" w:hAnsi="Times New Roman" w:eastAsia="黑体" w:cs="Times New Roman"/>
          <w:color w:val="auto"/>
          <w:sz w:val="32"/>
          <w:szCs w:val="32"/>
          <w:highlight w:val="none"/>
          <w:lang w:eastAsia="zh-CN"/>
        </w:rPr>
        <w:t>二、收入决算情况说明</w:t>
      </w:r>
      <w:bookmarkEnd w:id="20"/>
      <w:bookmarkEnd w:id="21"/>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2024年度本年收入合计1810.7万元，其中：一般公共预算财政拨款收入974.8万元，占53.8%；经营收入835.9万元，占46.2%。</w:t>
      </w:r>
    </w:p>
    <w:p>
      <w:pPr>
        <w:pStyle w:val="2"/>
        <w:rPr>
          <w:rFonts w:hint="default" w:ascii="Times New Roman" w:hAnsi="Times New Roman" w:cs="Times New Roman"/>
          <w:lang w:val="en-US"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80" w:firstLineChars="200"/>
        <w:jc w:val="left"/>
        <w:textAlignment w:val="auto"/>
        <w:outlineLvl w:val="1"/>
        <w:rPr>
          <w:rFonts w:hint="default" w:ascii="Times New Roman" w:hAnsi="Times New Roman" w:eastAsia="仿宋_GB2312" w:cs="Times New Roman"/>
          <w:b/>
          <w:bCs/>
          <w:color w:val="auto"/>
          <w:sz w:val="32"/>
          <w:szCs w:val="32"/>
          <w:highlight w:val="none"/>
          <w:lang w:eastAsia="zh-CN"/>
        </w:rPr>
      </w:pPr>
      <w:r>
        <w:rPr>
          <w:rFonts w:hint="default" w:ascii="Times New Roman" w:hAnsi="Times New Roman" w:eastAsia="仿宋" w:cs="Times New Roman"/>
          <w:sz w:val="24"/>
        </w:rPr>
        <w:pict>
          <v:shape id="_x0000_s1026" o:spid="_x0000_s1026" o:spt="75" type="#_x0000_t75" style="position:absolute;left:0pt;margin-left:28.25pt;margin-top:5.5pt;height:253.2pt;width:336.1pt;z-index:251661312;mso-width-relative:page;mso-height-relative:page;" o:ole="t" filled="f" o:preferrelative="t" stroked="f" coordsize="21600,21600">
            <v:path/>
            <v:fill on="f" focussize="0,0"/>
            <v:stroke on="f"/>
            <v:imagedata r:id="rId10" o:title=""/>
            <o:lock v:ext="edit" aspectratio="f"/>
          </v:shape>
          <o:OLEObject Type="Embed" ProgID="Excel.Chart.8" ShapeID="_x0000_s1026" DrawAspect="Content" ObjectID="_1468075725" r:id="rId9">
            <o:LockedField>false</o:LockedField>
          </o:OLEObject>
        </w:pic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left"/>
        <w:textAlignment w:val="auto"/>
        <w:outlineLvl w:val="1"/>
        <w:rPr>
          <w:rFonts w:hint="default" w:ascii="Times New Roman" w:hAnsi="Times New Roman" w:eastAsia="仿宋_GB2312" w:cs="Times New Roman"/>
          <w:b/>
          <w:bCs/>
          <w:color w:val="auto"/>
          <w:sz w:val="32"/>
          <w:szCs w:val="32"/>
          <w:highlight w:val="none"/>
          <w:lang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left"/>
        <w:textAlignment w:val="auto"/>
        <w:outlineLvl w:val="1"/>
        <w:rPr>
          <w:rFonts w:hint="default" w:ascii="Times New Roman" w:hAnsi="Times New Roman" w:eastAsia="仿宋_GB2312" w:cs="Times New Roman"/>
          <w:b/>
          <w:bCs/>
          <w:color w:val="auto"/>
          <w:sz w:val="32"/>
          <w:szCs w:val="32"/>
          <w:highlight w:val="none"/>
          <w:lang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left"/>
        <w:textAlignment w:val="auto"/>
        <w:outlineLvl w:val="1"/>
        <w:rPr>
          <w:rFonts w:hint="default" w:ascii="Times New Roman" w:hAnsi="Times New Roman" w:eastAsia="仿宋_GB2312" w:cs="Times New Roman"/>
          <w:b/>
          <w:bCs/>
          <w:color w:val="auto"/>
          <w:sz w:val="32"/>
          <w:szCs w:val="32"/>
          <w:highlight w:val="none"/>
          <w:lang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left"/>
        <w:textAlignment w:val="auto"/>
        <w:outlineLvl w:val="1"/>
        <w:rPr>
          <w:rFonts w:hint="default" w:ascii="Times New Roman" w:hAnsi="Times New Roman" w:eastAsia="仿宋_GB2312" w:cs="Times New Roman"/>
          <w:b/>
          <w:bCs/>
          <w:color w:val="auto"/>
          <w:sz w:val="32"/>
          <w:szCs w:val="32"/>
          <w:highlight w:val="none"/>
          <w:lang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left"/>
        <w:textAlignment w:val="auto"/>
        <w:outlineLvl w:val="1"/>
        <w:rPr>
          <w:rFonts w:hint="default" w:ascii="Times New Roman" w:hAnsi="Times New Roman" w:eastAsia="仿宋_GB2312" w:cs="Times New Roman"/>
          <w:b/>
          <w:bCs/>
          <w:color w:val="auto"/>
          <w:sz w:val="32"/>
          <w:szCs w:val="32"/>
          <w:highlight w:val="none"/>
          <w:lang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left"/>
        <w:textAlignment w:val="auto"/>
        <w:outlineLvl w:val="1"/>
        <w:rPr>
          <w:rFonts w:hint="default" w:ascii="Times New Roman" w:hAnsi="Times New Roman" w:eastAsia="仿宋_GB2312" w:cs="Times New Roman"/>
          <w:b/>
          <w:bCs/>
          <w:color w:val="auto"/>
          <w:sz w:val="32"/>
          <w:szCs w:val="32"/>
          <w:highlight w:val="none"/>
          <w:lang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outlineLvl w:val="1"/>
        <w:rPr>
          <w:rFonts w:hint="default" w:ascii="Times New Roman" w:hAnsi="Times New Roman" w:eastAsia="仿宋_GB2312" w:cs="Times New Roman"/>
          <w:b/>
          <w:bCs/>
          <w:color w:val="auto"/>
          <w:sz w:val="32"/>
          <w:szCs w:val="32"/>
          <w:highlight w:val="none"/>
          <w:lang w:eastAsia="zh-CN"/>
        </w:rPr>
      </w:pPr>
    </w:p>
    <w:p>
      <w:pPr>
        <w:ind w:firstLine="800" w:firstLineChars="250"/>
        <w:rPr>
          <w:rFonts w:hint="default" w:ascii="Times New Roman" w:hAnsi="Times New Roman" w:eastAsia="仿宋_GB2312" w:cs="Times New Roman"/>
          <w:color w:val="auto"/>
          <w:sz w:val="32"/>
          <w:szCs w:val="32"/>
          <w:highlight w:val="none"/>
          <w:lang w:eastAsia="zh-CN"/>
        </w:rPr>
      </w:pPr>
    </w:p>
    <w:p>
      <w:pPr>
        <w:ind w:firstLine="800" w:firstLineChars="25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（图2：收入决算结构图）（饼状图）</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default" w:ascii="Times New Roman" w:hAnsi="Times New Roman" w:eastAsia="黑体" w:cs="Times New Roman"/>
          <w:b w:val="0"/>
          <w:color w:val="auto"/>
          <w:highlight w:val="none"/>
        </w:rPr>
      </w:pPr>
      <w:bookmarkStart w:id="22" w:name="_Toc15396605"/>
      <w:bookmarkStart w:id="23" w:name="_Toc15377207"/>
      <w:r>
        <w:rPr>
          <w:rFonts w:hint="default" w:ascii="Times New Roman" w:hAnsi="Times New Roman" w:eastAsia="黑体" w:cs="Times New Roman"/>
          <w:color w:val="auto"/>
          <w:sz w:val="32"/>
          <w:szCs w:val="32"/>
          <w:highlight w:val="none"/>
          <w:lang w:eastAsia="zh-CN"/>
        </w:rPr>
        <w:t>三、</w:t>
      </w:r>
      <w:r>
        <w:rPr>
          <w:rFonts w:hint="default" w:ascii="Times New Roman" w:hAnsi="Times New Roman" w:eastAsia="黑体" w:cs="Times New Roman"/>
          <w:color w:val="auto"/>
          <w:sz w:val="32"/>
          <w:szCs w:val="32"/>
          <w:highlight w:val="none"/>
        </w:rPr>
        <w:t>支</w:t>
      </w:r>
      <w:r>
        <w:rPr>
          <w:rStyle w:val="30"/>
          <w:rFonts w:hint="default" w:ascii="Times New Roman" w:hAnsi="Times New Roman" w:eastAsia="黑体" w:cs="Times New Roman"/>
          <w:b w:val="0"/>
          <w:color w:val="auto"/>
          <w:highlight w:val="none"/>
        </w:rPr>
        <w:t>出决算情况说明</w:t>
      </w:r>
      <w:bookmarkEnd w:id="22"/>
      <w:bookmarkEnd w:id="23"/>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2024年度本年支出合计1764.75万元，其中：基本支出974.8万元，占55.2%；经营支出789.95万元，占44.8%。</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80" w:firstLineChars="200"/>
        <w:jc w:val="left"/>
        <w:textAlignment w:val="auto"/>
        <w:outlineLvl w:val="1"/>
        <w:rPr>
          <w:rFonts w:hint="default" w:ascii="Times New Roman" w:hAnsi="Times New Roman" w:eastAsia="仿宋_GB2312" w:cs="Times New Roman"/>
          <w:b/>
          <w:bCs/>
          <w:color w:val="auto"/>
          <w:sz w:val="32"/>
          <w:szCs w:val="32"/>
          <w:highlight w:val="none"/>
          <w:lang w:eastAsia="zh-CN"/>
        </w:rPr>
      </w:pPr>
      <w:r>
        <w:rPr>
          <w:rFonts w:hint="default" w:ascii="Times New Roman" w:hAnsi="Times New Roman" w:eastAsia="仿宋" w:cs="Times New Roman"/>
          <w:sz w:val="24"/>
        </w:rPr>
        <w:pict>
          <v:shape id="_x0000_s1027" o:spid="_x0000_s1027" o:spt="75" type="#_x0000_t75" style="position:absolute;left:0pt;margin-left:41pt;margin-top:18.4pt;height:222.65pt;width:324.4pt;z-index:251662336;mso-width-relative:page;mso-height-relative:page;" o:ole="t" filled="f" o:preferrelative="t" stroked="f" coordsize="21600,21600">
            <v:path/>
            <v:fill on="f" focussize="0,0"/>
            <v:stroke on="f"/>
            <v:imagedata r:id="rId12" o:title=""/>
            <o:lock v:ext="edit" aspectratio="f"/>
          </v:shape>
          <o:OLEObject Type="Embed" ProgID="Excel.Chart.8" ShapeID="_x0000_s1027" DrawAspect="Content" ObjectID="_1468075726" r:id="rId11">
            <o:LockedField>false</o:LockedField>
          </o:OLEObject>
        </w:pic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left"/>
        <w:textAlignment w:val="auto"/>
        <w:outlineLvl w:val="1"/>
        <w:rPr>
          <w:rFonts w:hint="default" w:ascii="Times New Roman" w:hAnsi="Times New Roman" w:eastAsia="仿宋_GB2312" w:cs="Times New Roman"/>
          <w:b/>
          <w:bCs/>
          <w:color w:val="auto"/>
          <w:sz w:val="32"/>
          <w:szCs w:val="32"/>
          <w:highlight w:val="none"/>
          <w:lang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left"/>
        <w:textAlignment w:val="auto"/>
        <w:outlineLvl w:val="1"/>
        <w:rPr>
          <w:rFonts w:hint="default" w:ascii="Times New Roman" w:hAnsi="Times New Roman" w:eastAsia="仿宋_GB2312" w:cs="Times New Roman"/>
          <w:b/>
          <w:bCs/>
          <w:color w:val="auto"/>
          <w:sz w:val="32"/>
          <w:szCs w:val="32"/>
          <w:highlight w:val="none"/>
          <w:lang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left"/>
        <w:textAlignment w:val="auto"/>
        <w:outlineLvl w:val="1"/>
        <w:rPr>
          <w:rFonts w:hint="default" w:ascii="Times New Roman" w:hAnsi="Times New Roman" w:eastAsia="仿宋_GB2312" w:cs="Times New Roman"/>
          <w:b/>
          <w:bCs/>
          <w:color w:val="auto"/>
          <w:sz w:val="32"/>
          <w:szCs w:val="32"/>
          <w:highlight w:val="none"/>
          <w:lang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outlineLvl w:val="1"/>
        <w:rPr>
          <w:rFonts w:hint="default" w:ascii="Times New Roman" w:hAnsi="Times New Roman" w:eastAsia="仿宋_GB2312" w:cs="Times New Roman"/>
          <w:b/>
          <w:bCs/>
          <w:color w:val="auto"/>
          <w:sz w:val="32"/>
          <w:szCs w:val="32"/>
          <w:highlight w:val="none"/>
          <w:lang w:eastAsia="zh-CN"/>
        </w:rPr>
      </w:pPr>
    </w:p>
    <w:p>
      <w:pPr>
        <w:ind w:firstLine="800" w:firstLineChars="250"/>
        <w:rPr>
          <w:rFonts w:hint="default" w:ascii="Times New Roman" w:hAnsi="Times New Roman" w:eastAsia="仿宋_GB2312" w:cs="Times New Roman"/>
          <w:color w:val="auto"/>
          <w:sz w:val="32"/>
          <w:szCs w:val="32"/>
          <w:highlight w:val="none"/>
          <w:lang w:eastAsia="zh-CN"/>
        </w:rPr>
      </w:pPr>
    </w:p>
    <w:p>
      <w:pPr>
        <w:pStyle w:val="2"/>
        <w:rPr>
          <w:rFonts w:hint="default" w:ascii="Times New Roman" w:hAnsi="Times New Roman" w:eastAsia="仿宋_GB2312" w:cs="Times New Roman"/>
          <w:color w:val="auto"/>
          <w:sz w:val="32"/>
          <w:szCs w:val="32"/>
          <w:highlight w:val="none"/>
          <w:lang w:eastAsia="zh-CN"/>
        </w:rPr>
      </w:pPr>
    </w:p>
    <w:p>
      <w:pPr>
        <w:pStyle w:val="2"/>
        <w:rPr>
          <w:rFonts w:hint="default" w:ascii="Times New Roman" w:hAnsi="Times New Roman" w:eastAsia="仿宋_GB2312" w:cs="Times New Roman"/>
          <w:color w:val="auto"/>
          <w:sz w:val="32"/>
          <w:szCs w:val="32"/>
          <w:highlight w:val="none"/>
          <w:lang w:eastAsia="zh-CN"/>
        </w:rPr>
      </w:pPr>
    </w:p>
    <w:p>
      <w:pPr>
        <w:ind w:firstLine="800" w:firstLineChars="25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（图3：支出决算结构图）（饼状图）</w:t>
      </w:r>
    </w:p>
    <w:p>
      <w:pPr>
        <w:spacing w:line="600" w:lineRule="exact"/>
        <w:ind w:firstLine="640" w:firstLineChars="200"/>
        <w:outlineLvl w:val="1"/>
        <w:rPr>
          <w:rStyle w:val="30"/>
          <w:rFonts w:hint="default" w:ascii="Times New Roman" w:hAnsi="Times New Roman" w:eastAsia="黑体" w:cs="Times New Roman"/>
          <w:b w:val="0"/>
          <w:color w:val="auto"/>
          <w:highlight w:val="none"/>
        </w:rPr>
      </w:pPr>
      <w:bookmarkStart w:id="24" w:name="_Toc15377208"/>
      <w:bookmarkStart w:id="25" w:name="_Toc15396606"/>
      <w:r>
        <w:rPr>
          <w:rFonts w:hint="default" w:ascii="Times New Roman" w:hAnsi="Times New Roman" w:eastAsia="黑体" w:cs="Times New Roman"/>
          <w:color w:val="auto"/>
          <w:sz w:val="32"/>
          <w:szCs w:val="32"/>
          <w:highlight w:val="none"/>
        </w:rPr>
        <w:t>四、财</w:t>
      </w:r>
      <w:r>
        <w:rPr>
          <w:rStyle w:val="30"/>
          <w:rFonts w:hint="default" w:ascii="Times New Roman" w:hAnsi="Times New Roman" w:eastAsia="黑体" w:cs="Times New Roman"/>
          <w:b w:val="0"/>
          <w:color w:val="auto"/>
          <w:highlight w:val="none"/>
        </w:rPr>
        <w:t>政拨款收入支出决算总体情况说明</w:t>
      </w:r>
      <w:bookmarkEnd w:id="24"/>
      <w:bookmarkEnd w:id="25"/>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drawing>
          <wp:anchor distT="0" distB="0" distL="114300" distR="114300" simplePos="0" relativeHeight="251663360" behindDoc="0" locked="0" layoutInCell="1" allowOverlap="1">
            <wp:simplePos x="0" y="0"/>
            <wp:positionH relativeFrom="column">
              <wp:posOffset>252095</wp:posOffset>
            </wp:positionH>
            <wp:positionV relativeFrom="paragraph">
              <wp:posOffset>1673860</wp:posOffset>
            </wp:positionV>
            <wp:extent cx="4727575" cy="3854450"/>
            <wp:effectExtent l="4445" t="4445" r="11430" b="8255"/>
            <wp:wrapSquare wrapText="bothSides"/>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default" w:ascii="Times New Roman" w:hAnsi="Times New Roman" w:eastAsia="仿宋_GB2312" w:cs="Times New Roman"/>
          <w:sz w:val="32"/>
          <w:szCs w:val="32"/>
          <w:lang w:val="en-US" w:eastAsia="zh-CN"/>
        </w:rPr>
        <w:t>2024年度财政拨款收入、支出总计均为974.8万元。与2023年度相比，财政拨款收入总计、支出总计各增加84.41万元，增长9.5%。主要变动原因是用于设计院维持正常运行公用经费的增加。</w:t>
      </w:r>
    </w:p>
    <w:p>
      <w:pPr>
        <w:spacing w:line="600" w:lineRule="exact"/>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（图4：财政拨款收、支决算总计变动情况）（柱状图）</w:t>
      </w:r>
    </w:p>
    <w:p>
      <w:pPr>
        <w:spacing w:line="600" w:lineRule="exact"/>
        <w:ind w:firstLine="640" w:firstLineChars="200"/>
        <w:outlineLvl w:val="1"/>
        <w:rPr>
          <w:rStyle w:val="30"/>
          <w:rFonts w:hint="default" w:ascii="Times New Roman" w:hAnsi="Times New Roman" w:eastAsia="黑体" w:cs="Times New Roman"/>
          <w:b w:val="0"/>
          <w:color w:val="auto"/>
          <w:highlight w:val="none"/>
        </w:rPr>
      </w:pPr>
      <w:bookmarkStart w:id="26" w:name="_Toc15396607"/>
      <w:bookmarkStart w:id="27" w:name="_Toc15377209"/>
      <w:r>
        <w:rPr>
          <w:rFonts w:hint="default" w:ascii="Times New Roman" w:hAnsi="Times New Roman" w:eastAsia="黑体" w:cs="Times New Roman"/>
          <w:color w:val="auto"/>
          <w:sz w:val="32"/>
          <w:szCs w:val="32"/>
          <w:highlight w:val="none"/>
        </w:rPr>
        <w:t>五、</w:t>
      </w:r>
      <w:r>
        <w:rPr>
          <w:rFonts w:hint="default" w:ascii="Times New Roman" w:hAnsi="Times New Roman" w:eastAsia="黑体" w:cs="Times New Roman"/>
          <w:b/>
          <w:color w:val="auto"/>
          <w:sz w:val="32"/>
          <w:szCs w:val="32"/>
          <w:highlight w:val="none"/>
        </w:rPr>
        <w:t>一</w:t>
      </w:r>
      <w:r>
        <w:rPr>
          <w:rStyle w:val="30"/>
          <w:rFonts w:hint="default" w:ascii="Times New Roman" w:hAnsi="Times New Roman" w:eastAsia="黑体" w:cs="Times New Roman"/>
          <w:b w:val="0"/>
          <w:color w:val="auto"/>
          <w:highlight w:val="none"/>
        </w:rPr>
        <w:t>般公共预算财政拨款支出决算情况说明</w:t>
      </w:r>
      <w:bookmarkEnd w:id="26"/>
      <w:bookmarkEnd w:id="27"/>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28" w:name="_Toc15377210"/>
      <w:r>
        <w:rPr>
          <w:rFonts w:hint="default" w:ascii="Times New Roman" w:hAnsi="Times New Roman" w:eastAsia="楷体_GB2312" w:cs="Times New Roman"/>
          <w:b/>
          <w:color w:val="auto"/>
          <w:sz w:val="32"/>
          <w:szCs w:val="32"/>
          <w:highlight w:val="none"/>
        </w:rPr>
        <w:t>（一）一般公共预算财政拨款支出决算总体情况</w:t>
      </w:r>
      <w:bookmarkEnd w:id="28"/>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2024年度一般公共预算财政拨款支出974.8万元，占本年支出合计的55.23%。与2023年度相比，一般公共预算财政拨款支出增加84.41万元，增长9.5%。主要变动原因是用于设计院维持正常运行公用经费的增加。</w:t>
      </w:r>
    </w:p>
    <w:p>
      <w:pPr>
        <w:spacing w:line="240" w:lineRule="auto"/>
        <w:ind w:firstLine="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sz w:val="32"/>
          <w:szCs w:val="32"/>
          <w:lang w:eastAsia="zh-CN"/>
        </w:rPr>
        <w:drawing>
          <wp:anchor distT="0" distB="0" distL="114935" distR="114935" simplePos="0" relativeHeight="251664384" behindDoc="0" locked="0" layoutInCell="1" allowOverlap="1">
            <wp:simplePos x="0" y="0"/>
            <wp:positionH relativeFrom="column">
              <wp:posOffset>4445</wp:posOffset>
            </wp:positionH>
            <wp:positionV relativeFrom="paragraph">
              <wp:posOffset>94615</wp:posOffset>
            </wp:positionV>
            <wp:extent cx="5070475" cy="2585085"/>
            <wp:effectExtent l="4445" t="4445" r="11430" b="20320"/>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default" w:ascii="Times New Roman" w:hAnsi="Times New Roman" w:eastAsia="仿宋_GB2312" w:cs="Times New Roman"/>
          <w:color w:val="auto"/>
          <w:kern w:val="2"/>
          <w:sz w:val="32"/>
          <w:szCs w:val="32"/>
          <w:highlight w:val="none"/>
          <w:lang w:val="en-US" w:eastAsia="zh-CN" w:bidi="ar-SA"/>
        </w:rPr>
        <w:t>（图5：一般公共预算财政拨款支出决算变动情况）（柱状图）</w:t>
      </w:r>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29" w:name="_Toc15377211"/>
      <w:r>
        <w:rPr>
          <w:rFonts w:hint="default" w:ascii="Times New Roman" w:hAnsi="Times New Roman" w:eastAsia="楷体_GB2312" w:cs="Times New Roman"/>
          <w:b/>
          <w:color w:val="auto"/>
          <w:sz w:val="32"/>
          <w:szCs w:val="32"/>
          <w:highlight w:val="none"/>
        </w:rPr>
        <w:t>（二）一般公共预算财政拨款支出决算结构情况</w:t>
      </w:r>
      <w:bookmarkEnd w:id="29"/>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一般公共预算财政拨款支出974.8万元，主要用于以下方面：教育支出3万元，占0.3%；社会保障和就业支出173万元，占17.8%；卫生健康支出70万元，占7.2%；资源勘探工业信息等支出673.8万元，占69.1%；住房保障支出55万元，占5.6%。</w:t>
      </w:r>
    </w:p>
    <w:p>
      <w:pPr>
        <w:pStyle w:val="2"/>
        <w:rPr>
          <w:rFonts w:hint="default" w:ascii="Times New Roman" w:hAnsi="Times New Roman" w:eastAsia="仿宋_GB2312" w:cs="Times New Roman"/>
          <w:b/>
          <w:bCs/>
          <w:color w:val="auto"/>
          <w:kern w:val="2"/>
          <w:sz w:val="32"/>
          <w:szCs w:val="32"/>
          <w:highlight w:val="none"/>
          <w:lang w:val="en-US" w:eastAsia="zh-CN" w:bidi="ar-SA"/>
        </w:rPr>
      </w:pPr>
      <w:r>
        <w:rPr>
          <w:rFonts w:hint="default" w:ascii="Times New Roman" w:hAnsi="Times New Roman" w:eastAsia="仿宋" w:cs="Times New Roman"/>
          <w:color w:val="000000" w:themeColor="text1"/>
          <w:sz w:val="32"/>
          <w:szCs w:val="32"/>
          <w:lang w:eastAsia="zh-CN"/>
          <w14:textFill>
            <w14:solidFill>
              <w14:schemeClr w14:val="tx1"/>
            </w14:solidFill>
          </w14:textFill>
        </w:rPr>
        <w:drawing>
          <wp:anchor distT="0" distB="0" distL="114300" distR="114300" simplePos="0" relativeHeight="251665408" behindDoc="0" locked="0" layoutInCell="1" allowOverlap="1">
            <wp:simplePos x="0" y="0"/>
            <wp:positionH relativeFrom="column">
              <wp:posOffset>418465</wp:posOffset>
            </wp:positionH>
            <wp:positionV relativeFrom="paragraph">
              <wp:posOffset>-23495</wp:posOffset>
            </wp:positionV>
            <wp:extent cx="4481195" cy="3486785"/>
            <wp:effectExtent l="4445" t="4445" r="10160" b="13970"/>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pStyle w:val="2"/>
        <w:rPr>
          <w:rFonts w:hint="default" w:ascii="Times New Roman" w:hAnsi="Times New Roman" w:eastAsia="仿宋_GB2312" w:cs="Times New Roman"/>
          <w:b/>
          <w:bCs/>
          <w:color w:val="auto"/>
          <w:kern w:val="2"/>
          <w:sz w:val="32"/>
          <w:szCs w:val="32"/>
          <w:highlight w:val="none"/>
          <w:lang w:val="en-US" w:eastAsia="zh-CN" w:bidi="ar-SA"/>
        </w:rPr>
      </w:pPr>
    </w:p>
    <w:p>
      <w:pPr>
        <w:pStyle w:val="2"/>
        <w:rPr>
          <w:rFonts w:hint="default" w:ascii="Times New Roman" w:hAnsi="Times New Roman" w:eastAsia="仿宋_GB2312" w:cs="Times New Roman"/>
          <w:b/>
          <w:bCs/>
          <w:color w:val="auto"/>
          <w:kern w:val="2"/>
          <w:sz w:val="32"/>
          <w:szCs w:val="32"/>
          <w:highlight w:val="none"/>
          <w:lang w:val="en-US" w:eastAsia="zh-CN" w:bidi="ar-SA"/>
        </w:rPr>
      </w:pPr>
    </w:p>
    <w:p>
      <w:pPr>
        <w:pStyle w:val="2"/>
        <w:rPr>
          <w:rFonts w:hint="default" w:ascii="Times New Roman" w:hAnsi="Times New Roman" w:eastAsia="仿宋_GB2312" w:cs="Times New Roman"/>
          <w:b/>
          <w:bCs/>
          <w:color w:val="auto"/>
          <w:kern w:val="2"/>
          <w:sz w:val="32"/>
          <w:szCs w:val="32"/>
          <w:highlight w:val="none"/>
          <w:lang w:val="en-US" w:eastAsia="zh-CN" w:bidi="ar-SA"/>
        </w:rPr>
      </w:pPr>
    </w:p>
    <w:p>
      <w:pPr>
        <w:pStyle w:val="2"/>
        <w:rPr>
          <w:rFonts w:hint="default" w:ascii="Times New Roman" w:hAnsi="Times New Roman" w:eastAsia="仿宋_GB2312" w:cs="Times New Roman"/>
          <w:b/>
          <w:bCs/>
          <w:color w:val="auto"/>
          <w:kern w:val="2"/>
          <w:sz w:val="32"/>
          <w:szCs w:val="32"/>
          <w:highlight w:val="none"/>
          <w:lang w:val="en-US" w:eastAsia="zh-CN" w:bidi="ar-SA"/>
        </w:rPr>
      </w:pPr>
    </w:p>
    <w:p>
      <w:pPr>
        <w:pStyle w:val="2"/>
        <w:rPr>
          <w:rFonts w:hint="default" w:ascii="Times New Roman" w:hAnsi="Times New Roman" w:eastAsia="仿宋_GB2312" w:cs="Times New Roman"/>
          <w:b/>
          <w:bCs/>
          <w:color w:val="auto"/>
          <w:kern w:val="2"/>
          <w:sz w:val="32"/>
          <w:szCs w:val="32"/>
          <w:highlight w:val="none"/>
          <w:lang w:val="en-US" w:eastAsia="zh-CN" w:bidi="ar-SA"/>
        </w:rPr>
      </w:pPr>
    </w:p>
    <w:p>
      <w:pPr>
        <w:pStyle w:val="2"/>
        <w:rPr>
          <w:rFonts w:hint="default" w:ascii="Times New Roman" w:hAnsi="Times New Roman" w:eastAsia="仿宋_GB2312" w:cs="Times New Roman"/>
          <w:b/>
          <w:bCs/>
          <w:color w:val="auto"/>
          <w:kern w:val="2"/>
          <w:sz w:val="32"/>
          <w:szCs w:val="32"/>
          <w:highlight w:val="none"/>
          <w:lang w:val="en-US" w:eastAsia="zh-CN" w:bidi="ar-SA"/>
        </w:rPr>
      </w:pP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（图6：一般公共预算财政拨款支出决算结构）（饼状图）</w:t>
      </w:r>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30" w:name="_Toc15377212"/>
      <w:r>
        <w:rPr>
          <w:rFonts w:hint="default" w:ascii="Times New Roman" w:hAnsi="Times New Roman" w:eastAsia="楷体_GB2312" w:cs="Times New Roman"/>
          <w:b/>
          <w:color w:val="auto"/>
          <w:sz w:val="32"/>
          <w:szCs w:val="32"/>
          <w:highlight w:val="none"/>
        </w:rPr>
        <w:t>（三）一般公共预算财政拨款支出决算具体情况</w:t>
      </w:r>
      <w:bookmarkEnd w:id="30"/>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bookmarkStart w:id="31" w:name="_Toc15377213"/>
      <w:bookmarkStart w:id="32" w:name="_Toc15377444"/>
      <w:bookmarkStart w:id="33" w:name="_Toc15378460"/>
      <w:r>
        <w:rPr>
          <w:rFonts w:hint="default" w:ascii="Times New Roman" w:hAnsi="Times New Roman" w:eastAsia="仿宋_GB2312" w:cs="Times New Roman"/>
          <w:sz w:val="32"/>
          <w:szCs w:val="32"/>
          <w:lang w:val="en-US" w:eastAsia="zh-CN"/>
        </w:rPr>
        <w:t>2024年度一般公共预算财政拨款支出决算数为974.8，完成预算100%。其中：</w:t>
      </w:r>
      <w:bookmarkEnd w:id="31"/>
      <w:bookmarkEnd w:id="32"/>
      <w:bookmarkEnd w:id="33"/>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1.教育（类）进修及培训（款）培训（项）: 支出决算为3万元，完成预算100%。</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2.社会保障和就业（类）行政事业单位养老支出（款）事业单位离退休（项）：支出决算为85万元，完成预算100%。</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3.社会保障和就业（类）行政事业单位养老支出（款）机关事业单位基本养老保险缴费支出（项）：支出决算为88万元，完成预算100%。</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4.卫生健康（类）行政事业单位医疗（款）事业单位医疗（项）：支出决算为70万元，完成预算100%。</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5.资源勘探工业信息等（类）制造业（款）制造业（项）:支出决算为673.8万元，完成预算100%。</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6.住房保障（类）住房改革支出（款）住房公积金（项）:支出决算为55万元，完成预算100%。</w:t>
      </w:r>
    </w:p>
    <w:p>
      <w:pPr>
        <w:tabs>
          <w:tab w:val="right" w:pos="8306"/>
        </w:tabs>
        <w:spacing w:line="600" w:lineRule="exact"/>
        <w:ind w:firstLine="640"/>
        <w:outlineLvl w:val="1"/>
        <w:rPr>
          <w:rStyle w:val="30"/>
          <w:rFonts w:hint="default" w:ascii="Times New Roman" w:hAnsi="Times New Roman" w:cs="Times New Roman"/>
          <w:color w:val="auto"/>
          <w:highlight w:val="none"/>
        </w:rPr>
      </w:pPr>
      <w:bookmarkStart w:id="34" w:name="_Toc15396608"/>
      <w:bookmarkStart w:id="35" w:name="_Toc15377214"/>
      <w:r>
        <w:rPr>
          <w:rFonts w:hint="default" w:ascii="Times New Roman" w:hAnsi="Times New Roman" w:eastAsia="黑体" w:cs="Times New Roman"/>
          <w:color w:val="auto"/>
          <w:sz w:val="32"/>
          <w:szCs w:val="32"/>
          <w:highlight w:val="none"/>
        </w:rPr>
        <w:t>六</w:t>
      </w:r>
      <w:r>
        <w:rPr>
          <w:rFonts w:hint="default" w:ascii="Times New Roman" w:hAnsi="Times New Roman" w:eastAsia="黑体" w:cs="Times New Roman"/>
          <w:b/>
          <w:color w:val="auto"/>
          <w:sz w:val="32"/>
          <w:szCs w:val="32"/>
          <w:highlight w:val="none"/>
        </w:rPr>
        <w:t>、一</w:t>
      </w:r>
      <w:r>
        <w:rPr>
          <w:rStyle w:val="30"/>
          <w:rFonts w:hint="default" w:ascii="Times New Roman" w:hAnsi="Times New Roman" w:eastAsia="黑体" w:cs="Times New Roman"/>
          <w:b w:val="0"/>
          <w:color w:val="auto"/>
          <w:highlight w:val="none"/>
        </w:rPr>
        <w:t>般公共预算财政拨款基本支出决算情况说明</w:t>
      </w:r>
      <w:bookmarkEnd w:id="34"/>
      <w:bookmarkEnd w:id="35"/>
      <w:r>
        <w:rPr>
          <w:rStyle w:val="30"/>
          <w:rFonts w:hint="default" w:ascii="Times New Roman" w:hAnsi="Times New Roman" w:eastAsia="黑体" w:cs="Times New Roman"/>
          <w:b w:val="0"/>
          <w:color w:val="auto"/>
          <w:highlight w:val="none"/>
        </w:rPr>
        <w:tab/>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2024年度一般公共预算财政拨款基本支出974.8万元，其中：</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sz w:val="32"/>
          <w:szCs w:val="32"/>
          <w:lang w:val="en-US" w:eastAsia="zh-CN"/>
        </w:rPr>
        <w:t>人员经费781.8万元，主要包括：基本工资、津贴补贴、奖金、绩效工资、机关事业单位基本养老保险缴费、其他社会保障缴费、其他工资福利支出、生活补助、住房公积金等。</w:t>
      </w:r>
      <w:r>
        <w:rPr>
          <w:rFonts w:hint="default" w:ascii="Times New Roman" w:hAnsi="Times New Roman" w:eastAsia="仿宋_GB2312" w:cs="Times New Roman"/>
          <w:sz w:val="32"/>
          <w:szCs w:val="32"/>
          <w:lang w:val="en-US" w:eastAsia="zh-CN"/>
        </w:rPr>
        <w:br w:type="textWrapping"/>
      </w:r>
      <w:r>
        <w:rPr>
          <w:rFonts w:hint="default" w:ascii="Times New Roman" w:hAnsi="Times New Roman" w:eastAsia="仿宋_GB2312" w:cs="Times New Roman"/>
          <w:sz w:val="32"/>
          <w:szCs w:val="32"/>
          <w:lang w:val="en-US" w:eastAsia="zh-CN"/>
        </w:rPr>
        <w:t>　　公用经费193万元，主要包括：办公费、印刷费、咨询费、手续费、水费、电费、邮电费、物业管理费、差旅费、维修（护）费、会议费、培训费、劳务费、委托业务费、工会经费、福利费、其他交通费、其他商品和服务支出等。</w:t>
      </w:r>
    </w:p>
    <w:p>
      <w:pPr>
        <w:spacing w:line="600" w:lineRule="exact"/>
        <w:ind w:firstLine="640"/>
        <w:outlineLvl w:val="1"/>
        <w:rPr>
          <w:rStyle w:val="30"/>
          <w:rFonts w:hint="default" w:ascii="Times New Roman" w:hAnsi="Times New Roman" w:eastAsia="黑体" w:cs="Times New Roman"/>
          <w:b w:val="0"/>
          <w:color w:val="auto"/>
          <w:highlight w:val="none"/>
        </w:rPr>
      </w:pPr>
      <w:bookmarkStart w:id="36" w:name="_Toc15396609"/>
      <w:bookmarkStart w:id="37" w:name="_Toc15377215"/>
      <w:r>
        <w:rPr>
          <w:rFonts w:hint="default" w:ascii="Times New Roman" w:hAnsi="Times New Roman" w:eastAsia="黑体" w:cs="Times New Roman"/>
          <w:color w:val="auto"/>
          <w:sz w:val="32"/>
          <w:szCs w:val="32"/>
          <w:highlight w:val="none"/>
        </w:rPr>
        <w:t>七、</w:t>
      </w:r>
      <w:r>
        <w:rPr>
          <w:rStyle w:val="30"/>
          <w:rFonts w:hint="default" w:ascii="Times New Roman" w:hAnsi="Times New Roman" w:eastAsia="黑体" w:cs="Times New Roman"/>
          <w:b w:val="0"/>
          <w:color w:val="auto"/>
          <w:highlight w:val="none"/>
        </w:rPr>
        <w:t>财政拨款</w:t>
      </w:r>
      <w:r>
        <w:rPr>
          <w:rStyle w:val="30"/>
          <w:rFonts w:hint="default" w:ascii="Times New Roman" w:hAnsi="Times New Roman" w:eastAsia="黑体" w:cs="Times New Roman"/>
          <w:color w:val="auto"/>
          <w:highlight w:val="none"/>
        </w:rPr>
        <w:t>“</w:t>
      </w:r>
      <w:r>
        <w:rPr>
          <w:rStyle w:val="30"/>
          <w:rFonts w:hint="default" w:ascii="Times New Roman" w:hAnsi="Times New Roman" w:eastAsia="黑体" w:cs="Times New Roman"/>
          <w:b w:val="0"/>
          <w:color w:val="auto"/>
          <w:highlight w:val="none"/>
        </w:rPr>
        <w:t>三公”经费支出决算情况说明</w:t>
      </w:r>
      <w:bookmarkEnd w:id="36"/>
      <w:bookmarkEnd w:id="37"/>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38" w:name="_Toc15377216"/>
      <w:r>
        <w:rPr>
          <w:rFonts w:hint="default" w:ascii="Times New Roman" w:hAnsi="Times New Roman" w:eastAsia="楷体_GB2312" w:cs="Times New Roman"/>
          <w:b/>
          <w:color w:val="auto"/>
          <w:sz w:val="32"/>
          <w:szCs w:val="32"/>
          <w:highlight w:val="none"/>
        </w:rPr>
        <w:t>（一）“三公”经费财政拨款支出决算总体情况说明</w:t>
      </w:r>
      <w:bookmarkEnd w:id="38"/>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2024年度“三公”经费财政拨款支出决算为0万元，较上年度增加0万元，增长0%。决算数与预算数持平的主要原因是无三公经费的财政拨款。</w:t>
      </w:r>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39" w:name="_Toc15377217"/>
      <w:r>
        <w:rPr>
          <w:rFonts w:hint="default" w:ascii="Times New Roman" w:hAnsi="Times New Roman" w:eastAsia="楷体_GB2312" w:cs="Times New Roman"/>
          <w:b/>
          <w:color w:val="auto"/>
          <w:sz w:val="32"/>
          <w:szCs w:val="32"/>
          <w:highlight w:val="none"/>
        </w:rPr>
        <w:t>（二）“三公”经费财政拨款支出决算具体情况说明</w:t>
      </w:r>
      <w:bookmarkEnd w:id="39"/>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2024年度“三公”经费财政拨款支出决算中，因公出国（境）费支出决算0万元，占0%；公务用车购置及运行维护费支出决算0万元，占0%；公务接待费支出决算0万元，占0%。具体情况如下：</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（图7：“三公”经费财政拨款支出结构）（饼状图）</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color w:val="auto"/>
          <w:kern w:val="2"/>
          <w:sz w:val="32"/>
          <w:szCs w:val="32"/>
          <w:highlight w:val="none"/>
          <w:lang w:val="en-US" w:eastAsia="zh-CN" w:bidi="ar-SA"/>
        </w:rPr>
        <w:t>1.因公出国（境）经费支出0万元。</w:t>
      </w:r>
      <w:r>
        <w:rPr>
          <w:rFonts w:hint="default" w:ascii="Times New Roman" w:hAnsi="Times New Roman" w:eastAsia="仿宋_GB2312" w:cs="Times New Roman"/>
          <w:sz w:val="32"/>
          <w:szCs w:val="32"/>
          <w:lang w:val="en-US" w:eastAsia="zh-CN"/>
        </w:rPr>
        <w:t>全年安排因公出国（境）团组0次，出国（境）0人。因公出国（境）支出决算比2023年增加0万元，增长0%。主要原因是未因公出国（境）。</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color w:val="auto"/>
          <w:kern w:val="2"/>
          <w:sz w:val="32"/>
          <w:szCs w:val="32"/>
          <w:highlight w:val="none"/>
          <w:lang w:val="en-US" w:eastAsia="zh-CN" w:bidi="ar-SA"/>
        </w:rPr>
        <w:t>2.公务用车购置及运行维护费支出0万元。</w:t>
      </w:r>
      <w:r>
        <w:rPr>
          <w:rFonts w:hint="default" w:ascii="Times New Roman" w:hAnsi="Times New Roman" w:eastAsia="仿宋_GB2312" w:cs="Times New Roman"/>
          <w:sz w:val="32"/>
          <w:szCs w:val="32"/>
          <w:lang w:val="en-US" w:eastAsia="zh-CN"/>
        </w:rPr>
        <w:t>公务用车购置及运行维护费支出决算比2023年度增加0万元，增长0%。主要原因是未使用财政资金支付公务用车购置及运行维护费。</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其中：公务用车购置支出0万元。全年按规定更新购置公务用车0辆，其中：轿车0辆、金额0万元，越野车0辆、金额0万元，载客汽车0辆、金额0万元。截至2024年12月31日，单位共有公务用车3辆，其中：轿车2辆、越野车1辆、载客汽车0辆。</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公务用车运行维护费支出0万元。主要用于工作所需的公务用车燃料费、维修费、过路过桥费、保险费等支出。</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color w:val="auto"/>
          <w:kern w:val="2"/>
          <w:sz w:val="32"/>
          <w:szCs w:val="32"/>
          <w:highlight w:val="none"/>
          <w:lang w:val="en-US" w:eastAsia="zh-CN" w:bidi="ar-SA"/>
        </w:rPr>
        <w:t>3.公务接待费支出0万元。</w:t>
      </w:r>
      <w:r>
        <w:rPr>
          <w:rFonts w:hint="default" w:ascii="Times New Roman" w:hAnsi="Times New Roman" w:eastAsia="仿宋_GB2312" w:cs="Times New Roman"/>
          <w:sz w:val="32"/>
          <w:szCs w:val="32"/>
          <w:lang w:val="en-US" w:eastAsia="zh-CN"/>
        </w:rPr>
        <w:t>公务接待费支出决算比2023年度增加0万元，增长0%。主要原因是未发生公务接待。其中：</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国内公务接待支出0万元。国内公务接待0批次，0人次（不包括陪同人员），共计支出0万元。</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外事接待支出0万元。外事接待0批次，0人次（不包括陪同人员），共计支出0万元。</w:t>
      </w:r>
      <w:bookmarkStart w:id="40" w:name="_Toc15396610"/>
      <w:bookmarkStart w:id="41" w:name="_Toc15377218"/>
    </w:p>
    <w:p>
      <w:pPr>
        <w:spacing w:line="600" w:lineRule="exact"/>
        <w:ind w:firstLine="640"/>
        <w:outlineLvl w:val="1"/>
        <w:rPr>
          <w:rStyle w:val="30"/>
          <w:rFonts w:hint="default" w:ascii="Times New Roman" w:hAnsi="Times New Roman" w:eastAsia="黑体" w:cs="Times New Roman"/>
          <w:color w:val="auto"/>
          <w:highlight w:val="none"/>
        </w:rPr>
      </w:pPr>
      <w:r>
        <w:rPr>
          <w:rFonts w:hint="default" w:ascii="Times New Roman" w:hAnsi="Times New Roman" w:eastAsia="黑体" w:cs="Times New Roman"/>
          <w:color w:val="auto"/>
          <w:sz w:val="32"/>
          <w:szCs w:val="32"/>
          <w:highlight w:val="none"/>
        </w:rPr>
        <w:t>八、</w:t>
      </w:r>
      <w:r>
        <w:rPr>
          <w:rStyle w:val="30"/>
          <w:rFonts w:hint="default" w:ascii="Times New Roman" w:hAnsi="Times New Roman" w:eastAsia="黑体" w:cs="Times New Roman"/>
          <w:b w:val="0"/>
          <w:color w:val="auto"/>
          <w:highlight w:val="none"/>
        </w:rPr>
        <w:t>政府性基金预算支出决算情况说明</w:t>
      </w:r>
      <w:bookmarkEnd w:id="40"/>
      <w:bookmarkEnd w:id="41"/>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2024年度政府性基金预算财政拨款支出0万元，占本年支出合计的0%。与2023年度相比，政府性基金预算财政拨款支出增加0万元，增长0%。</w:t>
      </w:r>
    </w:p>
    <w:p>
      <w:pPr>
        <w:numPr>
          <w:ilvl w:val="0"/>
          <w:numId w:val="0"/>
        </w:numPr>
        <w:spacing w:line="600" w:lineRule="exact"/>
        <w:ind w:left="630" w:leftChars="0"/>
        <w:outlineLvl w:val="1"/>
        <w:rPr>
          <w:rStyle w:val="30"/>
          <w:rFonts w:hint="default" w:ascii="Times New Roman" w:hAnsi="Times New Roman" w:eastAsia="黑体" w:cs="Times New Roman"/>
          <w:b w:val="0"/>
          <w:color w:val="auto"/>
          <w:highlight w:val="none"/>
        </w:rPr>
      </w:pPr>
      <w:bookmarkStart w:id="42" w:name="_Toc15396611"/>
      <w:bookmarkStart w:id="43" w:name="_Toc15377219"/>
      <w:r>
        <w:rPr>
          <w:rStyle w:val="30"/>
          <w:rFonts w:hint="default" w:ascii="Times New Roman" w:hAnsi="Times New Roman" w:eastAsia="黑体" w:cs="Times New Roman"/>
          <w:b w:val="0"/>
          <w:color w:val="auto"/>
          <w:highlight w:val="none"/>
          <w:lang w:eastAsia="zh-CN"/>
        </w:rPr>
        <w:t>九、</w:t>
      </w:r>
      <w:r>
        <w:rPr>
          <w:rStyle w:val="30"/>
          <w:rFonts w:hint="default" w:ascii="Times New Roman" w:hAnsi="Times New Roman" w:eastAsia="黑体" w:cs="Times New Roman"/>
          <w:b w:val="0"/>
          <w:color w:val="auto"/>
          <w:highlight w:val="none"/>
        </w:rPr>
        <w:t>国有资本经营预算支出决算情况说明</w:t>
      </w:r>
      <w:bookmarkEnd w:id="42"/>
      <w:bookmarkEnd w:id="43"/>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2024年度国有资本经营预算财政拨款支出0万元，占本年支出合计的0%。与2023年度相比，国有资本经营预算财政拨款支出增加0万元，增长0%。</w:t>
      </w:r>
    </w:p>
    <w:p>
      <w:pPr>
        <w:numPr>
          <w:ilvl w:val="0"/>
          <w:numId w:val="0"/>
        </w:numPr>
        <w:spacing w:line="600" w:lineRule="exact"/>
        <w:ind w:left="630" w:leftChars="0"/>
        <w:outlineLvl w:val="1"/>
        <w:rPr>
          <w:rStyle w:val="30"/>
          <w:rFonts w:hint="default" w:ascii="Times New Roman" w:hAnsi="Times New Roman" w:eastAsia="黑体" w:cs="Times New Roman"/>
          <w:b w:val="0"/>
          <w:color w:val="auto"/>
          <w:highlight w:val="none"/>
        </w:rPr>
      </w:pPr>
      <w:bookmarkStart w:id="44" w:name="_Toc15396612"/>
      <w:bookmarkStart w:id="45" w:name="_Toc15377221"/>
      <w:r>
        <w:rPr>
          <w:rStyle w:val="30"/>
          <w:rFonts w:hint="default" w:ascii="Times New Roman" w:hAnsi="Times New Roman" w:eastAsia="黑体" w:cs="Times New Roman"/>
          <w:b w:val="0"/>
          <w:color w:val="auto"/>
          <w:highlight w:val="none"/>
          <w:lang w:eastAsia="zh-CN"/>
        </w:rPr>
        <w:t>十、</w:t>
      </w:r>
      <w:r>
        <w:rPr>
          <w:rStyle w:val="30"/>
          <w:rFonts w:hint="default" w:ascii="Times New Roman" w:hAnsi="Times New Roman" w:eastAsia="黑体" w:cs="Times New Roman"/>
          <w:b w:val="0"/>
          <w:color w:val="auto"/>
          <w:highlight w:val="none"/>
        </w:rPr>
        <w:t>其他重要事项的情况说明</w:t>
      </w:r>
      <w:bookmarkEnd w:id="44"/>
      <w:bookmarkEnd w:id="45"/>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46" w:name="_Toc15377222"/>
      <w:r>
        <w:rPr>
          <w:rFonts w:hint="default" w:ascii="Times New Roman" w:hAnsi="Times New Roman" w:eastAsia="楷体_GB2312" w:cs="Times New Roman"/>
          <w:b/>
          <w:color w:val="auto"/>
          <w:sz w:val="32"/>
          <w:szCs w:val="32"/>
          <w:highlight w:val="none"/>
        </w:rPr>
        <w:t>（一）机关运行经费支出情况</w:t>
      </w:r>
      <w:bookmarkEnd w:id="46"/>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2024年度，四川省纺织工业设计院机关运行经费支出0万元，与2023年度决算数持平。</w:t>
      </w:r>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47" w:name="_Toc15377223"/>
      <w:r>
        <w:rPr>
          <w:rFonts w:hint="default" w:ascii="Times New Roman" w:hAnsi="Times New Roman" w:eastAsia="楷体_GB2312" w:cs="Times New Roman"/>
          <w:b/>
          <w:color w:val="auto"/>
          <w:sz w:val="32"/>
          <w:szCs w:val="32"/>
          <w:highlight w:val="none"/>
        </w:rPr>
        <w:t>（二）政府采购支出情况</w:t>
      </w:r>
      <w:bookmarkEnd w:id="47"/>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四川省纺织工业设计院政府采购支出总额46.34万元，其中：政府采购货物支出42.02万元、政府采购工程支出0万元、政府采购服务支出4.32万元。主要用于办公设备采购、公务用车加油、维修保养及车辆保险。授予中小企业合同金额12.32万元，占政府采购支出总额的</w:t>
      </w:r>
      <w:r>
        <w:rPr>
          <w:rFonts w:hint="default" w:ascii="Times New Roman" w:hAnsi="Times New Roman" w:eastAsia="仿宋_GB2312" w:cs="Times New Roman"/>
          <w:sz w:val="32"/>
          <w:szCs w:val="32"/>
          <w:highlight w:val="none"/>
          <w:lang w:val="en-US" w:eastAsia="zh-CN"/>
        </w:rPr>
        <w:t>26.</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lang w:val="en-US" w:eastAsia="zh-CN"/>
        </w:rPr>
        <w:t>%，其中：授予小微企业合同金额6.04万元，占政府采购支出总额的</w:t>
      </w:r>
      <w:r>
        <w:rPr>
          <w:rFonts w:hint="default" w:ascii="Times New Roman" w:hAnsi="Times New Roman" w:eastAsia="仿宋_GB2312" w:cs="Times New Roman"/>
          <w:sz w:val="32"/>
          <w:szCs w:val="32"/>
          <w:highlight w:val="none"/>
          <w:lang w:val="en-US" w:eastAsia="zh-CN"/>
        </w:rPr>
        <w:t>13%</w:t>
      </w:r>
      <w:r>
        <w:rPr>
          <w:rFonts w:hint="default" w:ascii="Times New Roman" w:hAnsi="Times New Roman" w:eastAsia="仿宋_GB2312" w:cs="Times New Roman"/>
          <w:sz w:val="32"/>
          <w:szCs w:val="32"/>
          <w:lang w:val="en-US" w:eastAsia="zh-CN"/>
        </w:rPr>
        <w:t>。</w:t>
      </w:r>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bookmarkStart w:id="48" w:name="_Toc15377224"/>
      <w:r>
        <w:rPr>
          <w:rFonts w:hint="default" w:ascii="Times New Roman" w:hAnsi="Times New Roman" w:eastAsia="楷体_GB2312" w:cs="Times New Roman"/>
          <w:b/>
          <w:color w:val="auto"/>
          <w:sz w:val="32"/>
          <w:szCs w:val="32"/>
          <w:highlight w:val="none"/>
        </w:rPr>
        <w:t>（三）国有资产占有使用情况</w:t>
      </w:r>
      <w:bookmarkEnd w:id="48"/>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截至2024年12月31日，四川省纺织工业设计院共有车辆3辆，其中：主要负责人用车0辆、机要通信用车0辆、应急保障用车0辆、其他用车3辆，其他用车主要是用于单位管理正常运行。单价100万元（含）以上设备（不含车辆）0台（套）。</w:t>
      </w:r>
    </w:p>
    <w:p>
      <w:pPr>
        <w:spacing w:line="600" w:lineRule="exact"/>
        <w:ind w:firstLine="642" w:firstLineChars="200"/>
        <w:outlineLvl w:val="2"/>
        <w:rPr>
          <w:rFonts w:hint="default" w:ascii="Times New Roman" w:hAnsi="Times New Roman" w:eastAsia="楷体_GB2312" w:cs="Times New Roman"/>
          <w:b/>
          <w:color w:val="auto"/>
          <w:sz w:val="32"/>
          <w:szCs w:val="32"/>
          <w:highlight w:val="none"/>
        </w:rPr>
      </w:pPr>
      <w:r>
        <w:rPr>
          <w:rFonts w:hint="default" w:ascii="Times New Roman" w:hAnsi="Times New Roman" w:eastAsia="楷体_GB2312" w:cs="Times New Roman"/>
          <w:b/>
          <w:color w:val="auto"/>
          <w:sz w:val="32"/>
          <w:szCs w:val="32"/>
          <w:highlight w:val="none"/>
        </w:rPr>
        <w:t>（四）预算绩效管理情况</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根据预算绩效管理要求，本单位在2024年度预算编制阶段，组织对工资性支出、单位缴费、聘用人员经费、其他支出、日常公用经费、非定额公用经费、购买智慧办公系统技术开发服务、购买业务用车、福利费、工会经费等10个项目开展了预算事前绩效评估，对10个项目编制了绩效目标，预算执行过程中，选取10个项目开展绩效监控。</w:t>
      </w:r>
    </w:p>
    <w:p>
      <w:pPr>
        <w:spacing w:line="600" w:lineRule="exact"/>
        <w:ind w:firstLine="640"/>
        <w:rPr>
          <w:rFonts w:hint="default" w:ascii="Times New Roman" w:hAnsi="Times New Roman" w:eastAsia="仿宋_GB2312" w:cs="Times New Roman"/>
          <w:sz w:val="32"/>
          <w:szCs w:val="32"/>
          <w:lang w:val="en-US" w:eastAsia="zh-CN"/>
        </w:rPr>
      </w:pP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pStyle w:val="2"/>
        <w:rPr>
          <w:rFonts w:hint="default" w:ascii="Times New Roman" w:hAnsi="Times New Roman" w:eastAsia="仿宋_GB2312" w:cs="Times New Roman"/>
          <w:color w:val="auto"/>
          <w:kern w:val="2"/>
          <w:sz w:val="32"/>
          <w:szCs w:val="32"/>
          <w:highlight w:val="none"/>
          <w:lang w:val="en-US" w:eastAsia="zh-CN" w:bidi="ar-SA"/>
        </w:rPr>
      </w:pPr>
    </w:p>
    <w:p>
      <w:pPr>
        <w:numPr>
          <w:ilvl w:val="0"/>
          <w:numId w:val="0"/>
        </w:numPr>
        <w:spacing w:line="600" w:lineRule="exact"/>
        <w:jc w:val="center"/>
        <w:outlineLvl w:val="0"/>
        <w:rPr>
          <w:rFonts w:hint="default" w:ascii="Times New Roman" w:hAnsi="Times New Roman" w:eastAsia="黑体" w:cs="Times New Roman"/>
          <w:color w:val="auto"/>
          <w:sz w:val="44"/>
          <w:szCs w:val="44"/>
          <w:highlight w:val="none"/>
        </w:rPr>
      </w:pPr>
      <w:bookmarkStart w:id="49" w:name="_Toc15377225"/>
      <w:bookmarkStart w:id="50" w:name="_Toc15396613"/>
      <w:r>
        <w:rPr>
          <w:rFonts w:hint="default" w:ascii="Times New Roman" w:hAnsi="Times New Roman" w:eastAsia="黑体" w:cs="Times New Roman"/>
          <w:color w:val="auto"/>
          <w:sz w:val="44"/>
          <w:szCs w:val="44"/>
          <w:highlight w:val="none"/>
        </w:rPr>
        <w:t>第</w:t>
      </w:r>
      <w:r>
        <w:rPr>
          <w:rFonts w:hint="default" w:ascii="Times New Roman" w:hAnsi="Times New Roman" w:eastAsia="黑体" w:cs="Times New Roman"/>
          <w:color w:val="auto"/>
          <w:sz w:val="44"/>
          <w:szCs w:val="44"/>
          <w:highlight w:val="none"/>
          <w:lang w:eastAsia="zh-CN"/>
        </w:rPr>
        <w:t>三</w:t>
      </w:r>
      <w:r>
        <w:rPr>
          <w:rFonts w:hint="default" w:ascii="Times New Roman" w:hAnsi="Times New Roman" w:eastAsia="黑体" w:cs="Times New Roman"/>
          <w:color w:val="auto"/>
          <w:sz w:val="44"/>
          <w:szCs w:val="44"/>
          <w:highlight w:val="none"/>
        </w:rPr>
        <w:t>部分</w:t>
      </w:r>
      <w:r>
        <w:rPr>
          <w:rFonts w:hint="default" w:ascii="Times New Roman" w:hAnsi="Times New Roman" w:eastAsia="黑体" w:cs="Times New Roman"/>
          <w:color w:val="auto"/>
          <w:sz w:val="44"/>
          <w:szCs w:val="44"/>
          <w:highlight w:val="none"/>
          <w:lang w:val="en-US" w:eastAsia="zh-CN"/>
        </w:rPr>
        <w:t xml:space="preserve">  </w:t>
      </w:r>
      <w:r>
        <w:rPr>
          <w:rFonts w:hint="default" w:ascii="Times New Roman" w:hAnsi="Times New Roman" w:eastAsia="黑体" w:cs="Times New Roman"/>
          <w:color w:val="auto"/>
          <w:sz w:val="44"/>
          <w:szCs w:val="44"/>
          <w:highlight w:val="none"/>
        </w:rPr>
        <w:t>名词解释</w:t>
      </w:r>
      <w:bookmarkEnd w:id="49"/>
      <w:bookmarkEnd w:id="50"/>
    </w:p>
    <w:p>
      <w:pPr>
        <w:spacing w:line="600" w:lineRule="exact"/>
        <w:jc w:val="left"/>
        <w:rPr>
          <w:rFonts w:hint="default" w:ascii="Times New Roman" w:hAnsi="Times New Roman" w:cs="Times New Roman"/>
          <w:b/>
          <w:color w:val="auto"/>
          <w:sz w:val="44"/>
          <w:szCs w:val="44"/>
          <w:highlight w:val="none"/>
        </w:rPr>
      </w:pP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1.财政拨款收入：指单位从同级财政部门取得的财政预算资金。</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2.事业收入：指事业单位开展专业业务活动及辅助活动取得的收入。</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3.经营收入：指事业单位在专业业务活动及其辅助活动之外开展非独立核算经营活动取得的收入。如设计咨询费等。</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 xml:space="preserve">4.其他收入：指单位取得的除上述收入以外的各项收入。 </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 xml:space="preserve">5.使用非财政拨款结余（含专用结余）：指事业单位使用以前年度积累的非财政拨款结余弥补当年收支差额的金额。 </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 xml:space="preserve">6.年初结转和结余：指以前年度尚未完成、结转到本年按有关规定继续使用的资金。 </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7.结余分配：指事业单位按照会计制度规定缴纳的所得税、提取的专用结余以及转入非财政拨款结余的金额等。</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8.年末结转和结余：指单位按有关规定结转到下年或以后年度继续使用的资金。</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9.</w:t>
      </w:r>
      <w:r>
        <w:rPr>
          <w:rFonts w:hint="default" w:ascii="Times New Roman" w:hAnsi="Times New Roman" w:eastAsia="仿宋_GB2312" w:cs="Times New Roman"/>
          <w:color w:val="auto"/>
          <w:sz w:val="32"/>
          <w:szCs w:val="32"/>
          <w:highlight w:val="none"/>
        </w:rPr>
        <w:t>教育（类）</w:t>
      </w:r>
      <w:r>
        <w:rPr>
          <w:rFonts w:hint="default" w:ascii="Times New Roman" w:hAnsi="Times New Roman" w:eastAsia="仿宋_GB2312" w:cs="Times New Roman"/>
          <w:color w:val="auto"/>
          <w:sz w:val="32"/>
          <w:szCs w:val="32"/>
          <w:highlight w:val="none"/>
          <w:lang w:val="en-US" w:eastAsia="zh-CN"/>
        </w:rPr>
        <w:t>进修及培训</w:t>
      </w:r>
      <w:r>
        <w:rPr>
          <w:rFonts w:hint="default" w:ascii="Times New Roman" w:hAnsi="Times New Roman" w:eastAsia="仿宋_GB2312" w:cs="Times New Roman"/>
          <w:color w:val="auto"/>
          <w:sz w:val="32"/>
          <w:szCs w:val="32"/>
          <w:highlight w:val="none"/>
        </w:rPr>
        <w:t>（款）</w:t>
      </w:r>
      <w:r>
        <w:rPr>
          <w:rFonts w:hint="default" w:ascii="Times New Roman" w:hAnsi="Times New Roman" w:eastAsia="仿宋_GB2312" w:cs="Times New Roman"/>
          <w:color w:val="auto"/>
          <w:sz w:val="32"/>
          <w:szCs w:val="32"/>
          <w:highlight w:val="none"/>
          <w:lang w:val="en-US" w:eastAsia="zh-CN"/>
        </w:rPr>
        <w:t>培训支出</w:t>
      </w:r>
      <w:r>
        <w:rPr>
          <w:rFonts w:hint="default" w:ascii="Times New Roman" w:hAnsi="Times New Roman" w:eastAsia="仿宋_GB2312" w:cs="Times New Roman"/>
          <w:color w:val="auto"/>
          <w:sz w:val="32"/>
          <w:szCs w:val="32"/>
          <w:highlight w:val="none"/>
        </w:rPr>
        <w:t>（项）：指</w:t>
      </w:r>
      <w:r>
        <w:rPr>
          <w:rFonts w:hint="default" w:ascii="Times New Roman" w:hAnsi="Times New Roman" w:eastAsia="仿宋_GB2312" w:cs="Times New Roman"/>
          <w:color w:val="auto"/>
          <w:sz w:val="32"/>
          <w:szCs w:val="32"/>
          <w:highlight w:val="none"/>
          <w:lang w:val="en-US" w:eastAsia="zh-CN"/>
        </w:rPr>
        <w:t>各部门安排的用于培训的支出</w:t>
      </w:r>
      <w:r>
        <w:rPr>
          <w:rFonts w:hint="default" w:ascii="Times New Roman" w:hAnsi="Times New Roman" w:eastAsia="仿宋_GB2312" w:cs="Times New Roman"/>
          <w:color w:val="auto"/>
          <w:sz w:val="32"/>
          <w:szCs w:val="32"/>
          <w:highlight w:val="none"/>
        </w:rPr>
        <w:t>。</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10.</w:t>
      </w:r>
      <w:r>
        <w:rPr>
          <w:rFonts w:hint="default" w:ascii="Times New Roman" w:hAnsi="Times New Roman" w:eastAsia="仿宋_GB2312" w:cs="Times New Roman"/>
          <w:color w:val="auto"/>
          <w:sz w:val="32"/>
          <w:szCs w:val="32"/>
          <w:highlight w:val="none"/>
        </w:rPr>
        <w:t>社会保障和就业（类）</w:t>
      </w:r>
      <w:r>
        <w:rPr>
          <w:rFonts w:hint="default" w:ascii="Times New Roman" w:hAnsi="Times New Roman" w:eastAsia="仿宋_GB2312" w:cs="Times New Roman"/>
          <w:color w:val="auto"/>
          <w:sz w:val="32"/>
          <w:szCs w:val="32"/>
          <w:highlight w:val="none"/>
          <w:lang w:val="en-US" w:eastAsia="zh-CN"/>
        </w:rPr>
        <w:t>行政事业单位养老支出</w:t>
      </w:r>
      <w:r>
        <w:rPr>
          <w:rFonts w:hint="default" w:ascii="Times New Roman" w:hAnsi="Times New Roman" w:eastAsia="仿宋_GB2312" w:cs="Times New Roman"/>
          <w:color w:val="auto"/>
          <w:sz w:val="32"/>
          <w:szCs w:val="32"/>
          <w:highlight w:val="none"/>
        </w:rPr>
        <w:t>（款）</w:t>
      </w:r>
      <w:r>
        <w:rPr>
          <w:rFonts w:hint="default" w:ascii="Times New Roman" w:hAnsi="Times New Roman" w:eastAsia="仿宋_GB2312" w:cs="Times New Roman"/>
          <w:color w:val="auto"/>
          <w:sz w:val="32"/>
          <w:szCs w:val="32"/>
          <w:highlight w:val="none"/>
          <w:lang w:val="en-US" w:eastAsia="zh-CN"/>
        </w:rPr>
        <w:t>事业单位离退休</w:t>
      </w:r>
      <w:r>
        <w:rPr>
          <w:rFonts w:hint="default" w:ascii="Times New Roman" w:hAnsi="Times New Roman" w:eastAsia="仿宋_GB2312" w:cs="Times New Roman"/>
          <w:color w:val="auto"/>
          <w:sz w:val="32"/>
          <w:szCs w:val="32"/>
          <w:highlight w:val="none"/>
        </w:rPr>
        <w:t>（项）：指</w:t>
      </w:r>
      <w:r>
        <w:rPr>
          <w:rFonts w:hint="default" w:ascii="Times New Roman" w:hAnsi="Times New Roman" w:eastAsia="仿宋_GB2312" w:cs="Times New Roman"/>
          <w:color w:val="auto"/>
          <w:sz w:val="32"/>
          <w:szCs w:val="32"/>
          <w:highlight w:val="none"/>
          <w:lang w:val="en-US" w:eastAsia="zh-CN"/>
        </w:rPr>
        <w:t>事业单位开支的离退休经费</w:t>
      </w:r>
      <w:r>
        <w:rPr>
          <w:rFonts w:hint="default" w:ascii="Times New Roman" w:hAnsi="Times New Roman" w:eastAsia="仿宋_GB2312" w:cs="Times New Roman"/>
          <w:color w:val="auto"/>
          <w:sz w:val="32"/>
          <w:szCs w:val="32"/>
          <w:highlight w:val="none"/>
        </w:rPr>
        <w:t>。</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11.</w:t>
      </w:r>
      <w:r>
        <w:rPr>
          <w:rFonts w:hint="default" w:ascii="Times New Roman" w:hAnsi="Times New Roman" w:eastAsia="仿宋_GB2312" w:cs="Times New Roman"/>
          <w:color w:val="auto"/>
          <w:sz w:val="32"/>
          <w:szCs w:val="32"/>
          <w:highlight w:val="none"/>
        </w:rPr>
        <w:t>社会保障和就业（类）</w:t>
      </w:r>
      <w:r>
        <w:rPr>
          <w:rFonts w:hint="default" w:ascii="Times New Roman" w:hAnsi="Times New Roman" w:eastAsia="仿宋_GB2312" w:cs="Times New Roman"/>
          <w:color w:val="auto"/>
          <w:sz w:val="32"/>
          <w:szCs w:val="32"/>
          <w:highlight w:val="none"/>
          <w:lang w:val="en-US" w:eastAsia="zh-CN"/>
        </w:rPr>
        <w:t>行政事业单位养老支出</w:t>
      </w:r>
      <w:r>
        <w:rPr>
          <w:rFonts w:hint="default" w:ascii="Times New Roman" w:hAnsi="Times New Roman" w:eastAsia="仿宋_GB2312" w:cs="Times New Roman"/>
          <w:color w:val="auto"/>
          <w:sz w:val="32"/>
          <w:szCs w:val="32"/>
          <w:highlight w:val="none"/>
        </w:rPr>
        <w:t>（款）</w:t>
      </w:r>
      <w:r>
        <w:rPr>
          <w:rFonts w:hint="default" w:ascii="Times New Roman" w:hAnsi="Times New Roman" w:eastAsia="仿宋_GB2312" w:cs="Times New Roman"/>
          <w:color w:val="auto"/>
          <w:sz w:val="32"/>
          <w:szCs w:val="32"/>
          <w:highlight w:val="none"/>
          <w:lang w:val="en-US" w:eastAsia="zh-CN"/>
        </w:rPr>
        <w:t>机关事业单位基本养老保险缴费支出</w:t>
      </w:r>
      <w:r>
        <w:rPr>
          <w:rFonts w:hint="default" w:ascii="Times New Roman" w:hAnsi="Times New Roman" w:eastAsia="仿宋_GB2312" w:cs="Times New Roman"/>
          <w:color w:val="auto"/>
          <w:sz w:val="32"/>
          <w:szCs w:val="32"/>
          <w:highlight w:val="none"/>
        </w:rPr>
        <w:t>（项）：指</w:t>
      </w:r>
      <w:r>
        <w:rPr>
          <w:rFonts w:hint="default" w:ascii="Times New Roman" w:hAnsi="Times New Roman" w:eastAsia="仿宋_GB2312" w:cs="Times New Roman"/>
          <w:color w:val="auto"/>
          <w:sz w:val="32"/>
          <w:szCs w:val="32"/>
          <w:highlight w:val="none"/>
          <w:lang w:val="en-US" w:eastAsia="zh-CN"/>
        </w:rPr>
        <w:t>机关事业单位实施养老保险制度由单位缴纳的基本养老保险费支出</w:t>
      </w:r>
      <w:r>
        <w:rPr>
          <w:rFonts w:hint="default" w:ascii="Times New Roman" w:hAnsi="Times New Roman" w:eastAsia="仿宋_GB2312" w:cs="Times New Roman"/>
          <w:color w:val="auto"/>
          <w:sz w:val="32"/>
          <w:szCs w:val="32"/>
          <w:highlight w:val="none"/>
        </w:rPr>
        <w:t>。</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12.</w:t>
      </w:r>
      <w:r>
        <w:rPr>
          <w:rFonts w:hint="default" w:ascii="Times New Roman" w:hAnsi="Times New Roman" w:eastAsia="仿宋_GB2312" w:cs="Times New Roman"/>
          <w:color w:val="auto"/>
          <w:sz w:val="32"/>
          <w:szCs w:val="32"/>
          <w:highlight w:val="none"/>
        </w:rPr>
        <w:t>社会保障和就业（类）</w:t>
      </w:r>
      <w:r>
        <w:rPr>
          <w:rFonts w:hint="default" w:ascii="Times New Roman" w:hAnsi="Times New Roman" w:eastAsia="仿宋_GB2312" w:cs="Times New Roman"/>
          <w:color w:val="auto"/>
          <w:sz w:val="32"/>
          <w:szCs w:val="32"/>
          <w:highlight w:val="none"/>
          <w:lang w:val="en-US" w:eastAsia="zh-CN"/>
        </w:rPr>
        <w:t>其他社会保障和就业支出</w:t>
      </w:r>
      <w:r>
        <w:rPr>
          <w:rFonts w:hint="default" w:ascii="Times New Roman" w:hAnsi="Times New Roman" w:eastAsia="仿宋_GB2312" w:cs="Times New Roman"/>
          <w:color w:val="auto"/>
          <w:sz w:val="32"/>
          <w:szCs w:val="32"/>
          <w:highlight w:val="none"/>
        </w:rPr>
        <w:t>（款）</w:t>
      </w:r>
      <w:r>
        <w:rPr>
          <w:rFonts w:hint="default" w:ascii="Times New Roman" w:hAnsi="Times New Roman" w:eastAsia="仿宋_GB2312" w:cs="Times New Roman"/>
          <w:color w:val="auto"/>
          <w:sz w:val="32"/>
          <w:szCs w:val="32"/>
          <w:highlight w:val="none"/>
          <w:lang w:val="en-US" w:eastAsia="zh-CN"/>
        </w:rPr>
        <w:t>其他社会保障和就业支出</w:t>
      </w:r>
      <w:r>
        <w:rPr>
          <w:rFonts w:hint="default" w:ascii="Times New Roman" w:hAnsi="Times New Roman" w:eastAsia="仿宋_GB2312" w:cs="Times New Roman"/>
          <w:color w:val="auto"/>
          <w:sz w:val="32"/>
          <w:szCs w:val="32"/>
          <w:highlight w:val="none"/>
        </w:rPr>
        <w:t>（项）：指</w:t>
      </w:r>
      <w:r>
        <w:rPr>
          <w:rFonts w:hint="default" w:ascii="Times New Roman" w:hAnsi="Times New Roman" w:eastAsia="仿宋_GB2312" w:cs="Times New Roman"/>
          <w:color w:val="auto"/>
          <w:sz w:val="32"/>
          <w:szCs w:val="32"/>
          <w:highlight w:val="none"/>
          <w:lang w:val="en-US" w:eastAsia="zh-CN"/>
        </w:rPr>
        <w:t>除上述项目以外其他用于社会保障和就业方面的支出</w:t>
      </w:r>
      <w:r>
        <w:rPr>
          <w:rFonts w:hint="default" w:ascii="Times New Roman" w:hAnsi="Times New Roman" w:eastAsia="仿宋_GB2312" w:cs="Times New Roman"/>
          <w:color w:val="auto"/>
          <w:sz w:val="32"/>
          <w:szCs w:val="32"/>
          <w:highlight w:val="none"/>
        </w:rPr>
        <w:t>。</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13.</w:t>
      </w:r>
      <w:r>
        <w:rPr>
          <w:rFonts w:hint="default" w:ascii="Times New Roman" w:hAnsi="Times New Roman" w:eastAsia="仿宋_GB2312" w:cs="Times New Roman"/>
          <w:color w:val="auto"/>
          <w:sz w:val="32"/>
          <w:szCs w:val="32"/>
          <w:highlight w:val="none"/>
          <w:lang w:val="en-US" w:eastAsia="zh-CN"/>
        </w:rPr>
        <w:t>卫生健康支出</w:t>
      </w:r>
      <w:r>
        <w:rPr>
          <w:rFonts w:hint="default" w:ascii="Times New Roman" w:hAnsi="Times New Roman" w:eastAsia="仿宋_GB2312" w:cs="Times New Roman"/>
          <w:color w:val="auto"/>
          <w:sz w:val="32"/>
          <w:szCs w:val="32"/>
          <w:highlight w:val="none"/>
        </w:rPr>
        <w:t>（类）</w:t>
      </w:r>
      <w:r>
        <w:rPr>
          <w:rFonts w:hint="default" w:ascii="Times New Roman" w:hAnsi="Times New Roman" w:eastAsia="仿宋_GB2312" w:cs="Times New Roman"/>
          <w:color w:val="auto"/>
          <w:sz w:val="32"/>
          <w:szCs w:val="32"/>
          <w:highlight w:val="none"/>
          <w:lang w:val="en-US" w:eastAsia="zh-CN"/>
        </w:rPr>
        <w:t>行政事业单位医疗</w:t>
      </w:r>
      <w:r>
        <w:rPr>
          <w:rFonts w:hint="default" w:ascii="Times New Roman" w:hAnsi="Times New Roman" w:eastAsia="仿宋_GB2312" w:cs="Times New Roman"/>
          <w:color w:val="auto"/>
          <w:sz w:val="32"/>
          <w:szCs w:val="32"/>
          <w:highlight w:val="none"/>
        </w:rPr>
        <w:t>（款）</w:t>
      </w:r>
      <w:r>
        <w:rPr>
          <w:rFonts w:hint="default" w:ascii="Times New Roman" w:hAnsi="Times New Roman" w:eastAsia="仿宋_GB2312" w:cs="Times New Roman"/>
          <w:color w:val="auto"/>
          <w:sz w:val="32"/>
          <w:szCs w:val="32"/>
          <w:highlight w:val="none"/>
          <w:lang w:val="en-US" w:eastAsia="zh-CN"/>
        </w:rPr>
        <w:t>事业单位医疗</w:t>
      </w:r>
      <w:r>
        <w:rPr>
          <w:rFonts w:hint="default" w:ascii="Times New Roman" w:hAnsi="Times New Roman" w:eastAsia="仿宋_GB2312" w:cs="Times New Roman"/>
          <w:color w:val="auto"/>
          <w:sz w:val="32"/>
          <w:szCs w:val="32"/>
          <w:highlight w:val="none"/>
        </w:rPr>
        <w:t>（项）：指</w:t>
      </w:r>
      <w:r>
        <w:rPr>
          <w:rFonts w:hint="default" w:ascii="Times New Roman" w:hAnsi="Times New Roman" w:eastAsia="仿宋_GB2312" w:cs="Times New Roman"/>
          <w:color w:val="auto"/>
          <w:sz w:val="32"/>
          <w:szCs w:val="32"/>
          <w:highlight w:val="none"/>
          <w:lang w:val="en-US" w:eastAsia="zh-CN"/>
        </w:rPr>
        <w:t>财政部门安排的事业单位基本医疗保险缴费经费，未参加医疗保险的事业单位的公费医疗经费，按国家规定享受离休人员待遇的医疗经费</w:t>
      </w:r>
      <w:r>
        <w:rPr>
          <w:rFonts w:hint="default" w:ascii="Times New Roman" w:hAnsi="Times New Roman" w:eastAsia="仿宋_GB2312" w:cs="Times New Roman"/>
          <w:color w:val="auto"/>
          <w:sz w:val="32"/>
          <w:szCs w:val="32"/>
          <w:highlight w:val="none"/>
        </w:rPr>
        <w:t>。</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14.</w:t>
      </w:r>
      <w:r>
        <w:rPr>
          <w:rFonts w:hint="default" w:ascii="Times New Roman" w:hAnsi="Times New Roman" w:eastAsia="仿宋_GB2312" w:cs="Times New Roman"/>
          <w:color w:val="auto"/>
          <w:sz w:val="32"/>
          <w:szCs w:val="32"/>
          <w:highlight w:val="none"/>
        </w:rPr>
        <w:t>资源勘探信息等（类）</w:t>
      </w:r>
      <w:r>
        <w:rPr>
          <w:rFonts w:hint="default" w:ascii="Times New Roman" w:hAnsi="Times New Roman" w:eastAsia="仿宋_GB2312" w:cs="Times New Roman"/>
          <w:color w:val="auto"/>
          <w:sz w:val="32"/>
          <w:szCs w:val="32"/>
          <w:highlight w:val="none"/>
          <w:lang w:val="en-US" w:eastAsia="zh-CN"/>
        </w:rPr>
        <w:t>制造业</w:t>
      </w:r>
      <w:r>
        <w:rPr>
          <w:rFonts w:hint="default" w:ascii="Times New Roman" w:hAnsi="Times New Roman" w:eastAsia="仿宋_GB2312" w:cs="Times New Roman"/>
          <w:color w:val="auto"/>
          <w:sz w:val="32"/>
          <w:szCs w:val="32"/>
          <w:highlight w:val="none"/>
        </w:rPr>
        <w:t>（款）</w:t>
      </w:r>
      <w:r>
        <w:rPr>
          <w:rFonts w:hint="default" w:ascii="Times New Roman" w:hAnsi="Times New Roman" w:eastAsia="仿宋_GB2312" w:cs="Times New Roman"/>
          <w:color w:val="auto"/>
          <w:sz w:val="32"/>
          <w:szCs w:val="32"/>
          <w:highlight w:val="none"/>
          <w:lang w:val="en-US" w:eastAsia="zh-CN"/>
        </w:rPr>
        <w:t>纺织业</w:t>
      </w:r>
      <w:r>
        <w:rPr>
          <w:rFonts w:hint="default" w:ascii="Times New Roman" w:hAnsi="Times New Roman" w:eastAsia="仿宋_GB2312" w:cs="Times New Roman"/>
          <w:color w:val="auto"/>
          <w:sz w:val="32"/>
          <w:szCs w:val="32"/>
          <w:highlight w:val="none"/>
        </w:rPr>
        <w:t>（项）：指</w:t>
      </w:r>
      <w:r>
        <w:rPr>
          <w:rFonts w:hint="default" w:ascii="Times New Roman" w:hAnsi="Times New Roman" w:eastAsia="仿宋_GB2312" w:cs="Times New Roman"/>
          <w:color w:val="auto"/>
          <w:sz w:val="32"/>
          <w:szCs w:val="32"/>
          <w:highlight w:val="none"/>
          <w:lang w:val="en-US" w:eastAsia="zh-CN"/>
        </w:rPr>
        <w:t>用于纺织业方面的支出</w:t>
      </w:r>
      <w:r>
        <w:rPr>
          <w:rFonts w:hint="default" w:ascii="Times New Roman" w:hAnsi="Times New Roman" w:eastAsia="仿宋_GB2312" w:cs="Times New Roman"/>
          <w:color w:val="auto"/>
          <w:sz w:val="32"/>
          <w:szCs w:val="32"/>
          <w:highlight w:val="none"/>
        </w:rPr>
        <w:t>。</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15.</w:t>
      </w:r>
      <w:r>
        <w:rPr>
          <w:rFonts w:hint="default" w:ascii="Times New Roman" w:hAnsi="Times New Roman" w:eastAsia="仿宋_GB2312" w:cs="Times New Roman"/>
          <w:color w:val="auto"/>
          <w:sz w:val="32"/>
          <w:szCs w:val="32"/>
          <w:highlight w:val="none"/>
        </w:rPr>
        <w:t>住房保障（类）</w:t>
      </w:r>
      <w:r>
        <w:rPr>
          <w:rFonts w:hint="default" w:ascii="Times New Roman" w:hAnsi="Times New Roman" w:eastAsia="仿宋_GB2312" w:cs="Times New Roman"/>
          <w:color w:val="auto"/>
          <w:sz w:val="32"/>
          <w:szCs w:val="32"/>
          <w:highlight w:val="none"/>
          <w:lang w:val="en-US" w:eastAsia="zh-CN"/>
        </w:rPr>
        <w:t>住房改革支出</w:t>
      </w:r>
      <w:r>
        <w:rPr>
          <w:rFonts w:hint="default" w:ascii="Times New Roman" w:hAnsi="Times New Roman" w:eastAsia="仿宋_GB2312" w:cs="Times New Roman"/>
          <w:color w:val="auto"/>
          <w:sz w:val="32"/>
          <w:szCs w:val="32"/>
          <w:highlight w:val="none"/>
        </w:rPr>
        <w:t>（款）</w:t>
      </w:r>
      <w:r>
        <w:rPr>
          <w:rFonts w:hint="default" w:ascii="Times New Roman" w:hAnsi="Times New Roman" w:eastAsia="仿宋_GB2312" w:cs="Times New Roman"/>
          <w:color w:val="auto"/>
          <w:sz w:val="32"/>
          <w:szCs w:val="32"/>
          <w:highlight w:val="none"/>
          <w:lang w:val="en-US" w:eastAsia="zh-CN"/>
        </w:rPr>
        <w:t>住房公积金</w:t>
      </w:r>
      <w:r>
        <w:rPr>
          <w:rFonts w:hint="default" w:ascii="Times New Roman" w:hAnsi="Times New Roman" w:eastAsia="仿宋_GB2312" w:cs="Times New Roman"/>
          <w:color w:val="auto"/>
          <w:sz w:val="32"/>
          <w:szCs w:val="32"/>
          <w:highlight w:val="none"/>
        </w:rPr>
        <w:t>（项）：指</w:t>
      </w:r>
      <w:r>
        <w:rPr>
          <w:rFonts w:hint="default" w:ascii="Times New Roman" w:hAnsi="Times New Roman" w:eastAsia="仿宋_GB2312" w:cs="Times New Roman"/>
          <w:color w:val="auto"/>
          <w:sz w:val="32"/>
          <w:szCs w:val="32"/>
          <w:highlight w:val="none"/>
          <w:lang w:val="en-US" w:eastAsia="zh-CN"/>
        </w:rPr>
        <w:t>行政事业单位按人力资源和社会保障部、财政部规定的基本工资和津贴补贴以及规定比例为职工缴纳的住房公积金</w:t>
      </w:r>
      <w:r>
        <w:rPr>
          <w:rFonts w:hint="default" w:ascii="Times New Roman" w:hAnsi="Times New Roman" w:eastAsia="仿宋_GB2312" w:cs="Times New Roman"/>
          <w:color w:val="auto"/>
          <w:sz w:val="32"/>
          <w:szCs w:val="32"/>
          <w:highlight w:val="none"/>
        </w:rPr>
        <w:t>。</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auto"/>
          <w:kern w:val="2"/>
          <w:sz w:val="32"/>
          <w:szCs w:val="32"/>
          <w:highlight w:val="none"/>
          <w:lang w:val="en-US" w:eastAsia="zh-CN" w:bidi="ar-SA"/>
        </w:rPr>
        <w:t>16.</w:t>
      </w:r>
      <w:r>
        <w:rPr>
          <w:rFonts w:hint="default" w:ascii="Times New Roman" w:hAnsi="Times New Roman" w:eastAsia="仿宋_GB2312" w:cs="Times New Roman"/>
          <w:sz w:val="32"/>
          <w:szCs w:val="32"/>
        </w:rPr>
        <w:t>基本支出：指为保障机构正常运转、完成日常工作任务而发生的人员支出和公用支出。</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auto"/>
          <w:kern w:val="2"/>
          <w:sz w:val="32"/>
          <w:szCs w:val="32"/>
          <w:highlight w:val="none"/>
          <w:lang w:val="en-US" w:eastAsia="zh-CN" w:bidi="ar-SA"/>
        </w:rPr>
        <w:t>17.</w:t>
      </w:r>
      <w:r>
        <w:rPr>
          <w:rFonts w:hint="default" w:ascii="Times New Roman" w:hAnsi="Times New Roman" w:eastAsia="仿宋_GB2312" w:cs="Times New Roman"/>
          <w:sz w:val="32"/>
          <w:szCs w:val="32"/>
        </w:rPr>
        <w:t xml:space="preserve">项目支出：指在基本支出之外为完成特定行政任务和事业发展目标所发生的支出。 </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auto"/>
          <w:kern w:val="2"/>
          <w:sz w:val="32"/>
          <w:szCs w:val="32"/>
          <w:highlight w:val="none"/>
          <w:lang w:val="en-US" w:eastAsia="zh-CN" w:bidi="ar-SA"/>
        </w:rPr>
        <w:t>18.</w:t>
      </w:r>
      <w:r>
        <w:rPr>
          <w:rFonts w:hint="default" w:ascii="Times New Roman" w:hAnsi="Times New Roman" w:eastAsia="仿宋_GB2312" w:cs="Times New Roman"/>
          <w:sz w:val="32"/>
          <w:szCs w:val="32"/>
        </w:rPr>
        <w:t>经营支出：指事业单位在专业业务活动及其辅助活动之外开展非独立核算经营活动发生的支出。</w:t>
      </w:r>
    </w:p>
    <w:p>
      <w:pPr>
        <w:pStyle w:val="27"/>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2"/>
          <w:sz w:val="32"/>
          <w:szCs w:val="32"/>
          <w:highlight w:val="none"/>
          <w:lang w:val="en-US" w:eastAsia="zh-CN" w:bidi="ar-SA"/>
        </w:rPr>
        <w:t>19.</w:t>
      </w:r>
      <w:r>
        <w:rPr>
          <w:rFonts w:hint="default" w:ascii="Times New Roman" w:hAnsi="Times New Roman" w:eastAsia="仿宋_GB2312" w:cs="Times New Roman"/>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p>
    <w:p>
      <w:pPr>
        <w:spacing w:line="600" w:lineRule="exact"/>
        <w:jc w:val="center"/>
        <w:rPr>
          <w:rStyle w:val="29"/>
          <w:rFonts w:hint="default" w:ascii="Times New Roman" w:hAnsi="Times New Roman" w:eastAsia="黑体" w:cs="Times New Roman"/>
          <w:b w:val="0"/>
          <w:color w:val="auto"/>
          <w:highlight w:val="none"/>
          <w:lang w:eastAsia="zh-CN"/>
        </w:rPr>
      </w:pPr>
      <w:bookmarkStart w:id="51" w:name="_Toc15377226"/>
      <w:r>
        <w:rPr>
          <w:rFonts w:hint="default" w:ascii="Times New Roman" w:hAnsi="Times New Roman" w:eastAsia="仿宋_GB2312" w:cs="Times New Roman"/>
          <w:color w:val="auto"/>
          <w:kern w:val="2"/>
          <w:sz w:val="32"/>
          <w:szCs w:val="32"/>
          <w:highlight w:val="none"/>
          <w:lang w:val="en-US" w:eastAsia="zh-CN" w:bidi="ar-SA"/>
        </w:rPr>
        <w:br w:type="page"/>
      </w:r>
      <w:bookmarkStart w:id="52" w:name="_Toc15396614"/>
      <w:r>
        <w:rPr>
          <w:rFonts w:hint="default" w:ascii="Times New Roman" w:hAnsi="Times New Roman" w:eastAsia="黑体" w:cs="Times New Roman"/>
          <w:color w:val="auto"/>
          <w:sz w:val="44"/>
          <w:szCs w:val="44"/>
          <w:highlight w:val="none"/>
        </w:rPr>
        <w:t>第四部分</w:t>
      </w:r>
      <w:r>
        <w:rPr>
          <w:rFonts w:hint="default" w:ascii="Times New Roman" w:hAnsi="Times New Roman" w:eastAsia="黑体" w:cs="Times New Roman"/>
          <w:color w:val="auto"/>
          <w:sz w:val="44"/>
          <w:szCs w:val="44"/>
          <w:highlight w:val="none"/>
          <w:lang w:val="en-US" w:eastAsia="zh-CN"/>
        </w:rPr>
        <w:t xml:space="preserve"> </w:t>
      </w:r>
      <w:r>
        <w:rPr>
          <w:rFonts w:hint="default" w:ascii="Times New Roman" w:hAnsi="Times New Roman" w:eastAsia="黑体" w:cs="Times New Roman"/>
          <w:color w:val="auto"/>
          <w:sz w:val="44"/>
          <w:szCs w:val="44"/>
          <w:highlight w:val="none"/>
        </w:rPr>
        <w:t xml:space="preserve"> 附件</w:t>
      </w:r>
      <w:bookmarkEnd w:id="52"/>
    </w:p>
    <w:p>
      <w:pPr>
        <w:pStyle w:val="2"/>
        <w:rPr>
          <w:rFonts w:hint="default" w:ascii="Times New Roman" w:hAnsi="Times New Roman" w:eastAsia="黑体" w:cs="Times New Roman"/>
          <w:color w:val="auto"/>
          <w:kern w:val="0"/>
          <w:sz w:val="32"/>
          <w:szCs w:val="32"/>
          <w:highlight w:val="none"/>
          <w:shd w:val="clear" w:color="auto" w:fill="FFFFFF"/>
          <w:lang w:val="zh-CN"/>
        </w:rPr>
      </w:pPr>
      <w:r>
        <w:drawing>
          <wp:inline distT="0" distB="0" distL="114300" distR="114300">
            <wp:extent cx="5633085" cy="8004810"/>
            <wp:effectExtent l="0" t="0" r="5715" b="15240"/>
            <wp:docPr id="12"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true"/>
                    </pic:cNvPicPr>
                  </pic:nvPicPr>
                  <pic:blipFill>
                    <a:blip r:embed="rId16"/>
                    <a:stretch>
                      <a:fillRect/>
                    </a:stretch>
                  </pic:blipFill>
                  <pic:spPr>
                    <a:xfrm>
                      <a:off x="0" y="0"/>
                      <a:ext cx="5633085" cy="800481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spacing w:line="240" w:lineRule="auto"/>
        <w:textAlignment w:val="auto"/>
        <w:outlineLvl w:val="9"/>
        <w:rPr>
          <w:rFonts w:hint="default" w:ascii="Times New Roman" w:hAnsi="Times New Roman" w:eastAsia="仿宋_GB2312" w:cs="Times New Roman"/>
          <w:b w:val="0"/>
          <w:bCs w:val="0"/>
          <w:kern w:val="0"/>
          <w:position w:val="0"/>
          <w:sz w:val="32"/>
          <w:szCs w:val="32"/>
          <w:highlight w:val="none"/>
          <w:lang w:val="en-US" w:eastAsia="zh-CN" w:bidi="ar-SA"/>
        </w:rPr>
      </w:pPr>
      <w:bookmarkStart w:id="53" w:name="_Toc15396618"/>
    </w:p>
    <w:p>
      <w:pPr>
        <w:widowControl/>
        <w:jc w:val="center"/>
        <w:rPr>
          <w:rFonts w:hint="default" w:ascii="Times New Roman" w:hAnsi="Times New Roman" w:eastAsia="仿宋" w:cs="Times New Roman"/>
          <w:b w:val="0"/>
          <w:color w:val="auto"/>
          <w:highlight w:val="none"/>
        </w:rPr>
      </w:pPr>
      <w:r>
        <w:rPr>
          <w:rFonts w:hint="default" w:ascii="Times New Roman" w:hAnsi="Times New Roman" w:eastAsia="黑体" w:cs="Times New Roman"/>
          <w:color w:val="auto"/>
          <w:sz w:val="44"/>
          <w:szCs w:val="44"/>
          <w:highlight w:val="none"/>
        </w:rPr>
        <w:t>第</w:t>
      </w:r>
      <w:r>
        <w:rPr>
          <w:rStyle w:val="29"/>
          <w:rFonts w:hint="default" w:ascii="Times New Roman" w:hAnsi="Times New Roman" w:eastAsia="黑体" w:cs="Times New Roman"/>
          <w:b w:val="0"/>
          <w:color w:val="auto"/>
          <w:highlight w:val="none"/>
        </w:rPr>
        <w:t>五部分 附表</w:t>
      </w:r>
      <w:bookmarkEnd w:id="51"/>
      <w:bookmarkEnd w:id="53"/>
      <w:bookmarkStart w:id="54" w:name="_Toc15396619"/>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一、收入支出决算总表</w:t>
      </w:r>
      <w:bookmarkEnd w:id="54"/>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55" w:name="_Toc15396620"/>
      <w:r>
        <w:rPr>
          <w:rFonts w:hint="default" w:ascii="Times New Roman" w:hAnsi="Times New Roman" w:eastAsia="仿宋_GB2312" w:cs="Times New Roman"/>
          <w:color w:val="auto"/>
          <w:sz w:val="32"/>
          <w:szCs w:val="32"/>
          <w:highlight w:val="none"/>
        </w:rPr>
        <w:t>二、收入决算表</w:t>
      </w:r>
      <w:bookmarkEnd w:id="55"/>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56" w:name="_Toc15396621"/>
      <w:r>
        <w:rPr>
          <w:rFonts w:hint="default" w:ascii="Times New Roman" w:hAnsi="Times New Roman" w:eastAsia="仿宋_GB2312" w:cs="Times New Roman"/>
          <w:color w:val="auto"/>
          <w:sz w:val="32"/>
          <w:szCs w:val="32"/>
          <w:highlight w:val="none"/>
        </w:rPr>
        <w:t>三、支出决算表</w:t>
      </w:r>
      <w:bookmarkEnd w:id="56"/>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57" w:name="_Toc15396622"/>
      <w:r>
        <w:rPr>
          <w:rFonts w:hint="default" w:ascii="Times New Roman" w:hAnsi="Times New Roman" w:eastAsia="仿宋_GB2312" w:cs="Times New Roman"/>
          <w:color w:val="auto"/>
          <w:sz w:val="32"/>
          <w:szCs w:val="32"/>
          <w:highlight w:val="none"/>
        </w:rPr>
        <w:t>四、财政拨款收入支出决算总表</w:t>
      </w:r>
      <w:bookmarkEnd w:id="57"/>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58" w:name="_Toc15396623"/>
      <w:r>
        <w:rPr>
          <w:rFonts w:hint="default" w:ascii="Times New Roman" w:hAnsi="Times New Roman" w:eastAsia="仿宋_GB2312" w:cs="Times New Roman"/>
          <w:color w:val="auto"/>
          <w:sz w:val="32"/>
          <w:szCs w:val="32"/>
          <w:highlight w:val="none"/>
        </w:rPr>
        <w:t>五、财政拨款支出决算明细表</w:t>
      </w:r>
      <w:bookmarkEnd w:id="58"/>
      <w:bookmarkStart w:id="59" w:name="_Toc15396624"/>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六、一般公共预算财政拨款支出决算表</w:t>
      </w:r>
      <w:bookmarkEnd w:id="59"/>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60" w:name="_Toc15396625"/>
      <w:r>
        <w:rPr>
          <w:rFonts w:hint="default" w:ascii="Times New Roman" w:hAnsi="Times New Roman" w:eastAsia="仿宋_GB2312" w:cs="Times New Roman"/>
          <w:color w:val="auto"/>
          <w:sz w:val="32"/>
          <w:szCs w:val="32"/>
          <w:highlight w:val="none"/>
        </w:rPr>
        <w:t>七、一般公共预算财政拨款支出决算明细表</w:t>
      </w:r>
      <w:bookmarkEnd w:id="60"/>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61" w:name="_Toc15396626"/>
      <w:r>
        <w:rPr>
          <w:rFonts w:hint="default" w:ascii="Times New Roman" w:hAnsi="Times New Roman" w:eastAsia="仿宋_GB2312" w:cs="Times New Roman"/>
          <w:color w:val="auto"/>
          <w:sz w:val="32"/>
          <w:szCs w:val="32"/>
          <w:highlight w:val="none"/>
        </w:rPr>
        <w:t>八、一般公共预算财政拨款基本支出决算表</w:t>
      </w:r>
      <w:bookmarkEnd w:id="61"/>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62" w:name="_Toc15396627"/>
      <w:r>
        <w:rPr>
          <w:rFonts w:hint="default" w:ascii="Times New Roman" w:hAnsi="Times New Roman" w:eastAsia="仿宋_GB2312" w:cs="Times New Roman"/>
          <w:color w:val="auto"/>
          <w:sz w:val="32"/>
          <w:szCs w:val="32"/>
          <w:highlight w:val="none"/>
        </w:rPr>
        <w:t>九、一般公共预算财政拨款项目支出决算表</w:t>
      </w:r>
      <w:bookmarkEnd w:id="62"/>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63" w:name="_Toc15396628"/>
      <w:r>
        <w:rPr>
          <w:rFonts w:hint="default" w:ascii="Times New Roman" w:hAnsi="Times New Roman" w:eastAsia="仿宋_GB2312" w:cs="Times New Roman"/>
          <w:color w:val="auto"/>
          <w:sz w:val="32"/>
          <w:szCs w:val="32"/>
          <w:highlight w:val="none"/>
        </w:rPr>
        <w:t>十、</w:t>
      </w:r>
      <w:bookmarkEnd w:id="63"/>
      <w:r>
        <w:rPr>
          <w:rFonts w:hint="default" w:ascii="Times New Roman" w:hAnsi="Times New Roman" w:eastAsia="仿宋_GB2312" w:cs="Times New Roman"/>
          <w:color w:val="auto"/>
          <w:sz w:val="32"/>
          <w:szCs w:val="32"/>
          <w:highlight w:val="none"/>
        </w:rPr>
        <w:t>政府性基金预算财政拨款收入支出决算表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64" w:name="_Toc15396629"/>
      <w:r>
        <w:rPr>
          <w:rFonts w:hint="default" w:ascii="Times New Roman" w:hAnsi="Times New Roman" w:eastAsia="仿宋_GB2312" w:cs="Times New Roman"/>
          <w:color w:val="auto"/>
          <w:sz w:val="32"/>
          <w:szCs w:val="32"/>
          <w:highlight w:val="none"/>
        </w:rPr>
        <w:t>十一、</w:t>
      </w:r>
      <w:bookmarkEnd w:id="64"/>
      <w:r>
        <w:rPr>
          <w:rFonts w:hint="default" w:ascii="Times New Roman" w:hAnsi="Times New Roman" w:eastAsia="仿宋_GB2312" w:cs="Times New Roman"/>
          <w:color w:val="auto"/>
          <w:sz w:val="32"/>
          <w:szCs w:val="32"/>
          <w:highlight w:val="none"/>
        </w:rPr>
        <w:t>国有资本经营预算</w:t>
      </w:r>
      <w:r>
        <w:rPr>
          <w:rFonts w:hint="default" w:ascii="Times New Roman" w:hAnsi="Times New Roman" w:eastAsia="仿宋_GB2312" w:cs="Times New Roman"/>
          <w:color w:val="auto"/>
          <w:sz w:val="32"/>
          <w:szCs w:val="32"/>
          <w:highlight w:val="none"/>
          <w:lang w:eastAsia="zh-CN"/>
        </w:rPr>
        <w:t>财政拨款收入</w:t>
      </w:r>
      <w:r>
        <w:rPr>
          <w:rFonts w:hint="default" w:ascii="Times New Roman" w:hAnsi="Times New Roman" w:eastAsia="仿宋_GB2312" w:cs="Times New Roman"/>
          <w:color w:val="auto"/>
          <w:sz w:val="32"/>
          <w:szCs w:val="32"/>
          <w:highlight w:val="none"/>
        </w:rPr>
        <w:t>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65" w:name="_Toc15396630"/>
      <w:r>
        <w:rPr>
          <w:rFonts w:hint="default" w:ascii="Times New Roman" w:hAnsi="Times New Roman" w:eastAsia="仿宋_GB2312" w:cs="Times New Roman"/>
          <w:color w:val="auto"/>
          <w:sz w:val="32"/>
          <w:szCs w:val="32"/>
          <w:highlight w:val="none"/>
        </w:rPr>
        <w:t>十二、</w:t>
      </w:r>
      <w:bookmarkEnd w:id="65"/>
      <w:r>
        <w:rPr>
          <w:rFonts w:hint="default" w:ascii="Times New Roman" w:hAnsi="Times New Roman" w:eastAsia="仿宋_GB2312" w:cs="Times New Roman"/>
          <w:color w:val="auto"/>
          <w:sz w:val="32"/>
          <w:szCs w:val="32"/>
          <w:highlight w:val="none"/>
          <w:lang w:eastAsia="zh-CN"/>
        </w:rPr>
        <w:t>国有资本经营预算财政拨款支出决算表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lang w:eastAsia="zh-CN"/>
        </w:rPr>
      </w:pPr>
      <w:bookmarkStart w:id="66" w:name="_Toc15396631"/>
      <w:r>
        <w:rPr>
          <w:rFonts w:hint="default" w:ascii="Times New Roman" w:hAnsi="Times New Roman" w:eastAsia="仿宋_GB2312" w:cs="Times New Roman"/>
          <w:color w:val="auto"/>
          <w:sz w:val="32"/>
          <w:szCs w:val="32"/>
          <w:highlight w:val="none"/>
        </w:rPr>
        <w:t>十三、</w:t>
      </w:r>
      <w:bookmarkEnd w:id="66"/>
      <w:r>
        <w:rPr>
          <w:rFonts w:hint="default" w:ascii="Times New Roman" w:hAnsi="Times New Roman" w:eastAsia="仿宋_GB2312" w:cs="Times New Roman"/>
          <w:color w:val="auto"/>
          <w:sz w:val="32"/>
          <w:szCs w:val="32"/>
          <w:highlight w:val="none"/>
          <w:lang w:eastAsia="zh-CN"/>
        </w:rPr>
        <w:t>财政拨款“三公”经费支出决算表</w:t>
      </w:r>
    </w:p>
    <w:p>
      <w:pPr>
        <w:rPr>
          <w:rFonts w:hint="default" w:ascii="Times New Roman" w:hAnsi="Times New Roman" w:cs="Times New Roman"/>
          <w:lang w:eastAsia="zh-CN"/>
        </w:rPr>
      </w:pPr>
    </w:p>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11"/>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p>
                    <w:pPr>
                      <w:pStyle w:val="11"/>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B73E88"/>
    <w:multiLevelType w:val="singleLevel"/>
    <w:tmpl w:val="A2B73E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094A42"/>
    <w:rsid w:val="02CC7A3C"/>
    <w:rsid w:val="02FEBE30"/>
    <w:rsid w:val="03036017"/>
    <w:rsid w:val="036F6B27"/>
    <w:rsid w:val="04916F1E"/>
    <w:rsid w:val="053D0287"/>
    <w:rsid w:val="061E35DE"/>
    <w:rsid w:val="066E0107"/>
    <w:rsid w:val="069D39AB"/>
    <w:rsid w:val="06E07ECD"/>
    <w:rsid w:val="07403F51"/>
    <w:rsid w:val="07996F6E"/>
    <w:rsid w:val="07DFD8BA"/>
    <w:rsid w:val="097B7F41"/>
    <w:rsid w:val="09867E8F"/>
    <w:rsid w:val="09E53D1E"/>
    <w:rsid w:val="0A0D065C"/>
    <w:rsid w:val="0A2032A3"/>
    <w:rsid w:val="0AF0679F"/>
    <w:rsid w:val="0C022F4C"/>
    <w:rsid w:val="0CA8290A"/>
    <w:rsid w:val="0D35B1ED"/>
    <w:rsid w:val="0E254B6B"/>
    <w:rsid w:val="0F3270F3"/>
    <w:rsid w:val="0F98263C"/>
    <w:rsid w:val="0FB677CE"/>
    <w:rsid w:val="101860EC"/>
    <w:rsid w:val="101F47CC"/>
    <w:rsid w:val="1032785A"/>
    <w:rsid w:val="10347DA6"/>
    <w:rsid w:val="10923E54"/>
    <w:rsid w:val="10C055FF"/>
    <w:rsid w:val="11694EBD"/>
    <w:rsid w:val="11772AA4"/>
    <w:rsid w:val="118107EC"/>
    <w:rsid w:val="12E24EE2"/>
    <w:rsid w:val="13D50BC4"/>
    <w:rsid w:val="14B17F78"/>
    <w:rsid w:val="161B669A"/>
    <w:rsid w:val="165E0673"/>
    <w:rsid w:val="16B831D5"/>
    <w:rsid w:val="16BB723D"/>
    <w:rsid w:val="179E6853"/>
    <w:rsid w:val="17E50567"/>
    <w:rsid w:val="17FA7E14"/>
    <w:rsid w:val="186504BB"/>
    <w:rsid w:val="195E6FCA"/>
    <w:rsid w:val="19A445FC"/>
    <w:rsid w:val="1A676352"/>
    <w:rsid w:val="1B3E3557"/>
    <w:rsid w:val="1BE8440E"/>
    <w:rsid w:val="1CA659E6"/>
    <w:rsid w:val="1D155CEE"/>
    <w:rsid w:val="1D1638FE"/>
    <w:rsid w:val="1E312DEB"/>
    <w:rsid w:val="1E740ACF"/>
    <w:rsid w:val="1F070103"/>
    <w:rsid w:val="1F622A09"/>
    <w:rsid w:val="1FF35744"/>
    <w:rsid w:val="1FF6BC77"/>
    <w:rsid w:val="212668EE"/>
    <w:rsid w:val="215C44EF"/>
    <w:rsid w:val="2186353C"/>
    <w:rsid w:val="21AE4866"/>
    <w:rsid w:val="22E54C74"/>
    <w:rsid w:val="230961F8"/>
    <w:rsid w:val="234436D4"/>
    <w:rsid w:val="23860B96"/>
    <w:rsid w:val="240371BF"/>
    <w:rsid w:val="244F3473"/>
    <w:rsid w:val="24C97D99"/>
    <w:rsid w:val="25A718F0"/>
    <w:rsid w:val="25BB59F6"/>
    <w:rsid w:val="260F557C"/>
    <w:rsid w:val="26970054"/>
    <w:rsid w:val="281408E2"/>
    <w:rsid w:val="29FD04D3"/>
    <w:rsid w:val="2A0B2388"/>
    <w:rsid w:val="2AB139BC"/>
    <w:rsid w:val="2BA452CB"/>
    <w:rsid w:val="2BFF7BC6"/>
    <w:rsid w:val="2C8A61B5"/>
    <w:rsid w:val="2DF04E50"/>
    <w:rsid w:val="2E586DFA"/>
    <w:rsid w:val="2EA367EC"/>
    <w:rsid w:val="2F040D46"/>
    <w:rsid w:val="2F6B035B"/>
    <w:rsid w:val="2FAE5751"/>
    <w:rsid w:val="2FB1A395"/>
    <w:rsid w:val="2FD9A7D8"/>
    <w:rsid w:val="2FDBF714"/>
    <w:rsid w:val="30AB6865"/>
    <w:rsid w:val="30BA4FD6"/>
    <w:rsid w:val="310114C5"/>
    <w:rsid w:val="319F7F4E"/>
    <w:rsid w:val="32BA750F"/>
    <w:rsid w:val="32BD1EF1"/>
    <w:rsid w:val="3304709D"/>
    <w:rsid w:val="33426857"/>
    <w:rsid w:val="33A773CB"/>
    <w:rsid w:val="33C341A1"/>
    <w:rsid w:val="349D6851"/>
    <w:rsid w:val="35305866"/>
    <w:rsid w:val="3691503F"/>
    <w:rsid w:val="36AA5135"/>
    <w:rsid w:val="36BE0DA7"/>
    <w:rsid w:val="376B6AA6"/>
    <w:rsid w:val="376D39B2"/>
    <w:rsid w:val="37E16F03"/>
    <w:rsid w:val="37EE37B7"/>
    <w:rsid w:val="37F53A3B"/>
    <w:rsid w:val="389B6C89"/>
    <w:rsid w:val="38D469F0"/>
    <w:rsid w:val="38EC419A"/>
    <w:rsid w:val="39627CCD"/>
    <w:rsid w:val="397BAF1F"/>
    <w:rsid w:val="3A183469"/>
    <w:rsid w:val="3AB79AF3"/>
    <w:rsid w:val="3AE834C0"/>
    <w:rsid w:val="3B68476A"/>
    <w:rsid w:val="3B7EF35A"/>
    <w:rsid w:val="3B9FDB6C"/>
    <w:rsid w:val="3BF5BC2F"/>
    <w:rsid w:val="3CEBA265"/>
    <w:rsid w:val="3D98207C"/>
    <w:rsid w:val="3DEE7CF3"/>
    <w:rsid w:val="3DFE105D"/>
    <w:rsid w:val="3E740A63"/>
    <w:rsid w:val="3E78745D"/>
    <w:rsid w:val="3EE17838"/>
    <w:rsid w:val="3F312907"/>
    <w:rsid w:val="3F3F5CBD"/>
    <w:rsid w:val="3F55381A"/>
    <w:rsid w:val="3F7F7599"/>
    <w:rsid w:val="3FF4CAE0"/>
    <w:rsid w:val="3FF7B227"/>
    <w:rsid w:val="42A15FF5"/>
    <w:rsid w:val="44E268DA"/>
    <w:rsid w:val="450D13D7"/>
    <w:rsid w:val="45506656"/>
    <w:rsid w:val="465D2233"/>
    <w:rsid w:val="46987176"/>
    <w:rsid w:val="4753709D"/>
    <w:rsid w:val="48613034"/>
    <w:rsid w:val="486A6C7A"/>
    <w:rsid w:val="49E113CD"/>
    <w:rsid w:val="4A627F82"/>
    <w:rsid w:val="4B0E749A"/>
    <w:rsid w:val="4B2477C4"/>
    <w:rsid w:val="4B4F25DA"/>
    <w:rsid w:val="4BE068DB"/>
    <w:rsid w:val="4D577224"/>
    <w:rsid w:val="4D9959F3"/>
    <w:rsid w:val="4DBF1CEB"/>
    <w:rsid w:val="4DF0007C"/>
    <w:rsid w:val="4EAB630A"/>
    <w:rsid w:val="4ECE2238"/>
    <w:rsid w:val="4F833267"/>
    <w:rsid w:val="4FA7451F"/>
    <w:rsid w:val="4FE9BD67"/>
    <w:rsid w:val="4FFB052F"/>
    <w:rsid w:val="504D34EF"/>
    <w:rsid w:val="527C647C"/>
    <w:rsid w:val="537E6D0A"/>
    <w:rsid w:val="53F74C96"/>
    <w:rsid w:val="54C55B73"/>
    <w:rsid w:val="55170BA8"/>
    <w:rsid w:val="552C7E5C"/>
    <w:rsid w:val="553218C9"/>
    <w:rsid w:val="560C332E"/>
    <w:rsid w:val="560F47B2"/>
    <w:rsid w:val="567E1AA5"/>
    <w:rsid w:val="56E47B74"/>
    <w:rsid w:val="57175D52"/>
    <w:rsid w:val="57193F55"/>
    <w:rsid w:val="57BD3DD4"/>
    <w:rsid w:val="57C77E54"/>
    <w:rsid w:val="57FF1AD3"/>
    <w:rsid w:val="58006EC2"/>
    <w:rsid w:val="58130186"/>
    <w:rsid w:val="59B61D42"/>
    <w:rsid w:val="5AF92295"/>
    <w:rsid w:val="5B250254"/>
    <w:rsid w:val="5BAB5FFB"/>
    <w:rsid w:val="5BD37840"/>
    <w:rsid w:val="5BDD79E6"/>
    <w:rsid w:val="5BF561CA"/>
    <w:rsid w:val="5BFF5DFC"/>
    <w:rsid w:val="5C2A09B2"/>
    <w:rsid w:val="5CD71FC4"/>
    <w:rsid w:val="5D1F11B5"/>
    <w:rsid w:val="5D695134"/>
    <w:rsid w:val="5D7C348F"/>
    <w:rsid w:val="5DAE1B18"/>
    <w:rsid w:val="5DE7D9E5"/>
    <w:rsid w:val="5DFE20F6"/>
    <w:rsid w:val="5E0C4813"/>
    <w:rsid w:val="5ECEC941"/>
    <w:rsid w:val="5FBF9FF3"/>
    <w:rsid w:val="5FCD4E2C"/>
    <w:rsid w:val="5FEF394A"/>
    <w:rsid w:val="5FF67715"/>
    <w:rsid w:val="622E2538"/>
    <w:rsid w:val="62BB05B6"/>
    <w:rsid w:val="62BF3928"/>
    <w:rsid w:val="63B3701E"/>
    <w:rsid w:val="647F5392"/>
    <w:rsid w:val="64AD1CEC"/>
    <w:rsid w:val="65E66580"/>
    <w:rsid w:val="664B1D71"/>
    <w:rsid w:val="664B4E8E"/>
    <w:rsid w:val="669F612B"/>
    <w:rsid w:val="67277B67"/>
    <w:rsid w:val="67AA3209"/>
    <w:rsid w:val="698D0931"/>
    <w:rsid w:val="6A7FE5F3"/>
    <w:rsid w:val="6ADA17F5"/>
    <w:rsid w:val="6B053271"/>
    <w:rsid w:val="6BDD78B3"/>
    <w:rsid w:val="6C4A05C8"/>
    <w:rsid w:val="6C8742B8"/>
    <w:rsid w:val="6CB84EC0"/>
    <w:rsid w:val="6DBF5E93"/>
    <w:rsid w:val="6DDC162A"/>
    <w:rsid w:val="6DFF077E"/>
    <w:rsid w:val="6E714EF0"/>
    <w:rsid w:val="6E7E3605"/>
    <w:rsid w:val="6E7FDCC7"/>
    <w:rsid w:val="6E953173"/>
    <w:rsid w:val="6ED6A62E"/>
    <w:rsid w:val="6EDF387E"/>
    <w:rsid w:val="6EE00B15"/>
    <w:rsid w:val="6F6FB3EB"/>
    <w:rsid w:val="6F8731EA"/>
    <w:rsid w:val="6FCE472B"/>
    <w:rsid w:val="6FCE6052"/>
    <w:rsid w:val="6FD57C00"/>
    <w:rsid w:val="6FEFFFD8"/>
    <w:rsid w:val="6FF5CC65"/>
    <w:rsid w:val="6FFB47EC"/>
    <w:rsid w:val="6FFF034A"/>
    <w:rsid w:val="70484440"/>
    <w:rsid w:val="70512559"/>
    <w:rsid w:val="70594E3C"/>
    <w:rsid w:val="712A28F1"/>
    <w:rsid w:val="715C0E4B"/>
    <w:rsid w:val="71992E7C"/>
    <w:rsid w:val="719B07FD"/>
    <w:rsid w:val="72233669"/>
    <w:rsid w:val="725105EF"/>
    <w:rsid w:val="72710C91"/>
    <w:rsid w:val="72734D90"/>
    <w:rsid w:val="73160E6D"/>
    <w:rsid w:val="7332FE48"/>
    <w:rsid w:val="73AB61DA"/>
    <w:rsid w:val="73AD73D5"/>
    <w:rsid w:val="73B6EB34"/>
    <w:rsid w:val="73FA497D"/>
    <w:rsid w:val="744731E5"/>
    <w:rsid w:val="74BBD01D"/>
    <w:rsid w:val="74ED5379"/>
    <w:rsid w:val="75022074"/>
    <w:rsid w:val="75DEEEC2"/>
    <w:rsid w:val="75E32345"/>
    <w:rsid w:val="76AC374C"/>
    <w:rsid w:val="76E3355F"/>
    <w:rsid w:val="76FF5125"/>
    <w:rsid w:val="776F6FFA"/>
    <w:rsid w:val="778769C8"/>
    <w:rsid w:val="77A75DCA"/>
    <w:rsid w:val="77DC22F5"/>
    <w:rsid w:val="7818513D"/>
    <w:rsid w:val="78370287"/>
    <w:rsid w:val="783E271A"/>
    <w:rsid w:val="78616DE9"/>
    <w:rsid w:val="78E507A4"/>
    <w:rsid w:val="78E875D7"/>
    <w:rsid w:val="79086DAD"/>
    <w:rsid w:val="79D7FD79"/>
    <w:rsid w:val="79EE5BA4"/>
    <w:rsid w:val="7A894339"/>
    <w:rsid w:val="7AD284E8"/>
    <w:rsid w:val="7AFF7572"/>
    <w:rsid w:val="7B06669E"/>
    <w:rsid w:val="7B666CA5"/>
    <w:rsid w:val="7B6C7DFB"/>
    <w:rsid w:val="7BBFBED0"/>
    <w:rsid w:val="7BC3E394"/>
    <w:rsid w:val="7BF4129F"/>
    <w:rsid w:val="7C1F3737"/>
    <w:rsid w:val="7CBFC87B"/>
    <w:rsid w:val="7CE421B7"/>
    <w:rsid w:val="7CFE0F48"/>
    <w:rsid w:val="7D0C1CE2"/>
    <w:rsid w:val="7D272ABC"/>
    <w:rsid w:val="7D7EC23E"/>
    <w:rsid w:val="7E447524"/>
    <w:rsid w:val="7E8ADEBF"/>
    <w:rsid w:val="7EEF11D3"/>
    <w:rsid w:val="7EFE4840"/>
    <w:rsid w:val="7F0971A6"/>
    <w:rsid w:val="7F1D62E7"/>
    <w:rsid w:val="7F3F679B"/>
    <w:rsid w:val="7F4D675C"/>
    <w:rsid w:val="7F4FC4EF"/>
    <w:rsid w:val="7F571D9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AFFFA37"/>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BC77307"/>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6"/>
    <w:qFormat/>
    <w:uiPriority w:val="99"/>
    <w:pPr>
      <w:spacing w:beforeLines="30"/>
    </w:pPr>
    <w:rPr>
      <w:rFonts w:ascii="仿宋_GB2312" w:eastAsia="仿宋_GB2312"/>
      <w:kern w:val="0"/>
      <w:sz w:val="30"/>
    </w:rPr>
  </w:style>
  <w:style w:type="paragraph" w:styleId="6">
    <w:name w:val="table of authorities"/>
    <w:basedOn w:val="1"/>
    <w:next w:val="1"/>
    <w:qFormat/>
    <w:uiPriority w:val="0"/>
    <w:pPr>
      <w:ind w:left="200" w:leftChars="200"/>
    </w:p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10"/>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png"/><Relationship Id="rId15" Type="http://schemas.openxmlformats.org/officeDocument/2006/relationships/chart" Target="charts/chart4.xml"/><Relationship Id="rId14" Type="http://schemas.openxmlformats.org/officeDocument/2006/relationships/chart" Target="charts/chart3.xml"/><Relationship Id="rId13" Type="http://schemas.openxmlformats.org/officeDocument/2006/relationships/chart" Target="charts/chart2.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p>
        </c:rich>
      </c:tx>
      <c:layout>
        <c:manualLayout>
          <c:xMode val="edge"/>
          <c:yMode val="edge"/>
          <c:x val="0.221095927186292"/>
          <c:y val="0.0400294409717141"/>
        </c:manualLayout>
      </c:layout>
      <c:overlay val="false"/>
      <c:spPr>
        <a:noFill/>
        <a:ln>
          <a:noFill/>
        </a:ln>
        <a:effectLst/>
      </c:spPr>
    </c:title>
    <c:autoTitleDeleted val="false"/>
    <c:plotArea>
      <c:layout>
        <c:manualLayout>
          <c:layoutTarget val="inner"/>
          <c:xMode val="edge"/>
          <c:yMode val="edge"/>
          <c:x val="0.122944729518227"/>
          <c:y val="0.242801165652387"/>
          <c:w val="0.87277628032345"/>
          <c:h val="0.675157773952955"/>
        </c:manualLayout>
      </c:layout>
      <c:barChart>
        <c:barDir val="col"/>
        <c:grouping val="clustered"/>
        <c:varyColors val="false"/>
        <c:ser>
          <c:idx val="0"/>
          <c:order val="0"/>
          <c:tx>
            <c:strRef>
              <c:f>Sheet1!$B$1</c:f>
              <c:strCache>
                <c:ptCount val="1"/>
                <c:pt idx="0">
                  <c:v>2023年</c:v>
                </c:pt>
              </c:strCache>
            </c:strRef>
          </c:tx>
          <c:spPr>
            <a:solidFill>
              <a:schemeClr val="accent1"/>
            </a:solidFill>
            <a:ln>
              <a:noFill/>
            </a:ln>
            <a:effectLst/>
          </c:spPr>
          <c:invertIfNegative val="false"/>
          <c:dLbls>
            <c:delete val="true"/>
          </c:dLbls>
          <c:cat>
            <c:strRef>
              <c:f>Sheet1!$A$2:$A$3</c:f>
              <c:strCache>
                <c:ptCount val="2"/>
                <c:pt idx="0">
                  <c:v>收入</c:v>
                </c:pt>
                <c:pt idx="1">
                  <c:v>支出</c:v>
                </c:pt>
              </c:strCache>
            </c:strRef>
          </c:cat>
          <c:val>
            <c:numRef>
              <c:f>Sheet1!$B$2:$B$3</c:f>
              <c:numCache>
                <c:formatCode>General</c:formatCode>
                <c:ptCount val="2"/>
                <c:pt idx="0">
                  <c:v>2690.01</c:v>
                </c:pt>
                <c:pt idx="1">
                  <c:v>2690.01</c:v>
                </c:pt>
              </c:numCache>
            </c:numRef>
          </c:val>
        </c:ser>
        <c:ser>
          <c:idx val="1"/>
          <c:order val="1"/>
          <c:tx>
            <c:strRef>
              <c:f>Sheet1!$C$1</c:f>
              <c:strCache>
                <c:ptCount val="1"/>
                <c:pt idx="0">
                  <c:v>2024年</c:v>
                </c:pt>
              </c:strCache>
            </c:strRef>
          </c:tx>
          <c:spPr>
            <a:solidFill>
              <a:schemeClr val="accent2"/>
            </a:solidFill>
            <a:ln>
              <a:noFill/>
            </a:ln>
            <a:effectLst/>
          </c:spPr>
          <c:invertIfNegative val="false"/>
          <c:dLbls>
            <c:delete val="true"/>
          </c:dLbls>
          <c:cat>
            <c:strRef>
              <c:f>Sheet1!$A$2:$A$3</c:f>
              <c:strCache>
                <c:ptCount val="2"/>
                <c:pt idx="0">
                  <c:v>收入</c:v>
                </c:pt>
                <c:pt idx="1">
                  <c:v>支出</c:v>
                </c:pt>
              </c:strCache>
            </c:strRef>
          </c:cat>
          <c:val>
            <c:numRef>
              <c:f>Sheet1!$C$2:$C$3</c:f>
              <c:numCache>
                <c:formatCode>General</c:formatCode>
                <c:ptCount val="2"/>
                <c:pt idx="0">
                  <c:v>1810.7</c:v>
                </c:pt>
                <c:pt idx="1">
                  <c:v>1810.7</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Sheet1!$A$2:$A$3</c:f>
              <c:strCache>
                <c:ptCount val="2"/>
                <c:pt idx="0">
                  <c:v>收入</c:v>
                </c:pt>
                <c:pt idx="1">
                  <c:v>支出</c:v>
                </c:pt>
              </c:strCache>
            </c:str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219"/>
        <c:overlap val="-27"/>
        <c:axId val="699513903"/>
        <c:axId val="557244179"/>
      </c:barChart>
      <c:catAx>
        <c:axId val="699513903"/>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57244179"/>
        <c:crosses val="autoZero"/>
        <c:auto val="true"/>
        <c:lblAlgn val="ctr"/>
        <c:lblOffset val="100"/>
        <c:noMultiLvlLbl val="false"/>
      </c:catAx>
      <c:valAx>
        <c:axId val="557244179"/>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99513903"/>
        <c:crosses val="autoZero"/>
        <c:crossBetween val="between"/>
      </c:valAx>
      <c:spPr>
        <a:noFill/>
        <a:ln>
          <a:noFill/>
        </a:ln>
        <a:effectLst/>
      </c:spPr>
    </c:plotArea>
    <c:legend>
      <c:legendPos val="b"/>
      <c:legendEntry>
        <c:idx val="2"/>
        <c:delete val="true"/>
      </c:legendEntry>
      <c:layout>
        <c:manualLayout>
          <c:xMode val="edge"/>
          <c:yMode val="edge"/>
          <c:x val="0.392995257828087"/>
          <c:y val="0.940727508931471"/>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altLang="zh-CN"/>
              <a:t>财政拨款收、支决算总计变动情况</a:t>
            </a:r>
            <a:endParaRPr altLang="zh-CN"/>
          </a:p>
        </c:rich>
      </c:tx>
      <c:layout>
        <c:manualLayout>
          <c:xMode val="edge"/>
          <c:yMode val="edge"/>
          <c:x val="0.168303519016739"/>
          <c:y val="0.0519483387822446"/>
        </c:manualLayout>
      </c:layout>
      <c:overlay val="false"/>
      <c:spPr>
        <a:noFill/>
        <a:ln>
          <a:noFill/>
        </a:ln>
        <a:effectLst/>
      </c:spPr>
    </c:title>
    <c:autoTitleDeleted val="false"/>
    <c:plotArea>
      <c:layout>
        <c:manualLayout>
          <c:layoutTarget val="inner"/>
          <c:xMode val="edge"/>
          <c:yMode val="edge"/>
          <c:x val="0.0835722819593787"/>
          <c:y val="0.200439399175003"/>
          <c:w val="0.883071841453344"/>
          <c:h val="0.623453779649745"/>
        </c:manualLayout>
      </c:layout>
      <c:barChart>
        <c:barDir val="col"/>
        <c:grouping val="clustered"/>
        <c:varyColors val="false"/>
        <c:ser>
          <c:idx val="0"/>
          <c:order val="0"/>
          <c:tx>
            <c:strRef>
              <c:f>Sheet1!$B$1</c:f>
              <c:strCache>
                <c:ptCount val="1"/>
                <c:pt idx="0">
                  <c:v>2023年</c:v>
                </c:pt>
              </c:strCache>
            </c:strRef>
          </c:tx>
          <c:spPr>
            <a:solidFill>
              <a:schemeClr val="accent1"/>
            </a:solidFill>
            <a:ln>
              <a:noFill/>
            </a:ln>
            <a:effectLst/>
          </c:spPr>
          <c:invertIfNegative val="false"/>
          <c:dLbls>
            <c:delete val="true"/>
          </c:dLbls>
          <c:cat>
            <c:strRef>
              <c:f>Sheet1!$A$2:$A$3</c:f>
              <c:strCache>
                <c:ptCount val="2"/>
                <c:pt idx="0">
                  <c:v>收入</c:v>
                </c:pt>
                <c:pt idx="1">
                  <c:v>支出</c:v>
                </c:pt>
              </c:strCache>
            </c:strRef>
          </c:cat>
          <c:val>
            <c:numRef>
              <c:f>Sheet1!$B$2:$B$3</c:f>
              <c:numCache>
                <c:formatCode>General</c:formatCode>
                <c:ptCount val="2"/>
                <c:pt idx="0">
                  <c:v>890.39</c:v>
                </c:pt>
                <c:pt idx="1">
                  <c:v>890.39</c:v>
                </c:pt>
              </c:numCache>
            </c:numRef>
          </c:val>
        </c:ser>
        <c:ser>
          <c:idx val="1"/>
          <c:order val="1"/>
          <c:tx>
            <c:strRef>
              <c:f>Sheet1!$C$1</c:f>
              <c:strCache>
                <c:ptCount val="1"/>
                <c:pt idx="0">
                  <c:v>2024年</c:v>
                </c:pt>
              </c:strCache>
            </c:strRef>
          </c:tx>
          <c:spPr>
            <a:solidFill>
              <a:schemeClr val="accent2"/>
            </a:solidFill>
            <a:ln>
              <a:noFill/>
            </a:ln>
            <a:effectLst/>
          </c:spPr>
          <c:invertIfNegative val="false"/>
          <c:dLbls>
            <c:delete val="true"/>
          </c:dLbls>
          <c:cat>
            <c:strRef>
              <c:f>Sheet1!$A$2:$A$3</c:f>
              <c:strCache>
                <c:ptCount val="2"/>
                <c:pt idx="0">
                  <c:v>收入</c:v>
                </c:pt>
                <c:pt idx="1">
                  <c:v>支出</c:v>
                </c:pt>
              </c:strCache>
            </c:strRef>
          </c:cat>
          <c:val>
            <c:numRef>
              <c:f>Sheet1!$C$2:$C$3</c:f>
              <c:numCache>
                <c:formatCode>General</c:formatCode>
                <c:ptCount val="2"/>
                <c:pt idx="0">
                  <c:v>974.8</c:v>
                </c:pt>
                <c:pt idx="1">
                  <c:v>974.8</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Sheet1!$A$2:$A$3</c:f>
              <c:strCache>
                <c:ptCount val="2"/>
                <c:pt idx="0">
                  <c:v>收入</c:v>
                </c:pt>
                <c:pt idx="1">
                  <c:v>支出</c:v>
                </c:pt>
              </c:strCache>
            </c:str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219"/>
        <c:overlap val="-27"/>
        <c:axId val="900830482"/>
        <c:axId val="287965809"/>
      </c:barChart>
      <c:catAx>
        <c:axId val="90083048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87965809"/>
        <c:crosses val="autoZero"/>
        <c:auto val="true"/>
        <c:lblAlgn val="ctr"/>
        <c:lblOffset val="100"/>
        <c:noMultiLvlLbl val="false"/>
      </c:catAx>
      <c:valAx>
        <c:axId val="287965809"/>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00830482"/>
        <c:crosses val="autoZero"/>
        <c:crossBetween val="between"/>
      </c:valAx>
      <c:spPr>
        <a:noFill/>
        <a:ln>
          <a:noFill/>
        </a:ln>
        <a:effectLst/>
      </c:spPr>
    </c:plotArea>
    <c:legend>
      <c:legendPos val="b"/>
      <c:legendEntry>
        <c:idx val="2"/>
        <c:delete val="true"/>
      </c:legendEntry>
      <c:layout>
        <c:manualLayout>
          <c:xMode val="edge"/>
          <c:yMode val="edge"/>
          <c:x val="0.362471354751741"/>
          <c:y val="0.91662859753312"/>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manualLayout>
          <c:xMode val="edge"/>
          <c:yMode val="edge"/>
          <c:x val="0.1388804143308"/>
          <c:y val="0.00728862973760933"/>
        </c:manualLayout>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2023年</c:v>
                </c:pt>
              </c:strCache>
            </c:strRef>
          </c:tx>
          <c:spPr>
            <a:solidFill>
              <a:schemeClr val="accent1"/>
            </a:solidFill>
            <a:ln>
              <a:noFill/>
            </a:ln>
            <a:effectLst/>
          </c:spPr>
          <c:invertIfNegative val="false"/>
          <c:dLbls>
            <c:delete val="true"/>
          </c:dLbls>
          <c:cat>
            <c:strRef>
              <c:f>Sheet1!$A$2</c:f>
              <c:strCache>
                <c:ptCount val="1"/>
                <c:pt idx="0">
                  <c:v>财政拨款</c:v>
                </c:pt>
              </c:strCache>
            </c:strRef>
          </c:cat>
          <c:val>
            <c:numRef>
              <c:f>Sheet1!$B$2</c:f>
              <c:numCache>
                <c:formatCode>General</c:formatCode>
                <c:ptCount val="1"/>
                <c:pt idx="0">
                  <c:v>890.39</c:v>
                </c:pt>
              </c:numCache>
            </c:numRef>
          </c:val>
        </c:ser>
        <c:ser>
          <c:idx val="1"/>
          <c:order val="1"/>
          <c:tx>
            <c:strRef>
              <c:f>Sheet1!$C$1</c:f>
              <c:strCache>
                <c:ptCount val="1"/>
                <c:pt idx="0">
                  <c:v>2024年</c:v>
                </c:pt>
              </c:strCache>
            </c:strRef>
          </c:tx>
          <c:spPr>
            <a:solidFill>
              <a:schemeClr val="accent2"/>
            </a:solidFill>
            <a:ln>
              <a:noFill/>
            </a:ln>
            <a:effectLst/>
          </c:spPr>
          <c:invertIfNegative val="false"/>
          <c:dLbls>
            <c:delete val="true"/>
          </c:dLbls>
          <c:cat>
            <c:strRef>
              <c:f>Sheet1!$A$2</c:f>
              <c:strCache>
                <c:ptCount val="1"/>
                <c:pt idx="0">
                  <c:v>财政拨款</c:v>
                </c:pt>
              </c:strCache>
            </c:strRef>
          </c:cat>
          <c:val>
            <c:numRef>
              <c:f>Sheet1!$C$2</c:f>
              <c:numCache>
                <c:formatCode>General</c:formatCode>
                <c:ptCount val="1"/>
                <c:pt idx="0">
                  <c:v>974.8</c:v>
                </c:pt>
              </c:numCache>
            </c:numRef>
          </c:val>
        </c:ser>
        <c:dLbls>
          <c:showLegendKey val="false"/>
          <c:showVal val="false"/>
          <c:showCatName val="false"/>
          <c:showSerName val="false"/>
          <c:showPercent val="false"/>
          <c:showBubbleSize val="false"/>
        </c:dLbls>
        <c:gapWidth val="219"/>
        <c:overlap val="-27"/>
        <c:axId val="521809919"/>
        <c:axId val="981801855"/>
      </c:barChart>
      <c:catAx>
        <c:axId val="521809919"/>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81801855"/>
        <c:crosses val="autoZero"/>
        <c:auto val="true"/>
        <c:lblAlgn val="ctr"/>
        <c:lblOffset val="100"/>
        <c:noMultiLvlLbl val="false"/>
      </c:catAx>
      <c:valAx>
        <c:axId val="981801855"/>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21809919"/>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manualLayout>
          <c:layoutTarget val="inner"/>
          <c:xMode val="edge"/>
          <c:yMode val="edge"/>
          <c:x val="0.192745197168857"/>
          <c:y val="0.0929061784897025"/>
          <c:w val="0.59479271991911"/>
          <c:h val="0.717925247902365"/>
        </c:manualLayout>
      </c:layout>
      <c:pieChart>
        <c:varyColors val="true"/>
        <c:ser>
          <c:idx val="0"/>
          <c:order val="0"/>
          <c:tx>
            <c:strRef>
              <c:f>Sheet1!$B$1</c:f>
              <c:strCache>
                <c:ptCount val="1"/>
                <c:pt idx="0">
                  <c:v>一般公共预算财政拨款支出决算结构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Lbls>
            <c:dLbl>
              <c:idx val="0"/>
              <c:layout>
                <c:manualLayout>
                  <c:x val="-0.12758049802002"/>
                  <c:y val="0.0383850509287927"/>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i="0"/>
                      <a:t>0.3%</a:t>
                    </a:r>
                    <a:endParaRPr i="0"/>
                  </a:p>
                </c:rich>
              </c:tx>
              <c:numFmt formatCode="General" sourceLinked="fals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extLst>
                <c:ext xmlns:c15="http://schemas.microsoft.com/office/drawing/2012/chart" uri="{CE6537A1-D6FC-4f65-9D91-7224C49458BB}">
                  <c15:layout>
                    <c:manualLayout>
                      <c:w val="0.146612740141557"/>
                      <c:h val="0.111889132020423"/>
                    </c:manualLayout>
                  </c15:layout>
                </c:ext>
              </c:extLst>
            </c:dLbl>
            <c:dLbl>
              <c:idx val="1"/>
              <c:layout>
                <c:manualLayout>
                  <c:x val="-0.0791730157146612"/>
                  <c:y val="0.193860200459572"/>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17.8%</a:t>
                    </a:r>
                    <a:endParaRPr lang="en-US" altLang="zh-CN"/>
                  </a:p>
                </c:rich>
              </c:tx>
              <c:numFmt formatCode="General" sourceLinked="fals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extLst>
                <c:ext xmlns:c15="http://schemas.microsoft.com/office/drawing/2012/chart" uri="{CE6537A1-D6FC-4f65-9D91-7224C49458BB}">
                  <c15:layout>
                    <c:manualLayout>
                      <c:w val="0.146612740141557"/>
                      <c:h val="0.111889132020423"/>
                    </c:manualLayout>
                  </c15:layout>
                </c:ext>
              </c:extLst>
            </c:dLbl>
            <c:dLbl>
              <c:idx val="2"/>
              <c:layout>
                <c:manualLayout>
                  <c:x val="0.0367268831731042"/>
                  <c:y val="0.0287570421760574"/>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i="0"/>
                      <a:t>7.2%</a:t>
                    </a:r>
                    <a:endParaRPr i="0"/>
                  </a:p>
                </c:rich>
              </c:tx>
              <c:numFmt formatCode="General" sourceLinked="fals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extLst>
                <c:ext xmlns:c15="http://schemas.microsoft.com/office/drawing/2012/chart" uri="{CE6537A1-D6FC-4f65-9D91-7224C49458BB}">
                  <c15:layout>
                    <c:manualLayout>
                      <c:w val="0.146612740141557"/>
                      <c:h val="0.111889132020423"/>
                    </c:manualLayout>
                  </c15:layout>
                </c:ext>
              </c:extLst>
            </c:dLbl>
            <c:dLbl>
              <c:idx val="3"/>
              <c:layout>
                <c:manualLayout>
                  <c:x val="-0.0791730157146612"/>
                  <c:y val="0.196371921825948"/>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i="0"/>
                      <a:t>5.6%</a:t>
                    </a:r>
                    <a:endParaRPr i="0"/>
                  </a:p>
                </c:rich>
              </c:tx>
              <c:numFmt formatCode="General" sourceLinked="fals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extLst>
                <c:ext xmlns:c15="http://schemas.microsoft.com/office/drawing/2012/chart" uri="{CE6537A1-D6FC-4f65-9D91-7224C49458BB}">
                  <c15:layout>
                    <c:manualLayout>
                      <c:w val="0.146612740141557"/>
                      <c:h val="0.111889132020423"/>
                    </c:manualLayout>
                  </c15:layout>
                </c:ext>
              </c:extLst>
            </c:dLbl>
            <c:dLbl>
              <c:idx val="4"/>
              <c:layout>
                <c:manualLayout>
                  <c:x val="0.187441383750368"/>
                  <c:y val="-0.124352264908841"/>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i="0"/>
                      <a:t>69.1%</a:t>
                    </a:r>
                    <a:endParaRPr i="0"/>
                  </a:p>
                </c:rich>
              </c:tx>
              <c:numFmt formatCode="General" sourceLinked="fals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extLst>
                <c:ext xmlns:c15="http://schemas.microsoft.com/office/drawing/2012/chart" uri="{CE6537A1-D6FC-4f65-9D91-7224C49458BB}">
                  <c15:layout>
                    <c:manualLayout>
                      <c:w val="0.146612740141557"/>
                      <c:h val="0.111889132020423"/>
                    </c:manualLayout>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Sheet1!$A$2:$A$6</c:f>
              <c:strCache>
                <c:ptCount val="5"/>
                <c:pt idx="0">
                  <c:v>教育支出</c:v>
                </c:pt>
                <c:pt idx="1">
                  <c:v>社会保障和就业支出</c:v>
                </c:pt>
                <c:pt idx="2">
                  <c:v>卫生健康支出</c:v>
                </c:pt>
                <c:pt idx="3">
                  <c:v>住房保障支出</c:v>
                </c:pt>
                <c:pt idx="4">
                  <c:v>资源勘探工业信息等支出</c:v>
                </c:pt>
              </c:strCache>
            </c:strRef>
          </c:cat>
          <c:val>
            <c:numRef>
              <c:f>Sheet1!$B$2:$B$6</c:f>
              <c:numCache>
                <c:formatCode>General</c:formatCode>
                <c:ptCount val="5"/>
                <c:pt idx="0">
                  <c:v>3</c:v>
                </c:pt>
                <c:pt idx="1">
                  <c:v>173</c:v>
                </c:pt>
                <c:pt idx="2">
                  <c:v>70</c:v>
                </c:pt>
                <c:pt idx="3">
                  <c:v>55</c:v>
                </c:pt>
                <c:pt idx="4">
                  <c:v>673.8</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215196078431373"/>
          <c:y val="0.874981103552532"/>
          <c:w val="0.633455882352941"/>
          <c:h val="0.120030234315949"/>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18</Pages>
  <Words>4627</Words>
  <Characters>6473</Characters>
  <Lines>61</Lines>
  <Paragraphs>17</Paragraphs>
  <TotalTime>4</TotalTime>
  <ScaleCrop>false</ScaleCrop>
  <LinksUpToDate>false</LinksUpToDate>
  <CharactersWithSpaces>6496</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2020-08-09T17:49:00Z</dcterms:created>
  <dc:creator>曹颖</dc:creator>
  <cp:lastModifiedBy>user</cp:lastModifiedBy>
  <cp:lastPrinted>2025-08-07T01:34:00Z</cp:lastPrinted>
  <dcterms:modified xsi:type="dcterms:W3CDTF">2025-09-09T12:21:29Z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0E12DF514C514EE592612F67CB22BDF1_13</vt:lpwstr>
  </property>
  <property fmtid="{D5CDD505-2E9C-101B-9397-08002B2CF9AE}" pid="4" name="KSOTemplateDocerSaveRecord">
    <vt:lpwstr>eyJoZGlkIjoiM2E0Y2QyNmNiYWYxMWY0NmI2MDUxMjg4ZTVlMmNmOWIiLCJ1c2VySWQiOiI3ODAxNDIyNjYifQ==</vt:lpwstr>
  </property>
</Properties>
</file>