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both"/>
        <w:rPr>
          <w:rFonts w:hint="eastAsia" w:ascii="Times New Roman"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bookmarkStart w:id="0" w:name="_Toc15377425"/>
      <w:bookmarkStart w:id="1" w:name="_Toc15377193"/>
      <w:bookmarkStart w:id="2" w:name="_Toc15396475"/>
      <w:bookmarkStart w:id="3" w:name="_Toc15378441"/>
      <w:bookmarkStart w:id="4" w:name="_Toc15396597"/>
      <w:bookmarkStart w:id="5" w:name="_Toc15306267"/>
    </w:p>
    <w:bookmarkEnd w:id="0"/>
    <w:bookmarkEnd w:id="1"/>
    <w:bookmarkEnd w:id="2"/>
    <w:bookmarkEnd w:id="3"/>
    <w:bookmarkEnd w:id="4"/>
    <w:p>
      <w:pPr>
        <w:pStyle w:val="6"/>
        <w:jc w:val="center"/>
        <w:rPr>
          <w:rFonts w:hint="eastAsia" w:ascii="Times New Roman"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bookmarkStart w:id="6" w:name="_Toc15377426"/>
      <w:bookmarkStart w:id="7" w:name="_Toc15396598"/>
      <w:bookmarkStart w:id="8" w:name="_Toc15377194"/>
      <w:bookmarkStart w:id="9" w:name="_Toc15378442"/>
      <w:bookmarkStart w:id="10" w:name="_Toc15396476"/>
      <w:r>
        <w:rPr>
          <w:rFonts w:hint="eastAsia" w:ascii="Times New Roman"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2024年度</w:t>
      </w:r>
    </w:p>
    <w:p>
      <w:pPr>
        <w:pStyle w:val="6"/>
        <w:jc w:val="center"/>
        <w:rPr>
          <w:rFonts w:hint="eastAsia" w:asci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Times New Roman"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四川省</w:t>
      </w:r>
      <w:bookmarkEnd w:id="5"/>
      <w:bookmarkStart w:id="11" w:name="_Toc15306268"/>
      <w:r>
        <w:rPr>
          <w:rFonts w:hint="eastAsia" w:ascii="Times New Roman" w:eastAsia="方正小标宋简体" w:cs="Times New Roman"/>
          <w:color w:val="000000" w:themeColor="text1"/>
          <w:kern w:val="2"/>
          <w:sz w:val="44"/>
          <w:szCs w:val="44"/>
          <w:highlight w:val="none"/>
          <w:lang w:val="en-US" w:eastAsia="zh-CN" w:bidi="ar-SA"/>
          <w14:textFill>
            <w14:solidFill>
              <w14:schemeClr w14:val="tx1"/>
            </w14:solidFill>
          </w14:textFill>
        </w:rPr>
        <w:t>经济和信息化厅信息中心</w:t>
      </w:r>
    </w:p>
    <w:p>
      <w:pPr>
        <w:pStyle w:val="6"/>
        <w:jc w:val="center"/>
        <w:rPr>
          <w:rFonts w:hint="eastAsia" w:ascii="Times New Roman"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Times New Roman" w:eastAsia="方正小标宋简体" w:cs="Times New Roman"/>
          <w:color w:val="000000" w:themeColor="text1"/>
          <w:kern w:val="2"/>
          <w:sz w:val="44"/>
          <w:szCs w:val="44"/>
          <w:highlight w:val="none"/>
          <w:lang w:val="en-US" w:eastAsia="zh-CN" w:bidi="ar-SA"/>
          <w14:textFill>
            <w14:solidFill>
              <w14:schemeClr w14:val="tx1"/>
            </w14:solidFill>
          </w14:textFill>
        </w:rPr>
        <w:t>单位</w:t>
      </w:r>
      <w:r>
        <w:rPr>
          <w:rFonts w:hint="eastAsia" w:ascii="Times New Roman"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决算</w:t>
      </w:r>
      <w:bookmarkEnd w:id="6"/>
      <w:bookmarkEnd w:id="7"/>
      <w:bookmarkEnd w:id="8"/>
      <w:bookmarkEnd w:id="9"/>
      <w:bookmarkEnd w:id="10"/>
      <w:bookmarkEnd w:id="11"/>
    </w:p>
    <w:p>
      <w:pPr>
        <w:widowControl/>
        <w:jc w:val="center"/>
        <w:rPr>
          <w:rFonts w:ascii="Times New Roman" w:hAnsi="Times New Roman" w:eastAsia="黑体"/>
          <w:color w:val="000000" w:themeColor="text1"/>
          <w:sz w:val="48"/>
          <w:szCs w:val="48"/>
          <w:highlight w:val="none"/>
          <w14:textFill>
            <w14:solidFill>
              <w14:schemeClr w14:val="tx1"/>
            </w14:solidFill>
          </w14:textFill>
        </w:rPr>
      </w:pPr>
      <w:r>
        <w:rPr>
          <w:rFonts w:ascii="Times New Roman" w:hAnsi="Times New Roman" w:eastAsia="方正小标宋简体"/>
          <w:color w:val="000000" w:themeColor="text1"/>
          <w:sz w:val="36"/>
          <w:szCs w:val="36"/>
          <w:highlight w:val="none"/>
          <w14:textFill>
            <w14:solidFill>
              <w14:schemeClr w14:val="tx1"/>
            </w14:solidFill>
          </w14:textFill>
        </w:rPr>
        <w:br w:type="page"/>
      </w:r>
      <w:r>
        <w:rPr>
          <w:rFonts w:hint="eastAsia" w:ascii="Times New Roman" w:hAnsi="Times New Roman" w:eastAsia="黑体"/>
          <w:color w:val="000000" w:themeColor="text1"/>
          <w:sz w:val="48"/>
          <w:szCs w:val="48"/>
          <w:highlight w:val="none"/>
          <w14:textFill>
            <w14:solidFill>
              <w14:schemeClr w14:val="tx1"/>
            </w14:solidFill>
          </w14:textFill>
        </w:rPr>
        <w:t>目录</w:t>
      </w:r>
    </w:p>
    <w:p>
      <w:pPr>
        <w:widowControl/>
        <w:jc w:val="center"/>
        <w:rPr>
          <w:rFonts w:ascii="Times New Roman" w:hAnsi="Times New Roman" w:eastAsia="黑体" w:cstheme="minorBidi"/>
          <w:color w:val="000000" w:themeColor="text1"/>
          <w:sz w:val="28"/>
          <w:szCs w:val="28"/>
          <w:highlight w:val="none"/>
          <w14:textFill>
            <w14:solidFill>
              <w14:schemeClr w14:val="tx1"/>
            </w14:solidFill>
          </w14:textFill>
        </w:rPr>
      </w:pPr>
    </w:p>
    <w:p>
      <w:pPr>
        <w:pStyle w:val="13"/>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公开时间：20</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25</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年</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9</w:t>
      </w:r>
      <w:r>
        <w:rPr>
          <w:rFonts w:hint="eastAsia" w:ascii="Times New Roman" w:hAnsi="Times New Roman" w:eastAsia="仿宋_GB2312" w:cs="仿宋_GB2312"/>
          <w:color w:val="000000" w:themeColor="text1"/>
          <w:sz w:val="32"/>
          <w:szCs w:val="32"/>
          <w:highlight w:val="none"/>
          <w14:textFill>
            <w14:solidFill>
              <w14:schemeClr w14:val="tx1"/>
            </w14:solidFill>
          </w14:textFill>
        </w:rPr>
        <w:t>月</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12</w:t>
      </w:r>
      <w:r>
        <w:rPr>
          <w:rFonts w:hint="eastAsia" w:ascii="Times New Roman" w:hAnsi="Times New Roman" w:eastAsia="仿宋_GB2312" w:cs="仿宋_GB2312"/>
          <w:color w:val="000000" w:themeColor="text1"/>
          <w:sz w:val="32"/>
          <w:szCs w:val="32"/>
          <w:highlight w:val="none"/>
          <w14:textFill>
            <w14:solidFill>
              <w14:schemeClr w14:val="tx1"/>
            </w14:solidFill>
          </w14:textFill>
        </w:rPr>
        <w:t>日</w:t>
      </w:r>
    </w:p>
    <w:p>
      <w:pPr>
        <w:rPr>
          <w:rFonts w:ascii="Times New Roman" w:hAnsi="Times New Roman"/>
          <w:color w:val="000000" w:themeColor="text1"/>
          <w:highlight w:val="none"/>
          <w14:textFill>
            <w14:solidFill>
              <w14:schemeClr w14:val="tx1"/>
            </w14:solidFill>
          </w14:textFill>
        </w:rPr>
      </w:pP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000000" w:themeColor="text1"/>
          <w:sz w:val="32"/>
          <w:szCs w:val="32"/>
          <w:highlight w:val="none"/>
          <w:lang w:val="en-US"/>
          <w14:textFill>
            <w14:solidFill>
              <w14:schemeClr w14:val="tx1"/>
            </w14:solidFill>
          </w14:textFill>
        </w:rPr>
      </w:pPr>
      <w:r>
        <w:rPr>
          <w:rFonts w:hint="eastAsia" w:ascii="Times New Roman" w:hAnsi="Times New Roman" w:eastAsia="黑体" w:cs="黑体"/>
          <w:color w:val="000000" w:themeColor="text1"/>
          <w:sz w:val="32"/>
          <w:szCs w:val="32"/>
          <w:highlight w:val="none"/>
          <w14:textFill>
            <w14:solidFill>
              <w14:schemeClr w14:val="tx1"/>
            </w14:solidFill>
          </w14:textFill>
        </w:rPr>
        <w:t>第一部分</w:t>
      </w:r>
      <w:r>
        <w:rPr>
          <w:rFonts w:hint="eastAsia" w:ascii="Times New Roman" w:hAnsi="Times New Roman" w:eastAsia="黑体" w:cs="黑体"/>
          <w:color w:val="000000" w:themeColor="text1"/>
          <w:sz w:val="32"/>
          <w:szCs w:val="32"/>
          <w:highlight w:val="none"/>
          <w:lang w:val="en-US" w:eastAsia="zh-CN"/>
          <w14:textFill>
            <w14:solidFill>
              <w14:schemeClr w14:val="tx1"/>
            </w14:solidFill>
          </w14:textFill>
        </w:rPr>
        <w:t xml:space="preserve"> 单位</w:t>
      </w:r>
      <w:r>
        <w:rPr>
          <w:rFonts w:hint="eastAsia" w:ascii="Times New Roman" w:hAnsi="Times New Roman" w:eastAsia="黑体" w:cs="黑体"/>
          <w:color w:val="000000" w:themeColor="text1"/>
          <w:sz w:val="32"/>
          <w:szCs w:val="32"/>
          <w:highlight w:val="none"/>
          <w14:textFill>
            <w14:solidFill>
              <w14:schemeClr w14:val="tx1"/>
            </w14:solidFill>
          </w14:textFill>
        </w:rPr>
        <w:t>概况</w:t>
      </w:r>
      <w:r>
        <w:rPr>
          <w:rFonts w:hint="eastAsia" w:ascii="Times New Roman" w:hAnsi="Times New Roman" w:eastAsia="宋体" w:cs="Times New Roman"/>
          <w:kern w:val="2"/>
          <w:sz w:val="24"/>
          <w:szCs w:val="24"/>
          <w:lang w:val="en-US" w:eastAsia="zh-CN" w:bidi="ar-SA"/>
        </w:rP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一、</w:t>
      </w:r>
      <w:r>
        <w:rPr>
          <w:rFonts w:hint="eastAsia" w:eastAsia="仿宋_GB2312" w:cs="仿宋_GB2312"/>
          <w:color w:val="000000" w:themeColor="text1"/>
          <w:sz w:val="32"/>
          <w:szCs w:val="32"/>
          <w:highlight w:val="none"/>
          <w:lang w:val="en-US" w:eastAsia="zh-CN"/>
          <w14:textFill>
            <w14:solidFill>
              <w14:schemeClr w14:val="tx1"/>
            </w14:solidFill>
          </w14:textFill>
        </w:rPr>
        <w:t>单位</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职责</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二、机构设置</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5</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000000" w:themeColor="text1"/>
          <w:sz w:val="32"/>
          <w:szCs w:val="32"/>
          <w:highlight w:val="none"/>
          <w:lang w:val="en-US"/>
          <w14:textFill>
            <w14:solidFill>
              <w14:schemeClr w14:val="tx1"/>
            </w14:solidFill>
          </w14:textFill>
        </w:rPr>
      </w:pPr>
      <w:r>
        <w:rPr>
          <w:rFonts w:hint="eastAsia" w:ascii="Times New Roman" w:hAnsi="Times New Roman" w:eastAsia="黑体" w:cs="黑体"/>
          <w:color w:val="000000" w:themeColor="text1"/>
          <w:sz w:val="32"/>
          <w:szCs w:val="32"/>
          <w:highlight w:val="none"/>
          <w14:textFill>
            <w14:solidFill>
              <w14:schemeClr w14:val="tx1"/>
            </w14:solidFill>
          </w14:textFill>
        </w:rPr>
        <w:t>第二部分</w:t>
      </w:r>
      <w:r>
        <w:rPr>
          <w:rFonts w:hint="eastAsia" w:ascii="Times New Roman" w:hAnsi="Times New Roman" w:eastAsia="黑体" w:cs="黑体"/>
          <w:color w:val="000000" w:themeColor="text1"/>
          <w:sz w:val="32"/>
          <w:szCs w:val="32"/>
          <w:highlight w:val="none"/>
          <w:lang w:val="en-US" w:eastAsia="zh-CN"/>
          <w14:textFill>
            <w14:solidFill>
              <w14:schemeClr w14:val="tx1"/>
            </w14:solidFill>
          </w14:textFill>
        </w:rPr>
        <w:t xml:space="preserve"> 2024年度单位</w:t>
      </w:r>
      <w:r>
        <w:rPr>
          <w:rFonts w:hint="eastAsia" w:ascii="Times New Roman" w:hAnsi="Times New Roman" w:eastAsia="黑体" w:cs="黑体"/>
          <w:color w:val="000000" w:themeColor="text1"/>
          <w:sz w:val="32"/>
          <w:szCs w:val="32"/>
          <w:highlight w:val="none"/>
          <w14:textFill>
            <w14:solidFill>
              <w14:schemeClr w14:val="tx1"/>
            </w14:solidFill>
          </w14:textFill>
        </w:rPr>
        <w:t>决算情况说明</w:t>
      </w:r>
      <w:r>
        <w:rPr>
          <w:rFonts w:hint="eastAsia" w:ascii="Times New Roman" w:hAnsi="Times New Roman" w:eastAsia="宋体" w:cs="Times New Roman"/>
          <w:kern w:val="2"/>
          <w:sz w:val="24"/>
          <w:szCs w:val="24"/>
          <w:lang w:val="en-US" w:eastAsia="zh-CN" w:bidi="ar-SA"/>
        </w:rPr>
        <w:t>……………………………6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一、收入支出决算总体情况说明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二、收入决算情况说明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三、支出决算情况说明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7</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四、财政拨款收入支出决算总体情况说明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8</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五、一般公共预算财政拨款支出决算情况说明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8</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六、一般公共预算财政拨款基本支出决算情况说明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10</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七、财政拨款</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14:textFill>
            <w14:solidFill>
              <w14:schemeClr w14:val="tx1"/>
            </w14:solidFill>
          </w14:textFill>
        </w:rPr>
        <w:t>三公”经费支出决算情况说明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11</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八、政府性基金预算支出决算情况说明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13</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九、</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国</w:t>
      </w:r>
      <w:r>
        <w:rPr>
          <w:rFonts w:hint="eastAsia" w:ascii="Times New Roman" w:hAnsi="Times New Roman" w:eastAsia="仿宋_GB2312" w:cs="仿宋_GB2312"/>
          <w:color w:val="000000" w:themeColor="text1"/>
          <w:sz w:val="32"/>
          <w:szCs w:val="32"/>
          <w:highlight w:val="none"/>
          <w14:textFill>
            <w14:solidFill>
              <w14:schemeClr w14:val="tx1"/>
            </w14:solidFill>
          </w14:textFill>
        </w:rPr>
        <w:t>有资本经营预算支出决算情况说明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13</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000000" w:themeColor="text1"/>
          <w:sz w:val="32"/>
          <w:szCs w:val="32"/>
          <w:highlight w:val="none"/>
          <w:lang w:val="en-US"/>
          <w14:textFill>
            <w14:solidFill>
              <w14:schemeClr w14:val="tx1"/>
            </w14:solidFill>
          </w14:textFill>
        </w:rPr>
      </w:pP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十</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、其他重要事项的情况说明</w:t>
      </w:r>
      <w:r>
        <w:rPr>
          <w:rFonts w:hint="eastAsia" w:ascii="Times New Roman" w:hAnsi="Times New Roman" w:eastAsia="宋体" w:cs="Times New Roman"/>
          <w:kern w:val="2"/>
          <w:sz w:val="24"/>
          <w:szCs w:val="24"/>
          <w:lang w:val="en-US" w:eastAsia="zh-CN" w:bidi="ar-SA"/>
        </w:rPr>
        <w:t>……………………………………</w:t>
      </w:r>
      <w:r>
        <w:rPr>
          <w:rFonts w:hint="eastAsia" w:ascii="Times New Roman" w:hAnsi="Times New Roman" w:cs="Times New Roman"/>
          <w:kern w:val="2"/>
          <w:sz w:val="24"/>
          <w:szCs w:val="24"/>
          <w:lang w:val="en-US" w:eastAsia="zh-CN" w:bidi="ar-SA"/>
        </w:rPr>
        <w:t>13</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000000" w:themeColor="text1"/>
          <w:sz w:val="32"/>
          <w:szCs w:val="32"/>
          <w:highlight w:val="none"/>
          <w:lang w:val="en-US"/>
          <w14:textFill>
            <w14:solidFill>
              <w14:schemeClr w14:val="tx1"/>
            </w14:solidFill>
          </w14:textFill>
        </w:rPr>
      </w:pPr>
      <w:r>
        <w:rPr>
          <w:rFonts w:hint="eastAsia" w:ascii="Times New Roman" w:hAnsi="Times New Roman" w:eastAsia="黑体" w:cs="黑体"/>
          <w:color w:val="000000" w:themeColor="text1"/>
          <w:sz w:val="32"/>
          <w:szCs w:val="32"/>
          <w:highlight w:val="none"/>
          <w14:textFill>
            <w14:solidFill>
              <w14:schemeClr w14:val="tx1"/>
            </w14:solidFill>
          </w14:textFill>
        </w:rPr>
        <w:t>第三部分</w:t>
      </w:r>
      <w:r>
        <w:rPr>
          <w:rFonts w:hint="eastAsia" w:ascii="Times New Roman" w:hAnsi="Times New Roman" w:eastAsia="黑体" w:cs="黑体"/>
          <w:color w:val="000000" w:themeColor="text1"/>
          <w:sz w:val="32"/>
          <w:szCs w:val="32"/>
          <w:highlight w:val="none"/>
          <w:lang w:val="en-US" w:eastAsia="zh-CN"/>
          <w14:textFill>
            <w14:solidFill>
              <w14:schemeClr w14:val="tx1"/>
            </w14:solidFill>
          </w14:textFill>
        </w:rPr>
        <w:t xml:space="preserve"> </w:t>
      </w:r>
      <w:r>
        <w:rPr>
          <w:rFonts w:hint="eastAsia" w:ascii="Times New Roman" w:hAnsi="Times New Roman" w:eastAsia="黑体" w:cs="黑体"/>
          <w:color w:val="000000" w:themeColor="text1"/>
          <w:sz w:val="32"/>
          <w:szCs w:val="32"/>
          <w:highlight w:val="none"/>
          <w14:textFill>
            <w14:solidFill>
              <w14:schemeClr w14:val="tx1"/>
            </w14:solidFill>
          </w14:textFill>
        </w:rPr>
        <w:t>名词解释</w:t>
      </w:r>
      <w:r>
        <w:rPr>
          <w:rFonts w:hint="eastAsia" w:ascii="Times New Roman" w:hAnsi="Times New Roman" w:eastAsia="宋体" w:cs="Times New Roman"/>
          <w:kern w:val="2"/>
          <w:sz w:val="24"/>
          <w:szCs w:val="24"/>
          <w:lang w:val="en-US" w:eastAsia="zh-CN" w:bidi="ar-SA"/>
        </w:rPr>
        <w:t>…………………………………………………………15</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000000" w:themeColor="text1"/>
          <w:sz w:val="32"/>
          <w:szCs w:val="32"/>
          <w:highlight w:val="none"/>
          <w:lang w:val="en-US"/>
          <w14:textFill>
            <w14:solidFill>
              <w14:schemeClr w14:val="tx1"/>
            </w14:solidFill>
          </w14:textFill>
        </w:rPr>
      </w:pPr>
      <w:r>
        <w:rPr>
          <w:rFonts w:hint="eastAsia" w:ascii="Times New Roman" w:hAnsi="Times New Roman" w:eastAsia="黑体" w:cs="黑体"/>
          <w:color w:val="000000" w:themeColor="text1"/>
          <w:sz w:val="32"/>
          <w:szCs w:val="32"/>
          <w:highlight w:val="none"/>
          <w14:textFill>
            <w14:solidFill>
              <w14:schemeClr w14:val="tx1"/>
            </w14:solidFill>
          </w14:textFill>
        </w:rPr>
        <w:t>第四部分</w:t>
      </w:r>
      <w:r>
        <w:rPr>
          <w:rFonts w:hint="eastAsia" w:ascii="Times New Roman" w:hAnsi="Times New Roman" w:eastAsia="黑体" w:cs="黑体"/>
          <w:color w:val="000000" w:themeColor="text1"/>
          <w:sz w:val="32"/>
          <w:szCs w:val="32"/>
          <w:highlight w:val="none"/>
          <w:lang w:val="en-US" w:eastAsia="zh-CN"/>
          <w14:textFill>
            <w14:solidFill>
              <w14:schemeClr w14:val="tx1"/>
            </w14:solidFill>
          </w14:textFill>
        </w:rPr>
        <w:t xml:space="preserve"> </w:t>
      </w:r>
      <w:r>
        <w:rPr>
          <w:rFonts w:hint="eastAsia" w:ascii="Times New Roman" w:hAnsi="Times New Roman" w:eastAsia="黑体" w:cs="黑体"/>
          <w:color w:val="000000" w:themeColor="text1"/>
          <w:sz w:val="32"/>
          <w:szCs w:val="32"/>
          <w:highlight w:val="none"/>
          <w14:textFill>
            <w14:solidFill>
              <w14:schemeClr w14:val="tx1"/>
            </w14:solidFill>
          </w14:textFill>
        </w:rPr>
        <w:t>附件</w:t>
      </w:r>
      <w:r>
        <w:rPr>
          <w:rFonts w:hint="eastAsia" w:ascii="Times New Roman" w:hAnsi="Times New Roman" w:eastAsia="宋体" w:cs="Times New Roman"/>
          <w:kern w:val="2"/>
          <w:sz w:val="24"/>
          <w:szCs w:val="24"/>
          <w:lang w:val="en-US" w:eastAsia="zh-CN" w:bidi="ar-SA"/>
        </w:rPr>
        <w:t>………………………………………………………………17</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000000" w:themeColor="text1"/>
          <w:sz w:val="32"/>
          <w:szCs w:val="32"/>
          <w:highlight w:val="none"/>
          <w:lang w:val="en-US"/>
          <w14:textFill>
            <w14:solidFill>
              <w14:schemeClr w14:val="tx1"/>
            </w14:solidFill>
          </w14:textFill>
        </w:rPr>
      </w:pPr>
      <w:r>
        <w:rPr>
          <w:rFonts w:hint="eastAsia" w:ascii="Times New Roman" w:hAnsi="Times New Roman" w:eastAsia="黑体" w:cs="黑体"/>
          <w:color w:val="000000" w:themeColor="text1"/>
          <w:sz w:val="32"/>
          <w:szCs w:val="32"/>
          <w:highlight w:val="none"/>
          <w14:textFill>
            <w14:solidFill>
              <w14:schemeClr w14:val="tx1"/>
            </w14:solidFill>
          </w14:textFill>
        </w:rPr>
        <w:t>第五部分</w:t>
      </w:r>
      <w:r>
        <w:rPr>
          <w:rFonts w:hint="eastAsia" w:ascii="Times New Roman" w:hAnsi="Times New Roman" w:eastAsia="黑体" w:cs="黑体"/>
          <w:color w:val="000000" w:themeColor="text1"/>
          <w:sz w:val="32"/>
          <w:szCs w:val="32"/>
          <w:highlight w:val="none"/>
          <w:lang w:val="en-US" w:eastAsia="zh-CN"/>
          <w14:textFill>
            <w14:solidFill>
              <w14:schemeClr w14:val="tx1"/>
            </w14:solidFill>
          </w14:textFill>
        </w:rPr>
        <w:t xml:space="preserve"> </w:t>
      </w:r>
      <w:r>
        <w:rPr>
          <w:rFonts w:hint="eastAsia" w:ascii="Times New Roman" w:hAnsi="Times New Roman" w:eastAsia="黑体" w:cs="黑体"/>
          <w:color w:val="000000" w:themeColor="text1"/>
          <w:sz w:val="32"/>
          <w:szCs w:val="32"/>
          <w:highlight w:val="none"/>
          <w14:textFill>
            <w14:solidFill>
              <w14:schemeClr w14:val="tx1"/>
            </w14:solidFill>
          </w14:textFill>
        </w:rPr>
        <w:t>附表</w:t>
      </w:r>
      <w:r>
        <w:rPr>
          <w:rFonts w:hint="eastAsia" w:ascii="Times New Roman" w:hAnsi="Times New Roman" w:eastAsia="宋体" w:cs="Times New Roman"/>
          <w:kern w:val="2"/>
          <w:sz w:val="24"/>
          <w:szCs w:val="24"/>
          <w:lang w:val="en-US" w:eastAsia="zh-CN" w:bidi="ar-SA"/>
        </w:rPr>
        <w:t>………………………………………………………………21</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一、收入支出决算总表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二、收入决算表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三、支出决算表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四、财政拨款收入支出决算总表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五、财政拨款支出决算明细表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六、一般公共预算财政拨款支出决算表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七、一般公共预算财政拨款支出决算明细表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八、一般公共预算财政拨款基本支出决算</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明细</w:t>
      </w:r>
      <w:r>
        <w:rPr>
          <w:rFonts w:hint="eastAsia" w:ascii="Times New Roman" w:hAnsi="Times New Roman" w:eastAsia="仿宋_GB2312" w:cs="仿宋_GB2312"/>
          <w:color w:val="000000" w:themeColor="text1"/>
          <w:sz w:val="32"/>
          <w:szCs w:val="32"/>
          <w:highlight w:val="none"/>
          <w14:textFill>
            <w14:solidFill>
              <w14:schemeClr w14:val="tx1"/>
            </w14:solidFill>
          </w14:textFill>
        </w:rPr>
        <w:t>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九、一般公共预算财政拨款项目支出决算表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十、政府性基金预算财政拨款收入支出决算表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十一、国有资本经营预算财政拨款收入支出决算表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十二、</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国有资本经营预算财政拨款支出决算表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十三、财政拨款“三公”经费支出决算表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bCs/>
          <w:color w:val="000000" w:themeColor="text1"/>
          <w:sz w:val="32"/>
          <w:szCs w:val="32"/>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000000" w:themeColor="text1"/>
          <w:kern w:val="44"/>
          <w:sz w:val="32"/>
          <w:szCs w:val="32"/>
          <w:highlight w:val="none"/>
          <w14:textFill>
            <w14:solidFill>
              <w14:schemeClr w14:val="tx1"/>
            </w14:solidFill>
          </w14:textFill>
        </w:rPr>
      </w:pPr>
      <w:bookmarkStart w:id="12" w:name="_Toc15396599"/>
      <w:bookmarkStart w:id="13" w:name="_Toc15377196"/>
      <w:r>
        <w:rPr>
          <w:rFonts w:hint="eastAsia" w:ascii="Times New Roman" w:hAnsi="Times New Roman" w:eastAsia="仿宋_GB2312" w:cs="仿宋_GB2312"/>
          <w:b/>
          <w:color w:val="000000" w:themeColor="text1"/>
          <w:sz w:val="32"/>
          <w:szCs w:val="32"/>
          <w:highlight w:val="none"/>
          <w14:textFill>
            <w14:solidFill>
              <w14:schemeClr w14:val="tx1"/>
            </w14:solidFill>
          </w14:textFill>
        </w:rPr>
        <w:br w:type="page"/>
      </w:r>
    </w:p>
    <w:p>
      <w:pPr>
        <w:pStyle w:val="3"/>
        <w:jc w:val="center"/>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方正小标宋简体" w:cs="方正小标宋简体"/>
          <w:b w:val="0"/>
          <w:color w:val="000000" w:themeColor="text1"/>
          <w:highlight w:val="none"/>
          <w14:textFill>
            <w14:solidFill>
              <w14:schemeClr w14:val="tx1"/>
            </w14:solidFill>
          </w14:textFill>
        </w:rPr>
        <w:t>第一部分</w:t>
      </w:r>
      <w:r>
        <w:rPr>
          <w:rFonts w:hint="eastAsia" w:eastAsia="方正小标宋简体" w:cs="方正小标宋简体"/>
          <w:b w:val="0"/>
          <w:color w:val="000000" w:themeColor="text1"/>
          <w:highlight w:val="none"/>
          <w:lang w:val="en-US" w:eastAsia="zh-CN"/>
          <w14:textFill>
            <w14:solidFill>
              <w14:schemeClr w14:val="tx1"/>
            </w14:solidFill>
          </w14:textFill>
        </w:rPr>
        <w:t xml:space="preserve"> 单位</w:t>
      </w:r>
      <w:r>
        <w:rPr>
          <w:rStyle w:val="30"/>
          <w:rFonts w:hint="eastAsia" w:ascii="Times New Roman" w:hAnsi="Times New Roman" w:eastAsia="方正小标宋简体" w:cs="方正小标宋简体"/>
          <w:b w:val="0"/>
          <w:bCs w:val="0"/>
          <w:color w:val="000000" w:themeColor="text1"/>
          <w:highlight w:val="none"/>
          <w14:textFill>
            <w14:solidFill>
              <w14:schemeClr w14:val="tx1"/>
            </w14:solidFill>
          </w14:textFill>
        </w:rPr>
        <w:t>概况</w:t>
      </w:r>
      <w:bookmarkEnd w:id="12"/>
      <w:bookmarkEnd w:id="13"/>
    </w:p>
    <w:p>
      <w:pPr>
        <w:pStyle w:val="4"/>
        <w:numPr>
          <w:ilvl w:val="0"/>
          <w:numId w:val="1"/>
        </w:numPr>
        <w:rPr>
          <w:rFonts w:hint="eastAsia" w:ascii="Times New Roman" w:hAnsi="Times New Roman" w:eastAsia="黑体"/>
          <w:b w:val="0"/>
          <w:color w:val="000000" w:themeColor="text1"/>
          <w:highlight w:val="none"/>
          <w:lang w:eastAsia="zh-CN"/>
          <w14:textFill>
            <w14:solidFill>
              <w14:schemeClr w14:val="tx1"/>
            </w14:solidFill>
          </w14:textFill>
        </w:rPr>
      </w:pPr>
      <w:r>
        <w:rPr>
          <w:rFonts w:hint="eastAsia" w:ascii="Times New Roman" w:hAnsi="Times New Roman" w:eastAsia="黑体"/>
          <w:b w:val="0"/>
          <w:color w:val="000000" w:themeColor="text1"/>
          <w:highlight w:val="none"/>
          <w:lang w:val="en-US" w:eastAsia="zh-CN"/>
          <w14:textFill>
            <w14:solidFill>
              <w14:schemeClr w14:val="tx1"/>
            </w14:solidFill>
          </w14:textFill>
        </w:rPr>
        <w:t>单位</w:t>
      </w:r>
      <w:r>
        <w:rPr>
          <w:rFonts w:hint="eastAsia" w:ascii="Times New Roman" w:hAnsi="Times New Roman" w:eastAsia="黑体"/>
          <w:b w:val="0"/>
          <w:color w:val="000000" w:themeColor="text1"/>
          <w:highlight w:val="none"/>
          <w:lang w:eastAsia="zh-CN"/>
          <w14:textFill>
            <w14:solidFill>
              <w14:schemeClr w14:val="tx1"/>
            </w14:solidFill>
          </w14:textFill>
        </w:rPr>
        <w:t>职责</w:t>
      </w:r>
    </w:p>
    <w:p>
      <w:pPr>
        <w:spacing w:line="640" w:lineRule="exact"/>
        <w:ind w:firstLine="640" w:firstLineChars="200"/>
        <w:rPr>
          <w:rFonts w:hint="eastAsia" w:ascii="仿宋_GB2312" w:eastAsia="仿宋_GB2312"/>
          <w:color w:val="000000" w:themeColor="text1"/>
          <w:sz w:val="32"/>
          <w14:textFill>
            <w14:solidFill>
              <w14:schemeClr w14:val="tx1"/>
            </w14:solidFill>
          </w14:textFill>
        </w:rPr>
      </w:pPr>
      <w:r>
        <w:rPr>
          <w:rFonts w:hint="eastAsia" w:ascii="仿宋_GB2312" w:eastAsia="仿宋_GB2312"/>
          <w:color w:val="000000" w:themeColor="text1"/>
          <w:sz w:val="32"/>
          <w14:textFill>
            <w14:solidFill>
              <w14:schemeClr w14:val="tx1"/>
            </w14:solidFill>
          </w14:textFill>
        </w:rPr>
        <w:t>收集、处理、传递经贸信息，为领导宏观决策和企业、社会公众提供信息服务。为厅机关做好技术支撑、数据支撑和智力支撑。</w:t>
      </w:r>
      <w:r>
        <w:rPr>
          <w:rFonts w:hint="eastAsia" w:ascii="仿宋_GB2312" w:eastAsia="仿宋_GB2312"/>
          <w:b/>
          <w:bCs/>
          <w:color w:val="000000" w:themeColor="text1"/>
          <w:sz w:val="32"/>
          <w14:textFill>
            <w14:solidFill>
              <w14:schemeClr w14:val="tx1"/>
            </w14:solidFill>
          </w14:textFill>
        </w:rPr>
        <w:t>一是</w:t>
      </w:r>
      <w:r>
        <w:rPr>
          <w:rFonts w:hint="eastAsia" w:ascii="仿宋_GB2312" w:eastAsia="仿宋_GB2312"/>
          <w:color w:val="000000" w:themeColor="text1"/>
          <w:sz w:val="32"/>
          <w14:textFill>
            <w14:solidFill>
              <w14:schemeClr w14:val="tx1"/>
            </w14:solidFill>
          </w14:textFill>
        </w:rPr>
        <w:t>承担厅机关网络安全和信息化系统（含应用支撑平台、协同办公平台等）的规划、建设、运行和安全保护管理，指导厅其他直属单位网络安全和信息化建设工作；承担厅网络安全和信息化建设领导小组办公室的有关具体工作。</w:t>
      </w:r>
      <w:r>
        <w:rPr>
          <w:rFonts w:hint="eastAsia" w:ascii="仿宋_GB2312" w:eastAsia="仿宋_GB2312"/>
          <w:b/>
          <w:bCs/>
          <w:color w:val="000000" w:themeColor="text1"/>
          <w:sz w:val="32"/>
          <w14:textFill>
            <w14:solidFill>
              <w14:schemeClr w14:val="tx1"/>
            </w14:solidFill>
          </w14:textFill>
        </w:rPr>
        <w:t>二是</w:t>
      </w:r>
      <w:r>
        <w:rPr>
          <w:rFonts w:hint="eastAsia" w:ascii="仿宋_GB2312" w:eastAsia="仿宋_GB2312"/>
          <w:color w:val="000000" w:themeColor="text1"/>
          <w:sz w:val="32"/>
          <w14:textFill>
            <w14:solidFill>
              <w14:schemeClr w14:val="tx1"/>
            </w14:solidFill>
          </w14:textFill>
        </w:rPr>
        <w:t>承担一网通办对接、政务信息系统整合共享、政务数据汇集等工作；承担政务信息公开、信息目标考核；承担网站的信息管理、维护和发布工作。</w:t>
      </w:r>
      <w:r>
        <w:rPr>
          <w:rFonts w:hint="eastAsia" w:ascii="仿宋_GB2312" w:eastAsia="仿宋_GB2312"/>
          <w:b/>
          <w:bCs/>
          <w:color w:val="000000" w:themeColor="text1"/>
          <w:sz w:val="32"/>
          <w14:textFill>
            <w14:solidFill>
              <w14:schemeClr w14:val="tx1"/>
            </w14:solidFill>
          </w14:textFill>
        </w:rPr>
        <w:t>三是</w:t>
      </w:r>
      <w:r>
        <w:rPr>
          <w:rFonts w:hint="eastAsia" w:ascii="仿宋_GB2312" w:eastAsia="仿宋_GB2312"/>
          <w:color w:val="000000" w:themeColor="text1"/>
          <w:sz w:val="32"/>
          <w14:textFill>
            <w14:solidFill>
              <w14:schemeClr w14:val="tx1"/>
            </w14:solidFill>
          </w14:textFill>
        </w:rPr>
        <w:t>承担全省工业和信息化系统经济运行监测及预测预警系统和决策支持基础数据库运行维护相关工作；承担全省工业和信息化系统相关数据采集、信息统计工作，参与经济运行监测和经济发展重大问题分析。</w:t>
      </w:r>
      <w:r>
        <w:rPr>
          <w:rFonts w:hint="eastAsia" w:ascii="仿宋_GB2312" w:eastAsia="仿宋_GB2312"/>
          <w:b/>
          <w:bCs/>
          <w:color w:val="000000" w:themeColor="text1"/>
          <w:sz w:val="32"/>
          <w14:textFill>
            <w14:solidFill>
              <w14:schemeClr w14:val="tx1"/>
            </w14:solidFill>
          </w14:textFill>
        </w:rPr>
        <w:t>四是</w:t>
      </w:r>
      <w:r>
        <w:rPr>
          <w:rFonts w:hint="eastAsia" w:ascii="仿宋_GB2312" w:eastAsia="仿宋_GB2312"/>
          <w:color w:val="000000" w:themeColor="text1"/>
          <w:sz w:val="32"/>
          <w14:textFill>
            <w14:solidFill>
              <w14:schemeClr w14:val="tx1"/>
            </w14:solidFill>
          </w14:textFill>
        </w:rPr>
        <w:t>承担厅机关网络基础设施、业务应用系统、计算机终端及辅助设备的日常运行维护和相关设备的采购工作。</w:t>
      </w:r>
      <w:r>
        <w:rPr>
          <w:rFonts w:hint="eastAsia" w:ascii="仿宋_GB2312" w:eastAsia="仿宋_GB2312"/>
          <w:b/>
          <w:bCs/>
          <w:color w:val="000000" w:themeColor="text1"/>
          <w:sz w:val="32"/>
          <w14:textFill>
            <w14:solidFill>
              <w14:schemeClr w14:val="tx1"/>
            </w14:solidFill>
          </w14:textFill>
        </w:rPr>
        <w:t>五是</w:t>
      </w:r>
      <w:r>
        <w:rPr>
          <w:rFonts w:hint="eastAsia" w:ascii="仿宋_GB2312" w:eastAsia="仿宋_GB2312"/>
          <w:color w:val="000000" w:themeColor="text1"/>
          <w:sz w:val="32"/>
          <w14:textFill>
            <w14:solidFill>
              <w14:schemeClr w14:val="tx1"/>
            </w14:solidFill>
          </w14:textFill>
        </w:rPr>
        <w:t>承担对全省重点企业信息工作提供业务指导、技术咨询服务，积极推动企业信息化，开展信息的社会化服务。</w:t>
      </w:r>
    </w:p>
    <w:p>
      <w:pPr>
        <w:numPr>
          <w:ilvl w:val="0"/>
          <w:numId w:val="0"/>
        </w:numPr>
        <w:rPr>
          <w:rFonts w:hint="eastAsia"/>
          <w:color w:val="000000" w:themeColor="text1"/>
          <w:lang w:eastAsia="zh-CN"/>
          <w14:textFill>
            <w14:solidFill>
              <w14:schemeClr w14:val="tx1"/>
            </w14:solidFill>
          </w14:textFill>
        </w:rPr>
      </w:pPr>
    </w:p>
    <w:p>
      <w:pPr>
        <w:pStyle w:val="4"/>
        <w:rPr>
          <w:rStyle w:val="31"/>
          <w:rFonts w:ascii="Times New Roman" w:hAnsi="Times New Roman"/>
          <w:b w:val="0"/>
          <w:bCs w:val="0"/>
          <w:color w:val="000000" w:themeColor="text1"/>
          <w:highlight w:val="none"/>
          <w14:textFill>
            <w14:solidFill>
              <w14:schemeClr w14:val="tx1"/>
            </w14:solidFill>
          </w14:textFill>
        </w:rPr>
      </w:pPr>
      <w:bookmarkStart w:id="14" w:name="_Toc15377200"/>
      <w:bookmarkStart w:id="15" w:name="_Toc15396601"/>
      <w:r>
        <w:rPr>
          <w:rFonts w:hint="eastAsia" w:ascii="Times New Roman" w:hAnsi="Times New Roman" w:eastAsia="黑体"/>
          <w:b w:val="0"/>
          <w:color w:val="000000" w:themeColor="text1"/>
          <w:highlight w:val="none"/>
          <w14:textFill>
            <w14:solidFill>
              <w14:schemeClr w14:val="tx1"/>
            </w14:solidFill>
          </w14:textFill>
        </w:rPr>
        <w:t>二、机</w:t>
      </w:r>
      <w:r>
        <w:rPr>
          <w:rStyle w:val="31"/>
          <w:rFonts w:hint="eastAsia" w:ascii="Times New Roman" w:hAnsi="Times New Roman" w:eastAsia="黑体"/>
          <w:b w:val="0"/>
          <w:bCs w:val="0"/>
          <w:color w:val="000000" w:themeColor="text1"/>
          <w:highlight w:val="none"/>
          <w14:textFill>
            <w14:solidFill>
              <w14:schemeClr w14:val="tx1"/>
            </w14:solidFill>
          </w14:textFill>
        </w:rPr>
        <w:t>构设置</w:t>
      </w:r>
      <w:bookmarkEnd w:id="14"/>
      <w:bookmarkEnd w:id="15"/>
    </w:p>
    <w:p>
      <w:pPr>
        <w:spacing w:line="640" w:lineRule="exact"/>
        <w:ind w:firstLine="640" w:firstLineChars="200"/>
        <w:rPr>
          <w:rFonts w:hint="eastAsia"/>
          <w:color w:val="000000" w:themeColor="text1"/>
          <w14:textFill>
            <w14:solidFill>
              <w14:schemeClr w14:val="tx1"/>
            </w14:solidFill>
          </w14:textFill>
        </w:rPr>
      </w:pPr>
      <w:r>
        <w:rPr>
          <w:rFonts w:hint="eastAsia" w:ascii="仿宋_GB2312" w:eastAsia="仿宋_GB2312"/>
          <w:color w:val="000000" w:themeColor="text1"/>
          <w:sz w:val="32"/>
          <w14:textFill>
            <w14:solidFill>
              <w14:schemeClr w14:val="tx1"/>
            </w14:solidFill>
          </w14:textFill>
        </w:rPr>
        <w:t>信息中心是1996年1月经省编委批准（川编发〔1996〕5号）设立，为省经济和信息化厅主管的公益一类事业单位。中心内设综合部、网络运行部、技术保障部、政务信息部和监测分析部5个部门。</w:t>
      </w:r>
    </w:p>
    <w:p>
      <w:pPr>
        <w:widowControl/>
        <w:jc w:val="left"/>
        <w:rPr>
          <w:rFonts w:ascii="Times New Roman" w:hAnsi="Times New Roman" w:eastAsia="仿宋"/>
          <w:color w:val="000000" w:themeColor="text1"/>
          <w:kern w:val="0"/>
          <w:sz w:val="32"/>
          <w:szCs w:val="32"/>
          <w:highlight w:val="none"/>
          <w14:textFill>
            <w14:solidFill>
              <w14:schemeClr w14:val="tx1"/>
            </w14:solidFill>
          </w14:textFill>
        </w:rPr>
      </w:pPr>
      <w:r>
        <w:rPr>
          <w:rFonts w:ascii="Times New Roman" w:hAnsi="Times New Roman" w:eastAsia="仿宋"/>
          <w:color w:val="000000" w:themeColor="text1"/>
          <w:sz w:val="32"/>
          <w:szCs w:val="32"/>
          <w:highlight w:val="none"/>
          <w14:textFill>
            <w14:solidFill>
              <w14:schemeClr w14:val="tx1"/>
            </w14:solidFill>
          </w14:textFill>
        </w:rPr>
        <w:br w:type="page"/>
      </w:r>
    </w:p>
    <w:p>
      <w:pPr>
        <w:pStyle w:val="3"/>
        <w:jc w:val="center"/>
        <w:rPr>
          <w:rFonts w:hint="eastAsia" w:ascii="Times New Roman" w:hAnsi="Times New Roman" w:eastAsia="方正小标宋简体" w:cs="方正小标宋简体"/>
          <w:b w:val="0"/>
          <w:color w:val="000000" w:themeColor="text1"/>
          <w:highlight w:val="none"/>
          <w14:textFill>
            <w14:solidFill>
              <w14:schemeClr w14:val="tx1"/>
            </w14:solidFill>
          </w14:textFill>
        </w:rPr>
      </w:pPr>
      <w:bookmarkStart w:id="16" w:name="_Toc15396602"/>
      <w:bookmarkStart w:id="17" w:name="_Toc15377204"/>
      <w:r>
        <w:rPr>
          <w:rFonts w:hint="eastAsia" w:ascii="Times New Roman" w:hAnsi="Times New Roman" w:eastAsia="方正小标宋简体" w:cs="方正小标宋简体"/>
          <w:b w:val="0"/>
          <w:color w:val="000000" w:themeColor="text1"/>
          <w:highlight w:val="none"/>
          <w14:textFill>
            <w14:solidFill>
              <w14:schemeClr w14:val="tx1"/>
            </w14:solidFill>
          </w14:textFill>
        </w:rPr>
        <w:t>第二部分</w:t>
      </w:r>
      <w:r>
        <w:rPr>
          <w:rFonts w:hint="eastAsia" w:eastAsia="方正小标宋简体" w:cs="方正小标宋简体"/>
          <w:b w:val="0"/>
          <w:color w:val="000000" w:themeColor="text1"/>
          <w:highlight w:val="none"/>
          <w:lang w:val="en-US" w:eastAsia="zh-CN"/>
          <w14:textFill>
            <w14:solidFill>
              <w14:schemeClr w14:val="tx1"/>
            </w14:solidFill>
          </w14:textFill>
        </w:rPr>
        <w:t xml:space="preserve"> </w:t>
      </w:r>
      <w:r>
        <w:rPr>
          <w:rFonts w:hint="eastAsia" w:ascii="Times New Roman" w:hAnsi="Times New Roman" w:eastAsia="方正小标宋简体" w:cs="方正小标宋简体"/>
          <w:b w:val="0"/>
          <w:color w:val="000000" w:themeColor="text1"/>
          <w:highlight w:val="none"/>
          <w:lang w:val="en-US" w:eastAsia="zh-CN"/>
          <w14:textFill>
            <w14:solidFill>
              <w14:schemeClr w14:val="tx1"/>
            </w14:solidFill>
          </w14:textFill>
        </w:rPr>
        <w:t>2024年度</w:t>
      </w:r>
      <w:r>
        <w:rPr>
          <w:rFonts w:hint="eastAsia" w:eastAsia="方正小标宋简体" w:cs="方正小标宋简体"/>
          <w:b w:val="0"/>
          <w:color w:val="000000" w:themeColor="text1"/>
          <w:highlight w:val="none"/>
          <w:lang w:val="en-US" w:eastAsia="zh-CN"/>
          <w14:textFill>
            <w14:solidFill>
              <w14:schemeClr w14:val="tx1"/>
            </w14:solidFill>
          </w14:textFill>
        </w:rPr>
        <w:t>单位</w:t>
      </w:r>
      <w:r>
        <w:rPr>
          <w:rFonts w:hint="eastAsia" w:ascii="Times New Roman" w:hAnsi="Times New Roman" w:eastAsia="方正小标宋简体" w:cs="方正小标宋简体"/>
          <w:b w:val="0"/>
          <w:color w:val="000000" w:themeColor="text1"/>
          <w:highlight w:val="none"/>
          <w14:textFill>
            <w14:solidFill>
              <w14:schemeClr w14:val="tx1"/>
            </w14:solidFill>
          </w14:textFill>
        </w:rPr>
        <w:t>决算情况说明</w:t>
      </w:r>
      <w:bookmarkEnd w:id="16"/>
      <w:bookmarkEnd w:id="17"/>
    </w:p>
    <w:p>
      <w:pPr>
        <w:rPr>
          <w:rFonts w:ascii="Times New Roman" w:hAnsi="Times New Roman"/>
          <w:color w:val="000000" w:themeColor="text1"/>
          <w:highlight w:val="none"/>
          <w14:textFill>
            <w14:solidFill>
              <w14:schemeClr w14:val="tx1"/>
            </w14:solidFill>
          </w14:textFill>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eastAsia" w:ascii="Times New Roman" w:hAnsi="Times New Roman" w:eastAsia="黑体"/>
          <w:b w:val="0"/>
          <w:color w:val="000000" w:themeColor="text1"/>
          <w:highlight w:val="none"/>
          <w14:textFill>
            <w14:solidFill>
              <w14:schemeClr w14:val="tx1"/>
            </w14:solidFill>
          </w14:textFill>
        </w:rPr>
      </w:pPr>
      <w:bookmarkStart w:id="18" w:name="_Toc15377205"/>
      <w:bookmarkStart w:id="19" w:name="_Toc15396603"/>
      <w:r>
        <w:rPr>
          <w:rFonts w:hint="eastAsia" w:ascii="Times New Roman" w:hAnsi="Times New Roman" w:eastAsia="黑体"/>
          <w:color w:val="000000" w:themeColor="text1"/>
          <w:sz w:val="32"/>
          <w:szCs w:val="32"/>
          <w:highlight w:val="none"/>
          <w:lang w:eastAsia="zh-CN"/>
          <w14:textFill>
            <w14:solidFill>
              <w14:schemeClr w14:val="tx1"/>
            </w14:solidFill>
          </w14:textFill>
        </w:rPr>
        <w:t>一、</w:t>
      </w:r>
      <w:r>
        <w:rPr>
          <w:rFonts w:hint="eastAsia" w:ascii="Times New Roman" w:hAnsi="Times New Roman" w:eastAsia="黑体"/>
          <w:color w:val="000000" w:themeColor="text1"/>
          <w:sz w:val="32"/>
          <w:szCs w:val="32"/>
          <w:highlight w:val="none"/>
          <w14:textFill>
            <w14:solidFill>
              <w14:schemeClr w14:val="tx1"/>
            </w14:solidFill>
          </w14:textFill>
        </w:rPr>
        <w:t>收</w:t>
      </w:r>
      <w:r>
        <w:rPr>
          <w:rStyle w:val="31"/>
          <w:rFonts w:hint="eastAsia" w:ascii="Times New Roman" w:hAnsi="Times New Roman" w:eastAsia="黑体"/>
          <w:b w:val="0"/>
          <w:color w:val="000000" w:themeColor="text1"/>
          <w:highlight w:val="none"/>
          <w14:textFill>
            <w14:solidFill>
              <w14:schemeClr w14:val="tx1"/>
            </w14:solidFill>
          </w14:textFill>
        </w:rPr>
        <w:t>入支出决算总体情况说明</w:t>
      </w:r>
      <w:bookmarkEnd w:id="18"/>
      <w:bookmarkEnd w:id="19"/>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2024年度收入</w:t>
      </w:r>
      <w:r>
        <w:rPr>
          <w:rFonts w:hint="eastAsia" w:ascii="Times New Roman" w:hAnsi="Times New Roman" w:eastAsia="仿宋_GB2312" w:cs="仿宋_GB2312"/>
          <w:color w:val="000000" w:themeColor="text1"/>
          <w:sz w:val="32"/>
          <w:szCs w:val="32"/>
          <w:highlight w:val="none"/>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支出</w:t>
      </w:r>
      <w:r>
        <w:rPr>
          <w:rFonts w:hint="eastAsia" w:ascii="Times New Roman" w:hAnsi="Times New Roman" w:eastAsia="仿宋_GB2312" w:cs="仿宋_GB2312"/>
          <w:color w:val="000000" w:themeColor="text1"/>
          <w:sz w:val="32"/>
          <w:szCs w:val="32"/>
          <w:highlight w:val="none"/>
          <w14:textFill>
            <w14:solidFill>
              <w14:schemeClr w14:val="tx1"/>
            </w14:solidFill>
          </w14:textFill>
        </w:rPr>
        <w:t>总计</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均为</w:t>
      </w:r>
      <w:r>
        <w:rPr>
          <w:rFonts w:hint="eastAsia" w:eastAsia="仿宋_GB2312" w:cs="仿宋_GB2312"/>
          <w:color w:val="000000" w:themeColor="text1"/>
          <w:sz w:val="32"/>
          <w:szCs w:val="32"/>
          <w:highlight w:val="none"/>
          <w:lang w:val="en-US" w:eastAsia="zh-CN"/>
          <w14:textFill>
            <w14:solidFill>
              <w14:schemeClr w14:val="tx1"/>
            </w14:solidFill>
          </w14:textFill>
        </w:rPr>
        <w:t>426.42万</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元。与</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202</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年</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度</w:t>
      </w:r>
      <w:r>
        <w:rPr>
          <w:rFonts w:hint="eastAsia" w:ascii="Times New Roman" w:hAnsi="Times New Roman" w:eastAsia="仿宋_GB2312" w:cs="仿宋_GB2312"/>
          <w:color w:val="000000" w:themeColor="text1"/>
          <w:sz w:val="32"/>
          <w:szCs w:val="32"/>
          <w:highlight w:val="none"/>
          <w14:textFill>
            <w14:solidFill>
              <w14:schemeClr w14:val="tx1"/>
            </w14:solidFill>
          </w14:textFill>
        </w:rPr>
        <w:t>相比，</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收入</w:t>
      </w:r>
      <w:r>
        <w:rPr>
          <w:rFonts w:hint="eastAsia" w:ascii="Times New Roman" w:hAnsi="Times New Roman" w:eastAsia="仿宋_GB2312" w:cs="仿宋_GB2312"/>
          <w:color w:val="000000" w:themeColor="text1"/>
          <w:sz w:val="32"/>
          <w:szCs w:val="32"/>
          <w:highlight w:val="none"/>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支出</w:t>
      </w:r>
      <w:r>
        <w:rPr>
          <w:rFonts w:hint="eastAsia" w:ascii="Times New Roman" w:hAnsi="Times New Roman" w:eastAsia="仿宋_GB2312" w:cs="仿宋_GB2312"/>
          <w:color w:val="000000" w:themeColor="text1"/>
          <w:sz w:val="32"/>
          <w:szCs w:val="32"/>
          <w:highlight w:val="none"/>
          <w14:textFill>
            <w14:solidFill>
              <w14:schemeClr w14:val="tx1"/>
            </w14:solidFill>
          </w14:textFill>
        </w:rPr>
        <w:t>总计各减少</w:t>
      </w:r>
      <w:r>
        <w:rPr>
          <w:rFonts w:hint="eastAsia" w:eastAsia="仿宋_GB2312" w:cs="仿宋_GB2312"/>
          <w:color w:val="000000" w:themeColor="text1"/>
          <w:sz w:val="32"/>
          <w:szCs w:val="32"/>
          <w:highlight w:val="none"/>
          <w:lang w:val="en-US" w:eastAsia="zh-CN"/>
          <w14:textFill>
            <w14:solidFill>
              <w14:schemeClr w14:val="tx1"/>
            </w14:solidFill>
          </w14:textFill>
        </w:rPr>
        <w:t>26.93</w:t>
      </w:r>
      <w:r>
        <w:rPr>
          <w:rFonts w:hint="eastAsia" w:ascii="Times New Roman" w:hAnsi="Times New Roman" w:eastAsia="仿宋_GB2312" w:cs="仿宋_GB2312"/>
          <w:color w:val="000000" w:themeColor="text1"/>
          <w:sz w:val="32"/>
          <w:szCs w:val="32"/>
          <w:highlight w:val="none"/>
          <w14:textFill>
            <w14:solidFill>
              <w14:schemeClr w14:val="tx1"/>
            </w14:solidFill>
          </w14:textFill>
        </w:rPr>
        <w:t>万元，下降</w:t>
      </w:r>
      <w:r>
        <w:rPr>
          <w:rFonts w:hint="eastAsia" w:eastAsia="仿宋_GB2312" w:cs="仿宋_GB2312"/>
          <w:color w:val="000000" w:themeColor="text1"/>
          <w:sz w:val="32"/>
          <w:szCs w:val="32"/>
          <w:highlight w:val="none"/>
          <w:lang w:val="en-US" w:eastAsia="zh-CN"/>
          <w14:textFill>
            <w14:solidFill>
              <w14:schemeClr w14:val="tx1"/>
            </w14:solidFill>
          </w14:textFill>
        </w:rPr>
        <w:t>5.9</w:t>
      </w:r>
      <w:r>
        <w:rPr>
          <w:rFonts w:hint="eastAsia" w:ascii="Times New Roman" w:hAnsi="Times New Roman" w:eastAsia="仿宋_GB2312" w:cs="仿宋_GB2312"/>
          <w:color w:val="000000" w:themeColor="text1"/>
          <w:sz w:val="32"/>
          <w:szCs w:val="32"/>
          <w:highlight w:val="none"/>
          <w14:textFill>
            <w14:solidFill>
              <w14:schemeClr w14:val="tx1"/>
            </w14:solidFill>
          </w14:textFill>
        </w:rPr>
        <w:t>%。主要变动原因是</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项目经费减少。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column">
              <wp:posOffset>198120</wp:posOffset>
            </wp:positionH>
            <wp:positionV relativeFrom="paragraph">
              <wp:posOffset>133350</wp:posOffset>
            </wp:positionV>
            <wp:extent cx="4822190" cy="2743200"/>
            <wp:effectExtent l="4445" t="4445" r="12065" b="8255"/>
            <wp:wrapTopAndBottom/>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Times New Roman" w:hAnsi="Times New Roman" w:eastAsia="仿宋_GB2312" w:cs="仿宋_GB2312"/>
          <w:color w:val="000000" w:themeColor="text1"/>
          <w:sz w:val="32"/>
          <w:szCs w:val="32"/>
          <w:highlight w:val="none"/>
          <w14:textFill>
            <w14:solidFill>
              <w14:schemeClr w14:val="tx1"/>
            </w14:solidFill>
          </w14:textFill>
        </w:rPr>
        <w:t>图1：</w:t>
      </w:r>
      <w:r>
        <w:rPr>
          <w:rFonts w:hint="eastAsia" w:eastAsia="仿宋_GB2312" w:cs="仿宋_GB2312"/>
          <w:color w:val="000000" w:themeColor="text1"/>
          <w:sz w:val="32"/>
          <w:szCs w:val="32"/>
          <w:highlight w:val="none"/>
          <w:lang w:val="en-US" w:eastAsia="zh-CN"/>
          <w14:textFill>
            <w14:solidFill>
              <w14:schemeClr w14:val="tx1"/>
            </w14:solidFill>
          </w14:textFill>
        </w:rPr>
        <w:t>2023-2024年</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收入</w:t>
      </w:r>
      <w:r>
        <w:rPr>
          <w:rFonts w:hint="eastAsia" w:ascii="Times New Roman" w:hAnsi="Times New Roman" w:eastAsia="仿宋_GB2312" w:cs="仿宋_GB2312"/>
          <w:color w:val="000000" w:themeColor="text1"/>
          <w:sz w:val="32"/>
          <w:szCs w:val="32"/>
          <w:highlight w:val="none"/>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支出</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决算总计变动情况图</w:t>
      </w:r>
    </w:p>
    <w:p>
      <w:pPr>
        <w:pStyle w:val="16"/>
        <w:rPr>
          <w:rFonts w:hint="eastAsia"/>
          <w:color w:val="000000" w:themeColor="text1"/>
          <w14:textFill>
            <w14:solidFill>
              <w14:schemeClr w14:val="tx1"/>
            </w14:solidFill>
          </w14:textFill>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000000" w:themeColor="text1"/>
          <w:sz w:val="32"/>
          <w:szCs w:val="32"/>
          <w:highlight w:val="none"/>
          <w:lang w:eastAsia="zh-CN"/>
          <w14:textFill>
            <w14:solidFill>
              <w14:schemeClr w14:val="tx1"/>
            </w14:solidFill>
          </w14:textFill>
        </w:rPr>
      </w:pPr>
      <w:bookmarkStart w:id="20" w:name="_Toc15377206"/>
      <w:bookmarkStart w:id="21" w:name="_Toc15396604"/>
      <w:r>
        <w:rPr>
          <w:rFonts w:hint="eastAsia" w:ascii="Times New Roman" w:hAnsi="Times New Roman" w:eastAsia="黑体"/>
          <w:color w:val="000000" w:themeColor="text1"/>
          <w:sz w:val="32"/>
          <w:szCs w:val="32"/>
          <w:highlight w:val="none"/>
          <w:lang w:eastAsia="zh-CN"/>
          <w14:textFill>
            <w14:solidFill>
              <w14:schemeClr w14:val="tx1"/>
            </w14:solidFill>
          </w14:textFill>
        </w:rPr>
        <w:t>二、收入决算情况说明</w:t>
      </w:r>
      <w:bookmarkEnd w:id="20"/>
      <w:bookmarkEnd w:id="21"/>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2024年度本年收入合计</w:t>
      </w:r>
      <w:r>
        <w:rPr>
          <w:rFonts w:hint="default" w:ascii="Times New Roman" w:hAnsi="Times New Roman" w:eastAsia="仿宋_GB2312" w:cs="Times New Roman"/>
          <w:color w:val="000000" w:themeColor="text1"/>
          <w:sz w:val="32"/>
          <w:szCs w:val="32"/>
          <w14:textFill>
            <w14:solidFill>
              <w14:schemeClr w14:val="tx1"/>
            </w14:solidFill>
          </w14:textFill>
        </w:rPr>
        <w:t>426.42万元，其中：一般公共预算财政拨款收入422.36</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万元，占</w:t>
      </w:r>
      <w:r>
        <w:rPr>
          <w:rFonts w:hint="default" w:ascii="Times New Roman" w:hAnsi="Times New Roman" w:eastAsia="仿宋_GB2312" w:cs="Times New Roman"/>
          <w:color w:val="000000" w:themeColor="text1"/>
          <w:sz w:val="32"/>
          <w:szCs w:val="32"/>
          <w14:textFill>
            <w14:solidFill>
              <w14:schemeClr w14:val="tx1"/>
            </w14:solidFill>
          </w14:textFill>
        </w:rPr>
        <w:t>99</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%；其他收入</w:t>
      </w:r>
      <w:r>
        <w:rPr>
          <w:rFonts w:hint="default" w:ascii="Times New Roman" w:hAnsi="Times New Roman" w:eastAsia="仿宋_GB2312" w:cs="Times New Roman"/>
          <w:color w:val="000000" w:themeColor="text1"/>
          <w:sz w:val="32"/>
          <w:szCs w:val="32"/>
          <w14:textFill>
            <w14:solidFill>
              <w14:schemeClr w14:val="tx1"/>
            </w14:solidFill>
          </w14:textFill>
        </w:rPr>
        <w:t>4.05</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万元，占</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2310" w:firstLineChars="1100"/>
        <w:jc w:val="left"/>
        <w:textAlignment w:val="auto"/>
        <w:outlineLvl w:val="1"/>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0288" behindDoc="0" locked="0" layoutInCell="1" allowOverlap="1">
            <wp:simplePos x="0" y="0"/>
            <wp:positionH relativeFrom="column">
              <wp:posOffset>-635</wp:posOffset>
            </wp:positionH>
            <wp:positionV relativeFrom="paragraph">
              <wp:posOffset>168275</wp:posOffset>
            </wp:positionV>
            <wp:extent cx="4826000" cy="2743200"/>
            <wp:effectExtent l="4445" t="4445" r="8255" b="8255"/>
            <wp:wrapTopAndBottom/>
            <wp:docPr id="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图2：收入决算结构图</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520" w:firstLineChars="1100"/>
        <w:jc w:val="left"/>
        <w:textAlignment w:val="auto"/>
        <w:outlineLvl w:val="1"/>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eastAsia" w:ascii="Times New Roman" w:hAnsi="Times New Roman" w:eastAsia="黑体"/>
          <w:b w:val="0"/>
          <w:color w:val="000000" w:themeColor="text1"/>
          <w:highlight w:val="none"/>
          <w14:textFill>
            <w14:solidFill>
              <w14:schemeClr w14:val="tx1"/>
            </w14:solidFill>
          </w14:textFill>
        </w:rPr>
      </w:pPr>
      <w:bookmarkStart w:id="22" w:name="_Toc15396605"/>
      <w:bookmarkStart w:id="23" w:name="_Toc15377207"/>
      <w:r>
        <w:rPr>
          <w:rFonts w:hint="eastAsia" w:ascii="Times New Roman" w:hAnsi="Times New Roman" w:eastAsia="黑体"/>
          <w:color w:val="000000" w:themeColor="text1"/>
          <w:sz w:val="32"/>
          <w:szCs w:val="32"/>
          <w:highlight w:val="none"/>
          <w:lang w:eastAsia="zh-CN"/>
          <w14:textFill>
            <w14:solidFill>
              <w14:schemeClr w14:val="tx1"/>
            </w14:solidFill>
          </w14:textFill>
        </w:rPr>
        <w:t>三、</w:t>
      </w:r>
      <w:r>
        <w:rPr>
          <w:rFonts w:hint="eastAsia" w:ascii="Times New Roman" w:hAnsi="Times New Roman" w:eastAsia="黑体"/>
          <w:color w:val="000000" w:themeColor="text1"/>
          <w:sz w:val="32"/>
          <w:szCs w:val="32"/>
          <w:highlight w:val="none"/>
          <w14:textFill>
            <w14:solidFill>
              <w14:schemeClr w14:val="tx1"/>
            </w14:solidFill>
          </w14:textFill>
        </w:rPr>
        <w:t>支</w:t>
      </w:r>
      <w:r>
        <w:rPr>
          <w:rStyle w:val="31"/>
          <w:rFonts w:hint="eastAsia" w:ascii="Times New Roman" w:hAnsi="Times New Roman" w:eastAsia="黑体"/>
          <w:b w:val="0"/>
          <w:color w:val="000000" w:themeColor="text1"/>
          <w:highlight w:val="none"/>
          <w14:textFill>
            <w14:solidFill>
              <w14:schemeClr w14:val="tx1"/>
            </w14:solidFill>
          </w14:textFill>
        </w:rPr>
        <w:t>出决算情况说明</w:t>
      </w:r>
      <w:bookmarkEnd w:id="22"/>
      <w:bookmarkEnd w:id="23"/>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2024年度本年支出合计</w:t>
      </w:r>
      <w:r>
        <w:rPr>
          <w:rFonts w:hint="default" w:ascii="Times New Roman" w:hAnsi="Times New Roman" w:eastAsia="仿宋_GB2312" w:cs="Times New Roman"/>
          <w:color w:val="000000" w:themeColor="text1"/>
          <w:sz w:val="32"/>
          <w:szCs w:val="32"/>
          <w14:textFill>
            <w14:solidFill>
              <w14:schemeClr w14:val="tx1"/>
            </w14:solidFill>
          </w14:textFill>
        </w:rPr>
        <w:t>426.42</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万元，其中：基本支出</w:t>
      </w:r>
      <w:r>
        <w:rPr>
          <w:rFonts w:hint="default" w:ascii="Times New Roman" w:hAnsi="Times New Roman" w:eastAsia="仿宋_GB2312" w:cs="Times New Roman"/>
          <w:color w:val="000000" w:themeColor="text1"/>
          <w:sz w:val="32"/>
          <w:szCs w:val="32"/>
          <w14:textFill>
            <w14:solidFill>
              <w14:schemeClr w14:val="tx1"/>
            </w14:solidFill>
          </w14:textFill>
        </w:rPr>
        <w:t>294.46</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万元，占</w:t>
      </w:r>
      <w:r>
        <w:rPr>
          <w:rFonts w:hint="default" w:ascii="Times New Roman" w:hAnsi="Times New Roman" w:eastAsia="仿宋_GB2312" w:cs="Times New Roman"/>
          <w:color w:val="000000" w:themeColor="text1"/>
          <w:sz w:val="32"/>
          <w:szCs w:val="32"/>
          <w14:textFill>
            <w14:solidFill>
              <w14:schemeClr w14:val="tx1"/>
            </w14:solidFill>
          </w14:textFill>
        </w:rPr>
        <w:t>69</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%；项目支出</w:t>
      </w:r>
      <w:r>
        <w:rPr>
          <w:rFonts w:hint="default" w:ascii="Times New Roman" w:hAnsi="Times New Roman" w:eastAsia="仿宋_GB2312" w:cs="Times New Roman"/>
          <w:color w:val="000000" w:themeColor="text1"/>
          <w:sz w:val="32"/>
          <w:szCs w:val="32"/>
          <w14:textFill>
            <w14:solidFill>
              <w14:schemeClr w14:val="tx1"/>
            </w14:solidFill>
          </w14:textFill>
        </w:rPr>
        <w:t>131.96</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万元，占</w:t>
      </w:r>
      <w:r>
        <w:rPr>
          <w:rFonts w:hint="default" w:ascii="Times New Roman" w:hAnsi="Times New Roman" w:eastAsia="仿宋_GB2312" w:cs="Times New Roman"/>
          <w:color w:val="000000" w:themeColor="text1"/>
          <w:sz w:val="32"/>
          <w:szCs w:val="32"/>
          <w14:textFill>
            <w14:solidFill>
              <w14:schemeClr w14:val="tx1"/>
            </w14:solidFill>
          </w14:textFill>
        </w:rPr>
        <w:t>3</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p>
    <w:p>
      <w:pPr>
        <w:ind w:firstLine="525" w:firstLineChars="250"/>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2336" behindDoc="0" locked="0" layoutInCell="1" allowOverlap="1">
            <wp:simplePos x="0" y="0"/>
            <wp:positionH relativeFrom="column">
              <wp:posOffset>-635</wp:posOffset>
            </wp:positionH>
            <wp:positionV relativeFrom="paragraph">
              <wp:posOffset>212090</wp:posOffset>
            </wp:positionV>
            <wp:extent cx="4826000" cy="2743200"/>
            <wp:effectExtent l="4445" t="4445" r="8255" b="8255"/>
            <wp:wrapSquare wrapText="bothSides"/>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p>
    <w:p>
      <w:pPr>
        <w:ind w:firstLine="800" w:firstLineChars="250"/>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p>
    <w:p>
      <w:pPr>
        <w:ind w:firstLine="800" w:firstLineChars="250"/>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p>
    <w:p>
      <w:pPr>
        <w:ind w:firstLine="800" w:firstLineChars="250"/>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p>
    <w:p>
      <w:pPr>
        <w:ind w:firstLine="800" w:firstLineChars="250"/>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p>
    <w:p>
      <w:pPr>
        <w:ind w:firstLine="2720" w:firstLineChars="850"/>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图</w:t>
      </w:r>
    </w:p>
    <w:p>
      <w:pPr>
        <w:ind w:firstLine="2720" w:firstLineChars="850"/>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p>
    <w:p>
      <w:pPr>
        <w:ind w:firstLine="2720" w:firstLineChars="850"/>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pPr>
      <w:r>
        <w:rPr>
          <w:rFonts w:hint="eastAsia" w:eastAsia="仿宋_GB2312" w:cs="仿宋_GB2312"/>
          <w:color w:val="000000" w:themeColor="text1"/>
          <w:sz w:val="32"/>
          <w:szCs w:val="32"/>
          <w:highlight w:val="none"/>
          <w:lang w:eastAsia="zh-CN"/>
          <w14:textFill>
            <w14:solidFill>
              <w14:schemeClr w14:val="tx1"/>
            </w14:solidFill>
          </w14:textFill>
        </w:rPr>
        <w:t>图</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3：支出决算结构</w:t>
      </w:r>
      <w:r>
        <w:rPr>
          <w:rFonts w:hint="eastAsia" w:eastAsia="仿宋_GB2312" w:cs="仿宋_GB2312"/>
          <w:color w:val="000000" w:themeColor="text1"/>
          <w:sz w:val="32"/>
          <w:szCs w:val="32"/>
          <w:highlight w:val="none"/>
          <w:lang w:eastAsia="zh-CN"/>
          <w14:textFill>
            <w14:solidFill>
              <w14:schemeClr w14:val="tx1"/>
            </w14:solidFill>
          </w14:textFill>
        </w:rPr>
        <w:t>图</w:t>
      </w:r>
    </w:p>
    <w:p>
      <w:pPr>
        <w:pStyle w:val="16"/>
        <w:rPr>
          <w:rFonts w:hint="eastAsia"/>
          <w:color w:val="000000" w:themeColor="text1"/>
          <w:lang w:eastAsia="zh-CN"/>
          <w14:textFill>
            <w14:solidFill>
              <w14:schemeClr w14:val="tx1"/>
            </w14:solidFill>
          </w14:textFill>
        </w:rPr>
      </w:pPr>
    </w:p>
    <w:p>
      <w:pPr>
        <w:spacing w:line="600" w:lineRule="exact"/>
        <w:ind w:firstLine="640" w:firstLineChars="200"/>
        <w:outlineLvl w:val="1"/>
        <w:rPr>
          <w:rStyle w:val="31"/>
          <w:rFonts w:ascii="Times New Roman" w:hAnsi="Times New Roman" w:eastAsia="黑体"/>
          <w:b w:val="0"/>
          <w:color w:val="000000" w:themeColor="text1"/>
          <w:highlight w:val="none"/>
          <w14:textFill>
            <w14:solidFill>
              <w14:schemeClr w14:val="tx1"/>
            </w14:solidFill>
          </w14:textFill>
        </w:rPr>
      </w:pPr>
      <w:bookmarkStart w:id="24" w:name="_Toc15377208"/>
      <w:bookmarkStart w:id="25" w:name="_Toc15396606"/>
      <w:r>
        <w:rPr>
          <w:rFonts w:hint="eastAsia" w:ascii="Times New Roman" w:hAnsi="Times New Roman" w:eastAsia="黑体"/>
          <w:color w:val="000000" w:themeColor="text1"/>
          <w:sz w:val="32"/>
          <w:szCs w:val="32"/>
          <w:highlight w:val="none"/>
          <w14:textFill>
            <w14:solidFill>
              <w14:schemeClr w14:val="tx1"/>
            </w14:solidFill>
          </w14:textFill>
        </w:rPr>
        <w:t>四、财</w:t>
      </w:r>
      <w:r>
        <w:rPr>
          <w:rStyle w:val="31"/>
          <w:rFonts w:hint="eastAsia" w:ascii="Times New Roman" w:hAnsi="Times New Roman" w:eastAsia="黑体"/>
          <w:b w:val="0"/>
          <w:color w:val="000000" w:themeColor="text1"/>
          <w:highlight w:val="none"/>
          <w14:textFill>
            <w14:solidFill>
              <w14:schemeClr w14:val="tx1"/>
            </w14:solidFill>
          </w14:textFill>
        </w:rPr>
        <w:t>政拨款收入支出决算总体情况说明</w:t>
      </w:r>
      <w:bookmarkEnd w:id="24"/>
      <w:bookmarkEnd w:id="25"/>
    </w:p>
    <w:p>
      <w:pPr>
        <w:spacing w:line="600" w:lineRule="exact"/>
        <w:ind w:firstLine="640"/>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drawing>
          <wp:anchor distT="0" distB="0" distL="114300" distR="114300" simplePos="0" relativeHeight="251663360" behindDoc="0" locked="0" layoutInCell="1" allowOverlap="1">
            <wp:simplePos x="0" y="0"/>
            <wp:positionH relativeFrom="column">
              <wp:posOffset>260350</wp:posOffset>
            </wp:positionH>
            <wp:positionV relativeFrom="paragraph">
              <wp:posOffset>1207770</wp:posOffset>
            </wp:positionV>
            <wp:extent cx="4826000" cy="2743200"/>
            <wp:effectExtent l="4445" t="4445" r="8255" b="8255"/>
            <wp:wrapTopAndBottom/>
            <wp:docPr id="9"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2024年度财政拨款收入、支出总计均为</w:t>
      </w:r>
      <w:r>
        <w:rPr>
          <w:rFonts w:hint="default" w:ascii="Times New Roman" w:hAnsi="Times New Roman" w:eastAsia="仿宋_GB2312" w:cs="Times New Roman"/>
          <w:color w:val="000000" w:themeColor="text1"/>
          <w:sz w:val="32"/>
          <w:szCs w:val="32"/>
          <w14:textFill>
            <w14:solidFill>
              <w14:schemeClr w14:val="tx1"/>
            </w14:solidFill>
          </w14:textFill>
        </w:rPr>
        <w:t>422.36</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万元。与2023年度相比，财政拨款收入总计、支出总计各减少27.18万元，下降6%。主要变动原因是项目经费减少。</w:t>
      </w:r>
    </w:p>
    <w:p>
      <w:pPr>
        <w:spacing w:line="600" w:lineRule="exact"/>
        <w:ind w:firstLine="1280" w:firstLineChars="40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图4：财政拨款收、支决算总计变动情况</w:t>
      </w: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p>
    <w:p>
      <w:pPr>
        <w:spacing w:line="600" w:lineRule="exact"/>
        <w:ind w:firstLine="640" w:firstLineChars="200"/>
        <w:outlineLvl w:val="1"/>
        <w:rPr>
          <w:rStyle w:val="31"/>
          <w:rFonts w:ascii="Times New Roman" w:hAnsi="Times New Roman" w:eastAsia="黑体"/>
          <w:b w:val="0"/>
          <w:color w:val="000000" w:themeColor="text1"/>
          <w:highlight w:val="none"/>
          <w14:textFill>
            <w14:solidFill>
              <w14:schemeClr w14:val="tx1"/>
            </w14:solidFill>
          </w14:textFill>
        </w:rPr>
      </w:pPr>
      <w:bookmarkStart w:id="26" w:name="_Toc15377209"/>
      <w:bookmarkStart w:id="27" w:name="_Toc15396607"/>
      <w:r>
        <w:rPr>
          <w:rFonts w:hint="eastAsia" w:ascii="Times New Roman" w:hAnsi="Times New Roman" w:eastAsia="黑体"/>
          <w:color w:val="000000" w:themeColor="text1"/>
          <w:sz w:val="32"/>
          <w:szCs w:val="32"/>
          <w:highlight w:val="none"/>
          <w14:textFill>
            <w14:solidFill>
              <w14:schemeClr w14:val="tx1"/>
            </w14:solidFill>
          </w14:textFill>
        </w:rPr>
        <w:t>五、</w:t>
      </w:r>
      <w:r>
        <w:rPr>
          <w:rFonts w:hint="eastAsia" w:ascii="Times New Roman" w:hAnsi="Times New Roman" w:eastAsia="黑体"/>
          <w:b/>
          <w:color w:val="000000" w:themeColor="text1"/>
          <w:sz w:val="32"/>
          <w:szCs w:val="32"/>
          <w:highlight w:val="none"/>
          <w14:textFill>
            <w14:solidFill>
              <w14:schemeClr w14:val="tx1"/>
            </w14:solidFill>
          </w14:textFill>
        </w:rPr>
        <w:t>一</w:t>
      </w:r>
      <w:r>
        <w:rPr>
          <w:rStyle w:val="31"/>
          <w:rFonts w:hint="eastAsia" w:ascii="Times New Roman" w:hAnsi="Times New Roman" w:eastAsia="黑体"/>
          <w:b w:val="0"/>
          <w:color w:val="000000" w:themeColor="text1"/>
          <w:highlight w:val="none"/>
          <w14:textFill>
            <w14:solidFill>
              <w14:schemeClr w14:val="tx1"/>
            </w14:solidFill>
          </w14:textFill>
        </w:rPr>
        <w:t>般公共预算财政拨款支出决算情况说明</w:t>
      </w:r>
      <w:bookmarkEnd w:id="26"/>
      <w:bookmarkEnd w:id="27"/>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14:textFill>
            <w14:solidFill>
              <w14:schemeClr w14:val="tx1"/>
            </w14:solidFill>
          </w14:textFill>
        </w:rPr>
      </w:pPr>
      <w:bookmarkStart w:id="28" w:name="_Toc15377210"/>
      <w:r>
        <w:rPr>
          <w:rFonts w:hint="eastAsia" w:ascii="Times New Roman" w:hAnsi="Times New Roman" w:eastAsia="楷体_GB2312" w:cs="楷体_GB2312"/>
          <w:b/>
          <w:color w:val="000000" w:themeColor="text1"/>
          <w:sz w:val="32"/>
          <w:szCs w:val="32"/>
          <w:highlight w:val="none"/>
          <w14:textFill>
            <w14:solidFill>
              <w14:schemeClr w14:val="tx1"/>
            </w14:solidFill>
          </w14:textFill>
        </w:rPr>
        <w:t>（一）一般公共预算财政拨款支出决算总体情况</w:t>
      </w:r>
      <w:bookmarkEnd w:id="28"/>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2024年度一般公共预算财政拨款支出</w:t>
      </w:r>
      <w:r>
        <w:rPr>
          <w:rFonts w:hint="default" w:ascii="Times New Roman" w:hAnsi="Times New Roman" w:eastAsia="仿宋_GB2312" w:cs="Times New Roman"/>
          <w:color w:val="000000" w:themeColor="text1"/>
          <w:sz w:val="32"/>
          <w:szCs w:val="32"/>
          <w14:textFill>
            <w14:solidFill>
              <w14:schemeClr w14:val="tx1"/>
            </w14:solidFill>
          </w14:textFill>
        </w:rPr>
        <w:t>422.36</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万元，占本年支出合计的</w:t>
      </w:r>
      <w:r>
        <w:rPr>
          <w:rFonts w:hint="default" w:ascii="Times New Roman" w:hAnsi="Times New Roman" w:eastAsia="仿宋_GB2312" w:cs="Times New Roman"/>
          <w:color w:val="000000" w:themeColor="text1"/>
          <w:sz w:val="32"/>
          <w:szCs w:val="32"/>
          <w14:textFill>
            <w14:solidFill>
              <w14:schemeClr w14:val="tx1"/>
            </w14:solidFill>
          </w14:textFill>
        </w:rPr>
        <w:t>99</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%。与2023年度相比，一般公共预算财政拨款支出减少27.18万元，下降6%。主要变动原因是项目经费减少。</w:t>
      </w:r>
    </w:p>
    <w:p>
      <w:pPr>
        <w:pStyle w:val="16"/>
        <w:ind w:firstLine="817" w:firstLineChars="0"/>
        <w:rPr>
          <w:rFonts w:hint="default" w:eastAsia="仿宋_GB2312" w:cs="仿宋_GB2312"/>
          <w:color w:val="000000" w:themeColor="text1"/>
          <w:kern w:val="2"/>
          <w:sz w:val="32"/>
          <w:szCs w:val="32"/>
          <w:highlight w:val="none"/>
          <w:lang w:val="en-US" w:eastAsia="zh-CN" w:bidi="ar-SA"/>
          <w14:textFill>
            <w14:solidFill>
              <w14:schemeClr w14:val="tx1"/>
            </w14:solidFill>
          </w14:textFill>
        </w:rPr>
      </w:pP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5408" behindDoc="1" locked="0" layoutInCell="1" allowOverlap="1">
            <wp:simplePos x="0" y="0"/>
            <wp:positionH relativeFrom="column">
              <wp:posOffset>187325</wp:posOffset>
            </wp:positionH>
            <wp:positionV relativeFrom="paragraph">
              <wp:posOffset>231140</wp:posOffset>
            </wp:positionV>
            <wp:extent cx="4826000" cy="2743200"/>
            <wp:effectExtent l="4445" t="4445" r="8255" b="8255"/>
            <wp:wrapThrough wrapText="bothSides">
              <wp:wrapPolygon>
                <wp:start x="-20" y="-35"/>
                <wp:lineTo x="-20" y="21565"/>
                <wp:lineTo x="21580" y="21565"/>
                <wp:lineTo x="21580" y="-35"/>
                <wp:lineTo x="-20" y="-35"/>
              </wp:wrapPolygon>
            </wp:wrapThrough>
            <wp:docPr id="10"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图5：一般公共预算财政拨款支出决算变动情况</w:t>
      </w:r>
    </w:p>
    <w:p>
      <w:pPr>
        <w:pStyle w:val="16"/>
        <w:rPr>
          <w:rFonts w:hint="eastAsia"/>
          <w:color w:val="000000" w:themeColor="text1"/>
          <w:lang w:val="en-US" w:eastAsia="zh-CN"/>
          <w14:textFill>
            <w14:solidFill>
              <w14:schemeClr w14:val="tx1"/>
            </w14:solidFill>
          </w14:textFill>
        </w:rPr>
      </w:pPr>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14:textFill>
            <w14:solidFill>
              <w14:schemeClr w14:val="tx1"/>
            </w14:solidFill>
          </w14:textFill>
        </w:rPr>
      </w:pPr>
      <w:bookmarkStart w:id="29" w:name="_Toc15377211"/>
      <w:r>
        <w:rPr>
          <w:rFonts w:hint="eastAsia" w:ascii="Times New Roman" w:hAnsi="Times New Roman" w:eastAsia="楷体_GB2312" w:cs="楷体_GB2312"/>
          <w:b/>
          <w:color w:val="000000" w:themeColor="text1"/>
          <w:sz w:val="32"/>
          <w:szCs w:val="32"/>
          <w:highlight w:val="none"/>
          <w14:textFill>
            <w14:solidFill>
              <w14:schemeClr w14:val="tx1"/>
            </w14:solidFill>
          </w14:textFill>
        </w:rPr>
        <w:t>（二）一般公共预算财政拨款支出决算结构情况</w:t>
      </w:r>
      <w:bookmarkEnd w:id="29"/>
    </w:p>
    <w:p>
      <w:pPr>
        <w:spacing w:line="600" w:lineRule="exact"/>
        <w:ind w:firstLine="640"/>
        <w:rPr>
          <w:rFonts w:hint="eastAsia"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2024年度一般公共预算财政拨款支出422.36</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万元</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，主要用于以下方面</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资源勘探工业信息等支出</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342.33</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万元，占</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81</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%；社会保障和就业支出</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41.67</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万元，占</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9.9</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%；卫生健康支出</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16.32</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万元，占</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3.9</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%；住房保障支出</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22.05</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万元，占</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5.2</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w:t>
      </w:r>
      <w:r>
        <w:rPr>
          <w:rFonts w:hint="eastAsia" w:eastAsia="仿宋_GB2312" w:cs="仿宋_GB2312"/>
          <w:color w:val="000000" w:themeColor="text1"/>
          <w:kern w:val="2"/>
          <w:sz w:val="32"/>
          <w:szCs w:val="32"/>
          <w:highlight w:val="none"/>
          <w:lang w:val="en-US" w:eastAsia="zh-CN" w:bidi="ar-SA"/>
          <w14:textFill>
            <w14:solidFill>
              <w14:schemeClr w14:val="tx1"/>
            </w14:solidFill>
          </w14:textFill>
        </w:rPr>
        <w:t>。</w:t>
      </w:r>
    </w:p>
    <w:p>
      <w:pPr>
        <w:pStyle w:val="16"/>
        <w:rPr>
          <w:rFonts w:hint="eastAsia" w:eastAsia="仿宋_GB2312" w:cs="仿宋_GB2312"/>
          <w:color w:val="000000" w:themeColor="text1"/>
          <w:kern w:val="2"/>
          <w:sz w:val="32"/>
          <w:szCs w:val="32"/>
          <w:highlight w:val="none"/>
          <w:lang w:val="en-US" w:eastAsia="zh-CN" w:bidi="ar-SA"/>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6432" behindDoc="1" locked="0" layoutInCell="1" allowOverlap="1">
            <wp:simplePos x="0" y="0"/>
            <wp:positionH relativeFrom="column">
              <wp:posOffset>219710</wp:posOffset>
            </wp:positionH>
            <wp:positionV relativeFrom="paragraph">
              <wp:posOffset>109855</wp:posOffset>
            </wp:positionV>
            <wp:extent cx="4827270" cy="2536190"/>
            <wp:effectExtent l="4445" t="4445" r="6985" b="69215"/>
            <wp:wrapThrough wrapText="bothSides">
              <wp:wrapPolygon>
                <wp:start x="-20" y="-38"/>
                <wp:lineTo x="-20" y="21541"/>
                <wp:lineTo x="21546" y="21541"/>
                <wp:lineTo x="21546" y="-38"/>
                <wp:lineTo x="-20" y="-38"/>
              </wp:wrapPolygon>
            </wp:wrapThrough>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16"/>
        <w:rPr>
          <w:rFonts w:hint="eastAsia" w:eastAsia="仿宋_GB2312" w:cs="仿宋_GB2312"/>
          <w:color w:val="000000" w:themeColor="text1"/>
          <w:kern w:val="2"/>
          <w:sz w:val="32"/>
          <w:szCs w:val="32"/>
          <w:highlight w:val="none"/>
          <w:lang w:val="en-US" w:eastAsia="zh-CN" w:bidi="ar-SA"/>
          <w14:textFill>
            <w14:solidFill>
              <w14:schemeClr w14:val="tx1"/>
            </w14:solidFill>
          </w14:textFill>
        </w:rPr>
      </w:pPr>
    </w:p>
    <w:p>
      <w:pPr>
        <w:pStyle w:val="16"/>
        <w:rPr>
          <w:rFonts w:hint="eastAsia" w:eastAsia="仿宋_GB2312" w:cs="仿宋_GB2312"/>
          <w:color w:val="000000" w:themeColor="text1"/>
          <w:kern w:val="2"/>
          <w:sz w:val="32"/>
          <w:szCs w:val="32"/>
          <w:highlight w:val="none"/>
          <w:lang w:val="en-US" w:eastAsia="zh-CN" w:bidi="ar-SA"/>
          <w14:textFill>
            <w14:solidFill>
              <w14:schemeClr w14:val="tx1"/>
            </w14:solidFill>
          </w14:textFill>
        </w:rPr>
      </w:pPr>
    </w:p>
    <w:p>
      <w:pPr>
        <w:pStyle w:val="16"/>
        <w:ind w:left="0" w:leftChars="0" w:firstLine="0" w:firstLineChars="0"/>
        <w:rPr>
          <w:rFonts w:hint="eastAsia"/>
          <w:color w:val="000000" w:themeColor="text1"/>
          <w:lang w:val="en-US" w:eastAsia="zh-CN"/>
          <w14:textFill>
            <w14:solidFill>
              <w14:schemeClr w14:val="tx1"/>
            </w14:solidFill>
          </w14:textFill>
        </w:rPr>
      </w:pPr>
    </w:p>
    <w:p>
      <w:pPr>
        <w:pStyle w:val="16"/>
        <w:rPr>
          <w:rFonts w:hint="eastAsia"/>
          <w:color w:val="000000" w:themeColor="text1"/>
          <w:lang w:val="en-US" w:eastAsia="zh-CN"/>
          <w14:textFill>
            <w14:solidFill>
              <w14:schemeClr w14:val="tx1"/>
            </w14:solidFill>
          </w14:textFill>
        </w:rPr>
      </w:pPr>
    </w:p>
    <w:p>
      <w:pPr>
        <w:pStyle w:val="16"/>
        <w:rPr>
          <w:rFonts w:hint="eastAsia"/>
          <w:color w:val="000000" w:themeColor="text1"/>
          <w:lang w:val="en-US" w:eastAsia="zh-CN"/>
          <w14:textFill>
            <w14:solidFill>
              <w14:schemeClr w14:val="tx1"/>
            </w14:solidFill>
          </w14:textFill>
        </w:rPr>
      </w:pPr>
    </w:p>
    <w:p>
      <w:pPr>
        <w:pStyle w:val="16"/>
        <w:rPr>
          <w:rFonts w:hint="eastAsia"/>
          <w:color w:val="000000" w:themeColor="text1"/>
          <w:lang w:val="en-US" w:eastAsia="zh-CN"/>
          <w14:textFill>
            <w14:solidFill>
              <w14:schemeClr w14:val="tx1"/>
            </w14:solidFill>
          </w14:textFill>
        </w:rPr>
      </w:pPr>
    </w:p>
    <w:p>
      <w:pPr>
        <w:pStyle w:val="16"/>
        <w:ind w:left="0" w:leftChars="0" w:firstLine="0" w:firstLineChars="0"/>
        <w:jc w:val="cente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图6：一般公共预算财政拨款支出决算结构</w:t>
      </w:r>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14:textFill>
            <w14:solidFill>
              <w14:schemeClr w14:val="tx1"/>
            </w14:solidFill>
          </w14:textFill>
        </w:rPr>
      </w:pPr>
      <w:bookmarkStart w:id="30" w:name="_Toc15377212"/>
      <w:r>
        <w:rPr>
          <w:rFonts w:hint="eastAsia" w:ascii="Times New Roman" w:hAnsi="Times New Roman" w:eastAsia="楷体_GB2312" w:cs="楷体_GB2312"/>
          <w:b/>
          <w:color w:val="000000" w:themeColor="text1"/>
          <w:sz w:val="32"/>
          <w:szCs w:val="32"/>
          <w:highlight w:val="none"/>
          <w14:textFill>
            <w14:solidFill>
              <w14:schemeClr w14:val="tx1"/>
            </w14:solidFill>
          </w14:textFill>
        </w:rPr>
        <w:t>（三）一般公共预算财政拨款支出决算具体情况</w:t>
      </w:r>
      <w:bookmarkEnd w:id="30"/>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bookmarkStart w:id="31" w:name="_Toc15377444"/>
      <w:bookmarkStart w:id="32" w:name="_Toc15378460"/>
      <w:bookmarkStart w:id="33" w:name="_Toc15377213"/>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2024年度一般公共预算财政拨款支出决算数为</w:t>
      </w:r>
      <w:r>
        <w:rPr>
          <w:rFonts w:hint="default" w:ascii="Times New Roman" w:hAnsi="Times New Roman" w:eastAsia="仿宋_GB2312" w:cs="Times New Roman"/>
          <w:color w:val="000000" w:themeColor="text1"/>
          <w:sz w:val="32"/>
          <w:szCs w:val="32"/>
          <w14:textFill>
            <w14:solidFill>
              <w14:schemeClr w14:val="tx1"/>
            </w14:solidFill>
          </w14:textFill>
        </w:rPr>
        <w:t>422.36</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，完成预算100%。其中：</w:t>
      </w:r>
      <w:bookmarkEnd w:id="31"/>
      <w:bookmarkEnd w:id="32"/>
      <w:bookmarkEnd w:id="33"/>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1.社会保障和就业（类）行政事业单位养老支出（款）机关事业单位养老保险缴费支出（项）:支出决算为27.78万元，完成预算100%。</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2.社会保障和就业（类）行政事业单位养老支出（款）机关事业单位职业年金缴费支出（项）:支出决算为13.89万元，完成预算100%。</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3.卫生健康（类）行政事业单位医疗（款）事业单位医疗（项）:支出决算为16.32万元，完成预算100%。</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4.资源勘探工业信息等支出（类）制造业（款）机关服务项:支出决算为210.36万元，完成预算100%。</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5.资源勘探工业信息等支出（类）制造业（款）一般行政管理事务（项）:支出决算为131.96万元，完成预算100%。</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6.住房保障支出（类）住房改革支出（款）住房公积金（项）:支出决算为20.84万元，完成预算100%。</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7.住房保障支出（类）住房改革支出（款）购房补贴（项）:支出决算为1.21万元，完成预算100%。</w:t>
      </w: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p>
    <w:p>
      <w:pPr>
        <w:spacing w:line="600" w:lineRule="exact"/>
        <w:ind w:firstLine="640"/>
        <w:outlineLvl w:val="1"/>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pPr>
      <w:bookmarkStart w:id="34" w:name="_Toc15396608"/>
      <w:bookmarkStart w:id="35" w:name="_Toc15377214"/>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六、一般公共预算财政拨款基本支出决算情况说明</w:t>
      </w:r>
      <w:bookmarkEnd w:id="34"/>
      <w:bookmarkEnd w:id="35"/>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ab/>
      </w: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2024年度一般公共预算财政拨款基本支出290.41万元，其中：</w:t>
      </w:r>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人员经费267.46万元，主要包括：基本工资、津贴补贴、绩效工资、机关事业单位基本养老保险缴费、职业年金缴费、其他社会保障缴费、住房公积金、其他对个人和家庭的补助支出等、其他工资福利支出等。</w:t>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br w:type="textWrapping"/>
      </w: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　　公用经费22.95万元，主要包括：办公费、印刷费、差旅费、劳务费、工会经费、福利费、公务用车运行维护费、其他商品和服务支出。</w:t>
      </w:r>
    </w:p>
    <w:p>
      <w:pPr>
        <w:pStyle w:val="16"/>
        <w:rPr>
          <w:rFonts w:hint="eastAsia"/>
          <w:lang w:val="en-US" w:eastAsia="zh-CN"/>
        </w:rPr>
      </w:pPr>
    </w:p>
    <w:p>
      <w:pPr>
        <w:spacing w:line="600" w:lineRule="exact"/>
        <w:ind w:firstLine="640"/>
        <w:outlineLvl w:val="1"/>
        <w:rPr>
          <w:rStyle w:val="31"/>
          <w:rFonts w:ascii="Times New Roman" w:hAnsi="Times New Roman" w:eastAsia="黑体"/>
          <w:b w:val="0"/>
          <w:color w:val="000000" w:themeColor="text1"/>
          <w:highlight w:val="none"/>
          <w14:textFill>
            <w14:solidFill>
              <w14:schemeClr w14:val="tx1"/>
            </w14:solidFill>
          </w14:textFill>
        </w:rPr>
      </w:pPr>
      <w:bookmarkStart w:id="36" w:name="_Toc15396609"/>
      <w:bookmarkStart w:id="37" w:name="_Toc15377215"/>
      <w:r>
        <w:rPr>
          <w:rFonts w:hint="eastAsia" w:ascii="Times New Roman" w:hAnsi="Times New Roman" w:eastAsia="黑体"/>
          <w:color w:val="000000" w:themeColor="text1"/>
          <w:sz w:val="32"/>
          <w:szCs w:val="32"/>
          <w:highlight w:val="none"/>
          <w14:textFill>
            <w14:solidFill>
              <w14:schemeClr w14:val="tx1"/>
            </w14:solidFill>
          </w14:textFill>
        </w:rPr>
        <w:t>七、</w:t>
      </w:r>
      <w:r>
        <w:rPr>
          <w:rStyle w:val="31"/>
          <w:rFonts w:hint="eastAsia" w:ascii="Times New Roman" w:hAnsi="Times New Roman" w:eastAsia="黑体"/>
          <w:b w:val="0"/>
          <w:color w:val="000000" w:themeColor="text1"/>
          <w:highlight w:val="none"/>
          <w14:textFill>
            <w14:solidFill>
              <w14:schemeClr w14:val="tx1"/>
            </w14:solidFill>
          </w14:textFill>
        </w:rPr>
        <w:t>财政拨款</w:t>
      </w:r>
      <w:r>
        <w:rPr>
          <w:rStyle w:val="31"/>
          <w:rFonts w:hint="eastAsia" w:ascii="Times New Roman" w:hAnsi="Times New Roman" w:eastAsia="黑体"/>
          <w:color w:val="000000" w:themeColor="text1"/>
          <w:highlight w:val="none"/>
          <w14:textFill>
            <w14:solidFill>
              <w14:schemeClr w14:val="tx1"/>
            </w14:solidFill>
          </w14:textFill>
        </w:rPr>
        <w:t>“</w:t>
      </w:r>
      <w:r>
        <w:rPr>
          <w:rStyle w:val="31"/>
          <w:rFonts w:hint="eastAsia" w:ascii="Times New Roman" w:hAnsi="Times New Roman" w:eastAsia="黑体"/>
          <w:b w:val="0"/>
          <w:color w:val="000000" w:themeColor="text1"/>
          <w:highlight w:val="none"/>
          <w14:textFill>
            <w14:solidFill>
              <w14:schemeClr w14:val="tx1"/>
            </w14:solidFill>
          </w14:textFill>
        </w:rPr>
        <w:t>三公”经费支出决算情况说明</w:t>
      </w:r>
      <w:bookmarkEnd w:id="36"/>
      <w:bookmarkEnd w:id="37"/>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14:textFill>
            <w14:solidFill>
              <w14:schemeClr w14:val="tx1"/>
            </w14:solidFill>
          </w14:textFill>
        </w:rPr>
      </w:pPr>
      <w:bookmarkStart w:id="38" w:name="_Toc15377216"/>
      <w:r>
        <w:rPr>
          <w:rFonts w:hint="eastAsia" w:ascii="Times New Roman" w:hAnsi="Times New Roman" w:eastAsia="楷体_GB2312" w:cs="楷体_GB2312"/>
          <w:b/>
          <w:color w:val="000000" w:themeColor="text1"/>
          <w:sz w:val="32"/>
          <w:szCs w:val="32"/>
          <w:highlight w:val="none"/>
          <w14:textFill>
            <w14:solidFill>
              <w14:schemeClr w14:val="tx1"/>
            </w14:solidFill>
          </w14:textFill>
        </w:rPr>
        <w:t>（一）“三公”经费财政拨款支出决算总体情况说明</w:t>
      </w:r>
      <w:bookmarkEnd w:id="38"/>
    </w:p>
    <w:p>
      <w:pPr>
        <w:spacing w:line="600" w:lineRule="exact"/>
        <w:ind w:firstLine="640"/>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2024年度“三公”经费财政拨款支出决算为0.72万元，完成预算36%，较上年度减少0.71万元，下降49.7%。决算数小于预算数的主要原因是2024年因公务用车老旧被处置拍卖，由于拍卖周期长，下半年无公车使用。</w:t>
      </w:r>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lang w:val="en-US" w:eastAsia="zh-CN"/>
          <w14:textFill>
            <w14:solidFill>
              <w14:schemeClr w14:val="tx1"/>
            </w14:solidFill>
          </w14:textFill>
        </w:rPr>
      </w:pPr>
      <w:bookmarkStart w:id="39" w:name="_Toc15377217"/>
      <w:r>
        <w:rPr>
          <w:rFonts w:hint="eastAsia" w:ascii="Times New Roman" w:hAnsi="Times New Roman" w:eastAsia="楷体_GB2312" w:cs="楷体_GB2312"/>
          <w:b/>
          <w:color w:val="000000" w:themeColor="text1"/>
          <w:sz w:val="32"/>
          <w:szCs w:val="32"/>
          <w:highlight w:val="none"/>
          <w:lang w:val="en-US" w:eastAsia="zh-CN"/>
          <w14:textFill>
            <w14:solidFill>
              <w14:schemeClr w14:val="tx1"/>
            </w14:solidFill>
          </w14:textFill>
        </w:rPr>
        <w:t>（二）“三公”经费财政拨款支出决算具体情况说明</w:t>
      </w:r>
      <w:bookmarkEnd w:id="39"/>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2024年度“三公”经费财政拨款支出决算中，因公出国（境）费支出决算</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万元，占0%；公务用车购置及运行维护费支出决算</w:t>
      </w:r>
      <w:r>
        <w:rPr>
          <w:rFonts w:hint="default" w:ascii="Times New Roman" w:hAnsi="Times New Roman" w:eastAsia="仿宋_GB2312" w:cs="Times New Roman"/>
          <w:color w:val="000000" w:themeColor="text1"/>
          <w:sz w:val="32"/>
          <w:szCs w:val="32"/>
          <w14:textFill>
            <w14:solidFill>
              <w14:schemeClr w14:val="tx1"/>
            </w14:solidFill>
          </w14:textFill>
        </w:rPr>
        <w:t>0.72</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万元，占100%；公务接待费支出决算</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万元，占0%。具体情况如下：</w:t>
      </w:r>
    </w:p>
    <w:p>
      <w:pPr>
        <w:pStyle w:val="16"/>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p>
    <w:p>
      <w:pPr>
        <w:pStyle w:val="16"/>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p>
    <w:p>
      <w:pPr>
        <w:pStyle w:val="16"/>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p>
    <w:p>
      <w:pPr>
        <w:pStyle w:val="16"/>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p>
    <w:p>
      <w:pPr>
        <w:pStyle w:val="16"/>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73600" behindDoc="0" locked="0" layoutInCell="1" allowOverlap="1">
            <wp:simplePos x="0" y="0"/>
            <wp:positionH relativeFrom="column">
              <wp:posOffset>313690</wp:posOffset>
            </wp:positionH>
            <wp:positionV relativeFrom="paragraph">
              <wp:posOffset>322580</wp:posOffset>
            </wp:positionV>
            <wp:extent cx="4824730" cy="2743200"/>
            <wp:effectExtent l="4445" t="4445" r="9525" b="14605"/>
            <wp:wrapTopAndBottom/>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1292" w:firstLineChars="404"/>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t>图7：“三公”经费财政拨款支出结构</w:t>
      </w:r>
    </w:p>
    <w:p>
      <w:pPr>
        <w:pStyle w:val="16"/>
        <w:rPr>
          <w:rFonts w:hint="eastAsia"/>
          <w:lang w:val="en-US" w:eastAsia="zh-CN"/>
        </w:rPr>
      </w:pP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1.因公出国（境）经费支出0万元。</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全年安排因公出国（境）团组</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次，出国（境）</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人。因公出国（境）支出决算与2023年决算数持平。</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2.公务用车购置及运行维护费支出0.72万元，完成预算36%。</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公务用车购置及运行维护费支出决算比2023年度减少0.71万元，下降49.7%。决算数小于预算数的主要原因是2024年因公务用车老旧被处置拍卖，由于拍卖周期长，下半年无公车使用。</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其中：公务用车购置支出0万元。全年按规定更新购置公务用车0辆，其中：轿车0辆、金额0万元，越野车0辆、金额0万元，载客汽车0辆、金额0万元。截至2024年12月31日，单位共有公务用车1辆，其中：轿车1辆、越野车0辆、载客汽车0辆。</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公务用车运行维护费支出</w:t>
      </w:r>
      <w:r>
        <w:rPr>
          <w:rFonts w:hint="default" w:ascii="Times New Roman" w:hAnsi="Times New Roman" w:eastAsia="仿宋_GB2312" w:cs="Times New Roman"/>
          <w:color w:val="000000" w:themeColor="text1"/>
          <w:sz w:val="32"/>
          <w:szCs w:val="32"/>
          <w14:textFill>
            <w14:solidFill>
              <w14:schemeClr w14:val="tx1"/>
            </w14:solidFill>
          </w14:textFill>
        </w:rPr>
        <w:t>0.72</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万元。主要用于单位日常用车所需的公务用车燃料费、维修费、过路过桥费、保险费等支出。</w:t>
      </w:r>
    </w:p>
    <w:p>
      <w:pPr>
        <w:numPr>
          <w:ilvl w:val="0"/>
          <w:numId w:val="0"/>
        </w:numPr>
        <w:spacing w:line="600" w:lineRule="exact"/>
        <w:ind w:firstLine="642" w:firstLineChars="200"/>
        <w:rPr>
          <w:rFonts w:hint="default" w:ascii="Times New Roman" w:hAnsi="Times New Roman" w:cs="Times New Roman"/>
          <w:lang w:val="en-US" w:eastAsia="zh-CN"/>
        </w:rPr>
      </w:pPr>
      <w:r>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3.公务接待费支出0万元。</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公务接待费支出决算比2023年度持平。国内公务接待支出</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万元。国内公务接待</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批次，</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人次。外事接待支出</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万元。外事接待</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批次，</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人次（不包括陪同人员），共计支出0万元。</w:t>
      </w:r>
      <w:bookmarkStart w:id="40" w:name="_Toc15396610"/>
      <w:bookmarkStart w:id="41" w:name="_Toc15377218"/>
    </w:p>
    <w:p>
      <w:pPr>
        <w:pStyle w:val="16"/>
        <w:rPr>
          <w:rFonts w:hint="eastAsia"/>
          <w:lang w:val="en-US" w:eastAsia="zh-CN"/>
        </w:rPr>
      </w:pPr>
    </w:p>
    <w:p>
      <w:pPr>
        <w:spacing w:line="600" w:lineRule="exact"/>
        <w:ind w:firstLine="640"/>
        <w:outlineLvl w:val="1"/>
        <w:rPr>
          <w:rStyle w:val="31"/>
          <w:rFonts w:ascii="Times New Roman" w:hAnsi="Times New Roman" w:eastAsia="黑体"/>
          <w:color w:val="000000" w:themeColor="text1"/>
          <w:highlight w:val="none"/>
          <w14:textFill>
            <w14:solidFill>
              <w14:schemeClr w14:val="tx1"/>
            </w14:solidFill>
          </w14:textFill>
        </w:rPr>
      </w:pPr>
      <w:r>
        <w:rPr>
          <w:rFonts w:hint="eastAsia" w:ascii="Times New Roman" w:hAnsi="Times New Roman" w:eastAsia="黑体"/>
          <w:color w:val="000000" w:themeColor="text1"/>
          <w:sz w:val="32"/>
          <w:szCs w:val="32"/>
          <w:highlight w:val="none"/>
          <w14:textFill>
            <w14:solidFill>
              <w14:schemeClr w14:val="tx1"/>
            </w14:solidFill>
          </w14:textFill>
        </w:rPr>
        <w:t>八、</w:t>
      </w:r>
      <w:r>
        <w:rPr>
          <w:rStyle w:val="31"/>
          <w:rFonts w:hint="eastAsia" w:ascii="Times New Roman" w:hAnsi="Times New Roman" w:eastAsia="黑体"/>
          <w:b w:val="0"/>
          <w:color w:val="000000" w:themeColor="text1"/>
          <w:highlight w:val="none"/>
          <w14:textFill>
            <w14:solidFill>
              <w14:schemeClr w14:val="tx1"/>
            </w14:solidFill>
          </w14:textFill>
        </w:rPr>
        <w:t>政府性基金预算支出决算情况说明</w:t>
      </w:r>
      <w:bookmarkEnd w:id="40"/>
      <w:bookmarkEnd w:id="41"/>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2024年度政府性基金预算财政拨款支出</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万元，与2023年度决算数持平。</w:t>
      </w:r>
    </w:p>
    <w:p>
      <w:pPr>
        <w:pStyle w:val="16"/>
        <w:rPr>
          <w:rFonts w:hint="eastAsia"/>
          <w:lang w:val="en-US" w:eastAsia="zh-CN"/>
        </w:rPr>
      </w:pPr>
    </w:p>
    <w:p>
      <w:pPr>
        <w:numPr>
          <w:ilvl w:val="0"/>
          <w:numId w:val="0"/>
        </w:numPr>
        <w:spacing w:line="600" w:lineRule="exact"/>
        <w:ind w:left="630" w:leftChars="0"/>
        <w:outlineLvl w:val="1"/>
        <w:rPr>
          <w:rStyle w:val="31"/>
          <w:rFonts w:ascii="Times New Roman" w:hAnsi="Times New Roman" w:eastAsia="黑体"/>
          <w:b w:val="0"/>
          <w:color w:val="000000" w:themeColor="text1"/>
          <w:highlight w:val="none"/>
          <w14:textFill>
            <w14:solidFill>
              <w14:schemeClr w14:val="tx1"/>
            </w14:solidFill>
          </w14:textFill>
        </w:rPr>
      </w:pPr>
      <w:bookmarkStart w:id="42" w:name="_Toc15396611"/>
      <w:bookmarkStart w:id="43" w:name="_Toc15377219"/>
      <w:r>
        <w:rPr>
          <w:rStyle w:val="31"/>
          <w:rFonts w:hint="eastAsia" w:ascii="Times New Roman" w:hAnsi="Times New Roman" w:eastAsia="黑体"/>
          <w:b w:val="0"/>
          <w:color w:val="000000" w:themeColor="text1"/>
          <w:highlight w:val="none"/>
          <w:lang w:eastAsia="zh-CN"/>
          <w14:textFill>
            <w14:solidFill>
              <w14:schemeClr w14:val="tx1"/>
            </w14:solidFill>
          </w14:textFill>
        </w:rPr>
        <w:t>九、</w:t>
      </w:r>
      <w:r>
        <w:rPr>
          <w:rStyle w:val="31"/>
          <w:rFonts w:hint="eastAsia" w:ascii="Times New Roman" w:hAnsi="Times New Roman" w:eastAsia="黑体"/>
          <w:b w:val="0"/>
          <w:color w:val="000000" w:themeColor="text1"/>
          <w:highlight w:val="none"/>
          <w14:textFill>
            <w14:solidFill>
              <w14:schemeClr w14:val="tx1"/>
            </w14:solidFill>
          </w14:textFill>
        </w:rPr>
        <w:t>国有资本经营预算支出决算情况说明</w:t>
      </w:r>
      <w:bookmarkEnd w:id="42"/>
      <w:bookmarkEnd w:id="43"/>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2024年度国有资本经营预算财政拨款支出</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万元，与2023年度决算数持平。</w:t>
      </w:r>
    </w:p>
    <w:p>
      <w:pPr>
        <w:pStyle w:val="16"/>
        <w:rPr>
          <w:rFonts w:hint="eastAsia"/>
          <w:lang w:val="en-US" w:eastAsia="zh-CN"/>
        </w:rPr>
      </w:pPr>
    </w:p>
    <w:p>
      <w:pPr>
        <w:numPr>
          <w:ilvl w:val="0"/>
          <w:numId w:val="0"/>
        </w:numPr>
        <w:spacing w:line="600" w:lineRule="exact"/>
        <w:ind w:left="630" w:leftChars="0"/>
        <w:outlineLvl w:val="1"/>
        <w:rPr>
          <w:rStyle w:val="31"/>
          <w:rFonts w:hint="eastAsia" w:ascii="Times New Roman" w:hAnsi="Times New Roman" w:eastAsia="黑体"/>
          <w:b w:val="0"/>
          <w:color w:val="000000" w:themeColor="text1"/>
          <w:highlight w:val="none"/>
          <w14:textFill>
            <w14:solidFill>
              <w14:schemeClr w14:val="tx1"/>
            </w14:solidFill>
          </w14:textFill>
        </w:rPr>
      </w:pPr>
      <w:bookmarkStart w:id="44" w:name="_Toc15377221"/>
      <w:bookmarkStart w:id="45" w:name="_Toc15396612"/>
      <w:r>
        <w:rPr>
          <w:rStyle w:val="31"/>
          <w:rFonts w:hint="eastAsia" w:ascii="Times New Roman" w:hAnsi="Times New Roman" w:eastAsia="黑体"/>
          <w:b w:val="0"/>
          <w:color w:val="000000" w:themeColor="text1"/>
          <w:highlight w:val="none"/>
          <w:lang w:eastAsia="zh-CN"/>
          <w14:textFill>
            <w14:solidFill>
              <w14:schemeClr w14:val="tx1"/>
            </w14:solidFill>
          </w14:textFill>
        </w:rPr>
        <w:t>十、</w:t>
      </w:r>
      <w:r>
        <w:rPr>
          <w:rStyle w:val="31"/>
          <w:rFonts w:hint="eastAsia" w:ascii="Times New Roman" w:hAnsi="Times New Roman" w:eastAsia="黑体"/>
          <w:b w:val="0"/>
          <w:color w:val="000000" w:themeColor="text1"/>
          <w:highlight w:val="none"/>
          <w14:textFill>
            <w14:solidFill>
              <w14:schemeClr w14:val="tx1"/>
            </w14:solidFill>
          </w14:textFill>
        </w:rPr>
        <w:t>其他重要事项的情况说明</w:t>
      </w:r>
      <w:bookmarkEnd w:id="44"/>
      <w:bookmarkEnd w:id="45"/>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14:textFill>
            <w14:solidFill>
              <w14:schemeClr w14:val="tx1"/>
            </w14:solidFill>
          </w14:textFill>
        </w:rPr>
      </w:pPr>
      <w:bookmarkStart w:id="46" w:name="_Toc15377222"/>
      <w:r>
        <w:rPr>
          <w:rFonts w:hint="eastAsia" w:ascii="Times New Roman" w:hAnsi="Times New Roman" w:eastAsia="楷体_GB2312" w:cs="楷体_GB2312"/>
          <w:b/>
          <w:color w:val="000000" w:themeColor="text1"/>
          <w:sz w:val="32"/>
          <w:szCs w:val="32"/>
          <w:highlight w:val="none"/>
          <w14:textFill>
            <w14:solidFill>
              <w14:schemeClr w14:val="tx1"/>
            </w14:solidFill>
          </w14:textFill>
        </w:rPr>
        <w:t>（一）机关运行经费支出情况</w:t>
      </w:r>
      <w:bookmarkEnd w:id="46"/>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2024年度，</w:t>
      </w:r>
      <w:r>
        <w:rPr>
          <w:rFonts w:hint="default" w:ascii="Times New Roman" w:hAnsi="Times New Roman" w:eastAsia="仿宋_GB2312" w:cs="Times New Roman"/>
          <w:color w:val="000000" w:themeColor="text1"/>
          <w:sz w:val="32"/>
          <w:szCs w:val="32"/>
          <w14:textFill>
            <w14:solidFill>
              <w14:schemeClr w14:val="tx1"/>
            </w14:solidFill>
          </w14:textFill>
        </w:rPr>
        <w:t>四川省经济和信息化厅信息中心</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机关运行经费支出</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万元，与2023年度决算数持平。</w:t>
      </w:r>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14:textFill>
            <w14:solidFill>
              <w14:schemeClr w14:val="tx1"/>
            </w14:solidFill>
          </w14:textFill>
        </w:rPr>
      </w:pPr>
      <w:bookmarkStart w:id="47" w:name="_Toc15377223"/>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14:textFill>
            <w14:solidFill>
              <w14:schemeClr w14:val="tx1"/>
            </w14:solidFill>
          </w14:textFill>
        </w:rPr>
      </w:pPr>
      <w:r>
        <w:rPr>
          <w:rFonts w:hint="eastAsia" w:ascii="Times New Roman" w:hAnsi="Times New Roman" w:eastAsia="楷体_GB2312" w:cs="楷体_GB2312"/>
          <w:b/>
          <w:color w:val="000000" w:themeColor="text1"/>
          <w:sz w:val="32"/>
          <w:szCs w:val="32"/>
          <w:highlight w:val="none"/>
          <w14:textFill>
            <w14:solidFill>
              <w14:schemeClr w14:val="tx1"/>
            </w14:solidFill>
          </w14:textFill>
        </w:rPr>
        <w:t>（二）政府采购支出情况</w:t>
      </w:r>
      <w:bookmarkEnd w:id="47"/>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2024年度，</w:t>
      </w:r>
      <w:r>
        <w:rPr>
          <w:rFonts w:hint="default" w:ascii="Times New Roman" w:hAnsi="Times New Roman" w:eastAsia="仿宋_GB2312" w:cs="Times New Roman"/>
          <w:color w:val="000000" w:themeColor="text1"/>
          <w:sz w:val="32"/>
          <w:szCs w:val="32"/>
          <w14:textFill>
            <w14:solidFill>
              <w14:schemeClr w14:val="tx1"/>
            </w14:solidFill>
          </w14:textFill>
        </w:rPr>
        <w:t>四川省经济和信息化厅信息中心</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政府采购支出总额</w:t>
      </w:r>
      <w:r>
        <w:rPr>
          <w:rFonts w:hint="default" w:ascii="Times New Roman" w:hAnsi="Times New Roman" w:eastAsia="仿宋_GB2312" w:cs="Times New Roman"/>
          <w:color w:val="000000" w:themeColor="text1"/>
          <w:sz w:val="32"/>
          <w:szCs w:val="32"/>
          <w14:textFill>
            <w14:solidFill>
              <w14:schemeClr w14:val="tx1"/>
            </w14:solidFill>
          </w14:textFill>
        </w:rPr>
        <w:t>0.66</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万元，其中：政府采购货物支出</w:t>
      </w:r>
      <w:r>
        <w:rPr>
          <w:rFonts w:hint="default" w:ascii="Times New Roman" w:hAnsi="Times New Roman" w:eastAsia="仿宋_GB2312" w:cs="Times New Roman"/>
          <w:color w:val="000000" w:themeColor="text1"/>
          <w:sz w:val="32"/>
          <w:szCs w:val="32"/>
          <w14:textFill>
            <w14:solidFill>
              <w14:schemeClr w14:val="tx1"/>
            </w14:solidFill>
          </w14:textFill>
        </w:rPr>
        <w:t>0.13</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万元、政府采购工程支出</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万元、政府采购服务支出</w:t>
      </w:r>
      <w:r>
        <w:rPr>
          <w:rFonts w:hint="default" w:ascii="Times New Roman" w:hAnsi="Times New Roman" w:eastAsia="仿宋_GB2312" w:cs="Times New Roman"/>
          <w:color w:val="000000" w:themeColor="text1"/>
          <w:sz w:val="32"/>
          <w:szCs w:val="32"/>
          <w14:textFill>
            <w14:solidFill>
              <w14:schemeClr w14:val="tx1"/>
            </w14:solidFill>
          </w14:textFill>
        </w:rPr>
        <w:t>0.52</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万元。主要用于车辆加油、车辆保险和车辆维修。授予中小企业合同金额</w:t>
      </w:r>
      <w:r>
        <w:rPr>
          <w:rFonts w:hint="default" w:ascii="Times New Roman" w:hAnsi="Times New Roman" w:eastAsia="仿宋_GB2312" w:cs="Times New Roman"/>
          <w:color w:val="000000" w:themeColor="text1"/>
          <w:sz w:val="32"/>
          <w:szCs w:val="32"/>
          <w14:textFill>
            <w14:solidFill>
              <w14:schemeClr w14:val="tx1"/>
            </w14:solidFill>
          </w14:textFill>
        </w:rPr>
        <w:t>0.22</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万元，占政府采购支出总额的</w:t>
      </w:r>
      <w:r>
        <w:rPr>
          <w:rFonts w:hint="default" w:ascii="Times New Roman" w:hAnsi="Times New Roman" w:eastAsia="仿宋_GB2312" w:cs="Times New Roman"/>
          <w:color w:val="000000" w:themeColor="text1"/>
          <w:sz w:val="32"/>
          <w:szCs w:val="32"/>
          <w14:textFill>
            <w14:solidFill>
              <w14:schemeClr w14:val="tx1"/>
            </w14:solidFill>
          </w14:textFill>
        </w:rPr>
        <w:t>34.2</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%，其中：授予小微企业合同金额</w:t>
      </w:r>
      <w:r>
        <w:rPr>
          <w:rFonts w:hint="default" w:ascii="Times New Roman" w:hAnsi="Times New Roman" w:eastAsia="仿宋_GB2312" w:cs="Times New Roman"/>
          <w:color w:val="000000" w:themeColor="text1"/>
          <w:sz w:val="32"/>
          <w:szCs w:val="32"/>
          <w14:textFill>
            <w14:solidFill>
              <w14:schemeClr w14:val="tx1"/>
            </w14:solidFill>
          </w14:textFill>
        </w:rPr>
        <w:t>0.22</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万元，占政府采购支出总额的</w:t>
      </w:r>
      <w:r>
        <w:rPr>
          <w:rFonts w:hint="default" w:ascii="Times New Roman" w:hAnsi="Times New Roman" w:eastAsia="仿宋_GB2312" w:cs="Times New Roman"/>
          <w:color w:val="000000" w:themeColor="text1"/>
          <w:sz w:val="32"/>
          <w:szCs w:val="32"/>
          <w14:textFill>
            <w14:solidFill>
              <w14:schemeClr w14:val="tx1"/>
            </w14:solidFill>
          </w14:textFill>
        </w:rPr>
        <w:t>34.2</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w:t>
      </w:r>
    </w:p>
    <w:p>
      <w:pPr>
        <w:spacing w:line="600" w:lineRule="exact"/>
        <w:ind w:firstLine="642" w:firstLineChars="200"/>
        <w:outlineLvl w:val="2"/>
        <w:rPr>
          <w:rFonts w:hint="eastAsia" w:ascii="Times New Roman" w:hAnsi="Times New Roman" w:eastAsia="楷体_GB2312" w:cs="楷体_GB2312"/>
          <w:b/>
          <w:color w:val="000000" w:themeColor="text1"/>
          <w:sz w:val="32"/>
          <w:szCs w:val="32"/>
          <w:highlight w:val="none"/>
          <w14:textFill>
            <w14:solidFill>
              <w14:schemeClr w14:val="tx1"/>
            </w14:solidFill>
          </w14:textFill>
        </w:rPr>
      </w:pPr>
      <w:bookmarkStart w:id="48" w:name="_Toc15377224"/>
      <w:r>
        <w:rPr>
          <w:rFonts w:hint="eastAsia" w:ascii="Times New Roman" w:hAnsi="Times New Roman" w:eastAsia="楷体_GB2312" w:cs="楷体_GB2312"/>
          <w:b/>
          <w:color w:val="000000" w:themeColor="text1"/>
          <w:sz w:val="32"/>
          <w:szCs w:val="32"/>
          <w:highlight w:val="none"/>
          <w14:textFill>
            <w14:solidFill>
              <w14:schemeClr w14:val="tx1"/>
            </w14:solidFill>
          </w14:textFill>
        </w:rPr>
        <w:t>（三）国有资产占有使用情况</w:t>
      </w:r>
      <w:bookmarkEnd w:id="48"/>
      <w:bookmarkStart w:id="93" w:name="_GoBack"/>
      <w:bookmarkEnd w:id="93"/>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截至2024年12月31日，</w:t>
      </w:r>
      <w:r>
        <w:rPr>
          <w:rFonts w:hint="default" w:ascii="Times New Roman" w:hAnsi="Times New Roman" w:eastAsia="仿宋_GB2312" w:cs="Times New Roman"/>
          <w:color w:val="000000" w:themeColor="text1"/>
          <w:sz w:val="32"/>
          <w:szCs w:val="32"/>
          <w14:textFill>
            <w14:solidFill>
              <w14:schemeClr w14:val="tx1"/>
            </w14:solidFill>
          </w14:textFill>
        </w:rPr>
        <w:t>四川省经济和信息化厅信息中心</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共有车辆</w:t>
      </w:r>
      <w:r>
        <w:rPr>
          <w:rFonts w:hint="default" w:ascii="Times New Roman" w:hAnsi="Times New Roman" w:eastAsia="仿宋_GB2312" w:cs="Times New Roman"/>
          <w:color w:val="000000" w:themeColor="text1"/>
          <w:sz w:val="32"/>
          <w:szCs w:val="32"/>
          <w14:textFill>
            <w14:solidFill>
              <w14:schemeClr w14:val="tx1"/>
            </w14:solidFill>
          </w14:textFill>
        </w:rPr>
        <w:t>1</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辆，其中：主要负责人用车</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辆、机要通信用车</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辆、应急保障用车</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辆、其他用车</w:t>
      </w:r>
      <w:r>
        <w:rPr>
          <w:rFonts w:hint="default" w:ascii="Times New Roman" w:hAnsi="Times New Roman" w:eastAsia="仿宋_GB2312" w:cs="Times New Roman"/>
          <w:color w:val="000000" w:themeColor="text1"/>
          <w:sz w:val="32"/>
          <w:szCs w:val="32"/>
          <w14:textFill>
            <w14:solidFill>
              <w14:schemeClr w14:val="tx1"/>
            </w14:solidFill>
          </w14:textFill>
        </w:rPr>
        <w:t>1</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辆，其他用车主要是用于中心工作人员外出公干、调研等。单价100万元（含）以上设备（不含车辆）</w:t>
      </w:r>
      <w:r>
        <w:rPr>
          <w:rFonts w:hint="default" w:ascii="Times New Roman" w:hAnsi="Times New Roman" w:eastAsia="仿宋_GB2312" w:cs="Times New Roman"/>
          <w:color w:val="000000" w:themeColor="text1"/>
          <w:sz w:val="32"/>
          <w:szCs w:val="32"/>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台（套）。</w:t>
      </w:r>
    </w:p>
    <w:p>
      <w:pPr>
        <w:spacing w:line="600" w:lineRule="exact"/>
        <w:ind w:firstLine="642" w:firstLineChars="200"/>
        <w:outlineLvl w:val="2"/>
        <w:rPr>
          <w:rFonts w:hint="default" w:ascii="Times New Roman" w:hAnsi="Times New Roman" w:eastAsia="楷体_GB2312" w:cs="Times New Roman"/>
          <w:b/>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color w:val="000000" w:themeColor="text1"/>
          <w:sz w:val="32"/>
          <w:szCs w:val="32"/>
          <w:highlight w:val="none"/>
          <w14:textFill>
            <w14:solidFill>
              <w14:schemeClr w14:val="tx1"/>
            </w14:solidFill>
          </w14:textFill>
        </w:rPr>
        <w:t>（四）预算绩效管理情况</w:t>
      </w:r>
    </w:p>
    <w:p>
      <w:pPr>
        <w:spacing w:line="600" w:lineRule="exact"/>
        <w:ind w:firstLine="64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根据预算绩效管理要求，本单位在2024年度预算编制阶段，组织对《2024年能耗在线监测平台运维》、《2024年机房基础设施运维与虚拟化和分布式存储及备用资源服务》2个项目开展了预算事前绩效评估，对2个项目编制了绩效目标，预算执行过程中，对3个项目（其中《基于人工智能的分布式光伏发电集群智能调控关键技术研究项目》为2023年起实施的两年期项目）开展绩效监控，组织对3个项目开展绩效自评，绩效自评表详见第四部分附件。</w:t>
      </w:r>
    </w:p>
    <w:p>
      <w:pPr>
        <w:pStyle w:val="16"/>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p>
    <w:p>
      <w:pPr>
        <w:pStyle w:val="16"/>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p>
    <w:p>
      <w:pPr>
        <w:pStyle w:val="16"/>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p>
    <w:p>
      <w:pPr>
        <w:numPr>
          <w:ilvl w:val="0"/>
          <w:numId w:val="0"/>
        </w:numPr>
        <w:spacing w:line="600" w:lineRule="exact"/>
        <w:jc w:val="center"/>
        <w:outlineLvl w:val="0"/>
        <w:rPr>
          <w:rFonts w:hint="eastAsia" w:ascii="Times New Roman" w:hAnsi="Times New Roman" w:eastAsia="黑体"/>
          <w:color w:val="000000" w:themeColor="text1"/>
          <w:sz w:val="44"/>
          <w:szCs w:val="44"/>
          <w:highlight w:val="none"/>
          <w14:textFill>
            <w14:solidFill>
              <w14:schemeClr w14:val="tx1"/>
            </w14:solidFill>
          </w14:textFill>
        </w:rPr>
      </w:pPr>
      <w:bookmarkStart w:id="49" w:name="_Toc15377225"/>
      <w:bookmarkStart w:id="50" w:name="_Toc15396613"/>
      <w:r>
        <w:rPr>
          <w:rFonts w:hint="eastAsia" w:ascii="Times New Roman" w:hAnsi="Times New Roman" w:eastAsia="黑体"/>
          <w:color w:val="000000" w:themeColor="text1"/>
          <w:sz w:val="44"/>
          <w:szCs w:val="44"/>
          <w:highlight w:val="none"/>
          <w14:textFill>
            <w14:solidFill>
              <w14:schemeClr w14:val="tx1"/>
            </w14:solidFill>
          </w14:textFill>
        </w:rPr>
        <w:t>第</w:t>
      </w:r>
      <w:r>
        <w:rPr>
          <w:rFonts w:hint="eastAsia" w:eastAsia="黑体"/>
          <w:color w:val="000000" w:themeColor="text1"/>
          <w:sz w:val="44"/>
          <w:szCs w:val="44"/>
          <w:highlight w:val="none"/>
          <w:lang w:eastAsia="zh-CN"/>
          <w14:textFill>
            <w14:solidFill>
              <w14:schemeClr w14:val="tx1"/>
            </w14:solidFill>
          </w14:textFill>
        </w:rPr>
        <w:t>三</w:t>
      </w:r>
      <w:r>
        <w:rPr>
          <w:rFonts w:hint="eastAsia" w:ascii="Times New Roman" w:hAnsi="Times New Roman" w:eastAsia="黑体"/>
          <w:color w:val="000000" w:themeColor="text1"/>
          <w:sz w:val="44"/>
          <w:szCs w:val="44"/>
          <w:highlight w:val="none"/>
          <w14:textFill>
            <w14:solidFill>
              <w14:schemeClr w14:val="tx1"/>
            </w14:solidFill>
          </w14:textFill>
        </w:rPr>
        <w:t>部分</w:t>
      </w:r>
      <w:r>
        <w:rPr>
          <w:rFonts w:hint="eastAsia" w:eastAsia="黑体"/>
          <w:color w:val="000000" w:themeColor="text1"/>
          <w:sz w:val="44"/>
          <w:szCs w:val="44"/>
          <w:highlight w:val="none"/>
          <w:lang w:val="en-US" w:eastAsia="zh-CN"/>
          <w14:textFill>
            <w14:solidFill>
              <w14:schemeClr w14:val="tx1"/>
            </w14:solidFill>
          </w14:textFill>
        </w:rPr>
        <w:t xml:space="preserve"> </w:t>
      </w:r>
      <w:r>
        <w:rPr>
          <w:rFonts w:hint="eastAsia" w:ascii="Times New Roman" w:hAnsi="Times New Roman" w:eastAsia="黑体"/>
          <w:color w:val="000000" w:themeColor="text1"/>
          <w:sz w:val="44"/>
          <w:szCs w:val="44"/>
          <w:highlight w:val="none"/>
          <w14:textFill>
            <w14:solidFill>
              <w14:schemeClr w14:val="tx1"/>
            </w14:solidFill>
          </w14:textFill>
        </w:rPr>
        <w:t>名词解释</w:t>
      </w:r>
      <w:bookmarkEnd w:id="49"/>
      <w:bookmarkEnd w:id="50"/>
    </w:p>
    <w:p>
      <w:pPr>
        <w:spacing w:line="600" w:lineRule="exact"/>
        <w:jc w:val="left"/>
        <w:rPr>
          <w:rFonts w:ascii="Times New Roman" w:hAnsi="Times New Roman"/>
          <w:b/>
          <w:color w:val="000000" w:themeColor="text1"/>
          <w:sz w:val="44"/>
          <w:szCs w:val="44"/>
          <w:highlight w:val="none"/>
          <w14:textFill>
            <w14:solidFill>
              <w14:schemeClr w14:val="tx1"/>
            </w14:solidFill>
          </w14:textFill>
        </w:rPr>
      </w:pP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bookmarkStart w:id="51" w:name="_Toc15377226"/>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1.财政拨款收入：指单位从同级财政部门取得的财政预算资金。</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2.事业收入：指事业单位开展专业业务活动及辅助活动取得的收入。</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3.经营收入：指事业单位在专业业务活动及其辅助活动之外开展非独立核算经营活动取得的收入。</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4.其他收入：指单位取得的除上述收入以外的各项收入。</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5.使用非财政拨款结余：指事业单位使用以前年度积累的非财政拨款结余弥补当年收支差额的金额。</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6.年初结转和结余：指以前年度尚未完成、结转到本年按有关规定继续使用的资金。</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7.结余分配：指事业单位按照会计制度规定缴纳的所得税、提取的专用结余以及转入非财政拨款结余的金额等。</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8.年末结转和结余：指单位按有关规定结转到下年或以后年度继续使用的资金。</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9.资源勘探工业信息等支出（类）制造业（款）行政</w:t>
      </w:r>
    </w:p>
    <w:p>
      <w:pPr>
        <w:pStyle w:val="28"/>
        <w:pageBreakBefore w:val="0"/>
        <w:kinsoku/>
        <w:wordWrap/>
        <w:overflowPunct/>
        <w:topLinePunct w:val="0"/>
        <w:bidi w:val="0"/>
        <w:spacing w:line="576" w:lineRule="exact"/>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运行（项）：指单位项目支出。</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10.资源勘探工业信息等支出（类）制造业（款）机关</w:t>
      </w:r>
    </w:p>
    <w:p>
      <w:pPr>
        <w:pStyle w:val="28"/>
        <w:pageBreakBefore w:val="0"/>
        <w:kinsoku/>
        <w:wordWrap/>
        <w:overflowPunct/>
        <w:topLinePunct w:val="0"/>
        <w:bidi w:val="0"/>
        <w:spacing w:line="576" w:lineRule="exact"/>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服务（项）：指单位人员支出。</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11.资源勘探工业信息等支出（类）制造业（款）其他</w:t>
      </w:r>
    </w:p>
    <w:p>
      <w:pPr>
        <w:pStyle w:val="28"/>
        <w:pageBreakBefore w:val="0"/>
        <w:kinsoku/>
        <w:wordWrap/>
        <w:overflowPunct/>
        <w:topLinePunct w:val="0"/>
        <w:bidi w:val="0"/>
        <w:spacing w:line="576" w:lineRule="exact"/>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制造也支出（项）：指单位项目支出。</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12.基本支出：指为保障机构正常运转、完成日常工作任务而发生的人员支出和公用支出。</w:t>
      </w:r>
    </w:p>
    <w:p>
      <w:pPr>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13.项目支出：指在基本支出之外为完成特定行政任务和事业发展目标所发生的支出。</w:t>
      </w:r>
    </w:p>
    <w:p>
      <w:pPr>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14.经营支出：指事业单位在专业业务活动及其辅助活动之外开展非独立核算经营活动发生的支出。</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15.“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pageBreakBefore w:val="0"/>
        <w:kinsoku/>
        <w:wordWrap/>
        <w:overflowPunct/>
        <w:topLinePunct w:val="0"/>
        <w:bidi w:val="0"/>
        <w:spacing w:line="576" w:lineRule="exact"/>
        <w:ind w:firstLine="640" w:firstLineChars="200"/>
        <w:jc w:val="both"/>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16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rPr>
          <w:rStyle w:val="30"/>
          <w:rFonts w:hint="eastAsia" w:ascii="Times New Roman" w:hAnsi="Times New Roman" w:eastAsia="黑体"/>
          <w:b w:val="0"/>
          <w:color w:val="000000" w:themeColor="text1"/>
          <w:highlight w:val="none"/>
          <w:lang w:eastAsia="zh-CN"/>
          <w14:textFill>
            <w14:solidFill>
              <w14:schemeClr w14:val="tx1"/>
            </w14:solidFill>
          </w14:textFill>
        </w:rPr>
      </w:pPr>
      <w:r>
        <w:rPr>
          <w:rFonts w:hint="eastAsia" w:ascii="Times New Roman" w:hAnsi="Times New Roman" w:eastAsia="仿宋_GB2312" w:cs="仿宋_GB2312"/>
          <w:color w:val="000000" w:themeColor="text1"/>
          <w:kern w:val="2"/>
          <w:sz w:val="32"/>
          <w:szCs w:val="32"/>
          <w:highlight w:val="none"/>
          <w:lang w:val="en-US" w:eastAsia="zh-CN" w:bidi="ar-SA"/>
          <w14:textFill>
            <w14:solidFill>
              <w14:schemeClr w14:val="tx1"/>
            </w14:solidFill>
          </w14:textFill>
        </w:rPr>
        <w:br w:type="page"/>
      </w:r>
      <w:bookmarkStart w:id="52" w:name="_Toc15396614"/>
      <w:r>
        <w:rPr>
          <w:rFonts w:hint="eastAsia" w:ascii="Times New Roman" w:hAnsi="Times New Roman" w:eastAsia="黑体"/>
          <w:color w:val="000000" w:themeColor="text1"/>
          <w:sz w:val="44"/>
          <w:szCs w:val="44"/>
          <w:highlight w:val="none"/>
          <w14:textFill>
            <w14:solidFill>
              <w14:schemeClr w14:val="tx1"/>
            </w14:solidFill>
          </w14:textFill>
        </w:rPr>
        <w:t>第四部分</w:t>
      </w:r>
      <w:r>
        <w:rPr>
          <w:rFonts w:hint="eastAsia" w:eastAsia="黑体"/>
          <w:color w:val="000000" w:themeColor="text1"/>
          <w:sz w:val="44"/>
          <w:szCs w:val="44"/>
          <w:highlight w:val="none"/>
          <w:lang w:val="en-US" w:eastAsia="zh-CN"/>
          <w14:textFill>
            <w14:solidFill>
              <w14:schemeClr w14:val="tx1"/>
            </w14:solidFill>
          </w14:textFill>
        </w:rPr>
        <w:t xml:space="preserve"> </w:t>
      </w:r>
      <w:r>
        <w:rPr>
          <w:rFonts w:hint="eastAsia" w:ascii="Times New Roman" w:hAnsi="Times New Roman" w:eastAsia="黑体"/>
          <w:color w:val="000000" w:themeColor="text1"/>
          <w:sz w:val="44"/>
          <w:szCs w:val="44"/>
          <w:highlight w:val="none"/>
          <w14:textFill>
            <w14:solidFill>
              <w14:schemeClr w14:val="tx1"/>
            </w14:solidFill>
          </w14:textFill>
        </w:rPr>
        <w:t>附件</w:t>
      </w:r>
      <w:bookmarkEnd w:id="52"/>
    </w:p>
    <w:p>
      <w:pPr>
        <w:pageBreakBefore w:val="0"/>
        <w:kinsoku/>
        <w:wordWrap/>
        <w:overflowPunct/>
        <w:topLinePunct w:val="0"/>
        <w:bidi w:val="0"/>
        <w:spacing w:line="576" w:lineRule="exact"/>
        <w:ind w:firstLine="960" w:firstLineChars="300"/>
        <w:jc w:val="both"/>
        <w:outlineLvl w:val="0"/>
        <w:rPr>
          <w:rFonts w:hint="eastAsia" w:ascii="Times New Roman" w:hAnsi="Times New Roman" w:eastAsia="黑体" w:cs="黑体"/>
          <w:color w:val="000000" w:themeColor="text1"/>
          <w:sz w:val="32"/>
          <w:szCs w:val="32"/>
          <w:highlight w:val="none"/>
          <w:lang w:val="en-US" w:eastAsia="zh-CN"/>
          <w14:textFill>
            <w14:solidFill>
              <w14:schemeClr w14:val="tx1"/>
            </w14:solidFill>
          </w14:textFill>
        </w:rPr>
      </w:pPr>
      <w:r>
        <w:rPr>
          <w:rFonts w:hint="eastAsia" w:ascii="Times New Roman" w:hAnsi="Times New Roman" w:eastAsia="黑体" w:cs="黑体"/>
          <w:color w:val="000000" w:themeColor="text1"/>
          <w:sz w:val="32"/>
          <w:szCs w:val="32"/>
          <w:highlight w:val="none"/>
          <w:lang w:val="en-US" w:eastAsia="zh-CN"/>
          <w14:textFill>
            <w14:solidFill>
              <w14:schemeClr w14:val="tx1"/>
            </w14:solidFill>
          </w14:textFill>
        </w:rPr>
        <w:t>部门预算项目支出绩效自评表（2024年度）</w:t>
      </w:r>
    </w:p>
    <w:p>
      <w:pPr>
        <w:keepNext w:val="0"/>
        <w:keepLines w:val="0"/>
        <w:pageBreakBefore w:val="0"/>
        <w:kinsoku/>
        <w:wordWrap/>
        <w:overflowPunct/>
        <w:topLinePunct w:val="0"/>
        <w:autoSpaceDE/>
        <w:autoSpaceDN/>
        <w:bidi w:val="0"/>
        <w:spacing w:line="572" w:lineRule="exact"/>
        <w:jc w:val="left"/>
        <w:textAlignment w:val="auto"/>
        <w:outlineLvl w:val="0"/>
        <w:rPr>
          <w:rFonts w:hint="default" w:ascii="Times New Roman" w:hAnsi="Times New Roman" w:eastAsia="黑体" w:cs="黑体"/>
          <w:color w:val="000000" w:themeColor="text1"/>
          <w:sz w:val="32"/>
          <w:szCs w:val="32"/>
          <w:highlight w:val="none"/>
          <w:lang w:val="en-US" w:eastAsia="zh-CN"/>
          <w14:textFill>
            <w14:solidFill>
              <w14:schemeClr w14:val="tx1"/>
            </w14:solidFill>
          </w14:textFill>
        </w:rPr>
      </w:pPr>
    </w:p>
    <w:tbl>
      <w:tblPr>
        <w:tblStyle w:val="17"/>
        <w:tblW w:w="112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24"/>
        <w:gridCol w:w="1632"/>
        <w:gridCol w:w="1410"/>
        <w:gridCol w:w="1475"/>
        <w:gridCol w:w="474"/>
        <w:gridCol w:w="872"/>
        <w:gridCol w:w="474"/>
        <w:gridCol w:w="1001"/>
        <w:gridCol w:w="463"/>
        <w:gridCol w:w="523"/>
        <w:gridCol w:w="23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5" w:hRule="atLeast"/>
          <w:jc w:val="center"/>
        </w:trPr>
        <w:tc>
          <w:tcPr>
            <w:tcW w:w="11298"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黑体" w:hAnsi="宋体" w:eastAsia="黑体" w:cs="黑体"/>
                <w:b/>
                <w:bCs/>
                <w:i w:val="0"/>
                <w:iCs w:val="0"/>
                <w:color w:val="000000" w:themeColor="text1"/>
                <w:sz w:val="30"/>
                <w:szCs w:val="30"/>
                <w:u w:val="none"/>
                <w14:textFill>
                  <w14:solidFill>
                    <w14:schemeClr w14:val="tx1"/>
                  </w14:solidFill>
                </w14:textFill>
              </w:rPr>
            </w:pPr>
            <w:r>
              <w:rPr>
                <w:rFonts w:hint="eastAsia" w:ascii="黑体" w:hAnsi="宋体" w:eastAsia="黑体" w:cs="黑体"/>
                <w:b/>
                <w:bCs/>
                <w:i w:val="0"/>
                <w:iCs w:val="0"/>
                <w:color w:val="000000" w:themeColor="text1"/>
                <w:kern w:val="0"/>
                <w:sz w:val="30"/>
                <w:szCs w:val="30"/>
                <w:u w:val="none"/>
                <w:lang w:val="en-US" w:eastAsia="zh-CN" w:bidi="ar"/>
                <w14:textFill>
                  <w14:solidFill>
                    <w14:schemeClr w14:val="tx1"/>
                  </w14:solidFill>
                </w14:textFill>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项目名称</w:t>
            </w:r>
          </w:p>
        </w:tc>
        <w:tc>
          <w:tcPr>
            <w:tcW w:w="903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51000023T000008793841-基于人工智能的分布式光伏发电集群智能调控关键技术研究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主管部门</w:t>
            </w: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四川省经济和信息化厅部门</w:t>
            </w:r>
          </w:p>
        </w:tc>
        <w:tc>
          <w:tcPr>
            <w:tcW w:w="1001" w:type="dxa"/>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实施单位（盖章）</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四川省经济和信息化厅信息中心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7"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项目基本情况</w:t>
            </w: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1.项目年度目标完成情况</w:t>
            </w: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项目年度目标</w:t>
            </w:r>
          </w:p>
        </w:tc>
        <w:tc>
          <w:tcPr>
            <w:tcW w:w="43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956"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光伏发电作为新兴能源替代传统高污染高能耗能源，逐渐占据主导地位是必然趋势，随着大量的光伏电接入配电网，好处是满足了部分用户的用电需求，尤其是增强了能源短缺地区的供电系统的可靠性。同时，大规模光伏发电并网，也为电力系统的运行带来了不利影响，为解决这类问题，本项目研究团队总结经典的配电网潮流计算方法，提出了基于LSTM的负荷预测和分布式光伏发电预测方法，以便进行配电网负荷预测和分布式光伏发电预测。同时，结合配电网参数和数据，提出一种改进电气距离，并以此作为依据对高渗透率分布式发电集群进行划分，最终将构建数据平台，为全省光伏产业发展提供数据决策依据。</w:t>
            </w:r>
          </w:p>
        </w:tc>
        <w:tc>
          <w:tcPr>
            <w:tcW w:w="43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在“基于人工智能的分布式光伏发电集群智能调控关键技术研究”中，团队通过分布式光伏产业数据中间件采集和分析数据，并基于LSTM对光伏发电的发电量及负荷进行分析预测，以构建基于计算数值的平台，对高渗透率的分布式发电集群进行划分，最终达到能够为决策提供依据的效果。该目标完成后，已先后在部分光伏发电基地进行推广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3"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2.项目实施内容及过程概述</w:t>
            </w:r>
          </w:p>
        </w:tc>
        <w:tc>
          <w:tcPr>
            <w:tcW w:w="903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0"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预算执行情况（10分）</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年度预算数（万元）</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年初预算</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调整后预算数</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预算执行率</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总额</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1.42</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1.42</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1.42</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其中：财政资金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1.42</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1.42</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1.42</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76"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财政专户管理资金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6"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单位资金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6"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其他资金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76"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绩效指标（90分）</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一级指标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二级指标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三级指标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指标性质</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指标值</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度量单位</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完成值</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4"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产出指标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数量指标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研究报告数量</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份</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40"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质量指标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国内外核心期刊发表论文数</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篇</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专利授权数</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226"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可持续影响指标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国内外核心期刊发表论文平均被引用次数</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本课题指标要求产出国内外核心期刊论文2篇，实际产出3篇，下载次数已近800次。但由于论文见刊时间较晚，集中在2024年底，且课题结题时间距离绩效自评时间靠近，导致暂时还没有出现引用。该指标预期数值会随着时间的增加而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6" w:hRule="atLeast"/>
          <w:jc w:val="center"/>
        </w:trPr>
        <w:tc>
          <w:tcPr>
            <w:tcW w:w="796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合计</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righ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70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50"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评价结论</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本课题研究团队总结经典的配电网潮流计算方法，提出了基于人工智能技术的负荷预测和分布式光伏发电预测方法，以便进行配电网负荷预测和分布式光伏发电预测。同时，结合配电网参数和数据，提出一种改进的电气距离，并以此作为依据对分布式发电集群进行划分及相关智能调控技术进行研究。</w:t>
            </w: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本课题具有较强的应用性，项目以四川省经济和信息化厅信息中心为牵头单位，通过与全省光伏产业管理部门深度调研，选取具有示范效应的区域进行数据采集及平台应用，完成对全省光伏产业发展的数据平台建设，为后期的分布式光伏发电集群高效并网提供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98"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存在问题</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本课题研究过程严谨、合规、顺利，共产出适用新型专利1项，软著2个，论文3篇，培训科技管理人员10人。实现了分布式光伏集群发电短期预测准确率达80%以上，分布式光伏集群智能调控电压偏差低于5%，顺利完成了预期目标。但在课题研究过程中，对各研究模块的时间把握上还不够合理，进度节奏掌握还有一定优化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6"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改进措施</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本课题研究对各研究模块的时间把握不够精准，任务切块有待优化。在将来的研究工作中，还可以通过任务细化等方式开展工作安排，以更精准地掌握整体进度。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8" w:hRule="atLeast"/>
          <w:jc w:val="center"/>
        </w:trPr>
        <w:tc>
          <w:tcPr>
            <w:tcW w:w="5621"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项目负责人：丛凯</w:t>
            </w:r>
          </w:p>
        </w:tc>
        <w:tc>
          <w:tcPr>
            <w:tcW w:w="5677"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财务负责人：韩莉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2"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5" w:hRule="atLeast"/>
          <w:jc w:val="center"/>
        </w:trPr>
        <w:tc>
          <w:tcPr>
            <w:tcW w:w="11298"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黑体" w:hAnsi="宋体" w:eastAsia="黑体" w:cs="黑体"/>
                <w:b/>
                <w:bCs/>
                <w:i w:val="0"/>
                <w:iCs w:val="0"/>
                <w:color w:val="000000" w:themeColor="text1"/>
                <w:sz w:val="30"/>
                <w:szCs w:val="30"/>
                <w:u w:val="none"/>
                <w14:textFill>
                  <w14:solidFill>
                    <w14:schemeClr w14:val="tx1"/>
                  </w14:solidFill>
                </w14:textFill>
              </w:rPr>
            </w:pPr>
            <w:r>
              <w:rPr>
                <w:rFonts w:hint="eastAsia" w:ascii="黑体" w:hAnsi="宋体" w:eastAsia="黑体" w:cs="黑体"/>
                <w:b/>
                <w:bCs/>
                <w:i w:val="0"/>
                <w:iCs w:val="0"/>
                <w:color w:val="000000" w:themeColor="text1"/>
                <w:kern w:val="0"/>
                <w:sz w:val="30"/>
                <w:szCs w:val="30"/>
                <w:u w:val="none"/>
                <w:lang w:val="en-US" w:eastAsia="zh-CN" w:bidi="ar"/>
                <w14:textFill>
                  <w14:solidFill>
                    <w14:schemeClr w14:val="tx1"/>
                  </w14:solidFill>
                </w14:textFill>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7"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项目名称</w:t>
            </w:r>
          </w:p>
        </w:tc>
        <w:tc>
          <w:tcPr>
            <w:tcW w:w="903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51000024Y000010648024-2024年机房基础设施运维与虚拟化和分布式存储及备用资源服务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主管部门</w:t>
            </w: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四川省经济和信息化厅部门</w:t>
            </w:r>
          </w:p>
        </w:tc>
        <w:tc>
          <w:tcPr>
            <w:tcW w:w="1001" w:type="dxa"/>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实施单位（盖章）</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四川省经济和信息化厅信息中心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7"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项目基本情况</w:t>
            </w: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1.项目年度目标完成情况</w:t>
            </w: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项目年度目标</w:t>
            </w:r>
          </w:p>
        </w:tc>
        <w:tc>
          <w:tcPr>
            <w:tcW w:w="43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8"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保障厅机关网络、数据安全，为厅领导及相关处室决策提供数据决策依据。</w:t>
            </w:r>
          </w:p>
        </w:tc>
        <w:tc>
          <w:tcPr>
            <w:tcW w:w="43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2024年机房基础设施运维与虚拟化和分布式存储及备用资源服务执行率100%，自评得分100分。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2.项目实施内容及过程概述</w:t>
            </w:r>
          </w:p>
        </w:tc>
        <w:tc>
          <w:tcPr>
            <w:tcW w:w="903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2"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预算执行情况（10分）</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年度预算数（万元）</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年初预算</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调整后预算数</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预算执行率</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总额</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45.00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45.00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45.00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其中：财政资金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45.00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45.00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45.00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7"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财政专户管理资金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单位资金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其他资金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黑体" w:hAnsi="黑体" w:eastAsia="黑体" w:cs="黑体"/>
                <w:i/>
                <w:iCs/>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2"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绩效指标（90分）</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一级指标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二级指标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三级指标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指标性质</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指标值</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度量单位</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完成值</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产出指标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数量指标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机房运维服务达标率</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95</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质量指标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机房基础设施运行质量保障率</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98</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8"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时效指标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资源不足或资源占用井喷式增长时完成资源扩容省级时间</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小时</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8"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虚拟化和分布式存储平台应急响应服务需到达现场时间</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小时</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可持续影响指标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虚拟化和分布式存储平台全年无故障运行时间</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365</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天</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30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满意度指标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服务对象满意度指标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使用人员满意度</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95</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7" w:hRule="atLeast"/>
          <w:jc w:val="center"/>
        </w:trPr>
        <w:tc>
          <w:tcPr>
            <w:tcW w:w="796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合计</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righ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3"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评价结论</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2024年机房基础设施运维与虚拟化和分布式存储及备用资源服务执行率100%，自评得分100分。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2"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存在问题</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3"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改进措施</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6" w:hRule="atLeast"/>
          <w:jc w:val="center"/>
        </w:trPr>
        <w:tc>
          <w:tcPr>
            <w:tcW w:w="5621"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项目负责人：苏征</w:t>
            </w:r>
          </w:p>
        </w:tc>
        <w:tc>
          <w:tcPr>
            <w:tcW w:w="5677"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财务负责人：韩莉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2" w:hRule="atLeast"/>
          <w:jc w:val="center"/>
        </w:trPr>
        <w:tc>
          <w:tcPr>
            <w:tcW w:w="625"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76"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74"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72"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74"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001"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63"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523"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44" w:type="dxa"/>
            <w:tcBorders>
              <w:top w:val="nil"/>
              <w:left w:val="nil"/>
              <w:bottom w:val="nil"/>
              <w:right w:val="nil"/>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5" w:hRule="atLeast"/>
          <w:jc w:val="center"/>
        </w:trPr>
        <w:tc>
          <w:tcPr>
            <w:tcW w:w="11298"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黑体" w:hAnsi="宋体" w:eastAsia="黑体" w:cs="黑体"/>
                <w:b/>
                <w:bCs/>
                <w:i w:val="0"/>
                <w:iCs w:val="0"/>
                <w:color w:val="000000" w:themeColor="text1"/>
                <w:sz w:val="30"/>
                <w:szCs w:val="30"/>
                <w:u w:val="none"/>
                <w14:textFill>
                  <w14:solidFill>
                    <w14:schemeClr w14:val="tx1"/>
                  </w14:solidFill>
                </w14:textFill>
              </w:rPr>
            </w:pPr>
            <w:r>
              <w:rPr>
                <w:rFonts w:hint="eastAsia" w:ascii="黑体" w:hAnsi="宋体" w:eastAsia="黑体" w:cs="黑体"/>
                <w:b/>
                <w:bCs/>
                <w:i w:val="0"/>
                <w:iCs w:val="0"/>
                <w:color w:val="000000" w:themeColor="text1"/>
                <w:kern w:val="0"/>
                <w:sz w:val="30"/>
                <w:szCs w:val="30"/>
                <w:u w:val="none"/>
                <w:lang w:val="en-US" w:eastAsia="zh-CN" w:bidi="ar"/>
                <w14:textFill>
                  <w14:solidFill>
                    <w14:schemeClr w14:val="tx1"/>
                  </w14:solidFill>
                </w14:textFill>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7"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项目名称</w:t>
            </w:r>
          </w:p>
        </w:tc>
        <w:tc>
          <w:tcPr>
            <w:tcW w:w="903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51000024Y000010712282-2024年能耗在线监测平台运维项目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2" w:hRule="atLeast"/>
          <w:jc w:val="center"/>
        </w:trPr>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主管部门</w:t>
            </w: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四川省经济和信息化厅部门</w:t>
            </w:r>
          </w:p>
        </w:tc>
        <w:tc>
          <w:tcPr>
            <w:tcW w:w="1001" w:type="dxa"/>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实施单位（盖章）</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四川省经济和信息化厅信息中心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7"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项目基本情况</w:t>
            </w: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1.项目年度目标完成情况</w:t>
            </w: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项目年度目标</w:t>
            </w:r>
          </w:p>
        </w:tc>
        <w:tc>
          <w:tcPr>
            <w:tcW w:w="43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64"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70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按要求完成能耗在线监测系统平台运维。完成验证平台企业接入数向正式平台转正率达到80%</w:t>
            </w:r>
          </w:p>
        </w:tc>
        <w:tc>
          <w:tcPr>
            <w:tcW w:w="43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能耗系统验证平台接入企业667家，正式平台接入企业455家，并担负起正式平台所有企业的日常数据盯控、业务咨询、设备注册、数据接入等一系列工作，完成能耗系统运维技术招投标，圆满完成2024年度目标。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2.项目实施内容及过程概述</w:t>
            </w:r>
          </w:p>
        </w:tc>
        <w:tc>
          <w:tcPr>
            <w:tcW w:w="903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预算执行情况（10分）</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年度预算数（万元）</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年初预算</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调整后预算数</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预算执行率</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7"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总额</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85.60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85.60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85.54</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99.93%</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9.9</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能耗运维技术招投标，投标方实际报价低于预算金额。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9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其中：财政资金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85.60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85.60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85.54</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99.93%</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7"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财政专户管理资金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单位资金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其他资金</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82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2"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绩效指标（90分）</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一级指标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二级指标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三级指标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指标性质</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指标值</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度量单位</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完成值</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权重</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得分</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产出指标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数量指标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硬件采购（维护）数量</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个</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质量指标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系统故障率</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90</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时效指标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系统运行维护响应时间</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小时</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系统故障修复处理时间</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48</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小时</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社会效益指标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数据收集量</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10000</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条</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500000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可持续影响指标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系统正常使用年限</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年</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2"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满意度指标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服务对象满意度指标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使用人员满意度</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8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80</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微软雅黑" w:hAnsi="微软雅黑" w:eastAsia="微软雅黑" w:cs="微软雅黑"/>
                <w:i/>
                <w:iCs/>
                <w:color w:val="000000" w:themeColor="text1"/>
                <w:sz w:val="16"/>
                <w:szCs w:val="16"/>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7" w:hRule="atLeast"/>
          <w:jc w:val="center"/>
        </w:trPr>
        <w:tc>
          <w:tcPr>
            <w:tcW w:w="796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合计</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100</w:t>
            </w:r>
          </w:p>
        </w:tc>
        <w:tc>
          <w:tcPr>
            <w:tcW w:w="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righ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99.9</w:t>
            </w:r>
          </w:p>
        </w:tc>
        <w:tc>
          <w:tcPr>
            <w:tcW w:w="23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3"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评价结论</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能耗系统验证平台接入企业667家，正式平台接入企业455家，并担负起正式平台所有企业的日常数据盯控、业务咨询、设备注册、数据接入等一系列工作，完成能耗系统运维技术招投标，圆满完成2024年度目标。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2"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存在问题</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3"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改进措施</w:t>
            </w:r>
          </w:p>
        </w:tc>
        <w:tc>
          <w:tcPr>
            <w:tcW w:w="106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iCs w:val="0"/>
                <w:color w:val="000000" w:themeColor="text1"/>
                <w:sz w:val="18"/>
                <w:szCs w:val="18"/>
                <w:u w:val="none"/>
                <w14:textFill>
                  <w14:solidFill>
                    <w14:schemeClr w14:val="tx1"/>
                  </w14:solidFill>
                </w14:textFill>
              </w:rPr>
            </w:pPr>
            <w:r>
              <w:rPr>
                <w:rFonts w:ascii="宋体" w:hAnsi="宋体" w:eastAsia="宋体" w:cs="宋体"/>
                <w:i w:val="0"/>
                <w:iCs w:val="0"/>
                <w:color w:val="000000" w:themeColor="text1"/>
                <w:kern w:val="0"/>
                <w:sz w:val="18"/>
                <w:szCs w:val="18"/>
                <w:u w:val="none"/>
                <w:lang w:val="en-US" w:eastAsia="zh-CN" w:bidi="ar"/>
                <w14:textFill>
                  <w14:solidFill>
                    <w14:schemeClr w14:val="tx1"/>
                  </w14:solidFill>
                </w14:textFill>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7" w:hRule="atLeast"/>
          <w:jc w:val="center"/>
        </w:trPr>
        <w:tc>
          <w:tcPr>
            <w:tcW w:w="5621"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项目负责人：李国</w:t>
            </w:r>
          </w:p>
        </w:tc>
        <w:tc>
          <w:tcPr>
            <w:tcW w:w="5677"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黑体" w:hAnsi="黑体" w:eastAsia="黑体" w:cs="黑体"/>
                <w:i w:val="0"/>
                <w:iCs w:val="0"/>
                <w:color w:val="000000" w:themeColor="text1"/>
                <w:sz w:val="18"/>
                <w:szCs w:val="18"/>
                <w:u w:val="none"/>
                <w14:textFill>
                  <w14:solidFill>
                    <w14:schemeClr w14:val="tx1"/>
                  </w14:solidFill>
                </w14:textFill>
              </w:rPr>
            </w:pPr>
            <w:r>
              <w:rPr>
                <w:rFonts w:hint="eastAsia" w:ascii="黑体" w:hAnsi="黑体" w:eastAsia="黑体" w:cs="黑体"/>
                <w:i w:val="0"/>
                <w:iCs w:val="0"/>
                <w:color w:val="000000" w:themeColor="text1"/>
                <w:kern w:val="0"/>
                <w:sz w:val="18"/>
                <w:szCs w:val="18"/>
                <w:u w:val="none"/>
                <w:lang w:val="en-US" w:eastAsia="zh-CN" w:bidi="ar"/>
                <w14:textFill>
                  <w14:solidFill>
                    <w14:schemeClr w14:val="tx1"/>
                  </w14:solidFill>
                </w14:textFill>
              </w:rPr>
              <w:t>财务负责人：韩莉</w:t>
            </w:r>
          </w:p>
        </w:tc>
      </w:tr>
    </w:tbl>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pPr>
      <w:bookmarkStart w:id="53" w:name="_Toc15396618"/>
      <w:r>
        <w:rPr>
          <w:rFonts w:hint="eastAsia" w:ascii="Times New Roman" w:hAnsi="Times New Roman" w:eastAsia="仿宋_GB2312" w:cs="仿宋_GB2312"/>
          <w:b w:val="0"/>
          <w:bCs w:val="0"/>
          <w:color w:val="000000" w:themeColor="text1"/>
          <w:kern w:val="0"/>
          <w:position w:val="0"/>
          <w:sz w:val="32"/>
          <w:szCs w:val="32"/>
          <w:highlight w:val="none"/>
          <w:lang w:val="en-US" w:eastAsia="zh-CN" w:bidi="ar-SA"/>
          <w14:textFill>
            <w14:solidFill>
              <w14:schemeClr w14:val="tx1"/>
            </w14:solidFill>
          </w14:textFill>
        </w:rPr>
        <w:br w:type="page"/>
      </w:r>
    </w:p>
    <w:p>
      <w:pPr>
        <w:widowControl/>
        <w:numPr>
          <w:ilvl w:val="0"/>
          <w:numId w:val="2"/>
        </w:numPr>
        <w:jc w:val="center"/>
        <w:rPr>
          <w:rStyle w:val="30"/>
          <w:rFonts w:hint="eastAsia" w:ascii="Times New Roman" w:hAnsi="Times New Roman" w:eastAsia="黑体"/>
          <w:b w:val="0"/>
          <w:color w:val="000000" w:themeColor="text1"/>
          <w:highlight w:val="none"/>
          <w14:textFill>
            <w14:solidFill>
              <w14:schemeClr w14:val="tx1"/>
            </w14:solidFill>
          </w14:textFill>
        </w:rPr>
      </w:pPr>
      <w:r>
        <w:rPr>
          <w:rStyle w:val="30"/>
          <w:rFonts w:hint="eastAsia" w:ascii="Times New Roman" w:hAnsi="Times New Roman" w:eastAsia="黑体"/>
          <w:b w:val="0"/>
          <w:color w:val="000000" w:themeColor="text1"/>
          <w:highlight w:val="none"/>
          <w14:textFill>
            <w14:solidFill>
              <w14:schemeClr w14:val="tx1"/>
            </w14:solidFill>
          </w14:textFill>
        </w:rPr>
        <w:t>附表</w:t>
      </w:r>
      <w:bookmarkEnd w:id="51"/>
      <w:bookmarkEnd w:id="53"/>
    </w:p>
    <w:p>
      <w:pPr>
        <w:pStyle w:val="16"/>
        <w:widowControl w:val="0"/>
        <w:numPr>
          <w:ilvl w:val="0"/>
          <w:numId w:val="0"/>
        </w:numPr>
        <w:spacing w:beforeLines="30" w:line="500" w:lineRule="exact"/>
        <w:jc w:val="both"/>
        <w:rPr>
          <w:rFonts w:hint="eastAsia"/>
        </w:rPr>
      </w:pPr>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54" w:name="_Toc17639"/>
      <w:bookmarkStart w:id="55" w:name="_Toc26940"/>
      <w:bookmarkStart w:id="56" w:name="_Toc1365"/>
      <w:r>
        <w:rPr>
          <w:rFonts w:hint="eastAsia" w:ascii="仿宋_GB2312" w:hAnsi="仿宋_GB2312" w:eastAsia="仿宋_GB2312" w:cs="仿宋_GB2312"/>
          <w:b w:val="0"/>
          <w:bCs w:val="0"/>
        </w:rPr>
        <w:t>一、收入支出决算总表</w:t>
      </w:r>
      <w:bookmarkEnd w:id="54"/>
      <w:bookmarkEnd w:id="55"/>
      <w:bookmarkEnd w:id="56"/>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57" w:name="_Toc1627"/>
      <w:bookmarkStart w:id="58" w:name="_Toc12254"/>
      <w:bookmarkStart w:id="59" w:name="_Toc7868"/>
      <w:r>
        <w:rPr>
          <w:rFonts w:hint="eastAsia" w:ascii="仿宋_GB2312" w:hAnsi="仿宋_GB2312" w:eastAsia="仿宋_GB2312" w:cs="仿宋_GB2312"/>
          <w:b w:val="0"/>
          <w:bCs w:val="0"/>
        </w:rPr>
        <w:t>二、收入决算表</w:t>
      </w:r>
      <w:bookmarkEnd w:id="57"/>
      <w:bookmarkEnd w:id="58"/>
      <w:bookmarkEnd w:id="59"/>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60" w:name="_Toc18750"/>
      <w:bookmarkStart w:id="61" w:name="_Toc11413"/>
      <w:bookmarkStart w:id="62" w:name="_Toc31818"/>
      <w:r>
        <w:rPr>
          <w:rFonts w:hint="eastAsia" w:ascii="仿宋_GB2312" w:hAnsi="仿宋_GB2312" w:eastAsia="仿宋_GB2312" w:cs="仿宋_GB2312"/>
          <w:b w:val="0"/>
          <w:bCs w:val="0"/>
        </w:rPr>
        <w:t>三、支出决算表</w:t>
      </w:r>
      <w:bookmarkEnd w:id="60"/>
      <w:bookmarkEnd w:id="61"/>
      <w:bookmarkEnd w:id="62"/>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63" w:name="_Toc16963"/>
      <w:bookmarkStart w:id="64" w:name="_Toc15856"/>
      <w:bookmarkStart w:id="65" w:name="_Toc19503"/>
      <w:r>
        <w:rPr>
          <w:rFonts w:hint="eastAsia" w:ascii="仿宋_GB2312" w:hAnsi="仿宋_GB2312" w:eastAsia="仿宋_GB2312" w:cs="仿宋_GB2312"/>
          <w:b w:val="0"/>
          <w:bCs w:val="0"/>
        </w:rPr>
        <w:t>四、财政拨款收入支出决算总表</w:t>
      </w:r>
      <w:bookmarkEnd w:id="63"/>
      <w:bookmarkEnd w:id="64"/>
      <w:bookmarkEnd w:id="65"/>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66" w:name="_Toc12634"/>
      <w:bookmarkStart w:id="67" w:name="_Toc18270"/>
      <w:bookmarkStart w:id="68" w:name="_Toc19450"/>
      <w:r>
        <w:rPr>
          <w:rFonts w:hint="eastAsia" w:ascii="仿宋_GB2312" w:hAnsi="仿宋_GB2312" w:eastAsia="仿宋_GB2312" w:cs="仿宋_GB2312"/>
          <w:b w:val="0"/>
          <w:bCs w:val="0"/>
        </w:rPr>
        <w:t>五、财政拨款支出决算明细表</w:t>
      </w:r>
      <w:bookmarkEnd w:id="66"/>
      <w:bookmarkEnd w:id="67"/>
      <w:bookmarkEnd w:id="68"/>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69" w:name="_Toc17394"/>
      <w:bookmarkStart w:id="70" w:name="_Toc26631"/>
      <w:bookmarkStart w:id="71" w:name="_Toc1399"/>
      <w:r>
        <w:rPr>
          <w:rFonts w:hint="eastAsia" w:ascii="仿宋_GB2312" w:hAnsi="仿宋_GB2312" w:eastAsia="仿宋_GB2312" w:cs="仿宋_GB2312"/>
          <w:b w:val="0"/>
          <w:bCs w:val="0"/>
        </w:rPr>
        <w:t>六、一般公共预算财政拨款支出决算表</w:t>
      </w:r>
      <w:bookmarkEnd w:id="69"/>
      <w:bookmarkEnd w:id="70"/>
      <w:bookmarkEnd w:id="71"/>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72" w:name="_Toc12000"/>
      <w:bookmarkStart w:id="73" w:name="_Toc14259"/>
      <w:bookmarkStart w:id="74" w:name="_Toc611"/>
      <w:r>
        <w:rPr>
          <w:rFonts w:hint="eastAsia" w:ascii="仿宋_GB2312" w:hAnsi="仿宋_GB2312" w:eastAsia="仿宋_GB2312" w:cs="仿宋_GB2312"/>
          <w:b w:val="0"/>
          <w:bCs w:val="0"/>
        </w:rPr>
        <w:t>七、一般公共预算财政拨款支出决算明细表</w:t>
      </w:r>
      <w:bookmarkEnd w:id="72"/>
      <w:bookmarkEnd w:id="73"/>
      <w:bookmarkEnd w:id="74"/>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75" w:name="_Toc10490"/>
      <w:bookmarkStart w:id="76" w:name="_Toc25338"/>
      <w:bookmarkStart w:id="77" w:name="_Toc202"/>
      <w:r>
        <w:rPr>
          <w:rFonts w:hint="eastAsia" w:ascii="仿宋_GB2312" w:hAnsi="仿宋_GB2312" w:eastAsia="仿宋_GB2312" w:cs="仿宋_GB2312"/>
          <w:b w:val="0"/>
          <w:bCs w:val="0"/>
        </w:rPr>
        <w:t>八、一般公共预算财政拨款基本支出决算表</w:t>
      </w:r>
      <w:bookmarkEnd w:id="75"/>
      <w:bookmarkEnd w:id="76"/>
      <w:bookmarkEnd w:id="77"/>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78" w:name="_Toc29915"/>
      <w:bookmarkStart w:id="79" w:name="_Toc16928"/>
      <w:bookmarkStart w:id="80" w:name="_Toc161"/>
      <w:r>
        <w:rPr>
          <w:rFonts w:hint="eastAsia" w:ascii="仿宋_GB2312" w:hAnsi="仿宋_GB2312" w:eastAsia="仿宋_GB2312" w:cs="仿宋_GB2312"/>
          <w:b w:val="0"/>
          <w:bCs w:val="0"/>
        </w:rPr>
        <w:t>九、一般公共预算财政拨款项目支出决算表</w:t>
      </w:r>
      <w:bookmarkEnd w:id="78"/>
      <w:bookmarkEnd w:id="79"/>
      <w:bookmarkEnd w:id="80"/>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81" w:name="_Toc28624"/>
      <w:bookmarkStart w:id="82" w:name="_Toc938"/>
      <w:bookmarkStart w:id="83" w:name="_Toc24815"/>
      <w:r>
        <w:rPr>
          <w:rFonts w:hint="eastAsia" w:ascii="仿宋_GB2312" w:hAnsi="仿宋_GB2312" w:eastAsia="仿宋_GB2312" w:cs="仿宋_GB2312"/>
          <w:b w:val="0"/>
          <w:bCs w:val="0"/>
        </w:rPr>
        <w:t>十、政府性基金预算财政拨款收入支出决算表</w:t>
      </w:r>
      <w:bookmarkEnd w:id="81"/>
      <w:bookmarkEnd w:id="82"/>
      <w:bookmarkEnd w:id="83"/>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84" w:name="_Toc23784"/>
      <w:bookmarkStart w:id="85" w:name="_Toc30346"/>
      <w:bookmarkStart w:id="86" w:name="_Toc29231"/>
      <w:r>
        <w:rPr>
          <w:rFonts w:hint="eastAsia" w:ascii="仿宋_GB2312" w:hAnsi="仿宋_GB2312" w:eastAsia="仿宋_GB2312" w:cs="仿宋_GB2312"/>
          <w:b w:val="0"/>
          <w:bCs w:val="0"/>
        </w:rPr>
        <w:t>十一、国有资本经营预算财政拨款收入支出决算表</w:t>
      </w:r>
      <w:bookmarkEnd w:id="84"/>
      <w:bookmarkEnd w:id="85"/>
      <w:bookmarkEnd w:id="86"/>
    </w:p>
    <w:p>
      <w:pPr>
        <w:pStyle w:val="4"/>
        <w:pageBreakBefore w:val="0"/>
        <w:widowControl w:val="0"/>
        <w:kinsoku/>
        <w:wordWrap/>
        <w:overflowPunct/>
        <w:topLinePunct w:val="0"/>
        <w:autoSpaceDE/>
        <w:autoSpaceDN/>
        <w:bidi w:val="0"/>
        <w:adjustRightInd/>
        <w:snapToGrid/>
        <w:spacing w:line="440" w:lineRule="exact"/>
        <w:textAlignment w:val="auto"/>
        <w:rPr>
          <w:rFonts w:ascii="仿宋_GB2312" w:hAnsi="仿宋_GB2312" w:eastAsia="仿宋_GB2312" w:cs="仿宋_GB2312"/>
          <w:b w:val="0"/>
          <w:bCs w:val="0"/>
        </w:rPr>
      </w:pPr>
      <w:bookmarkStart w:id="87" w:name="_Toc8058"/>
      <w:bookmarkStart w:id="88" w:name="_Toc12308"/>
      <w:bookmarkStart w:id="89" w:name="_Toc11294"/>
      <w:r>
        <w:rPr>
          <w:rFonts w:hint="eastAsia" w:ascii="仿宋_GB2312" w:hAnsi="仿宋_GB2312" w:eastAsia="仿宋_GB2312" w:cs="仿宋_GB2312"/>
          <w:b w:val="0"/>
          <w:bCs w:val="0"/>
        </w:rPr>
        <w:t>十二、国有资本经营预算财政拨款支出决算表</w:t>
      </w:r>
      <w:bookmarkEnd w:id="87"/>
      <w:bookmarkEnd w:id="88"/>
      <w:bookmarkEnd w:id="89"/>
    </w:p>
    <w:p>
      <w:pPr>
        <w:pStyle w:val="4"/>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color w:val="000000" w:themeColor="text1"/>
          <w:lang w:eastAsia="zh-CN"/>
          <w14:textFill>
            <w14:solidFill>
              <w14:schemeClr w14:val="tx1"/>
            </w14:solidFill>
          </w14:textFill>
        </w:rPr>
      </w:pPr>
      <w:bookmarkStart w:id="90" w:name="_Toc12650"/>
      <w:bookmarkStart w:id="91" w:name="_Toc32638"/>
      <w:bookmarkStart w:id="92" w:name="_Toc10713"/>
      <w:r>
        <w:rPr>
          <w:rFonts w:hint="eastAsia" w:ascii="仿宋_GB2312" w:hAnsi="仿宋_GB2312" w:eastAsia="仿宋_GB2312" w:cs="仿宋_GB2312"/>
          <w:b w:val="0"/>
          <w:bCs w:val="0"/>
        </w:rPr>
        <w:t>十三、财政拨款“三公”经费支出决算表</w:t>
      </w:r>
      <w:bookmarkEnd w:id="90"/>
      <w:bookmarkEnd w:id="91"/>
      <w:bookmarkEnd w:id="92"/>
    </w:p>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E2483"/>
    <w:multiLevelType w:val="singleLevel"/>
    <w:tmpl w:val="EF8E2483"/>
    <w:lvl w:ilvl="0" w:tentative="0">
      <w:start w:val="5"/>
      <w:numFmt w:val="chineseCounting"/>
      <w:suff w:val="space"/>
      <w:lvlText w:val="第%1部分"/>
      <w:lvlJc w:val="left"/>
      <w:rPr>
        <w:rFonts w:hint="eastAsia"/>
      </w:rPr>
    </w:lvl>
  </w:abstractNum>
  <w:abstractNum w:abstractNumId="1">
    <w:nsid w:val="1D3C2978"/>
    <w:multiLevelType w:val="singleLevel"/>
    <w:tmpl w:val="1D3C297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E01C1"/>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437C9C"/>
    <w:rsid w:val="015975B8"/>
    <w:rsid w:val="01FA47FF"/>
    <w:rsid w:val="02204B8A"/>
    <w:rsid w:val="023D0B8F"/>
    <w:rsid w:val="029562D6"/>
    <w:rsid w:val="02FA438B"/>
    <w:rsid w:val="02FEBE30"/>
    <w:rsid w:val="0398212A"/>
    <w:rsid w:val="03C84489"/>
    <w:rsid w:val="044E2BE0"/>
    <w:rsid w:val="045F4DED"/>
    <w:rsid w:val="04912ACD"/>
    <w:rsid w:val="04916F1E"/>
    <w:rsid w:val="04E57AC0"/>
    <w:rsid w:val="04ED064B"/>
    <w:rsid w:val="054B35C3"/>
    <w:rsid w:val="056703FD"/>
    <w:rsid w:val="05C55124"/>
    <w:rsid w:val="06020126"/>
    <w:rsid w:val="061E35DE"/>
    <w:rsid w:val="066E0107"/>
    <w:rsid w:val="068C3E93"/>
    <w:rsid w:val="07097292"/>
    <w:rsid w:val="07996F6E"/>
    <w:rsid w:val="079B438E"/>
    <w:rsid w:val="07DFD8BA"/>
    <w:rsid w:val="082E5202"/>
    <w:rsid w:val="085602B5"/>
    <w:rsid w:val="087B5F6E"/>
    <w:rsid w:val="08BF22FE"/>
    <w:rsid w:val="08D66EA5"/>
    <w:rsid w:val="090E5BA6"/>
    <w:rsid w:val="091268D2"/>
    <w:rsid w:val="091F4B4B"/>
    <w:rsid w:val="09630EDC"/>
    <w:rsid w:val="097035F9"/>
    <w:rsid w:val="09867E8F"/>
    <w:rsid w:val="099F3E24"/>
    <w:rsid w:val="0A2032A3"/>
    <w:rsid w:val="0A243623"/>
    <w:rsid w:val="0A6D18E6"/>
    <w:rsid w:val="0AB15C77"/>
    <w:rsid w:val="0AD801AB"/>
    <w:rsid w:val="0B354AFA"/>
    <w:rsid w:val="0B3F3282"/>
    <w:rsid w:val="0B6B4077"/>
    <w:rsid w:val="0C1666D9"/>
    <w:rsid w:val="0CA23AC9"/>
    <w:rsid w:val="0CA8290A"/>
    <w:rsid w:val="0CB9190B"/>
    <w:rsid w:val="0CFF3CDD"/>
    <w:rsid w:val="0D35B1ED"/>
    <w:rsid w:val="0D942902"/>
    <w:rsid w:val="0DA63A8D"/>
    <w:rsid w:val="0DC61A39"/>
    <w:rsid w:val="0E0802A4"/>
    <w:rsid w:val="0E254B6B"/>
    <w:rsid w:val="0EA93835"/>
    <w:rsid w:val="0F56503F"/>
    <w:rsid w:val="0F852FE9"/>
    <w:rsid w:val="0F98263C"/>
    <w:rsid w:val="0F9C5147"/>
    <w:rsid w:val="0FA97864"/>
    <w:rsid w:val="10082DBB"/>
    <w:rsid w:val="101860EC"/>
    <w:rsid w:val="101F47CC"/>
    <w:rsid w:val="108D2CE2"/>
    <w:rsid w:val="10C055FF"/>
    <w:rsid w:val="11694EBD"/>
    <w:rsid w:val="11772AA4"/>
    <w:rsid w:val="117D46C8"/>
    <w:rsid w:val="118107EC"/>
    <w:rsid w:val="121675E9"/>
    <w:rsid w:val="12E24EE2"/>
    <w:rsid w:val="130A686C"/>
    <w:rsid w:val="135D4BEE"/>
    <w:rsid w:val="1360648C"/>
    <w:rsid w:val="13651CF4"/>
    <w:rsid w:val="137F2DB6"/>
    <w:rsid w:val="1384217A"/>
    <w:rsid w:val="13C54541"/>
    <w:rsid w:val="13D50BC4"/>
    <w:rsid w:val="14771CDF"/>
    <w:rsid w:val="14B17F78"/>
    <w:rsid w:val="14D35078"/>
    <w:rsid w:val="15253330"/>
    <w:rsid w:val="154020D1"/>
    <w:rsid w:val="1548367B"/>
    <w:rsid w:val="154D2A40"/>
    <w:rsid w:val="15C34AB0"/>
    <w:rsid w:val="161562E4"/>
    <w:rsid w:val="165E0673"/>
    <w:rsid w:val="16A029FF"/>
    <w:rsid w:val="16B831D5"/>
    <w:rsid w:val="16BB723D"/>
    <w:rsid w:val="16C44F84"/>
    <w:rsid w:val="16FC64CC"/>
    <w:rsid w:val="174F2A9F"/>
    <w:rsid w:val="176201D3"/>
    <w:rsid w:val="17CA65CA"/>
    <w:rsid w:val="17E50567"/>
    <w:rsid w:val="18041ADC"/>
    <w:rsid w:val="18133ACD"/>
    <w:rsid w:val="1821268E"/>
    <w:rsid w:val="186504BB"/>
    <w:rsid w:val="1888270D"/>
    <w:rsid w:val="189D7F41"/>
    <w:rsid w:val="18AF5EEB"/>
    <w:rsid w:val="192835A8"/>
    <w:rsid w:val="19832ED4"/>
    <w:rsid w:val="19A445FC"/>
    <w:rsid w:val="19F811CC"/>
    <w:rsid w:val="1AC35C7E"/>
    <w:rsid w:val="1AC9700C"/>
    <w:rsid w:val="1ADF413A"/>
    <w:rsid w:val="1B010554"/>
    <w:rsid w:val="1B012302"/>
    <w:rsid w:val="1B1C0EEA"/>
    <w:rsid w:val="1B66485B"/>
    <w:rsid w:val="1B9C202B"/>
    <w:rsid w:val="1BC11A92"/>
    <w:rsid w:val="1BC577D4"/>
    <w:rsid w:val="1BE8440E"/>
    <w:rsid w:val="1C0A3439"/>
    <w:rsid w:val="1C1D13BE"/>
    <w:rsid w:val="1C200EAE"/>
    <w:rsid w:val="1CAB69CA"/>
    <w:rsid w:val="1CC7132A"/>
    <w:rsid w:val="1CF0262F"/>
    <w:rsid w:val="1D047E88"/>
    <w:rsid w:val="1D155CEE"/>
    <w:rsid w:val="1D1638FE"/>
    <w:rsid w:val="1D315B90"/>
    <w:rsid w:val="1DA022A7"/>
    <w:rsid w:val="1DCA7323"/>
    <w:rsid w:val="1DCDA576"/>
    <w:rsid w:val="1DDFA495"/>
    <w:rsid w:val="1DFB74DD"/>
    <w:rsid w:val="1E087E4C"/>
    <w:rsid w:val="1E312DEB"/>
    <w:rsid w:val="1E740ACF"/>
    <w:rsid w:val="1EBA2EF4"/>
    <w:rsid w:val="1ECE4BF1"/>
    <w:rsid w:val="1EE14925"/>
    <w:rsid w:val="1F226CEB"/>
    <w:rsid w:val="1F721A21"/>
    <w:rsid w:val="1F7DDB10"/>
    <w:rsid w:val="1F861028"/>
    <w:rsid w:val="1FBF278C"/>
    <w:rsid w:val="1FDC367A"/>
    <w:rsid w:val="1FE10954"/>
    <w:rsid w:val="1FF35744"/>
    <w:rsid w:val="1FF6BC77"/>
    <w:rsid w:val="204A02A8"/>
    <w:rsid w:val="2099122F"/>
    <w:rsid w:val="20B83463"/>
    <w:rsid w:val="21254871"/>
    <w:rsid w:val="212E1977"/>
    <w:rsid w:val="21333432"/>
    <w:rsid w:val="2186353C"/>
    <w:rsid w:val="22356D36"/>
    <w:rsid w:val="223E208E"/>
    <w:rsid w:val="232079E6"/>
    <w:rsid w:val="23377209"/>
    <w:rsid w:val="23641680"/>
    <w:rsid w:val="23860B96"/>
    <w:rsid w:val="238B1303"/>
    <w:rsid w:val="239F4DAE"/>
    <w:rsid w:val="240371BF"/>
    <w:rsid w:val="242B6642"/>
    <w:rsid w:val="244F3473"/>
    <w:rsid w:val="24C04FDC"/>
    <w:rsid w:val="24C97D99"/>
    <w:rsid w:val="24CA5E5B"/>
    <w:rsid w:val="24E26528"/>
    <w:rsid w:val="24F627AC"/>
    <w:rsid w:val="256E7B84"/>
    <w:rsid w:val="2592127B"/>
    <w:rsid w:val="25A718F0"/>
    <w:rsid w:val="25BB59F6"/>
    <w:rsid w:val="25BE76BC"/>
    <w:rsid w:val="25DC5E46"/>
    <w:rsid w:val="25E847EB"/>
    <w:rsid w:val="260F557C"/>
    <w:rsid w:val="265C2AE3"/>
    <w:rsid w:val="26887D7C"/>
    <w:rsid w:val="26970054"/>
    <w:rsid w:val="27392E24"/>
    <w:rsid w:val="27604855"/>
    <w:rsid w:val="27675BE3"/>
    <w:rsid w:val="276C31F9"/>
    <w:rsid w:val="27897907"/>
    <w:rsid w:val="27F531EF"/>
    <w:rsid w:val="280E2503"/>
    <w:rsid w:val="281408E2"/>
    <w:rsid w:val="2858552C"/>
    <w:rsid w:val="286E6AFD"/>
    <w:rsid w:val="288325A9"/>
    <w:rsid w:val="29183639"/>
    <w:rsid w:val="29387837"/>
    <w:rsid w:val="29BFAB79"/>
    <w:rsid w:val="29C72969"/>
    <w:rsid w:val="29FD04D3"/>
    <w:rsid w:val="2A007C29"/>
    <w:rsid w:val="2A257690"/>
    <w:rsid w:val="2AE33E50"/>
    <w:rsid w:val="2B0025D7"/>
    <w:rsid w:val="2B7F1CA9"/>
    <w:rsid w:val="2B91322F"/>
    <w:rsid w:val="2B987A37"/>
    <w:rsid w:val="2BA03472"/>
    <w:rsid w:val="2BA07916"/>
    <w:rsid w:val="2BAB22D1"/>
    <w:rsid w:val="2BD66E93"/>
    <w:rsid w:val="2BE55328"/>
    <w:rsid w:val="2BFA5278"/>
    <w:rsid w:val="2BFF7BC6"/>
    <w:rsid w:val="2C04518B"/>
    <w:rsid w:val="2C8A61B5"/>
    <w:rsid w:val="2CAE1BBE"/>
    <w:rsid w:val="2CBA4A07"/>
    <w:rsid w:val="2D4F33A1"/>
    <w:rsid w:val="2D825525"/>
    <w:rsid w:val="2D957971"/>
    <w:rsid w:val="2DF04E50"/>
    <w:rsid w:val="2E41718E"/>
    <w:rsid w:val="2E586DFA"/>
    <w:rsid w:val="2E701821"/>
    <w:rsid w:val="2EC1207D"/>
    <w:rsid w:val="2EE47B19"/>
    <w:rsid w:val="2F040D46"/>
    <w:rsid w:val="2F527179"/>
    <w:rsid w:val="2F5C5B86"/>
    <w:rsid w:val="2F6B035B"/>
    <w:rsid w:val="2F794705"/>
    <w:rsid w:val="2FAE5751"/>
    <w:rsid w:val="2FB1A395"/>
    <w:rsid w:val="2FB7522E"/>
    <w:rsid w:val="2FD23E16"/>
    <w:rsid w:val="2FD9A7D8"/>
    <w:rsid w:val="2FDBF714"/>
    <w:rsid w:val="2FEF2C1A"/>
    <w:rsid w:val="30395C43"/>
    <w:rsid w:val="309D61D2"/>
    <w:rsid w:val="30AB6865"/>
    <w:rsid w:val="30B5176D"/>
    <w:rsid w:val="30CD18C2"/>
    <w:rsid w:val="30FB0D8D"/>
    <w:rsid w:val="31004A48"/>
    <w:rsid w:val="310A276C"/>
    <w:rsid w:val="3186135C"/>
    <w:rsid w:val="318A2BFA"/>
    <w:rsid w:val="319F7F4E"/>
    <w:rsid w:val="31F77B64"/>
    <w:rsid w:val="325FA7E4"/>
    <w:rsid w:val="32676A97"/>
    <w:rsid w:val="32BD1EF1"/>
    <w:rsid w:val="32DF6F75"/>
    <w:rsid w:val="3304709D"/>
    <w:rsid w:val="334B460B"/>
    <w:rsid w:val="337D9852"/>
    <w:rsid w:val="33923FE8"/>
    <w:rsid w:val="33A41BA5"/>
    <w:rsid w:val="33A773CB"/>
    <w:rsid w:val="349D6851"/>
    <w:rsid w:val="34C603ED"/>
    <w:rsid w:val="34F5686B"/>
    <w:rsid w:val="35284C04"/>
    <w:rsid w:val="3566572C"/>
    <w:rsid w:val="358E6A31"/>
    <w:rsid w:val="36065737"/>
    <w:rsid w:val="363E0457"/>
    <w:rsid w:val="3656754F"/>
    <w:rsid w:val="367D0F7F"/>
    <w:rsid w:val="36806379"/>
    <w:rsid w:val="36AA5135"/>
    <w:rsid w:val="36BE0DA7"/>
    <w:rsid w:val="36C4095C"/>
    <w:rsid w:val="37294C63"/>
    <w:rsid w:val="37411FAD"/>
    <w:rsid w:val="375A306E"/>
    <w:rsid w:val="376B6AA6"/>
    <w:rsid w:val="376D39B2"/>
    <w:rsid w:val="37A95DA4"/>
    <w:rsid w:val="37AB1B1C"/>
    <w:rsid w:val="37E16F03"/>
    <w:rsid w:val="37F53A3B"/>
    <w:rsid w:val="38327B47"/>
    <w:rsid w:val="38521F98"/>
    <w:rsid w:val="389B6C89"/>
    <w:rsid w:val="38CF35E8"/>
    <w:rsid w:val="38D469F0"/>
    <w:rsid w:val="39096AFA"/>
    <w:rsid w:val="39495149"/>
    <w:rsid w:val="39627CCD"/>
    <w:rsid w:val="397BAF1F"/>
    <w:rsid w:val="398B5761"/>
    <w:rsid w:val="3A8328DC"/>
    <w:rsid w:val="3A916DA7"/>
    <w:rsid w:val="3AB79AF3"/>
    <w:rsid w:val="3ABB3E24"/>
    <w:rsid w:val="3AE834C0"/>
    <w:rsid w:val="3B677B08"/>
    <w:rsid w:val="3B7EF35A"/>
    <w:rsid w:val="3B842468"/>
    <w:rsid w:val="3B9FDB6C"/>
    <w:rsid w:val="3BBCE6EF"/>
    <w:rsid w:val="3BF5BC2F"/>
    <w:rsid w:val="3CAB7EC8"/>
    <w:rsid w:val="3CB74ABF"/>
    <w:rsid w:val="3CE77152"/>
    <w:rsid w:val="3CEBA265"/>
    <w:rsid w:val="3D0D2931"/>
    <w:rsid w:val="3D3E7FD6"/>
    <w:rsid w:val="3D98207C"/>
    <w:rsid w:val="3DEE7CF3"/>
    <w:rsid w:val="3E23240C"/>
    <w:rsid w:val="3E740A63"/>
    <w:rsid w:val="3E78745D"/>
    <w:rsid w:val="3E8409D1"/>
    <w:rsid w:val="3E990920"/>
    <w:rsid w:val="3EE17838"/>
    <w:rsid w:val="3EF9316D"/>
    <w:rsid w:val="3F19736B"/>
    <w:rsid w:val="3F283A52"/>
    <w:rsid w:val="3F55381A"/>
    <w:rsid w:val="3F7F7599"/>
    <w:rsid w:val="3FBF8E47"/>
    <w:rsid w:val="3FD15E98"/>
    <w:rsid w:val="3FF34060"/>
    <w:rsid w:val="3FF388A7"/>
    <w:rsid w:val="3FF4CAE0"/>
    <w:rsid w:val="3FF7B227"/>
    <w:rsid w:val="3FFF2587"/>
    <w:rsid w:val="4004001B"/>
    <w:rsid w:val="402266F3"/>
    <w:rsid w:val="40844CB8"/>
    <w:rsid w:val="408829FA"/>
    <w:rsid w:val="41670301"/>
    <w:rsid w:val="41764F49"/>
    <w:rsid w:val="41847666"/>
    <w:rsid w:val="420A743F"/>
    <w:rsid w:val="428216CB"/>
    <w:rsid w:val="428B67D2"/>
    <w:rsid w:val="428C42F8"/>
    <w:rsid w:val="42C817D4"/>
    <w:rsid w:val="42DD6902"/>
    <w:rsid w:val="42F8373B"/>
    <w:rsid w:val="42F91E12"/>
    <w:rsid w:val="43000F6E"/>
    <w:rsid w:val="43707776"/>
    <w:rsid w:val="43C006FD"/>
    <w:rsid w:val="43CFE013"/>
    <w:rsid w:val="43E443EC"/>
    <w:rsid w:val="43F6411F"/>
    <w:rsid w:val="44446C38"/>
    <w:rsid w:val="44604B4B"/>
    <w:rsid w:val="44782D86"/>
    <w:rsid w:val="448C6831"/>
    <w:rsid w:val="44AD77BA"/>
    <w:rsid w:val="44E268DA"/>
    <w:rsid w:val="450D13D7"/>
    <w:rsid w:val="45435142"/>
    <w:rsid w:val="45506656"/>
    <w:rsid w:val="45C94E39"/>
    <w:rsid w:val="463C7758"/>
    <w:rsid w:val="4661153E"/>
    <w:rsid w:val="46E62229"/>
    <w:rsid w:val="47596E9F"/>
    <w:rsid w:val="478A52AA"/>
    <w:rsid w:val="47BC567F"/>
    <w:rsid w:val="47FC5A7C"/>
    <w:rsid w:val="48253225"/>
    <w:rsid w:val="486A6C7A"/>
    <w:rsid w:val="488A3088"/>
    <w:rsid w:val="48BD345D"/>
    <w:rsid w:val="495F2766"/>
    <w:rsid w:val="49BE56DF"/>
    <w:rsid w:val="49ED1B20"/>
    <w:rsid w:val="4A0836C9"/>
    <w:rsid w:val="4A4756D4"/>
    <w:rsid w:val="4A606796"/>
    <w:rsid w:val="4A627F82"/>
    <w:rsid w:val="4AE66C9B"/>
    <w:rsid w:val="4B0E749A"/>
    <w:rsid w:val="4B2477C4"/>
    <w:rsid w:val="4B2772B4"/>
    <w:rsid w:val="4B29302C"/>
    <w:rsid w:val="4B46598C"/>
    <w:rsid w:val="4B4F25DA"/>
    <w:rsid w:val="4BA6297E"/>
    <w:rsid w:val="4BE068DB"/>
    <w:rsid w:val="4C080E93"/>
    <w:rsid w:val="4C0B2731"/>
    <w:rsid w:val="4C2537F3"/>
    <w:rsid w:val="4C2F6420"/>
    <w:rsid w:val="4C4A5008"/>
    <w:rsid w:val="4CF338F1"/>
    <w:rsid w:val="4CFA4C80"/>
    <w:rsid w:val="4D137AF0"/>
    <w:rsid w:val="4D2B4E39"/>
    <w:rsid w:val="4D52686A"/>
    <w:rsid w:val="4D577224"/>
    <w:rsid w:val="4D7A6ECD"/>
    <w:rsid w:val="4DBF1CEB"/>
    <w:rsid w:val="4DF0007C"/>
    <w:rsid w:val="4DFC67D6"/>
    <w:rsid w:val="4E200716"/>
    <w:rsid w:val="4E263853"/>
    <w:rsid w:val="4E56172D"/>
    <w:rsid w:val="4E66410B"/>
    <w:rsid w:val="4E807407"/>
    <w:rsid w:val="4EAB630A"/>
    <w:rsid w:val="4EB2452C"/>
    <w:rsid w:val="4EB26E94"/>
    <w:rsid w:val="4EB726FD"/>
    <w:rsid w:val="4EBC7D13"/>
    <w:rsid w:val="4ECE2238"/>
    <w:rsid w:val="4EE94FAC"/>
    <w:rsid w:val="4F2B4DD5"/>
    <w:rsid w:val="4F7C5E7C"/>
    <w:rsid w:val="4F833267"/>
    <w:rsid w:val="4FE9BD67"/>
    <w:rsid w:val="4FFB052F"/>
    <w:rsid w:val="50697A27"/>
    <w:rsid w:val="51510BE7"/>
    <w:rsid w:val="518A5EA7"/>
    <w:rsid w:val="51984A67"/>
    <w:rsid w:val="51D830B6"/>
    <w:rsid w:val="52304CA0"/>
    <w:rsid w:val="525766D1"/>
    <w:rsid w:val="52B4767F"/>
    <w:rsid w:val="53191BD8"/>
    <w:rsid w:val="53395DD6"/>
    <w:rsid w:val="53784B50"/>
    <w:rsid w:val="537E6D0A"/>
    <w:rsid w:val="53A2397B"/>
    <w:rsid w:val="53F74C96"/>
    <w:rsid w:val="5426635A"/>
    <w:rsid w:val="547849B9"/>
    <w:rsid w:val="54B0031A"/>
    <w:rsid w:val="54B971CF"/>
    <w:rsid w:val="550D31D0"/>
    <w:rsid w:val="55170BA8"/>
    <w:rsid w:val="5531145B"/>
    <w:rsid w:val="553218C9"/>
    <w:rsid w:val="560C6576"/>
    <w:rsid w:val="562C577E"/>
    <w:rsid w:val="567E1AA5"/>
    <w:rsid w:val="56E47B74"/>
    <w:rsid w:val="57175D52"/>
    <w:rsid w:val="57BD3DD4"/>
    <w:rsid w:val="57D936E4"/>
    <w:rsid w:val="58382B00"/>
    <w:rsid w:val="58C3686E"/>
    <w:rsid w:val="59091DA7"/>
    <w:rsid w:val="59127A5E"/>
    <w:rsid w:val="593037D7"/>
    <w:rsid w:val="59411541"/>
    <w:rsid w:val="59EA7E2A"/>
    <w:rsid w:val="5A0233C6"/>
    <w:rsid w:val="5A1E6655"/>
    <w:rsid w:val="5A455061"/>
    <w:rsid w:val="5A810B67"/>
    <w:rsid w:val="5AC661A1"/>
    <w:rsid w:val="5AF92295"/>
    <w:rsid w:val="5B0369E0"/>
    <w:rsid w:val="5B14BDB8"/>
    <w:rsid w:val="5B250254"/>
    <w:rsid w:val="5B844D7A"/>
    <w:rsid w:val="5BCC5A39"/>
    <w:rsid w:val="5BDB360F"/>
    <w:rsid w:val="5BDD79E6"/>
    <w:rsid w:val="5BF561CA"/>
    <w:rsid w:val="5BFF5DFC"/>
    <w:rsid w:val="5C2A13BA"/>
    <w:rsid w:val="5C877BB2"/>
    <w:rsid w:val="5CD71FC4"/>
    <w:rsid w:val="5CFFBE06"/>
    <w:rsid w:val="5D0631CD"/>
    <w:rsid w:val="5D1F11B5"/>
    <w:rsid w:val="5D441D7E"/>
    <w:rsid w:val="5D656145"/>
    <w:rsid w:val="5D695134"/>
    <w:rsid w:val="5DA402F0"/>
    <w:rsid w:val="5DAE1B18"/>
    <w:rsid w:val="5DE7D9E5"/>
    <w:rsid w:val="5E08087F"/>
    <w:rsid w:val="5E547F68"/>
    <w:rsid w:val="5E8F0FA0"/>
    <w:rsid w:val="5EA902B4"/>
    <w:rsid w:val="5ECEC941"/>
    <w:rsid w:val="5F5E109E"/>
    <w:rsid w:val="5F92608C"/>
    <w:rsid w:val="5F9F3465"/>
    <w:rsid w:val="5FBF9FF3"/>
    <w:rsid w:val="5FC5111D"/>
    <w:rsid w:val="5FCD4E2C"/>
    <w:rsid w:val="5FEF394A"/>
    <w:rsid w:val="5FF67715"/>
    <w:rsid w:val="5FFFFE5B"/>
    <w:rsid w:val="600D4872"/>
    <w:rsid w:val="60116111"/>
    <w:rsid w:val="60AF76D8"/>
    <w:rsid w:val="60C07B37"/>
    <w:rsid w:val="61096DE8"/>
    <w:rsid w:val="61363955"/>
    <w:rsid w:val="61502C69"/>
    <w:rsid w:val="61A84853"/>
    <w:rsid w:val="62377985"/>
    <w:rsid w:val="62BF3928"/>
    <w:rsid w:val="62C3746A"/>
    <w:rsid w:val="62DB2A06"/>
    <w:rsid w:val="63B3701E"/>
    <w:rsid w:val="63D00091"/>
    <w:rsid w:val="63D065E3"/>
    <w:rsid w:val="64151F48"/>
    <w:rsid w:val="645962D8"/>
    <w:rsid w:val="64616CD9"/>
    <w:rsid w:val="646B2415"/>
    <w:rsid w:val="647F5392"/>
    <w:rsid w:val="648669A1"/>
    <w:rsid w:val="648A05F8"/>
    <w:rsid w:val="64963088"/>
    <w:rsid w:val="649D4417"/>
    <w:rsid w:val="64E9765C"/>
    <w:rsid w:val="651346D9"/>
    <w:rsid w:val="65314B5F"/>
    <w:rsid w:val="653A7EB8"/>
    <w:rsid w:val="65556AA0"/>
    <w:rsid w:val="65C43C25"/>
    <w:rsid w:val="65E66580"/>
    <w:rsid w:val="65E7AC2A"/>
    <w:rsid w:val="661E50E3"/>
    <w:rsid w:val="664B1D71"/>
    <w:rsid w:val="664B4E8E"/>
    <w:rsid w:val="665054B9"/>
    <w:rsid w:val="66660838"/>
    <w:rsid w:val="667B2536"/>
    <w:rsid w:val="6686712D"/>
    <w:rsid w:val="669C24AC"/>
    <w:rsid w:val="66B71094"/>
    <w:rsid w:val="66C11F13"/>
    <w:rsid w:val="66C67529"/>
    <w:rsid w:val="670F0ED0"/>
    <w:rsid w:val="67177D85"/>
    <w:rsid w:val="67277B67"/>
    <w:rsid w:val="674228E4"/>
    <w:rsid w:val="67AA3209"/>
    <w:rsid w:val="67B35CFF"/>
    <w:rsid w:val="67E73D63"/>
    <w:rsid w:val="67EB5499"/>
    <w:rsid w:val="68442DFB"/>
    <w:rsid w:val="68DF647A"/>
    <w:rsid w:val="68F91E38"/>
    <w:rsid w:val="69474951"/>
    <w:rsid w:val="698D0931"/>
    <w:rsid w:val="69A2427D"/>
    <w:rsid w:val="69BD4C13"/>
    <w:rsid w:val="6A072332"/>
    <w:rsid w:val="6A1F767C"/>
    <w:rsid w:val="6A55309E"/>
    <w:rsid w:val="6A7FE5F3"/>
    <w:rsid w:val="6A9242F2"/>
    <w:rsid w:val="6A971908"/>
    <w:rsid w:val="6B030D4C"/>
    <w:rsid w:val="6B053271"/>
    <w:rsid w:val="6B37527B"/>
    <w:rsid w:val="6B451364"/>
    <w:rsid w:val="6B84076F"/>
    <w:rsid w:val="6B9A16B0"/>
    <w:rsid w:val="6BBA58AE"/>
    <w:rsid w:val="6BDB5825"/>
    <w:rsid w:val="6BDD78B3"/>
    <w:rsid w:val="6BE309E6"/>
    <w:rsid w:val="6BF84629"/>
    <w:rsid w:val="6C150D37"/>
    <w:rsid w:val="6C3D028D"/>
    <w:rsid w:val="6C4A05C8"/>
    <w:rsid w:val="6C8742B8"/>
    <w:rsid w:val="6C9360FF"/>
    <w:rsid w:val="6CFC3CA5"/>
    <w:rsid w:val="6D5E495F"/>
    <w:rsid w:val="6D6E45D9"/>
    <w:rsid w:val="6D8C0941"/>
    <w:rsid w:val="6D9D7236"/>
    <w:rsid w:val="6DBB590E"/>
    <w:rsid w:val="6DBF5E93"/>
    <w:rsid w:val="6DE210EC"/>
    <w:rsid w:val="6DF17581"/>
    <w:rsid w:val="6DFF077E"/>
    <w:rsid w:val="6E184B0E"/>
    <w:rsid w:val="6E4678CD"/>
    <w:rsid w:val="6E714EF0"/>
    <w:rsid w:val="6E7E3605"/>
    <w:rsid w:val="6E7FDCC7"/>
    <w:rsid w:val="6ED6A62E"/>
    <w:rsid w:val="6EE00B15"/>
    <w:rsid w:val="6EFFC630"/>
    <w:rsid w:val="6F356F8C"/>
    <w:rsid w:val="6F3B6D06"/>
    <w:rsid w:val="6F484F7F"/>
    <w:rsid w:val="6F5778B8"/>
    <w:rsid w:val="6F6FB3EB"/>
    <w:rsid w:val="6F73CB2E"/>
    <w:rsid w:val="6F8731EA"/>
    <w:rsid w:val="6F951520"/>
    <w:rsid w:val="6FCE6052"/>
    <w:rsid w:val="6FD57C00"/>
    <w:rsid w:val="6FEC0A99"/>
    <w:rsid w:val="6FEF7AF1"/>
    <w:rsid w:val="6FEFFFD8"/>
    <w:rsid w:val="6FF5CC65"/>
    <w:rsid w:val="6FFB47EC"/>
    <w:rsid w:val="6FFF034A"/>
    <w:rsid w:val="70484440"/>
    <w:rsid w:val="712A28F1"/>
    <w:rsid w:val="71333A0D"/>
    <w:rsid w:val="715C0E4B"/>
    <w:rsid w:val="71992E7C"/>
    <w:rsid w:val="71A5490B"/>
    <w:rsid w:val="71EFBC87"/>
    <w:rsid w:val="72233669"/>
    <w:rsid w:val="723839D1"/>
    <w:rsid w:val="72734D90"/>
    <w:rsid w:val="72A46970"/>
    <w:rsid w:val="73160E6D"/>
    <w:rsid w:val="7332FE48"/>
    <w:rsid w:val="73351CBE"/>
    <w:rsid w:val="736305DA"/>
    <w:rsid w:val="737A5923"/>
    <w:rsid w:val="73AB61DA"/>
    <w:rsid w:val="73AD73D5"/>
    <w:rsid w:val="73B6EB34"/>
    <w:rsid w:val="73CF3EC1"/>
    <w:rsid w:val="73F15E96"/>
    <w:rsid w:val="73FA497D"/>
    <w:rsid w:val="73FC3B13"/>
    <w:rsid w:val="744731E5"/>
    <w:rsid w:val="74600FBD"/>
    <w:rsid w:val="747D1B6F"/>
    <w:rsid w:val="74827185"/>
    <w:rsid w:val="74B65081"/>
    <w:rsid w:val="74BBD01D"/>
    <w:rsid w:val="74C50E20"/>
    <w:rsid w:val="74ED5379"/>
    <w:rsid w:val="75267B11"/>
    <w:rsid w:val="756B19C7"/>
    <w:rsid w:val="7592164A"/>
    <w:rsid w:val="75994786"/>
    <w:rsid w:val="75C537CD"/>
    <w:rsid w:val="75DEEEC2"/>
    <w:rsid w:val="75E1612D"/>
    <w:rsid w:val="75E32345"/>
    <w:rsid w:val="762A3631"/>
    <w:rsid w:val="76634D94"/>
    <w:rsid w:val="76974B9D"/>
    <w:rsid w:val="76E3355F"/>
    <w:rsid w:val="76FF2D0F"/>
    <w:rsid w:val="76FF5125"/>
    <w:rsid w:val="77512E3F"/>
    <w:rsid w:val="776F6FFA"/>
    <w:rsid w:val="778769C8"/>
    <w:rsid w:val="77A75DCA"/>
    <w:rsid w:val="77BB52ED"/>
    <w:rsid w:val="77DC22F5"/>
    <w:rsid w:val="77DD509A"/>
    <w:rsid w:val="77F374B5"/>
    <w:rsid w:val="77FBBB4D"/>
    <w:rsid w:val="77FBCFBD"/>
    <w:rsid w:val="77FEC8FE"/>
    <w:rsid w:val="780954C8"/>
    <w:rsid w:val="783E271A"/>
    <w:rsid w:val="784A33A1"/>
    <w:rsid w:val="78616DE9"/>
    <w:rsid w:val="786D1EFA"/>
    <w:rsid w:val="788334CC"/>
    <w:rsid w:val="78B6564F"/>
    <w:rsid w:val="78E875D7"/>
    <w:rsid w:val="79086DAD"/>
    <w:rsid w:val="793A1DDD"/>
    <w:rsid w:val="798017B9"/>
    <w:rsid w:val="79891A2A"/>
    <w:rsid w:val="79D7FD79"/>
    <w:rsid w:val="79EE5BA4"/>
    <w:rsid w:val="7A097A01"/>
    <w:rsid w:val="7A252A8D"/>
    <w:rsid w:val="7A894339"/>
    <w:rsid w:val="7AAC0AB8"/>
    <w:rsid w:val="7AD284E8"/>
    <w:rsid w:val="7AEF309B"/>
    <w:rsid w:val="7AFF7572"/>
    <w:rsid w:val="7B205002"/>
    <w:rsid w:val="7B698C8C"/>
    <w:rsid w:val="7B6C7DFB"/>
    <w:rsid w:val="7B855666"/>
    <w:rsid w:val="7BBFBED0"/>
    <w:rsid w:val="7BC3E394"/>
    <w:rsid w:val="7BC736D0"/>
    <w:rsid w:val="7BFA5EE7"/>
    <w:rsid w:val="7C1F3737"/>
    <w:rsid w:val="7C471919"/>
    <w:rsid w:val="7C4B2553"/>
    <w:rsid w:val="7C55517F"/>
    <w:rsid w:val="7CBFC87B"/>
    <w:rsid w:val="7CCA3477"/>
    <w:rsid w:val="7CDB5685"/>
    <w:rsid w:val="7CFE0F48"/>
    <w:rsid w:val="7D272ABC"/>
    <w:rsid w:val="7D3A1013"/>
    <w:rsid w:val="7D7EC23E"/>
    <w:rsid w:val="7DF033B2"/>
    <w:rsid w:val="7DFA1406"/>
    <w:rsid w:val="7E8ADEBF"/>
    <w:rsid w:val="7EBFB559"/>
    <w:rsid w:val="7EEF11D3"/>
    <w:rsid w:val="7EEF2DEB"/>
    <w:rsid w:val="7EFE4840"/>
    <w:rsid w:val="7F076C05"/>
    <w:rsid w:val="7F0971A6"/>
    <w:rsid w:val="7F1D62E7"/>
    <w:rsid w:val="7F3532A8"/>
    <w:rsid w:val="7F3F679B"/>
    <w:rsid w:val="7F4FC4EF"/>
    <w:rsid w:val="7F5E4D54"/>
    <w:rsid w:val="7F6E0135"/>
    <w:rsid w:val="7F78540D"/>
    <w:rsid w:val="7F79F205"/>
    <w:rsid w:val="7F7BAD90"/>
    <w:rsid w:val="7F7FAA55"/>
    <w:rsid w:val="7F923FF5"/>
    <w:rsid w:val="7F972D42"/>
    <w:rsid w:val="7FA30C79"/>
    <w:rsid w:val="7FA79C44"/>
    <w:rsid w:val="7FAF8ABF"/>
    <w:rsid w:val="7FB723B6"/>
    <w:rsid w:val="7FB7269E"/>
    <w:rsid w:val="7FC96657"/>
    <w:rsid w:val="7FDA9588"/>
    <w:rsid w:val="7FDF220F"/>
    <w:rsid w:val="7FEC35BC"/>
    <w:rsid w:val="7FEDC5F7"/>
    <w:rsid w:val="7FEDD9DE"/>
    <w:rsid w:val="7FF5890D"/>
    <w:rsid w:val="7FF93490"/>
    <w:rsid w:val="99FF2014"/>
    <w:rsid w:val="9DFFA416"/>
    <w:rsid w:val="A6DD0D7F"/>
    <w:rsid w:val="A77FE7B8"/>
    <w:rsid w:val="A9F8812D"/>
    <w:rsid w:val="ACFF4FBB"/>
    <w:rsid w:val="ADC6F725"/>
    <w:rsid w:val="AEDB6C55"/>
    <w:rsid w:val="AFFDA9F3"/>
    <w:rsid w:val="B77FF003"/>
    <w:rsid w:val="B7CF06AB"/>
    <w:rsid w:val="B7CFA926"/>
    <w:rsid w:val="B7EE0EF7"/>
    <w:rsid w:val="B7F8786B"/>
    <w:rsid w:val="BABB6AA1"/>
    <w:rsid w:val="BB2F4199"/>
    <w:rsid w:val="BCFFB442"/>
    <w:rsid w:val="BD079C78"/>
    <w:rsid w:val="BD733540"/>
    <w:rsid w:val="BF3735D5"/>
    <w:rsid w:val="BF7F09AC"/>
    <w:rsid w:val="BFD475C3"/>
    <w:rsid w:val="BFDE5EA6"/>
    <w:rsid w:val="BFF7F41D"/>
    <w:rsid w:val="CF3F47F2"/>
    <w:rsid w:val="CF6FC6F3"/>
    <w:rsid w:val="CFD3D3D7"/>
    <w:rsid w:val="CFDF1009"/>
    <w:rsid w:val="D0FB2A77"/>
    <w:rsid w:val="D16F7246"/>
    <w:rsid w:val="D1F2F1D4"/>
    <w:rsid w:val="D7D7B16A"/>
    <w:rsid w:val="D84B1A37"/>
    <w:rsid w:val="D8D6DB89"/>
    <w:rsid w:val="DB6F4CAB"/>
    <w:rsid w:val="DB777682"/>
    <w:rsid w:val="DBFF37E3"/>
    <w:rsid w:val="DCCFCB41"/>
    <w:rsid w:val="DD1FB521"/>
    <w:rsid w:val="DEFBFEAE"/>
    <w:rsid w:val="DF1F3B80"/>
    <w:rsid w:val="DF6F9789"/>
    <w:rsid w:val="DFE9BE81"/>
    <w:rsid w:val="DFFFA9E8"/>
    <w:rsid w:val="E3E046ED"/>
    <w:rsid w:val="E5F4E9DC"/>
    <w:rsid w:val="E6BF8A9F"/>
    <w:rsid w:val="E70FE695"/>
    <w:rsid w:val="E79C6B7A"/>
    <w:rsid w:val="EB2E368B"/>
    <w:rsid w:val="ECFED1BC"/>
    <w:rsid w:val="ED1D69BB"/>
    <w:rsid w:val="ED7FD312"/>
    <w:rsid w:val="EF2E1AC6"/>
    <w:rsid w:val="EF53993F"/>
    <w:rsid w:val="EF5F1106"/>
    <w:rsid w:val="EF6FD633"/>
    <w:rsid w:val="EFBFB2F4"/>
    <w:rsid w:val="EFBFFA21"/>
    <w:rsid w:val="EFEF630F"/>
    <w:rsid w:val="F2BEBCB8"/>
    <w:rsid w:val="F36FB518"/>
    <w:rsid w:val="F3DE1A04"/>
    <w:rsid w:val="F3F722E5"/>
    <w:rsid w:val="F443AD11"/>
    <w:rsid w:val="F4DC1AB9"/>
    <w:rsid w:val="F4FBCD07"/>
    <w:rsid w:val="F5C73702"/>
    <w:rsid w:val="F5F39A53"/>
    <w:rsid w:val="F73DF193"/>
    <w:rsid w:val="F7E6A75D"/>
    <w:rsid w:val="F7FF47A5"/>
    <w:rsid w:val="F8AB295D"/>
    <w:rsid w:val="FA5F0B8B"/>
    <w:rsid w:val="FA5F1E70"/>
    <w:rsid w:val="FA5FDB97"/>
    <w:rsid w:val="FA9C6415"/>
    <w:rsid w:val="FB744D10"/>
    <w:rsid w:val="FB7F486A"/>
    <w:rsid w:val="FBAE250F"/>
    <w:rsid w:val="FBEC3082"/>
    <w:rsid w:val="FBFDB9E3"/>
    <w:rsid w:val="FBFF5B2E"/>
    <w:rsid w:val="FCFD9735"/>
    <w:rsid w:val="FD7FFE2B"/>
    <w:rsid w:val="FDEE196B"/>
    <w:rsid w:val="FDF38B9D"/>
    <w:rsid w:val="FDFE6575"/>
    <w:rsid w:val="FE39DA1B"/>
    <w:rsid w:val="FEDFDDC2"/>
    <w:rsid w:val="FEED1146"/>
    <w:rsid w:val="FEED32F6"/>
    <w:rsid w:val="FEF781DD"/>
    <w:rsid w:val="FF3F7E3F"/>
    <w:rsid w:val="FFBA12D7"/>
    <w:rsid w:val="FFBDB16B"/>
    <w:rsid w:val="FFBFF6BC"/>
    <w:rsid w:val="FFCBD314"/>
    <w:rsid w:val="FFCEC55A"/>
    <w:rsid w:val="FFDFF91C"/>
    <w:rsid w:val="FFDFFAEE"/>
    <w:rsid w:val="FFEB3BD5"/>
    <w:rsid w:val="FFEF6777"/>
    <w:rsid w:val="FFF5848A"/>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styleId="6">
    <w:name w:val="Body Text"/>
    <w:basedOn w:val="1"/>
    <w:link w:val="27"/>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paragraph" w:styleId="16">
    <w:name w:val="Body Text First Indent"/>
    <w:basedOn w:val="6"/>
    <w:qFormat/>
    <w:uiPriority w:val="0"/>
    <w:pPr>
      <w:spacing w:line="500" w:lineRule="exact"/>
      <w:ind w:firstLine="420"/>
    </w:pPr>
    <w:rPr>
      <w:rFonts w:ascii="Times New Roman" w:hAnsi="Times New Roman" w:eastAsia="宋体" w:cs="Times New Roman"/>
      <w:sz w:val="28"/>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Char"/>
    <w:link w:val="12"/>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Char"/>
    <w:link w:val="11"/>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Char"/>
    <w:link w:val="6"/>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8"/>
    <w:link w:val="3"/>
    <w:qFormat/>
    <w:uiPriority w:val="9"/>
    <w:rPr>
      <w:rFonts w:ascii="Times New Roman" w:hAnsi="Times New Roman"/>
      <w:b/>
      <w:bCs/>
      <w:kern w:val="44"/>
      <w:sz w:val="44"/>
      <w:szCs w:val="44"/>
    </w:rPr>
  </w:style>
  <w:style w:type="character" w:customStyle="1" w:styleId="31">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10"/>
    <w:semiHidden/>
    <w:qFormat/>
    <w:uiPriority w:val="99"/>
    <w:rPr>
      <w:rFonts w:ascii="Times New Roman" w:hAnsi="Times New Roman"/>
      <w:kern w:val="2"/>
      <w:sz w:val="18"/>
      <w:szCs w:val="18"/>
    </w:rPr>
  </w:style>
  <w:style w:type="character" w:customStyle="1" w:styleId="34">
    <w:name w:val="标题 3 Char"/>
    <w:basedOn w:val="18"/>
    <w:link w:val="5"/>
    <w:qFormat/>
    <w:uiPriority w:val="9"/>
    <w:rPr>
      <w:rFonts w:ascii="Times New Roman" w:hAnsi="Times New Roman"/>
      <w:b/>
      <w:bCs/>
      <w:kern w:val="2"/>
      <w:sz w:val="32"/>
      <w:szCs w:val="32"/>
    </w:rPr>
  </w:style>
  <w:style w:type="paragraph" w:customStyle="1" w:styleId="3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7">
    <w:name w:val="图表目录1"/>
    <w:basedOn w:val="1"/>
    <w:next w:val="1"/>
    <w:qFormat/>
    <w:uiPriority w:val="0"/>
    <w:pPr>
      <w:ind w:left="200" w:leftChars="200" w:hanging="200" w:hangingChars="200"/>
    </w:pPr>
    <w:rPr>
      <w:rFonts w:ascii="Times New Roman" w:hAnsi="Times New Roman"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26032;&#24314;&#25991;&#20214;&#22841;\9.5&#21069;%20%202024&#20915;&#31639;&#20844;&#24320;\9.5&#21069;%20%202024&#20915;&#31639;&#20844;&#24320;\2025&#24180;9&#26376;6&#26085;&#25104;&#26524;\&#22270;&#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26032;&#24314;&#25991;&#20214;&#22841;\9.5&#21069;%20%202024&#20915;&#31639;&#20844;&#24320;\9.5&#21069;%20%202024&#20915;&#31639;&#20844;&#24320;\2025&#24180;9&#26376;6&#26085;&#25104;&#26524;\&#22270;&#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6032;&#24314;&#25991;&#20214;&#22841;\9.5&#21069;%20%202024&#20915;&#31639;&#20844;&#24320;\9.5&#21069;%20%202024&#20915;&#31639;&#20844;&#24320;\2025&#24180;9&#26376;6&#26085;&#25104;&#26524;\&#22270;&#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21407;&#22987;\&#26700;&#38754;\&#22270;&#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1407;&#22987;\&#26700;&#38754;\&#22270;&#34920;.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1407;&#22987;\&#26700;&#38754;\&#22270;&#3492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1407;&#22987;\&#26700;&#38754;\&#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收、支决算总计对比</a:t>
            </a:r>
            <a:endParaRPr lang="en-US" altLang="zh-CN"/>
          </a:p>
        </c:rich>
      </c:tx>
      <c:layout/>
      <c:overlay val="false"/>
      <c:spPr>
        <a:noFill/>
        <a:ln>
          <a:noFill/>
        </a:ln>
        <a:effectLst/>
      </c:spPr>
    </c:title>
    <c:autoTitleDeleted val="false"/>
    <c:plotArea>
      <c:layout/>
      <c:barChart>
        <c:barDir val="col"/>
        <c:grouping val="clustered"/>
        <c:varyColors val="false"/>
        <c:ser>
          <c:idx val="0"/>
          <c:order val="0"/>
          <c:tx>
            <c:strRef>
              <c:f>[图表.xlsx]Sheet1!$E$8</c:f>
              <c:strCache>
                <c:ptCount val="1"/>
                <c:pt idx="0">
                  <c:v>2023年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[图表.xlsx]Sheet1!$F$7:$G$7</c:f>
              <c:strCache>
                <c:ptCount val="2"/>
                <c:pt idx="0">
                  <c:v>总决算收入</c:v>
                </c:pt>
                <c:pt idx="1">
                  <c:v>总决算支出</c:v>
                </c:pt>
              </c:strCache>
            </c:strRef>
          </c:cat>
          <c:val>
            <c:numRef>
              <c:f>[图表.xlsx]Sheet1!$F$8:$G$8</c:f>
              <c:numCache>
                <c:formatCode>General</c:formatCode>
                <c:ptCount val="2"/>
                <c:pt idx="0">
                  <c:v>453.35</c:v>
                </c:pt>
                <c:pt idx="1">
                  <c:v>453.35</c:v>
                </c:pt>
              </c:numCache>
            </c:numRef>
          </c:val>
        </c:ser>
        <c:ser>
          <c:idx val="1"/>
          <c:order val="1"/>
          <c:tx>
            <c:strRef>
              <c:f>[图表.xlsx]Sheet1!$E$9</c:f>
              <c:strCache>
                <c:ptCount val="1"/>
                <c:pt idx="0">
                  <c:v>2024年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[图表.xlsx]Sheet1!$F$7:$G$7</c:f>
              <c:strCache>
                <c:ptCount val="2"/>
                <c:pt idx="0">
                  <c:v>总决算收入</c:v>
                </c:pt>
                <c:pt idx="1">
                  <c:v>总决算支出</c:v>
                </c:pt>
              </c:strCache>
            </c:strRef>
          </c:cat>
          <c:val>
            <c:numRef>
              <c:f>[图表.xlsx]Sheet1!$F$9:$G$9</c:f>
              <c:numCache>
                <c:formatCode>General</c:formatCode>
                <c:ptCount val="2"/>
                <c:pt idx="0">
                  <c:v>426.42</c:v>
                </c:pt>
                <c:pt idx="1">
                  <c:v>426.42</c:v>
                </c:pt>
              </c:numCache>
            </c:numRef>
          </c:val>
        </c:ser>
        <c:dLbls>
          <c:showLegendKey val="false"/>
          <c:showVal val="true"/>
          <c:showCatName val="false"/>
          <c:showSerName val="false"/>
          <c:showPercent val="false"/>
          <c:showBubbleSize val="false"/>
        </c:dLbls>
        <c:gapWidth val="246"/>
        <c:overlap val="-28"/>
        <c:axId val="491067514"/>
        <c:axId val="945407914"/>
      </c:barChart>
      <c:catAx>
        <c:axId val="49106751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45407914"/>
        <c:crosses val="autoZero"/>
        <c:auto val="true"/>
        <c:lblAlgn val="ctr"/>
        <c:lblOffset val="100"/>
        <c:noMultiLvlLbl val="false"/>
      </c:catAx>
      <c:valAx>
        <c:axId val="945407914"/>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9106751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[图表.xlsx]Sheet1!$F$12</c:f>
              <c:strCache>
                <c:ptCount val="1"/>
                <c:pt idx="0">
                  <c:v>2024年总收入</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[图表.xlsx]Sheet1!$E$13:$E$14</c:f>
              <c:strCache>
                <c:ptCount val="2"/>
                <c:pt idx="0">
                  <c:v>一般公共预算财政拨款收入</c:v>
                </c:pt>
                <c:pt idx="1">
                  <c:v>其他收入</c:v>
                </c:pt>
              </c:strCache>
            </c:strRef>
          </c:cat>
          <c:val>
            <c:numRef>
              <c:f>[图表.xlsx]Sheet1!$F$13:$F$14</c:f>
              <c:numCache>
                <c:formatCode>General</c:formatCode>
                <c:ptCount val="2"/>
                <c:pt idx="0">
                  <c:v>422.36</c:v>
                </c:pt>
                <c:pt idx="1">
                  <c:v>4.05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[图表.xlsx]Sheet1!$F$17</c:f>
              <c:strCache>
                <c:ptCount val="1"/>
                <c:pt idx="0">
                  <c:v>2024年总支出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[图表.xlsx]Sheet1!$E$18:$E$19</c:f>
              <c:strCache>
                <c:ptCount val="2"/>
                <c:pt idx="0">
                  <c:v>基本支出</c:v>
                </c:pt>
                <c:pt idx="1">
                  <c:v>项目支出</c:v>
                </c:pt>
              </c:strCache>
            </c:strRef>
          </c:cat>
          <c:val>
            <c:numRef>
              <c:f>[图表.xlsx]Sheet1!$F$18:$F$19</c:f>
              <c:numCache>
                <c:formatCode>General</c:formatCode>
                <c:ptCount val="2"/>
                <c:pt idx="0">
                  <c:v>294.46</c:v>
                </c:pt>
                <c:pt idx="1">
                  <c:v>131.96</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财政拨款收入支出对比</a:t>
            </a:r>
          </a:p>
        </c:rich>
      </c:tx>
      <c:layout/>
      <c:overlay val="false"/>
      <c:spPr>
        <a:noFill/>
        <a:ln>
          <a:noFill/>
        </a:ln>
        <a:effectLst/>
      </c:spPr>
    </c:title>
    <c:autoTitleDeleted val="false"/>
    <c:plotArea>
      <c:layout/>
      <c:barChart>
        <c:barDir val="col"/>
        <c:grouping val="clustered"/>
        <c:varyColors val="false"/>
        <c:ser>
          <c:idx val="0"/>
          <c:order val="0"/>
          <c:tx>
            <c:strRef>
              <c:f>[图表.xlsx]Sheet1!$E$23</c:f>
              <c:strCache>
                <c:ptCount val="1"/>
                <c:pt idx="0">
                  <c:v>2023年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[图表.xlsx]Sheet1!$F$22:$G$22</c:f>
              <c:strCache>
                <c:ptCount val="2"/>
                <c:pt idx="0">
                  <c:v>财政拨款总收入</c:v>
                </c:pt>
                <c:pt idx="1">
                  <c:v>财政拨款总支出</c:v>
                </c:pt>
              </c:strCache>
            </c:strRef>
          </c:cat>
          <c:val>
            <c:numRef>
              <c:f>[图表.xlsx]Sheet1!$F$23:$G$23</c:f>
              <c:numCache>
                <c:formatCode>General</c:formatCode>
                <c:ptCount val="2"/>
                <c:pt idx="0">
                  <c:v>449.54</c:v>
                </c:pt>
                <c:pt idx="1">
                  <c:v>449.54</c:v>
                </c:pt>
              </c:numCache>
            </c:numRef>
          </c:val>
        </c:ser>
        <c:ser>
          <c:idx val="1"/>
          <c:order val="1"/>
          <c:tx>
            <c:strRef>
              <c:f>[图表.xlsx]Sheet1!$E$24</c:f>
              <c:strCache>
                <c:ptCount val="1"/>
                <c:pt idx="0">
                  <c:v>2024年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[图表.xlsx]Sheet1!$F$22:$G$22</c:f>
              <c:strCache>
                <c:ptCount val="2"/>
                <c:pt idx="0">
                  <c:v>财政拨款总收入</c:v>
                </c:pt>
                <c:pt idx="1">
                  <c:v>财政拨款总支出</c:v>
                </c:pt>
              </c:strCache>
            </c:strRef>
          </c:cat>
          <c:val>
            <c:numRef>
              <c:f>[图表.xlsx]Sheet1!$F$24:$G$24</c:f>
              <c:numCache>
                <c:formatCode>General</c:formatCode>
                <c:ptCount val="2"/>
                <c:pt idx="0">
                  <c:v>422.36</c:v>
                </c:pt>
                <c:pt idx="1">
                  <c:v>422.36</c:v>
                </c:pt>
              </c:numCache>
            </c:numRef>
          </c:val>
        </c:ser>
        <c:dLbls>
          <c:showLegendKey val="false"/>
          <c:showVal val="true"/>
          <c:showCatName val="false"/>
          <c:showSerName val="false"/>
          <c:showPercent val="false"/>
          <c:showBubbleSize val="false"/>
        </c:dLbls>
        <c:gapWidth val="75"/>
        <c:overlap val="-25"/>
        <c:axId val="974249403"/>
        <c:axId val="392459717"/>
      </c:barChart>
      <c:catAx>
        <c:axId val="97424940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92459717"/>
        <c:crosses val="autoZero"/>
        <c:auto val="true"/>
        <c:lblAlgn val="ctr"/>
        <c:lblOffset val="100"/>
        <c:noMultiLvlLbl val="false"/>
      </c:catAx>
      <c:valAx>
        <c:axId val="392459717"/>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74249403"/>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a:t>
            </a:r>
          </a:p>
        </c:rich>
      </c:tx>
      <c:layout/>
      <c:overlay val="false"/>
      <c:spPr>
        <a:noFill/>
        <a:ln>
          <a:noFill/>
        </a:ln>
        <a:effectLst/>
      </c:spPr>
    </c:title>
    <c:autoTitleDeleted val="false"/>
    <c:plotArea>
      <c:layout/>
      <c:barChart>
        <c:barDir val="col"/>
        <c:grouping val="clustered"/>
        <c:varyColors val="false"/>
        <c:ser>
          <c:idx val="0"/>
          <c:order val="0"/>
          <c:tx>
            <c:strRef>
              <c:f>[图表.xlsx]Sheet1!$F$27</c:f>
              <c:strCache>
                <c:ptCount val="1"/>
                <c:pt idx="0">
                  <c:v>一般公共预算财政拨款支出</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[图表.xlsx]Sheet1!$E$28:$E$29</c:f>
              <c:strCache>
                <c:ptCount val="2"/>
                <c:pt idx="0">
                  <c:v>2023年</c:v>
                </c:pt>
                <c:pt idx="1">
                  <c:v>2024年</c:v>
                </c:pt>
              </c:strCache>
            </c:strRef>
          </c:cat>
          <c:val>
            <c:numRef>
              <c:f>[图表.xlsx]Sheet1!$F$28:$F$29</c:f>
              <c:numCache>
                <c:formatCode>General</c:formatCode>
                <c:ptCount val="2"/>
                <c:pt idx="0">
                  <c:v>449.54</c:v>
                </c:pt>
                <c:pt idx="1">
                  <c:v>422.36</c:v>
                </c:pt>
              </c:numCache>
            </c:numRef>
          </c:val>
        </c:ser>
        <c:dLbls>
          <c:showLegendKey val="false"/>
          <c:showVal val="true"/>
          <c:showCatName val="false"/>
          <c:showSerName val="false"/>
          <c:showPercent val="false"/>
          <c:showBubbleSize val="false"/>
        </c:dLbls>
        <c:gapWidth val="75"/>
        <c:overlap val="-25"/>
        <c:axId val="827336641"/>
        <c:axId val="752281837"/>
      </c:barChart>
      <c:catAx>
        <c:axId val="82733664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52281837"/>
        <c:crosses val="autoZero"/>
        <c:auto val="true"/>
        <c:lblAlgn val="ctr"/>
        <c:lblOffset val="100"/>
        <c:noMultiLvlLbl val="false"/>
      </c:catAx>
      <c:valAx>
        <c:axId val="752281837"/>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27336641"/>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[图表.xlsx]Sheet1!$F$32</c:f>
              <c:strCache>
                <c:ptCount val="1"/>
                <c:pt idx="0">
                  <c:v>一般公共预算财政拨款支出决算结构</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9.9%</a:t>
                    </a:r>
                    <a:endParaRPr lang="en-US" altLang="zh-CN"/>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3.9</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5</a:t>
                    </a:r>
                    <a:r>
                      <a:rPr lang="en-US" altLang="zh-CN"/>
                      <a:t>.2</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[图表.xlsx]Sheet1!$E$33:$E$36</c:f>
              <c:strCache>
                <c:ptCount val="4"/>
                <c:pt idx="0">
                  <c:v>资源勘探工业信息等支出</c:v>
                </c:pt>
                <c:pt idx="1">
                  <c:v>社会保障和就业支出</c:v>
                </c:pt>
                <c:pt idx="2">
                  <c:v>卫生健康支出</c:v>
                </c:pt>
                <c:pt idx="3">
                  <c:v>住房保障支出</c:v>
                </c:pt>
              </c:strCache>
            </c:strRef>
          </c:cat>
          <c:val>
            <c:numRef>
              <c:f>[图表.xlsx]Sheet1!$F$33:$F$36</c:f>
              <c:numCache>
                <c:formatCode>General</c:formatCode>
                <c:ptCount val="4"/>
                <c:pt idx="0">
                  <c:v>342.33</c:v>
                </c:pt>
                <c:pt idx="1">
                  <c:v>41.67</c:v>
                </c:pt>
                <c:pt idx="2">
                  <c:v>16.32</c:v>
                </c:pt>
                <c:pt idx="3">
                  <c:v>22.05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[图表.xlsx]Sheet1!$E$40</c:f>
              <c:strCache>
                <c:ptCount val="1"/>
                <c:pt idx="0">
                  <c:v>公务用车购置及运行维护费支出</c:v>
                </c:pt>
              </c:strCache>
            </c:strRef>
          </c:tx>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[图表.xlsx]Sheet1!$F$39</c:f>
              <c:strCache>
                <c:ptCount val="1"/>
                <c:pt idx="0">
                  <c:v>2024年“三公”经费财政拨款支出</c:v>
                </c:pt>
              </c:strCache>
            </c:strRef>
          </c:cat>
          <c:val>
            <c:numRef>
              <c:f>[图表.xlsx]Sheet1!$F$40</c:f>
              <c:numCache>
                <c:formatCode>General</c:formatCode>
                <c:ptCount val="1"/>
                <c:pt idx="0">
                  <c:v>0.72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43</Pages>
  <Words>14099</Words>
  <Characters>22804</Characters>
  <Lines>61</Lines>
  <Paragraphs>17</Paragraphs>
  <TotalTime>17</TotalTime>
  <ScaleCrop>false</ScaleCrop>
  <LinksUpToDate>false</LinksUpToDate>
  <CharactersWithSpaces>22816</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2020-08-10T17:49:00Z</dcterms:created>
  <dc:creator>曹颖</dc:creator>
  <cp:lastModifiedBy>user</cp:lastModifiedBy>
  <cp:lastPrinted>2025-08-08T01:34:00Z</cp:lastPrinted>
  <dcterms:modified xsi:type="dcterms:W3CDTF">2025-09-09T08:31:54Z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04787F2533EB45DC91BCDE4AB213247F</vt:lpwstr>
  </property>
  <property fmtid="{D5CDD505-2E9C-101B-9397-08002B2CF9AE}" pid="4" name="KSOTemplateDocerSaveRecord">
    <vt:lpwstr>eyJoZGlkIjoiMzEwNTM5NzYwMDRjMzkwZTVkZjY2ODkwMGIxNGU0OTUiLCJ1c2VySWQiOiIxNDc4NDYzMjMxIn0=</vt:lpwstr>
  </property>
</Properties>
</file>