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rPr>
      </w:pPr>
      <w:bookmarkStart w:id="0" w:name="_Toc15377193"/>
      <w:bookmarkStart w:id="1" w:name="_Toc15396597"/>
      <w:bookmarkStart w:id="2" w:name="_Toc15378441"/>
      <w:bookmarkStart w:id="3" w:name="_Toc15377425"/>
      <w:bookmarkStart w:id="4" w:name="_Toc15396475"/>
      <w:bookmarkStart w:id="5" w:name="_Toc15306267"/>
    </w:p>
    <w:p>
      <w:pPr>
        <w:pStyle w:val="6"/>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6"/>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6"/>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6"/>
        <w:jc w:val="center"/>
        <w:rPr>
          <w:rFonts w:hint="eastAsia"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p>
      <w:pPr>
        <w:pStyle w:val="6"/>
        <w:jc w:val="center"/>
        <w:rPr>
          <w:rFonts w:hint="eastAsia" w:ascii="Times New Roman" w:eastAsia="方正小标宋简体" w:cs="Times New Roman"/>
          <w:color w:val="auto"/>
          <w:kern w:val="2"/>
          <w:sz w:val="44"/>
          <w:szCs w:val="44"/>
          <w:highlight w:val="none"/>
          <w:lang w:val="en-US" w:eastAsia="zh-CN" w:bidi="ar-SA"/>
        </w:rPr>
      </w:pPr>
      <w:bookmarkStart w:id="6" w:name="_Toc15396476"/>
      <w:bookmarkStart w:id="7" w:name="_Toc15378442"/>
      <w:bookmarkStart w:id="8" w:name="_Toc15396598"/>
      <w:bookmarkStart w:id="9" w:name="_Toc15377426"/>
      <w:bookmarkStart w:id="10" w:name="_Toc15377194"/>
      <w:r>
        <w:rPr>
          <w:rFonts w:hint="eastAsia" w:ascii="Times New Roman" w:hAnsi="Times New Roman" w:eastAsia="方正小标宋简体" w:cs="Times New Roman"/>
          <w:color w:val="auto"/>
          <w:kern w:val="2"/>
          <w:sz w:val="44"/>
          <w:szCs w:val="44"/>
          <w:highlight w:val="none"/>
          <w:lang w:val="en-US" w:eastAsia="zh-CN" w:bidi="ar-SA"/>
        </w:rPr>
        <w:t>2024年度四川省</w:t>
      </w:r>
      <w:bookmarkEnd w:id="5"/>
      <w:bookmarkStart w:id="11" w:name="_Toc15306268"/>
      <w:r>
        <w:rPr>
          <w:rFonts w:hint="eastAsia" w:ascii="Times New Roman" w:eastAsia="方正小标宋简体" w:cs="Times New Roman"/>
          <w:color w:val="auto"/>
          <w:kern w:val="2"/>
          <w:sz w:val="44"/>
          <w:szCs w:val="44"/>
          <w:highlight w:val="none"/>
          <w:lang w:val="en-US" w:eastAsia="zh-CN" w:bidi="ar-SA"/>
        </w:rPr>
        <w:t>经济和信息化厅机关</w:t>
      </w:r>
    </w:p>
    <w:p>
      <w:pPr>
        <w:pStyle w:val="6"/>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eastAsia="方正小标宋简体" w:cs="Times New Roman"/>
          <w:color w:val="auto"/>
          <w:kern w:val="2"/>
          <w:sz w:val="44"/>
          <w:szCs w:val="44"/>
          <w:highlight w:val="none"/>
          <w:lang w:val="en-US" w:eastAsia="zh-CN" w:bidi="ar-SA"/>
        </w:rPr>
        <w:t>单位</w:t>
      </w:r>
      <w:r>
        <w:rPr>
          <w:rFonts w:hint="eastAsia" w:ascii="Times New Roman" w:hAnsi="Times New Roman" w:eastAsia="方正小标宋简体" w:cs="Times New Roman"/>
          <w:color w:val="auto"/>
          <w:kern w:val="2"/>
          <w:sz w:val="44"/>
          <w:szCs w:val="44"/>
          <w:highlight w:val="none"/>
          <w:lang w:val="en-US" w:eastAsia="zh-CN" w:bidi="ar-SA"/>
        </w:rPr>
        <w:t>决算</w:t>
      </w:r>
      <w:bookmarkEnd w:id="6"/>
      <w:bookmarkEnd w:id="7"/>
      <w:bookmarkEnd w:id="8"/>
      <w:bookmarkEnd w:id="9"/>
      <w:bookmarkEnd w:id="10"/>
      <w:bookmarkEnd w:id="11"/>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val="en-US" w:eastAsia="zh-CN"/>
        </w:rPr>
      </w:pPr>
    </w:p>
    <w:p>
      <w:pPr>
        <w:widowControl/>
        <w:jc w:val="center"/>
        <w:rPr>
          <w:rFonts w:ascii="Times New Roman" w:hAnsi="Times New Roman" w:eastAsia="黑体"/>
          <w:color w:val="auto"/>
          <w:sz w:val="48"/>
          <w:szCs w:val="48"/>
          <w:highlight w:val="none"/>
        </w:rPr>
      </w:pPr>
      <w:r>
        <w:rPr>
          <w:rFonts w:ascii="Times New Roman" w:hAnsi="Times New Roman" w:eastAsia="方正小标宋简体"/>
          <w:color w:val="auto"/>
          <w:sz w:val="36"/>
          <w:szCs w:val="36"/>
          <w:highlight w:val="none"/>
        </w:rPr>
        <w:br w:type="page"/>
      </w:r>
      <w:r>
        <w:rPr>
          <w:rFonts w:hint="eastAsia" w:ascii="Times New Roman" w:hAnsi="Times New Roman" w:eastAsia="黑体"/>
          <w:color w:val="auto"/>
          <w:sz w:val="48"/>
          <w:szCs w:val="48"/>
          <w:highlight w:val="none"/>
        </w:rPr>
        <w:t>目录</w:t>
      </w:r>
    </w:p>
    <w:p>
      <w:pPr>
        <w:widowControl/>
        <w:jc w:val="center"/>
        <w:rPr>
          <w:rFonts w:ascii="Times New Roman" w:hAnsi="Times New Roman" w:eastAsia="黑体" w:cstheme="minorBidi"/>
          <w:color w:val="auto"/>
          <w:sz w:val="28"/>
          <w:szCs w:val="28"/>
          <w:highlight w:val="none"/>
        </w:rPr>
      </w:pPr>
    </w:p>
    <w:p>
      <w:pPr>
        <w:pStyle w:val="1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9</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12</w:t>
      </w:r>
      <w:r>
        <w:rPr>
          <w:rFonts w:hint="eastAsia" w:ascii="Times New Roman" w:hAnsi="Times New Roman" w:eastAsia="仿宋_GB2312" w:cs="仿宋_GB2312"/>
          <w:color w:val="auto"/>
          <w:sz w:val="32"/>
          <w:szCs w:val="32"/>
          <w:highlight w:val="none"/>
        </w:rPr>
        <w:t>日</w:t>
      </w:r>
    </w:p>
    <w:p>
      <w:pPr>
        <w:rPr>
          <w:rFonts w:ascii="Times New Roman" w:hAnsi="Times New Roman"/>
          <w:color w:val="auto"/>
          <w:highlight w:val="none"/>
        </w:rPr>
      </w:pP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黑体"/>
          <w:color w:val="auto"/>
          <w:sz w:val="32"/>
          <w:szCs w:val="32"/>
          <w:highlight w:val="none"/>
          <w:lang w:val="en-US"/>
        </w:rPr>
      </w:pPr>
      <w:r>
        <w:rPr>
          <w:rFonts w:hint="eastAsia" w:ascii="Times New Roman" w:hAnsi="Times New Roman" w:eastAsia="黑体" w:cs="黑体"/>
          <w:color w:val="auto"/>
          <w:sz w:val="32"/>
          <w:szCs w:val="32"/>
          <w:highlight w:val="none"/>
        </w:rPr>
        <w:t>第一部分 部门概况</w:t>
      </w:r>
      <w:r>
        <w:rPr>
          <w:rFonts w:hint="eastAsia" w:ascii="Times New Roman" w:hAnsi="Times New Roman" w:eastAsia="宋体" w:cs="Times New Roman"/>
          <w:kern w:val="2"/>
          <w:sz w:val="24"/>
          <w:szCs w:val="24"/>
          <w:lang w:val="en-US" w:eastAsia="zh-CN" w:bidi="ar-SA"/>
        </w:rPr>
        <w:t>…………………………………………………………4</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一、</w:t>
      </w:r>
      <w:r>
        <w:rPr>
          <w:rFonts w:hint="eastAsia" w:ascii="Times New Roman" w:hAnsi="Times New Roman" w:eastAsia="仿宋_GB2312" w:cs="仿宋_GB2312"/>
          <w:color w:val="auto"/>
          <w:sz w:val="32"/>
          <w:szCs w:val="32"/>
          <w:highlight w:val="none"/>
          <w:lang w:eastAsia="zh-CN"/>
        </w:rPr>
        <w:t>部门职责</w:t>
      </w:r>
      <w:r>
        <w:rPr>
          <w:rFonts w:hint="eastAsia" w:ascii="Times New Roman" w:hAnsi="Times New Roman" w:eastAsia="宋体" w:cs="Times New Roman"/>
          <w:kern w:val="2"/>
          <w:sz w:val="24"/>
          <w:szCs w:val="24"/>
          <w:lang w:val="en-US" w:eastAsia="zh-CN" w:bidi="ar-SA"/>
        </w:rPr>
        <w:t>…………………………………………………………</w:t>
      </w:r>
      <w:r>
        <w:rPr>
          <w:rFonts w:hint="eastAsia" w:cs="Times New Roman"/>
          <w:kern w:val="2"/>
          <w:sz w:val="24"/>
          <w:szCs w:val="24"/>
          <w:lang w:val="en-US" w:eastAsia="zh-CN" w:bidi="ar-SA"/>
        </w:rPr>
        <w:t>4</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二、机构设置</w:t>
      </w:r>
      <w:r>
        <w:rPr>
          <w:rFonts w:hint="eastAsia" w:ascii="Times New Roman" w:hAnsi="Times New Roman" w:eastAsia="宋体" w:cs="Times New Roman"/>
          <w:kern w:val="2"/>
          <w:sz w:val="24"/>
          <w:szCs w:val="24"/>
          <w:lang w:val="en-US" w:eastAsia="zh-CN" w:bidi="ar-SA"/>
        </w:rPr>
        <w:t>…………………………………………………………</w:t>
      </w:r>
      <w:r>
        <w:rPr>
          <w:rFonts w:hint="eastAsia" w:cs="Times New Roman"/>
          <w:kern w:val="2"/>
          <w:sz w:val="24"/>
          <w:szCs w:val="24"/>
          <w:lang w:val="en-US" w:eastAsia="zh-CN" w:bidi="ar-SA"/>
        </w:rPr>
        <w:t>8</w:t>
      </w: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黑体"/>
          <w:color w:val="auto"/>
          <w:sz w:val="32"/>
          <w:szCs w:val="32"/>
          <w:highlight w:val="none"/>
          <w:lang w:val="en-US"/>
        </w:rPr>
      </w:pPr>
      <w:r>
        <w:rPr>
          <w:rFonts w:hint="eastAsia" w:ascii="Times New Roman" w:hAnsi="Times New Roman" w:eastAsia="黑体" w:cs="黑体"/>
          <w:color w:val="auto"/>
          <w:sz w:val="32"/>
          <w:szCs w:val="32"/>
          <w:highlight w:val="none"/>
        </w:rPr>
        <w:t>第二部分</w:t>
      </w:r>
      <w:r>
        <w:rPr>
          <w:rFonts w:hint="eastAsia" w:ascii="Times New Roman" w:hAnsi="Times New Roman" w:eastAsia="黑体" w:cs="黑体"/>
          <w:color w:val="auto"/>
          <w:sz w:val="32"/>
          <w:szCs w:val="32"/>
          <w:highlight w:val="none"/>
          <w:lang w:val="en-US" w:eastAsia="zh-CN"/>
        </w:rPr>
        <w:t xml:space="preserve"> 2024年度</w:t>
      </w:r>
      <w:r>
        <w:rPr>
          <w:rFonts w:hint="eastAsia" w:ascii="Times New Roman" w:hAnsi="Times New Roman" w:eastAsia="黑体" w:cs="黑体"/>
          <w:color w:val="auto"/>
          <w:sz w:val="32"/>
          <w:szCs w:val="32"/>
          <w:highlight w:val="none"/>
        </w:rPr>
        <w:t>部门决算情况说明</w:t>
      </w:r>
      <w:r>
        <w:rPr>
          <w:rFonts w:hint="eastAsia" w:ascii="Times New Roman" w:hAnsi="Times New Roman" w:eastAsia="宋体" w:cs="Times New Roman"/>
          <w:kern w:val="2"/>
          <w:sz w:val="24"/>
          <w:szCs w:val="24"/>
          <w:lang w:val="en-US" w:eastAsia="zh-CN" w:bidi="ar-SA"/>
        </w:rPr>
        <w:t>……………………………9</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一、收入支出决算总体情况说明</w:t>
      </w:r>
      <w:r>
        <w:rPr>
          <w:rFonts w:hint="eastAsia" w:ascii="Times New Roman" w:hAnsi="Times New Roman" w:eastAsia="宋体" w:cs="Times New Roman"/>
          <w:kern w:val="2"/>
          <w:sz w:val="24"/>
          <w:szCs w:val="24"/>
          <w:lang w:val="en-US" w:eastAsia="zh-CN" w:bidi="ar-SA"/>
        </w:rPr>
        <w:t>……………………………</w:t>
      </w:r>
      <w:r>
        <w:rPr>
          <w:rFonts w:hint="eastAsia" w:cs="Times New Roman"/>
          <w:kern w:val="2"/>
          <w:sz w:val="24"/>
          <w:szCs w:val="24"/>
          <w:lang w:val="en-US" w:eastAsia="zh-CN" w:bidi="ar-SA"/>
        </w:rPr>
        <w:t>9</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二、收入决算情况说明</w:t>
      </w:r>
      <w:r>
        <w:rPr>
          <w:rFonts w:hint="eastAsia" w:ascii="Times New Roman" w:hAnsi="Times New Roman" w:eastAsia="宋体" w:cs="Times New Roman"/>
          <w:kern w:val="2"/>
          <w:sz w:val="24"/>
          <w:szCs w:val="24"/>
          <w:lang w:val="en-US" w:eastAsia="zh-CN" w:bidi="ar-SA"/>
        </w:rPr>
        <w:t>……………………………………………</w:t>
      </w:r>
      <w:r>
        <w:rPr>
          <w:rFonts w:hint="eastAsia" w:cs="Times New Roman"/>
          <w:kern w:val="2"/>
          <w:sz w:val="24"/>
          <w:szCs w:val="24"/>
          <w:lang w:val="en-US" w:eastAsia="zh-CN" w:bidi="ar-SA"/>
        </w:rPr>
        <w:t>9</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三、支出决算情况说明</w:t>
      </w:r>
      <w:r>
        <w:rPr>
          <w:rFonts w:hint="eastAsia" w:ascii="Times New Roman" w:hAnsi="Times New Roman" w:eastAsia="宋体" w:cs="Times New Roman"/>
          <w:kern w:val="2"/>
          <w:sz w:val="24"/>
          <w:szCs w:val="24"/>
          <w:lang w:val="en-US" w:eastAsia="zh-CN" w:bidi="ar-SA"/>
        </w:rPr>
        <w:t>……………………………………………</w:t>
      </w:r>
      <w:r>
        <w:rPr>
          <w:rFonts w:hint="eastAsia" w:cs="Times New Roman"/>
          <w:kern w:val="2"/>
          <w:sz w:val="24"/>
          <w:szCs w:val="24"/>
          <w:lang w:val="en-US" w:eastAsia="zh-CN" w:bidi="ar-SA"/>
        </w:rPr>
        <w:t>10</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四、财政拨款收入支出决算总体情况说明</w:t>
      </w:r>
      <w:r>
        <w:rPr>
          <w:rFonts w:hint="eastAsia" w:ascii="Times New Roman" w:hAnsi="Times New Roman" w:eastAsia="宋体" w:cs="Times New Roman"/>
          <w:kern w:val="2"/>
          <w:sz w:val="24"/>
          <w:szCs w:val="24"/>
          <w:lang w:val="en-US" w:eastAsia="zh-CN" w:bidi="ar-SA"/>
        </w:rPr>
        <w:t>…………………</w:t>
      </w:r>
      <w:r>
        <w:rPr>
          <w:rFonts w:hint="eastAsia" w:cs="Times New Roman"/>
          <w:kern w:val="2"/>
          <w:sz w:val="24"/>
          <w:szCs w:val="24"/>
          <w:lang w:val="en-US" w:eastAsia="zh-CN" w:bidi="ar-SA"/>
        </w:rPr>
        <w:t>11</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五、一般公共预算财政拨款支出决算情况说明</w:t>
      </w:r>
      <w:r>
        <w:rPr>
          <w:rFonts w:hint="eastAsia" w:ascii="Times New Roman" w:hAnsi="Times New Roman" w:eastAsia="宋体" w:cs="Times New Roman"/>
          <w:kern w:val="2"/>
          <w:sz w:val="24"/>
          <w:szCs w:val="24"/>
          <w:lang w:val="en-US" w:eastAsia="zh-CN" w:bidi="ar-SA"/>
        </w:rPr>
        <w:t>…………</w:t>
      </w:r>
      <w:r>
        <w:rPr>
          <w:rFonts w:hint="eastAsia" w:cs="Times New Roman"/>
          <w:kern w:val="2"/>
          <w:sz w:val="24"/>
          <w:szCs w:val="24"/>
          <w:lang w:val="en-US" w:eastAsia="zh-CN" w:bidi="ar-SA"/>
        </w:rPr>
        <w:t>11</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六、一般公共预算财政拨款基本支出决算情况说明</w:t>
      </w:r>
      <w:r>
        <w:rPr>
          <w:rFonts w:hint="eastAsia" w:ascii="Times New Roman" w:hAnsi="Times New Roman" w:eastAsia="宋体" w:cs="Times New Roman"/>
          <w:kern w:val="2"/>
          <w:sz w:val="24"/>
          <w:szCs w:val="24"/>
          <w:lang w:val="en-US" w:eastAsia="zh-CN" w:bidi="ar-SA"/>
        </w:rPr>
        <w:t>……</w:t>
      </w:r>
      <w:r>
        <w:rPr>
          <w:rFonts w:hint="eastAsia" w:cs="Times New Roman"/>
          <w:kern w:val="2"/>
          <w:sz w:val="24"/>
          <w:szCs w:val="24"/>
          <w:lang w:val="en-US" w:eastAsia="zh-CN" w:bidi="ar-SA"/>
        </w:rPr>
        <w:t>15</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七、财政拨款</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三公”经费支出决算情况说明</w:t>
      </w:r>
      <w:r>
        <w:rPr>
          <w:rFonts w:hint="eastAsia" w:ascii="Times New Roman" w:hAnsi="Times New Roman" w:eastAsia="宋体" w:cs="Times New Roman"/>
          <w:kern w:val="2"/>
          <w:sz w:val="24"/>
          <w:szCs w:val="24"/>
          <w:lang w:val="en-US" w:eastAsia="zh-CN" w:bidi="ar-SA"/>
        </w:rPr>
        <w:t>…………</w:t>
      </w:r>
      <w:r>
        <w:rPr>
          <w:rFonts w:hint="eastAsia" w:cs="Times New Roman"/>
          <w:kern w:val="2"/>
          <w:sz w:val="24"/>
          <w:szCs w:val="24"/>
          <w:lang w:val="en-US" w:eastAsia="zh-CN" w:bidi="ar-SA"/>
        </w:rPr>
        <w:t>16</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八、政府性基金预算支出决算情况说明</w:t>
      </w:r>
      <w:r>
        <w:rPr>
          <w:rFonts w:hint="eastAsia" w:ascii="Times New Roman" w:hAnsi="Times New Roman" w:eastAsia="宋体" w:cs="Times New Roman"/>
          <w:kern w:val="2"/>
          <w:sz w:val="24"/>
          <w:szCs w:val="24"/>
          <w:lang w:val="en-US" w:eastAsia="zh-CN" w:bidi="ar-SA"/>
        </w:rPr>
        <w:t>……………………</w:t>
      </w:r>
      <w:r>
        <w:rPr>
          <w:rFonts w:hint="eastAsia" w:cs="Times New Roman"/>
          <w:kern w:val="2"/>
          <w:sz w:val="24"/>
          <w:szCs w:val="24"/>
          <w:lang w:val="en-US" w:eastAsia="zh-CN" w:bidi="ar-SA"/>
        </w:rPr>
        <w:t>18</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九、</w:t>
      </w:r>
      <w:r>
        <w:rPr>
          <w:rFonts w:hint="eastAsia" w:ascii="Times New Roman" w:hAnsi="Times New Roman" w:eastAsia="仿宋_GB2312" w:cs="仿宋_GB2312"/>
          <w:color w:val="auto"/>
          <w:sz w:val="32"/>
          <w:szCs w:val="32"/>
          <w:highlight w:val="none"/>
          <w:lang w:eastAsia="zh-CN"/>
        </w:rPr>
        <w:t>国</w:t>
      </w:r>
      <w:r>
        <w:rPr>
          <w:rFonts w:hint="eastAsia" w:ascii="Times New Roman" w:hAnsi="Times New Roman" w:eastAsia="仿宋_GB2312" w:cs="仿宋_GB2312"/>
          <w:color w:val="auto"/>
          <w:sz w:val="32"/>
          <w:szCs w:val="32"/>
          <w:highlight w:val="none"/>
        </w:rPr>
        <w:t>有资本经营预算支出决算情况说明</w:t>
      </w:r>
      <w:r>
        <w:rPr>
          <w:rFonts w:hint="eastAsia" w:ascii="Times New Roman" w:hAnsi="Times New Roman" w:eastAsia="宋体" w:cs="Times New Roman"/>
          <w:kern w:val="2"/>
          <w:sz w:val="24"/>
          <w:szCs w:val="24"/>
          <w:lang w:val="en-US" w:eastAsia="zh-CN" w:bidi="ar-SA"/>
        </w:rPr>
        <w:t>…………………</w:t>
      </w:r>
      <w:r>
        <w:rPr>
          <w:rFonts w:hint="eastAsia" w:cs="Times New Roman"/>
          <w:kern w:val="2"/>
          <w:sz w:val="24"/>
          <w:szCs w:val="24"/>
          <w:lang w:val="en-US" w:eastAsia="zh-CN" w:bidi="ar-SA"/>
        </w:rPr>
        <w:t>19</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color w:val="auto"/>
          <w:sz w:val="32"/>
          <w:szCs w:val="32"/>
          <w:highlight w:val="none"/>
        </w:rPr>
        <w:t>、其他重要事项的情况说明</w:t>
      </w:r>
      <w:r>
        <w:rPr>
          <w:rFonts w:hint="eastAsia" w:ascii="Times New Roman" w:hAnsi="Times New Roman" w:eastAsia="宋体" w:cs="Times New Roman"/>
          <w:kern w:val="2"/>
          <w:sz w:val="24"/>
          <w:szCs w:val="24"/>
          <w:lang w:val="en-US" w:eastAsia="zh-CN" w:bidi="ar-SA"/>
        </w:rPr>
        <w:t>……………………………………</w:t>
      </w:r>
      <w:r>
        <w:rPr>
          <w:rFonts w:hint="eastAsia" w:cs="Times New Roman"/>
          <w:kern w:val="2"/>
          <w:sz w:val="24"/>
          <w:szCs w:val="24"/>
          <w:lang w:val="en-US" w:eastAsia="zh-CN" w:bidi="ar-SA"/>
        </w:rPr>
        <w:t>19</w:t>
      </w: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黑体"/>
          <w:color w:val="auto"/>
          <w:sz w:val="32"/>
          <w:szCs w:val="32"/>
          <w:highlight w:val="none"/>
          <w:lang w:val="en-US"/>
        </w:rPr>
      </w:pPr>
      <w:r>
        <w:rPr>
          <w:rFonts w:hint="eastAsia" w:ascii="Times New Roman" w:hAnsi="Times New Roman" w:eastAsia="黑体" w:cs="黑体"/>
          <w:color w:val="auto"/>
          <w:sz w:val="32"/>
          <w:szCs w:val="32"/>
          <w:highlight w:val="none"/>
        </w:rPr>
        <w:t>第三部分 名词解释</w:t>
      </w:r>
      <w:r>
        <w:rPr>
          <w:rFonts w:hint="eastAsia" w:ascii="Times New Roman" w:hAnsi="Times New Roman" w:eastAsia="宋体" w:cs="Times New Roman"/>
          <w:kern w:val="2"/>
          <w:sz w:val="24"/>
          <w:szCs w:val="24"/>
          <w:lang w:val="en-US" w:eastAsia="zh-CN" w:bidi="ar-SA"/>
        </w:rPr>
        <w:t>…………………………………………………………21</w:t>
      </w: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黑体"/>
          <w:color w:val="auto"/>
          <w:sz w:val="32"/>
          <w:szCs w:val="32"/>
          <w:highlight w:val="none"/>
          <w:lang w:val="en-US"/>
        </w:rPr>
      </w:pPr>
      <w:r>
        <w:rPr>
          <w:rFonts w:hint="eastAsia" w:ascii="Times New Roman" w:hAnsi="Times New Roman" w:eastAsia="黑体" w:cs="黑体"/>
          <w:color w:val="auto"/>
          <w:sz w:val="32"/>
          <w:szCs w:val="32"/>
          <w:highlight w:val="none"/>
        </w:rPr>
        <w:t>第四部分 附件</w:t>
      </w:r>
      <w:r>
        <w:rPr>
          <w:rFonts w:hint="eastAsia" w:ascii="Times New Roman" w:hAnsi="Times New Roman" w:eastAsia="宋体" w:cs="Times New Roman"/>
          <w:kern w:val="2"/>
          <w:sz w:val="24"/>
          <w:szCs w:val="24"/>
          <w:lang w:val="en-US" w:eastAsia="zh-CN" w:bidi="ar-SA"/>
        </w:rPr>
        <w:t>………………………………………………………………25</w:t>
      </w: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黑体"/>
          <w:color w:val="auto"/>
          <w:sz w:val="32"/>
          <w:szCs w:val="32"/>
          <w:highlight w:val="none"/>
          <w:lang w:val="en-US"/>
        </w:rPr>
      </w:pPr>
      <w:r>
        <w:rPr>
          <w:rFonts w:hint="eastAsia" w:ascii="Times New Roman" w:hAnsi="Times New Roman" w:eastAsia="黑体" w:cs="黑体"/>
          <w:color w:val="auto"/>
          <w:sz w:val="32"/>
          <w:szCs w:val="32"/>
          <w:highlight w:val="none"/>
        </w:rPr>
        <w:t>第五部分 附表</w:t>
      </w:r>
      <w:r>
        <w:rPr>
          <w:rFonts w:hint="eastAsia" w:ascii="Times New Roman" w:hAnsi="Times New Roman" w:eastAsia="宋体" w:cs="Times New Roman"/>
          <w:kern w:val="2"/>
          <w:sz w:val="24"/>
          <w:szCs w:val="24"/>
          <w:lang w:val="en-US" w:eastAsia="zh-CN" w:bidi="ar-SA"/>
        </w:rPr>
        <w:t>………………………………………………………………26</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二、收入决算表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三、支出决算表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四、财政拨款收入支出决算总表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五、财政拨款支出决算明细表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七、一般公共预算财政拨款支出决算明细表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八、一般公共预算财政拨款基本支出决算</w:t>
      </w:r>
      <w:r>
        <w:rPr>
          <w:rFonts w:hint="eastAsia" w:ascii="Times New Roman" w:hAnsi="Times New Roman" w:eastAsia="仿宋_GB2312" w:cs="仿宋_GB2312"/>
          <w:color w:val="auto"/>
          <w:sz w:val="32"/>
          <w:szCs w:val="32"/>
          <w:highlight w:val="none"/>
          <w:lang w:eastAsia="zh-CN"/>
        </w:rPr>
        <w:t>明细</w:t>
      </w:r>
      <w:r>
        <w:rPr>
          <w:rFonts w:hint="eastAsia" w:ascii="Times New Roman" w:hAnsi="Times New Roman" w:eastAsia="仿宋_GB2312" w:cs="仿宋_GB2312"/>
          <w:color w:val="auto"/>
          <w:sz w:val="32"/>
          <w:szCs w:val="32"/>
          <w:highlight w:val="none"/>
        </w:rPr>
        <w:t>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九、一般公共预算财政拨款项目支出决算表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十、政府性基金预算财政拨款收入支出决算表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十一、国有资本经营预算财政拨款收入支出决算表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w:t>
      </w:r>
      <w:r>
        <w:rPr>
          <w:rFonts w:hint="eastAsia" w:ascii="Times New Roman" w:hAnsi="Times New Roman" w:eastAsia="仿宋_GB2312" w:cs="仿宋_GB2312"/>
          <w:color w:val="auto"/>
          <w:sz w:val="32"/>
          <w:szCs w:val="32"/>
          <w:highlight w:val="none"/>
          <w:lang w:val="en-US" w:eastAsia="zh-CN"/>
        </w:rPr>
        <w:t>国有资本经营预算财政拨款支出决算表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十三、财政拨款“三公”经费支出决算表</w:t>
      </w:r>
    </w:p>
    <w:p>
      <w:pPr>
        <w:keepNext w:val="0"/>
        <w:keepLines w:val="0"/>
        <w:pageBreakBefore w:val="0"/>
        <w:widowControl/>
        <w:kinsoku/>
        <w:wordWrap/>
        <w:overflowPunct/>
        <w:topLinePunct w:val="0"/>
        <w:autoSpaceDE/>
        <w:autoSpaceDN/>
        <w:bidi w:val="0"/>
        <w:spacing w:line="560" w:lineRule="exact"/>
        <w:jc w:val="left"/>
        <w:textAlignment w:val="auto"/>
        <w:rPr>
          <w:rFonts w:hint="eastAsia" w:ascii="Times New Roman" w:hAnsi="Times New Roman" w:eastAsia="仿宋_GB2312" w:cs="仿宋_GB2312"/>
          <w:bCs/>
          <w:color w:val="auto"/>
          <w:kern w:val="44"/>
          <w:sz w:val="32"/>
          <w:szCs w:val="32"/>
          <w:highlight w:val="none"/>
        </w:rPr>
      </w:pPr>
      <w:bookmarkStart w:id="12" w:name="_Toc15377196"/>
      <w:bookmarkStart w:id="13" w:name="_Toc15396599"/>
      <w:r>
        <w:rPr>
          <w:rFonts w:hint="eastAsia" w:ascii="Times New Roman" w:hAnsi="Times New Roman" w:eastAsia="仿宋_GB2312" w:cs="仿宋_GB2312"/>
          <w:b/>
          <w:color w:val="auto"/>
          <w:sz w:val="32"/>
          <w:szCs w:val="32"/>
          <w:highlight w:val="none"/>
        </w:rPr>
        <w:br w:type="page"/>
      </w:r>
    </w:p>
    <w:p>
      <w:pPr>
        <w:pStyle w:val="3"/>
        <w:jc w:val="center"/>
        <w:rPr>
          <w:rStyle w:val="30"/>
          <w:rFonts w:hint="eastAsia" w:ascii="Times New Roman" w:hAnsi="Times New Roman" w:eastAsia="方正小标宋简体" w:cs="方正小标宋简体"/>
          <w:b/>
          <w:bCs w:val="0"/>
          <w:color w:val="auto"/>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30"/>
          <w:rFonts w:hint="eastAsia" w:ascii="Times New Roman" w:hAnsi="Times New Roman" w:eastAsia="方正小标宋简体" w:cs="方正小标宋简体"/>
          <w:b w:val="0"/>
          <w:bCs w:val="0"/>
          <w:color w:val="auto"/>
          <w:highlight w:val="none"/>
        </w:rPr>
        <w:t>部门概况</w:t>
      </w:r>
      <w:bookmarkEnd w:id="12"/>
      <w:bookmarkEnd w:id="13"/>
    </w:p>
    <w:p>
      <w:pPr>
        <w:widowControl/>
        <w:jc w:val="left"/>
        <w:rPr>
          <w:rFonts w:ascii="Times New Roman" w:hAnsi="Times New Roman" w:eastAsia="黑体"/>
          <w:color w:val="auto"/>
          <w:sz w:val="32"/>
          <w:szCs w:val="32"/>
          <w:highlight w:val="none"/>
        </w:rPr>
      </w:pPr>
    </w:p>
    <w:p>
      <w:pPr>
        <w:pStyle w:val="4"/>
        <w:numPr>
          <w:ilvl w:val="0"/>
          <w:numId w:val="0"/>
        </w:numPr>
        <w:rPr>
          <w:rFonts w:hint="eastAsia" w:ascii="Times New Roman" w:hAnsi="Times New Roman" w:eastAsia="黑体"/>
          <w:b w:val="0"/>
          <w:color w:val="auto"/>
          <w:highlight w:val="none"/>
          <w:lang w:eastAsia="zh-CN"/>
        </w:rPr>
      </w:pPr>
      <w:r>
        <w:rPr>
          <w:rFonts w:hint="eastAsia" w:ascii="Times New Roman" w:hAnsi="Times New Roman" w:eastAsia="黑体"/>
          <w:b w:val="0"/>
          <w:color w:val="auto"/>
          <w:highlight w:val="none"/>
          <w:lang w:val="en-US" w:eastAsia="zh-CN"/>
        </w:rPr>
        <w:t xml:space="preserve">    一、</w:t>
      </w:r>
      <w:r>
        <w:rPr>
          <w:rFonts w:hint="eastAsia" w:ascii="Times New Roman" w:hAnsi="Times New Roman" w:eastAsia="黑体"/>
          <w:b w:val="0"/>
          <w:color w:val="auto"/>
          <w:highlight w:val="none"/>
          <w:lang w:eastAsia="zh-CN"/>
        </w:rPr>
        <w:t>部门职责</w:t>
      </w:r>
    </w:p>
    <w:p>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Times New Roman" w:hAnsi="Times New Roman" w:eastAsia="仿宋" w:cs="Times New Roman"/>
          <w:bCs/>
          <w:color w:val="auto"/>
          <w:sz w:val="32"/>
          <w:szCs w:val="32"/>
          <w:highlight w:val="none"/>
        </w:rPr>
      </w:pPr>
      <w:r>
        <w:rPr>
          <w:rFonts w:hint="default" w:ascii="Times New Roman" w:hAnsi="Times New Roman" w:eastAsia="仿宋" w:cs="Times New Roman"/>
          <w:bCs/>
          <w:color w:val="auto"/>
          <w:sz w:val="32"/>
          <w:szCs w:val="32"/>
          <w:highlight w:val="none"/>
        </w:rPr>
        <w:t>（一）贯彻实施国家有关工业经济、信息化和无线电管理的方针、政策和法律、法规，组织实施国家西部大开发战略等有关工业经济的政策措施，拟订全省有关工业经济、信息化和无线电管理的地方性法规、规章草案，负责本系统、本部门依法行政工作，落实行政执法责任制。组织推动信息化和工业化融合、工业化与城镇化联动，负责推进全省工业结构调整。</w:t>
      </w:r>
    </w:p>
    <w:p>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Times New Roman" w:hAnsi="Times New Roman" w:eastAsia="仿宋" w:cs="Times New Roman"/>
          <w:bCs/>
          <w:color w:val="auto"/>
          <w:sz w:val="32"/>
          <w:szCs w:val="32"/>
          <w:highlight w:val="none"/>
        </w:rPr>
      </w:pPr>
      <w:r>
        <w:rPr>
          <w:rFonts w:hint="default" w:ascii="Times New Roman" w:hAnsi="Times New Roman" w:eastAsia="仿宋" w:cs="Times New Roman"/>
          <w:bCs/>
          <w:color w:val="auto"/>
          <w:sz w:val="32"/>
          <w:szCs w:val="32"/>
          <w:highlight w:val="none"/>
        </w:rPr>
        <w:t>（二）负责拟订新型工业化发展战略和重大政策，协调解决新型工业化进程中的重大问题，组织实施工业强省战略。参与制订国民经济和社会发展规划，负责制定并组织实施工业（不含能源，下同）、信息化相关行业的发展规划、年度计划和产业政策，拟订行业技术规范与行业标准并组织实施，指导行业质量管理工作。</w:t>
      </w:r>
    </w:p>
    <w:p>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Times New Roman" w:hAnsi="Times New Roman" w:eastAsia="仿宋" w:cs="Times New Roman"/>
          <w:bCs/>
          <w:color w:val="auto"/>
          <w:sz w:val="32"/>
          <w:szCs w:val="32"/>
          <w:highlight w:val="none"/>
        </w:rPr>
      </w:pPr>
      <w:r>
        <w:rPr>
          <w:rFonts w:hint="default" w:ascii="Times New Roman" w:hAnsi="Times New Roman" w:eastAsia="仿宋" w:cs="Times New Roman"/>
          <w:bCs/>
          <w:color w:val="auto"/>
          <w:sz w:val="32"/>
          <w:szCs w:val="32"/>
          <w:highlight w:val="none"/>
        </w:rPr>
        <w:t>（三）监测、分析经济运行态势和质量，建立全省工业经济运行预警机制，拟订中、近期经济运行目标、政策并组织实施，协调解决经济运行中的重大问题。负责成品油等重要物资综合调控、紧急调度和交通运输协调工作，负责省级医药储备的监督管理。承办年度工业经济目标责任考核。</w:t>
      </w:r>
    </w:p>
    <w:p>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Times New Roman" w:hAnsi="Times New Roman" w:eastAsia="仿宋" w:cs="Times New Roman"/>
          <w:bCs/>
          <w:color w:val="auto"/>
          <w:sz w:val="32"/>
          <w:szCs w:val="32"/>
          <w:highlight w:val="none"/>
        </w:rPr>
      </w:pPr>
      <w:r>
        <w:rPr>
          <w:rFonts w:hint="default" w:ascii="Times New Roman" w:hAnsi="Times New Roman" w:eastAsia="仿宋" w:cs="Times New Roman"/>
          <w:bCs/>
          <w:color w:val="auto"/>
          <w:sz w:val="32"/>
          <w:szCs w:val="32"/>
          <w:highlight w:val="none"/>
        </w:rPr>
        <w:t>（四）负责全省企业技术改造推进工作，组织制定并实施全省企业技术改造投资规划和政策，制定并发布全省企业技术改造投资项目引导目录。提出工业和信息化固定资产投资规模的意见，按照规定权限审批、核准、备案规划内全省企业技术改造项目，组织企业技术改造项目申报国家有关专项计划并组织实施。</w:t>
      </w:r>
    </w:p>
    <w:p>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Times New Roman" w:hAnsi="Times New Roman" w:eastAsia="仿宋" w:cs="Times New Roman"/>
          <w:bCs/>
          <w:color w:val="auto"/>
          <w:sz w:val="32"/>
          <w:szCs w:val="32"/>
          <w:highlight w:val="none"/>
        </w:rPr>
      </w:pPr>
      <w:r>
        <w:rPr>
          <w:rFonts w:hint="default" w:ascii="Times New Roman" w:hAnsi="Times New Roman" w:eastAsia="仿宋" w:cs="Times New Roman"/>
          <w:bCs/>
          <w:color w:val="auto"/>
          <w:sz w:val="32"/>
          <w:szCs w:val="32"/>
          <w:highlight w:val="none"/>
        </w:rPr>
        <w:t>（五）负责全省企业技术创新体系建设，制定鼓励企业技术创新的政策措施，指导企业技术创新、技术引进、重大装备国产化和重大技术装备研制，编制下达全省企业技术创新项目计划并组织实施，按照规定程序会同有关部门组织企业技术中心申报、认定和建设管理工作。</w:t>
      </w:r>
    </w:p>
    <w:p>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Times New Roman" w:hAnsi="Times New Roman" w:eastAsia="仿宋" w:cs="Times New Roman"/>
          <w:bCs/>
          <w:color w:val="auto"/>
          <w:sz w:val="32"/>
          <w:szCs w:val="32"/>
          <w:highlight w:val="none"/>
        </w:rPr>
      </w:pPr>
      <w:r>
        <w:rPr>
          <w:rFonts w:hint="default" w:ascii="Times New Roman" w:hAnsi="Times New Roman" w:eastAsia="仿宋" w:cs="Times New Roman"/>
          <w:bCs/>
          <w:color w:val="auto"/>
          <w:sz w:val="32"/>
          <w:szCs w:val="32"/>
          <w:highlight w:val="none"/>
        </w:rPr>
        <w:t>（六）负责全省产业园区建设发展的牵头服务工作，拟订并组织实施产业园区、产业集群发展规划和政策措施，指导产业园区合理布局，负责推进重点产业园区建设发展，推进园区公共配套设施建设，组织实施产业园区公共服务平台项目计划。</w:t>
      </w:r>
    </w:p>
    <w:p>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Times New Roman" w:hAnsi="Times New Roman" w:eastAsia="仿宋" w:cs="Times New Roman"/>
          <w:bCs/>
          <w:color w:val="auto"/>
          <w:sz w:val="32"/>
          <w:szCs w:val="32"/>
          <w:highlight w:val="none"/>
        </w:rPr>
      </w:pPr>
      <w:r>
        <w:rPr>
          <w:rFonts w:hint="default" w:ascii="Times New Roman" w:hAnsi="Times New Roman" w:eastAsia="仿宋" w:cs="Times New Roman"/>
          <w:bCs/>
          <w:color w:val="auto"/>
          <w:sz w:val="32"/>
          <w:szCs w:val="32"/>
          <w:highlight w:val="none"/>
        </w:rPr>
        <w:t>（七）推动全省科技园区建设，牵头推动全省产业园区创新发展，促进协同创新能力建设;牵头负责自主创新示范区、高新技术产业园区等科技园区建设;会同有关部门对接国家高新技术企业认定推荐，开展工业和信息化领域国家高新技术企业培育;承担制造业创新平台</w:t>
      </w:r>
      <w:r>
        <w:rPr>
          <w:rFonts w:hint="eastAsia" w:ascii="Times New Roman" w:eastAsia="仿宋" w:cs="Times New Roman"/>
          <w:bCs/>
          <w:color w:val="auto"/>
          <w:sz w:val="32"/>
          <w:szCs w:val="32"/>
          <w:highlight w:val="none"/>
          <w:lang w:eastAsia="zh-CN"/>
        </w:rPr>
        <w:t>（</w:t>
      </w:r>
      <w:r>
        <w:rPr>
          <w:rFonts w:hint="default" w:ascii="Times New Roman" w:hAnsi="Times New Roman" w:eastAsia="仿宋" w:cs="Times New Roman"/>
          <w:bCs/>
          <w:color w:val="auto"/>
          <w:sz w:val="32"/>
          <w:szCs w:val="32"/>
          <w:highlight w:val="none"/>
        </w:rPr>
        <w:t>基地</w:t>
      </w:r>
      <w:r>
        <w:rPr>
          <w:rFonts w:hint="eastAsia" w:ascii="Times New Roman" w:eastAsia="仿宋" w:cs="Times New Roman"/>
          <w:bCs/>
          <w:color w:val="auto"/>
          <w:sz w:val="32"/>
          <w:szCs w:val="32"/>
          <w:highlight w:val="none"/>
          <w:lang w:eastAsia="zh-CN"/>
        </w:rPr>
        <w:t>）</w:t>
      </w:r>
      <w:r>
        <w:rPr>
          <w:rFonts w:hint="default" w:ascii="Times New Roman" w:hAnsi="Times New Roman" w:eastAsia="仿宋" w:cs="Times New Roman"/>
          <w:bCs/>
          <w:color w:val="auto"/>
          <w:sz w:val="32"/>
          <w:szCs w:val="32"/>
          <w:highlight w:val="none"/>
        </w:rPr>
        <w:t>等创新载体建设，推动科技创新与科技成果转化等职责。</w:t>
      </w:r>
    </w:p>
    <w:p>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Times New Roman" w:hAnsi="Times New Roman" w:eastAsia="仿宋" w:cs="Times New Roman"/>
          <w:bCs/>
          <w:color w:val="auto"/>
          <w:sz w:val="32"/>
          <w:szCs w:val="32"/>
          <w:highlight w:val="none"/>
        </w:rPr>
      </w:pPr>
      <w:r>
        <w:rPr>
          <w:rFonts w:hint="default" w:ascii="Times New Roman" w:hAnsi="Times New Roman" w:eastAsia="仿宋" w:cs="Times New Roman"/>
          <w:bCs/>
          <w:color w:val="auto"/>
          <w:sz w:val="32"/>
          <w:szCs w:val="32"/>
          <w:highlight w:val="none"/>
        </w:rPr>
        <w:t>（八）负责全省工业和信息化领域的节能降耗、清洁生产和资源节约与综合利用工作，协调推进工业化与生态环境协调发展中的重大问题，组织实施相关重大示范项目和新产品、新技术、新工艺、新设备、新材料的推广应用。</w:t>
      </w:r>
    </w:p>
    <w:p>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Times New Roman" w:hAnsi="Times New Roman" w:eastAsia="仿宋" w:cs="Times New Roman"/>
          <w:bCs/>
          <w:color w:val="auto"/>
          <w:sz w:val="32"/>
          <w:szCs w:val="32"/>
          <w:highlight w:val="none"/>
        </w:rPr>
      </w:pPr>
      <w:r>
        <w:rPr>
          <w:rFonts w:hint="default" w:ascii="Times New Roman" w:hAnsi="Times New Roman" w:eastAsia="仿宋" w:cs="Times New Roman"/>
          <w:bCs/>
          <w:color w:val="auto"/>
          <w:sz w:val="32"/>
          <w:szCs w:val="32"/>
          <w:highlight w:val="none"/>
        </w:rPr>
        <w:t>（九）负责推进企业信用制度建设，负责中小企业信用担保和融资体系建设并实施行业监管，负责制订工业发展资金等财政专项资金使用计划，负责企业技术改造、技术创新、生产运行等涉及财政、信贷、税收、保险等方面问题的协调，指导工业企业直接融资工作，参与工业企业上市培育工作。</w:t>
      </w:r>
    </w:p>
    <w:p>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Times New Roman" w:hAnsi="Times New Roman" w:eastAsia="仿宋" w:cs="Times New Roman"/>
          <w:bCs/>
          <w:color w:val="auto"/>
          <w:sz w:val="32"/>
          <w:szCs w:val="32"/>
          <w:highlight w:val="none"/>
        </w:rPr>
      </w:pPr>
      <w:r>
        <w:rPr>
          <w:rFonts w:hint="default" w:ascii="Times New Roman" w:hAnsi="Times New Roman" w:eastAsia="仿宋" w:cs="Times New Roman"/>
          <w:bCs/>
          <w:color w:val="auto"/>
          <w:sz w:val="32"/>
          <w:szCs w:val="32"/>
          <w:highlight w:val="none"/>
        </w:rPr>
        <w:t>（十）对国家重大工业经济政策实施情况进行督查，指导企业建立现代企业制度、改组改造、兼并重组，负责全省企业治乱减负工作，指导企业经营管理人员、专业技术人员培训，负责全省大企业大集团和龙头骨干企业的培育工作，负责全省中小企业发展的指导推进工作，综合协调有关部门拟订促进中小企业发展的政策措施，负责推进中小企业服务体系建设。</w:t>
      </w:r>
    </w:p>
    <w:p>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Times New Roman" w:hAnsi="Times New Roman" w:eastAsia="仿宋" w:cs="Times New Roman"/>
          <w:bCs/>
          <w:color w:val="auto"/>
          <w:sz w:val="32"/>
          <w:szCs w:val="32"/>
          <w:highlight w:val="none"/>
        </w:rPr>
      </w:pPr>
      <w:r>
        <w:rPr>
          <w:rFonts w:hint="default" w:ascii="Times New Roman" w:hAnsi="Times New Roman" w:eastAsia="仿宋" w:cs="Times New Roman"/>
          <w:bCs/>
          <w:color w:val="auto"/>
          <w:sz w:val="32"/>
          <w:szCs w:val="32"/>
          <w:highlight w:val="none"/>
        </w:rPr>
        <w:t>（十一）负责对全省工业各行业实施行业管理，制定并组织实施相关政策措施，拟订新材料、节能环保、航空航天、生物医药等战略性新兴产业发展规划、年度计划、政策措施并组织实施。拟订加快农产品加工业发展的政策措施，参与推进农业产业化龙头企业建设，参与推进农业现代化和新农村建设。指导工业、信息化和无线电领域的社会中介组织发展。</w:t>
      </w:r>
    </w:p>
    <w:p>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Times New Roman" w:hAnsi="Times New Roman" w:eastAsia="仿宋" w:cs="Times New Roman"/>
          <w:bCs/>
          <w:color w:val="auto"/>
          <w:sz w:val="32"/>
          <w:szCs w:val="32"/>
          <w:highlight w:val="none"/>
        </w:rPr>
      </w:pPr>
      <w:r>
        <w:rPr>
          <w:rFonts w:hint="default" w:ascii="Times New Roman" w:hAnsi="Times New Roman" w:eastAsia="仿宋" w:cs="Times New Roman"/>
          <w:bCs/>
          <w:color w:val="auto"/>
          <w:sz w:val="32"/>
          <w:szCs w:val="32"/>
          <w:highlight w:val="none"/>
        </w:rPr>
        <w:t>（十二）统筹推进全省信息化工作，制定并组织实施相关政策，指导电子政务、企业信息化、电子商务和物联网发展，推动跨行业、跨部门面向社会服务网络的互联互通和信息资源共享。</w:t>
      </w:r>
    </w:p>
    <w:p>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Times New Roman" w:hAnsi="Times New Roman" w:eastAsia="仿宋" w:cs="Times New Roman"/>
          <w:bCs/>
          <w:color w:val="auto"/>
          <w:sz w:val="32"/>
          <w:szCs w:val="32"/>
          <w:highlight w:val="none"/>
        </w:rPr>
      </w:pPr>
      <w:r>
        <w:rPr>
          <w:rFonts w:hint="default" w:ascii="Times New Roman" w:hAnsi="Times New Roman" w:eastAsia="仿宋" w:cs="Times New Roman"/>
          <w:bCs/>
          <w:color w:val="auto"/>
          <w:sz w:val="32"/>
          <w:szCs w:val="32"/>
          <w:highlight w:val="none"/>
        </w:rPr>
        <w:t>（十三）组织协调全省信息安全保障体系建设，指导和监督政府部门、重点行业的重要信息系统与信息网络的安全保障工作，指导信息安全防范工作，参与处理网络与信息安全重大事件。</w:t>
      </w:r>
    </w:p>
    <w:p>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Times New Roman" w:hAnsi="Times New Roman" w:eastAsia="仿宋" w:cs="Times New Roman"/>
          <w:bCs/>
          <w:color w:val="auto"/>
          <w:sz w:val="32"/>
          <w:szCs w:val="32"/>
          <w:highlight w:val="none"/>
        </w:rPr>
      </w:pPr>
      <w:r>
        <w:rPr>
          <w:rFonts w:hint="default" w:ascii="Times New Roman" w:hAnsi="Times New Roman" w:eastAsia="仿宋" w:cs="Times New Roman"/>
          <w:bCs/>
          <w:color w:val="auto"/>
          <w:sz w:val="32"/>
          <w:szCs w:val="32"/>
          <w:highlight w:val="none"/>
        </w:rPr>
        <w:t>（十四）统一配置和管理全省无线电频谱资源，依法监督管理无线电台</w:t>
      </w:r>
      <w:r>
        <w:rPr>
          <w:rFonts w:hint="eastAsia" w:ascii="Times New Roman" w:eastAsia="仿宋" w:cs="Times New Roman"/>
          <w:bCs/>
          <w:color w:val="auto"/>
          <w:sz w:val="32"/>
          <w:szCs w:val="32"/>
          <w:highlight w:val="none"/>
          <w:lang w:eastAsia="zh-CN"/>
        </w:rPr>
        <w:t>（</w:t>
      </w:r>
      <w:r>
        <w:rPr>
          <w:rFonts w:hint="default" w:ascii="Times New Roman" w:hAnsi="Times New Roman" w:eastAsia="仿宋" w:cs="Times New Roman"/>
          <w:bCs/>
          <w:color w:val="auto"/>
          <w:sz w:val="32"/>
          <w:szCs w:val="32"/>
          <w:highlight w:val="none"/>
        </w:rPr>
        <w:t>站</w:t>
      </w:r>
      <w:r>
        <w:rPr>
          <w:rFonts w:hint="eastAsia" w:ascii="Times New Roman" w:eastAsia="仿宋" w:cs="Times New Roman"/>
          <w:bCs/>
          <w:color w:val="auto"/>
          <w:sz w:val="32"/>
          <w:szCs w:val="32"/>
          <w:highlight w:val="none"/>
          <w:lang w:eastAsia="zh-CN"/>
        </w:rPr>
        <w:t>）</w:t>
      </w:r>
      <w:r>
        <w:rPr>
          <w:rFonts w:hint="default" w:ascii="Times New Roman" w:hAnsi="Times New Roman" w:eastAsia="仿宋" w:cs="Times New Roman"/>
          <w:bCs/>
          <w:color w:val="auto"/>
          <w:sz w:val="32"/>
          <w:szCs w:val="32"/>
          <w:highlight w:val="none"/>
        </w:rPr>
        <w:t>，负责无线电电磁环境保护工作，负责无线电监测、检测和干扰查处，协调军地间和省际间无线电管理相关事宜，维护空中电波秩序，依法组织实施无线电管制。</w:t>
      </w:r>
    </w:p>
    <w:p>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Times New Roman" w:hAnsi="Times New Roman" w:eastAsia="仿宋" w:cs="Times New Roman"/>
          <w:bCs/>
          <w:color w:val="auto"/>
          <w:sz w:val="32"/>
          <w:szCs w:val="32"/>
          <w:highlight w:val="none"/>
        </w:rPr>
      </w:pPr>
      <w:r>
        <w:rPr>
          <w:rFonts w:hint="default" w:ascii="Times New Roman" w:hAnsi="Times New Roman" w:eastAsia="仿宋" w:cs="Times New Roman"/>
          <w:bCs/>
          <w:color w:val="auto"/>
          <w:sz w:val="32"/>
          <w:szCs w:val="32"/>
          <w:highlight w:val="none"/>
        </w:rPr>
        <w:t>（十五）会同有关部门提出工业和信息化领域对外开放和利用外资的政策建议，参与区域经济合作和承接产业转移工作。指导工业和信息化企业开展对外交流与合作、国际化经营、境外投资及兼并重组。</w:t>
      </w:r>
    </w:p>
    <w:p>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Times New Roman" w:hAnsi="Times New Roman" w:eastAsia="仿宋" w:cs="Times New Roman"/>
          <w:bCs/>
          <w:color w:val="auto"/>
          <w:sz w:val="32"/>
          <w:szCs w:val="32"/>
          <w:highlight w:val="none"/>
        </w:rPr>
      </w:pPr>
      <w:r>
        <w:rPr>
          <w:rFonts w:hint="default" w:ascii="Times New Roman" w:hAnsi="Times New Roman" w:eastAsia="仿宋" w:cs="Times New Roman"/>
          <w:bCs/>
          <w:color w:val="auto"/>
          <w:sz w:val="32"/>
          <w:szCs w:val="32"/>
          <w:highlight w:val="none"/>
        </w:rPr>
        <w:t>（十六）承担省政府公布的有关行政审批事项。</w:t>
      </w:r>
    </w:p>
    <w:p>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93" w:line="600" w:lineRule="exact"/>
        <w:ind w:firstLine="640" w:firstLineChars="200"/>
        <w:textAlignment w:val="auto"/>
        <w:outlineLvl w:val="2"/>
        <w:rPr>
          <w:rFonts w:hint="eastAsia"/>
          <w:lang w:eastAsia="zh-CN"/>
        </w:rPr>
      </w:pPr>
      <w:r>
        <w:rPr>
          <w:rFonts w:hint="default" w:ascii="Times New Roman" w:hAnsi="Times New Roman" w:eastAsia="仿宋" w:cs="Times New Roman"/>
          <w:bCs/>
          <w:color w:val="auto"/>
          <w:sz w:val="32"/>
          <w:szCs w:val="32"/>
          <w:highlight w:val="none"/>
        </w:rPr>
        <w:t>（十七）承办省政府交办的其他事项。</w:t>
      </w:r>
    </w:p>
    <w:p>
      <w:pPr>
        <w:pStyle w:val="4"/>
        <w:rPr>
          <w:rStyle w:val="31"/>
          <w:rFonts w:ascii="Times New Roman" w:hAnsi="Times New Roman"/>
          <w:b w:val="0"/>
          <w:bCs w:val="0"/>
          <w:color w:val="auto"/>
          <w:highlight w:val="none"/>
        </w:rPr>
      </w:pPr>
      <w:bookmarkStart w:id="14" w:name="_Toc15377200"/>
      <w:bookmarkStart w:id="15" w:name="_Toc15396601"/>
      <w:r>
        <w:rPr>
          <w:rFonts w:hint="eastAsia" w:ascii="Times New Roman" w:hAnsi="Times New Roman" w:eastAsia="黑体"/>
          <w:b w:val="0"/>
          <w:color w:val="auto"/>
          <w:highlight w:val="none"/>
          <w:lang w:val="en-US" w:eastAsia="zh-CN"/>
        </w:rPr>
        <w:t xml:space="preserve">    </w:t>
      </w:r>
      <w:r>
        <w:rPr>
          <w:rFonts w:hint="eastAsia" w:ascii="Times New Roman" w:hAnsi="Times New Roman" w:eastAsia="黑体"/>
          <w:b w:val="0"/>
          <w:color w:val="auto"/>
          <w:highlight w:val="none"/>
        </w:rPr>
        <w:t>二、机</w:t>
      </w:r>
      <w:r>
        <w:rPr>
          <w:rStyle w:val="31"/>
          <w:rFonts w:hint="eastAsia" w:ascii="Times New Roman" w:hAnsi="Times New Roman" w:eastAsia="黑体"/>
          <w:b w:val="0"/>
          <w:bCs w:val="0"/>
          <w:color w:val="auto"/>
          <w:highlight w:val="none"/>
        </w:rPr>
        <w:t>构设置</w:t>
      </w:r>
      <w:bookmarkEnd w:id="14"/>
      <w:bookmarkEnd w:id="15"/>
    </w:p>
    <w:p>
      <w:pPr>
        <w:pStyle w:val="6"/>
        <w:adjustRightInd w:val="0"/>
        <w:snapToGrid w:val="0"/>
        <w:spacing w:before="93" w:line="600" w:lineRule="exact"/>
        <w:ind w:firstLine="672" w:firstLineChars="210"/>
        <w:rPr>
          <w:rFonts w:hint="eastAsia" w:ascii="Times New Roman" w:hAnsi="Times New Roman" w:eastAsia="仿宋_GB2312" w:cs="Times New Roman"/>
          <w:i w:val="0"/>
          <w:caps w:val="0"/>
          <w:color w:val="auto"/>
          <w:spacing w:val="0"/>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 xml:space="preserve"> 202</w:t>
      </w:r>
      <w:r>
        <w:rPr>
          <w:rFonts w:hint="eastAsia" w:ascii="Times New Roman"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rPr>
        <w:t>年末，</w:t>
      </w:r>
      <w:r>
        <w:rPr>
          <w:rFonts w:hint="eastAsia" w:ascii="Times New Roman" w:hAnsi="Times New Roman" w:eastAsia="仿宋_GB2312"/>
          <w:color w:val="auto"/>
          <w:sz w:val="32"/>
          <w:szCs w:val="32"/>
          <w:highlight w:val="none"/>
        </w:rPr>
        <w:t>机关内设机构</w:t>
      </w:r>
      <w:r>
        <w:rPr>
          <w:rFonts w:hint="eastAsia" w:ascii="Times New Roman" w:hAnsi="Times New Roman" w:eastAsia="仿宋_GB2312"/>
          <w:color w:val="auto"/>
          <w:sz w:val="32"/>
          <w:szCs w:val="32"/>
          <w:highlight w:val="none"/>
          <w:lang w:val="en-US" w:eastAsia="zh-CN"/>
        </w:rPr>
        <w:t>34</w:t>
      </w:r>
      <w:r>
        <w:rPr>
          <w:rFonts w:hint="eastAsia" w:ascii="Times New Roman" w:hAnsi="Times New Roman" w:eastAsia="仿宋_GB2312"/>
          <w:color w:val="auto"/>
          <w:sz w:val="32"/>
          <w:szCs w:val="32"/>
          <w:highlight w:val="none"/>
        </w:rPr>
        <w:t>个处室</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处室个数无变化，包括办公室（行政审批处），政策法规处，综合处，规划发展处（新型工业化推进处），财务与资产管理处（直属单位管理处），内部审计处（巡察办公室），工业要素协调处，产业园区处，技术改造处，装备产业一处，装备产业二处，汽车与轨道交通装备处，电子信息处，大数据与信息化处，软件与信息服务业处，信息安全与网络发展处，智能化发展处，材料工业处（稀土办公室），医药产业处，化工产业处（省履行《禁止化学武器公约》办公室），轻工纺织处，酒业发展处，农产品加工处（盐业处），技术创新处，新兴产业处（生产性服务业处），环境和资源综合利用处，企业服务处，中小企业促进处，产业金融处，无线电监督检查处（省无线电办公室），无线电频率台站管理处，对外经济合作处，宣传教育处，人事处。</w:t>
      </w:r>
    </w:p>
    <w:p>
      <w:pPr>
        <w:widowControl/>
        <w:jc w:val="left"/>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pPr>
        <w:pStyle w:val="3"/>
        <w:jc w:val="center"/>
        <w:rPr>
          <w:rFonts w:hint="eastAsia" w:ascii="Times New Roman" w:hAnsi="Times New Roman" w:eastAsia="方正小标宋简体" w:cs="方正小标宋简体"/>
          <w:b w:val="0"/>
          <w:color w:val="auto"/>
          <w:highlight w:val="none"/>
        </w:rPr>
      </w:pPr>
      <w:bookmarkStart w:id="16" w:name="_Toc15377204"/>
      <w:bookmarkStart w:id="17" w:name="_Toc15396602"/>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16"/>
      <w:bookmarkEnd w:id="17"/>
    </w:p>
    <w:p>
      <w:pPr>
        <w:rPr>
          <w:rFonts w:ascii="Times New Roman" w:hAnsi="Times New Roman"/>
          <w:color w:val="auto"/>
          <w:highlight w:val="none"/>
        </w:rPr>
      </w:pPr>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1"/>
          <w:rFonts w:hint="eastAsia" w:ascii="Times New Roman" w:hAnsi="Times New Roman" w:eastAsia="黑体"/>
          <w:b w:val="0"/>
          <w:color w:val="auto"/>
          <w:highlight w:val="none"/>
        </w:rPr>
      </w:pPr>
      <w:bookmarkStart w:id="18" w:name="_Toc15377205"/>
      <w:bookmarkStart w:id="19" w:name="_Toc15396603"/>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31"/>
          <w:rFonts w:hint="eastAsia" w:ascii="Times New Roman" w:hAnsi="Times New Roman" w:eastAsia="黑体"/>
          <w:b w:val="0"/>
          <w:color w:val="auto"/>
          <w:highlight w:val="none"/>
        </w:rPr>
        <w:t>入支出决算总体情况说明</w:t>
      </w:r>
      <w:bookmarkEnd w:id="18"/>
      <w:bookmarkEnd w:id="19"/>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2024年度收入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支出</w:t>
      </w:r>
      <w:r>
        <w:rPr>
          <w:rFonts w:hint="default" w:ascii="Times New Roman" w:hAnsi="Times New Roman" w:eastAsia="仿宋_GB2312" w:cs="Times New Roman"/>
          <w:color w:val="auto"/>
          <w:sz w:val="32"/>
          <w:szCs w:val="32"/>
          <w:highlight w:val="none"/>
        </w:rPr>
        <w:t>总计</w:t>
      </w:r>
      <w:r>
        <w:rPr>
          <w:rFonts w:hint="default" w:ascii="Times New Roman" w:hAnsi="Times New Roman" w:eastAsia="仿宋_GB2312" w:cs="Times New Roman"/>
          <w:color w:val="auto"/>
          <w:sz w:val="32"/>
          <w:szCs w:val="32"/>
          <w:highlight w:val="none"/>
          <w:lang w:eastAsia="zh-CN"/>
        </w:rPr>
        <w:t>均为</w:t>
      </w:r>
      <w:r>
        <w:rPr>
          <w:rFonts w:hint="default" w:ascii="Times New Roman" w:hAnsi="Times New Roman" w:eastAsia="仿宋_GB2312" w:cs="Times New Roman"/>
          <w:color w:val="auto"/>
          <w:sz w:val="32"/>
          <w:szCs w:val="32"/>
          <w:highlight w:val="none"/>
          <w:lang w:val="en-US" w:eastAsia="zh-CN"/>
        </w:rPr>
        <w:t>25527.69</w:t>
      </w:r>
      <w:r>
        <w:rPr>
          <w:rFonts w:hint="default" w:ascii="Times New Roman" w:hAnsi="Times New Roman" w:eastAsia="仿宋_GB2312" w:cs="Times New Roman"/>
          <w:color w:val="auto"/>
          <w:sz w:val="32"/>
          <w:szCs w:val="32"/>
          <w:highlight w:val="none"/>
        </w:rPr>
        <w:t>万元。与</w:t>
      </w:r>
      <w:r>
        <w:rPr>
          <w:rFonts w:hint="default" w:ascii="Times New Roman" w:hAnsi="Times New Roman" w:eastAsia="仿宋_GB2312" w:cs="Times New Roman"/>
          <w:color w:val="auto"/>
          <w:sz w:val="32"/>
          <w:szCs w:val="32"/>
          <w:highlight w:val="none"/>
          <w:lang w:eastAsia="zh-CN"/>
        </w:rPr>
        <w:t>202</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相比，</w:t>
      </w:r>
      <w:r>
        <w:rPr>
          <w:rFonts w:hint="default" w:ascii="Times New Roman" w:hAnsi="Times New Roman" w:eastAsia="仿宋_GB2312" w:cs="Times New Roman"/>
          <w:color w:val="auto"/>
          <w:sz w:val="32"/>
          <w:szCs w:val="32"/>
          <w:highlight w:val="none"/>
          <w:lang w:eastAsia="zh-CN"/>
        </w:rPr>
        <w:t>收入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支出</w:t>
      </w:r>
      <w:r>
        <w:rPr>
          <w:rFonts w:hint="default" w:ascii="Times New Roman" w:hAnsi="Times New Roman" w:eastAsia="仿宋_GB2312" w:cs="Times New Roman"/>
          <w:color w:val="auto"/>
          <w:sz w:val="32"/>
          <w:szCs w:val="32"/>
          <w:highlight w:val="none"/>
        </w:rPr>
        <w:t>总计各增加</w:t>
      </w:r>
      <w:r>
        <w:rPr>
          <w:rFonts w:hint="default" w:ascii="Times New Roman" w:hAnsi="Times New Roman" w:eastAsia="方正仿宋_GBK" w:cs="Times New Roman"/>
          <w:b w:val="0"/>
          <w:bCs w:val="0"/>
          <w:color w:val="auto"/>
          <w:kern w:val="2"/>
          <w:sz w:val="32"/>
          <w:szCs w:val="32"/>
          <w:lang w:val="en-US" w:eastAsia="zh-CN" w:bidi="ar-SA"/>
        </w:rPr>
        <w:t>3060.11</w:t>
      </w:r>
      <w:r>
        <w:rPr>
          <w:rFonts w:hint="default" w:ascii="Times New Roman" w:hAnsi="Times New Roman" w:eastAsia="仿宋_GB2312" w:cs="Times New Roman"/>
          <w:color w:val="auto"/>
          <w:sz w:val="32"/>
          <w:szCs w:val="32"/>
          <w:highlight w:val="none"/>
        </w:rPr>
        <w:t>万元，增长</w:t>
      </w:r>
      <w:r>
        <w:rPr>
          <w:rFonts w:hint="default" w:ascii="Times New Roman" w:hAnsi="Times New Roman" w:eastAsia="方正仿宋_GBK" w:cs="Times New Roman"/>
          <w:b w:val="0"/>
          <w:bCs w:val="0"/>
          <w:color w:val="auto"/>
          <w:kern w:val="2"/>
          <w:sz w:val="32"/>
          <w:szCs w:val="32"/>
          <w:lang w:val="en-US" w:eastAsia="zh-CN" w:bidi="ar-SA"/>
        </w:rPr>
        <w:t>13.6</w:t>
      </w:r>
      <w:r>
        <w:rPr>
          <w:rFonts w:hint="default" w:ascii="Times New Roman" w:hAnsi="Times New Roman" w:eastAsia="仿宋_GB2312" w:cs="Times New Roman"/>
          <w:color w:val="auto"/>
          <w:sz w:val="32"/>
          <w:szCs w:val="32"/>
          <w:highlight w:val="none"/>
        </w:rPr>
        <w:t>%。主要变动原因是</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方正仿宋_GBK" w:cs="Times New Roman"/>
          <w:b w:val="0"/>
          <w:bCs w:val="0"/>
          <w:color w:val="auto"/>
          <w:kern w:val="2"/>
          <w:sz w:val="32"/>
          <w:szCs w:val="32"/>
          <w:lang w:val="en-US" w:eastAsia="zh-CN" w:bidi="ar-SA"/>
        </w:rPr>
        <w:t>一是2023年第二批省级工业发展资金项目财政未下达预算，2024年预算下达后支付；二是2024年新增中国产业转移发展对接活动（四川）、百园百校万企、全国医药工业信息年会暨年度中国医药工业百强发布会等项目。</w:t>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w:t>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4590415" cy="2761615"/>
            <wp:effectExtent l="0" t="0" r="635" b="635"/>
            <wp:docPr id="1" name="图片 1" descr="图片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true"/>
                    </pic:cNvPicPr>
                  </pic:nvPicPr>
                  <pic:blipFill>
                    <a:blip r:embed="rId8"/>
                    <a:stretch>
                      <a:fillRect/>
                    </a:stretch>
                  </pic:blipFill>
                  <pic:spPr>
                    <a:xfrm>
                      <a:off x="0" y="0"/>
                      <a:ext cx="4590415" cy="2761615"/>
                    </a:xfrm>
                    <a:prstGeom prst="rect">
                      <a:avLst/>
                    </a:prstGeom>
                  </pic:spPr>
                </pic:pic>
              </a:graphicData>
            </a:graphic>
          </wp:inline>
        </w:drawing>
      </w:r>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0" w:name="_Toc15396604"/>
      <w:bookmarkStart w:id="21" w:name="_Toc15377206"/>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二、收入决算情况说明</w:t>
      </w:r>
      <w:bookmarkEnd w:id="20"/>
      <w:bookmarkEnd w:id="21"/>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2024年度本年收入合计25527.69万元，其中：一般公共预算财政拨款收入25527.69万元，占100%。</w:t>
      </w:r>
    </w:p>
    <w:p>
      <w:pPr>
        <w:ind w:firstLine="800" w:firstLineChars="250"/>
        <w:jc w:val="center"/>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（图2：收入决算结构图）</w:t>
      </w:r>
    </w:p>
    <w:p>
      <w:pPr>
        <w:ind w:firstLine="800" w:firstLineChars="250"/>
        <w:jc w:val="center"/>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4590415" cy="2761615"/>
            <wp:effectExtent l="0" t="0" r="635" b="635"/>
            <wp:docPr id="2" name="图片 2" descr="图片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descr="图片2"/>
                    <pic:cNvPicPr>
                      <a:picLocks noChangeAspect="true"/>
                    </pic:cNvPicPr>
                  </pic:nvPicPr>
                  <pic:blipFill>
                    <a:blip r:embed="rId9"/>
                    <a:stretch>
                      <a:fillRect/>
                    </a:stretch>
                  </pic:blipFill>
                  <pic:spPr>
                    <a:xfrm>
                      <a:off x="0" y="0"/>
                      <a:ext cx="4590415" cy="2761615"/>
                    </a:xfrm>
                    <a:prstGeom prst="rect">
                      <a:avLst/>
                    </a:prstGeom>
                  </pic:spPr>
                </pic:pic>
              </a:graphicData>
            </a:graphic>
          </wp:inline>
        </w:drawing>
      </w:r>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2" w:name="_Toc15396605"/>
      <w:bookmarkStart w:id="23" w:name="_Toc15377207"/>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1"/>
          <w:rFonts w:hint="eastAsia" w:ascii="Times New Roman" w:hAnsi="Times New Roman" w:eastAsia="黑体"/>
          <w:b w:val="0"/>
          <w:color w:val="auto"/>
          <w:highlight w:val="none"/>
        </w:rPr>
      </w:pPr>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31"/>
          <w:rFonts w:hint="eastAsia" w:ascii="Times New Roman" w:hAnsi="Times New Roman" w:eastAsia="黑体"/>
          <w:b w:val="0"/>
          <w:color w:val="auto"/>
          <w:highlight w:val="none"/>
        </w:rPr>
        <w:t>出决算情况说明</w:t>
      </w:r>
      <w:bookmarkEnd w:id="22"/>
      <w:bookmarkEnd w:id="23"/>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2024年度本年支出合计25527.69万元，其中：基本支出16288.03万元，占63.8%；项目支出9239.66万元，占36.2%。</w:t>
      </w:r>
    </w:p>
    <w:p>
      <w:pPr>
        <w:ind w:firstLine="800" w:firstLineChars="250"/>
        <w:jc w:val="center"/>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w:t>
      </w:r>
    </w:p>
    <w:p>
      <w:pPr>
        <w:ind w:firstLine="800" w:firstLineChars="250"/>
        <w:jc w:val="center"/>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4590415" cy="2761615"/>
            <wp:effectExtent l="0" t="0" r="635" b="635"/>
            <wp:docPr id="3" name="图片 3" descr="图片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descr="图片3"/>
                    <pic:cNvPicPr>
                      <a:picLocks noChangeAspect="true"/>
                    </pic:cNvPicPr>
                  </pic:nvPicPr>
                  <pic:blipFill>
                    <a:blip r:embed="rId10"/>
                    <a:stretch>
                      <a:fillRect/>
                    </a:stretch>
                  </pic:blipFill>
                  <pic:spPr>
                    <a:xfrm>
                      <a:off x="0" y="0"/>
                      <a:ext cx="4590415" cy="2761615"/>
                    </a:xfrm>
                    <a:prstGeom prst="rect">
                      <a:avLst/>
                    </a:prstGeom>
                  </pic:spPr>
                </pic:pic>
              </a:graphicData>
            </a:graphic>
          </wp:inline>
        </w:drawing>
      </w:r>
    </w:p>
    <w:p>
      <w:pPr>
        <w:spacing w:line="600" w:lineRule="exact"/>
        <w:ind w:firstLine="640" w:firstLineChars="200"/>
        <w:outlineLvl w:val="1"/>
        <w:rPr>
          <w:rFonts w:hint="eastAsia" w:ascii="Times New Roman" w:hAnsi="Times New Roman" w:eastAsia="黑体"/>
          <w:color w:val="auto"/>
          <w:sz w:val="32"/>
          <w:szCs w:val="32"/>
          <w:highlight w:val="none"/>
        </w:rPr>
      </w:pPr>
      <w:bookmarkStart w:id="24" w:name="_Toc15377208"/>
      <w:bookmarkStart w:id="25" w:name="_Toc15396606"/>
    </w:p>
    <w:p>
      <w:pPr>
        <w:spacing w:line="600" w:lineRule="exact"/>
        <w:ind w:firstLine="640" w:firstLineChars="200"/>
        <w:outlineLvl w:val="1"/>
        <w:rPr>
          <w:rFonts w:hint="eastAsia" w:ascii="Times New Roman" w:hAnsi="Times New Roman" w:eastAsia="黑体"/>
          <w:color w:val="auto"/>
          <w:sz w:val="32"/>
          <w:szCs w:val="32"/>
          <w:highlight w:val="none"/>
        </w:rPr>
      </w:pPr>
    </w:p>
    <w:p>
      <w:pPr>
        <w:spacing w:line="600" w:lineRule="exact"/>
        <w:ind w:firstLine="640" w:firstLineChars="200"/>
        <w:outlineLvl w:val="1"/>
        <w:rPr>
          <w:rStyle w:val="31"/>
          <w:rFonts w:ascii="Times New Roman" w:hAnsi="Times New Roman" w:eastAsia="黑体"/>
          <w:b w:val="0"/>
          <w:color w:val="auto"/>
          <w:highlight w:val="none"/>
        </w:rPr>
      </w:pPr>
      <w:r>
        <w:rPr>
          <w:rFonts w:hint="eastAsia" w:ascii="Times New Roman" w:hAnsi="Times New Roman" w:eastAsia="黑体"/>
          <w:color w:val="auto"/>
          <w:sz w:val="32"/>
          <w:szCs w:val="32"/>
          <w:highlight w:val="none"/>
        </w:rPr>
        <w:t>四、财</w:t>
      </w:r>
      <w:r>
        <w:rPr>
          <w:rStyle w:val="31"/>
          <w:rFonts w:hint="eastAsia" w:ascii="Times New Roman" w:hAnsi="Times New Roman" w:eastAsia="黑体"/>
          <w:b w:val="0"/>
          <w:color w:val="auto"/>
          <w:highlight w:val="none"/>
        </w:rPr>
        <w:t>政拨款收入支出决算总体情况说明</w:t>
      </w:r>
      <w:bookmarkEnd w:id="24"/>
      <w:bookmarkEnd w:id="25"/>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2024年度财政拨款收入、支出总计均为</w:t>
      </w:r>
      <w:r>
        <w:rPr>
          <w:rFonts w:hint="default" w:ascii="Times New Roman" w:hAnsi="Times New Roman" w:eastAsia="仿宋_GB2312" w:cs="Times New Roman"/>
          <w:color w:val="auto"/>
          <w:sz w:val="32"/>
          <w:szCs w:val="32"/>
          <w:highlight w:val="none"/>
          <w:lang w:val="en-US" w:eastAsia="zh-CN"/>
        </w:rPr>
        <w:t>25527.69</w:t>
      </w:r>
      <w:r>
        <w:rPr>
          <w:rFonts w:hint="default" w:ascii="Times New Roman" w:hAnsi="Times New Roman" w:eastAsia="仿宋_GB2312" w:cs="Times New Roman"/>
          <w:color w:val="auto"/>
          <w:kern w:val="2"/>
          <w:sz w:val="32"/>
          <w:szCs w:val="32"/>
          <w:highlight w:val="none"/>
          <w:lang w:val="en-US" w:eastAsia="zh-CN" w:bidi="ar-SA"/>
        </w:rPr>
        <w:t>万元。与2023年度相比，财政拨款收入总计、支出总计各</w:t>
      </w:r>
      <w:r>
        <w:rPr>
          <w:rFonts w:hint="default" w:ascii="Times New Roman" w:hAnsi="Times New Roman" w:eastAsia="仿宋_GB2312" w:cs="Times New Roman"/>
          <w:color w:val="auto"/>
          <w:sz w:val="32"/>
          <w:szCs w:val="32"/>
          <w:highlight w:val="none"/>
        </w:rPr>
        <w:t>增加</w:t>
      </w:r>
      <w:r>
        <w:rPr>
          <w:rFonts w:hint="default" w:ascii="Times New Roman" w:hAnsi="Times New Roman" w:eastAsia="方正仿宋_GBK" w:cs="Times New Roman"/>
          <w:b w:val="0"/>
          <w:bCs w:val="0"/>
          <w:color w:val="auto"/>
          <w:kern w:val="2"/>
          <w:sz w:val="32"/>
          <w:szCs w:val="32"/>
          <w:lang w:val="en-US" w:eastAsia="zh-CN" w:bidi="ar-SA"/>
        </w:rPr>
        <w:t>3060.11</w:t>
      </w:r>
      <w:r>
        <w:rPr>
          <w:rFonts w:hint="default" w:ascii="Times New Roman" w:hAnsi="Times New Roman" w:eastAsia="仿宋_GB2312" w:cs="Times New Roman"/>
          <w:color w:val="auto"/>
          <w:sz w:val="32"/>
          <w:szCs w:val="32"/>
          <w:highlight w:val="none"/>
        </w:rPr>
        <w:t>万元，增长</w:t>
      </w:r>
      <w:r>
        <w:rPr>
          <w:rFonts w:hint="default" w:ascii="Times New Roman" w:hAnsi="Times New Roman" w:eastAsia="方正仿宋_GBK" w:cs="Times New Roman"/>
          <w:b w:val="0"/>
          <w:bCs w:val="0"/>
          <w:color w:val="auto"/>
          <w:kern w:val="2"/>
          <w:sz w:val="32"/>
          <w:szCs w:val="32"/>
          <w:lang w:val="en-US" w:eastAsia="zh-CN" w:bidi="ar-SA"/>
        </w:rPr>
        <w:t>13.6</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kern w:val="2"/>
          <w:sz w:val="32"/>
          <w:szCs w:val="32"/>
          <w:highlight w:val="none"/>
          <w:lang w:val="en-US" w:eastAsia="zh-CN" w:bidi="ar-SA"/>
        </w:rPr>
        <w:t>。主要变动原因</w:t>
      </w:r>
      <w:r>
        <w:rPr>
          <w:rFonts w:hint="eastAsia" w:ascii="Times New Roman" w:hAnsi="Times New Roman" w:eastAsia="仿宋_GB2312" w:cs="Times New Roman"/>
          <w:color w:val="auto"/>
          <w:kern w:val="2"/>
          <w:sz w:val="32"/>
          <w:szCs w:val="32"/>
          <w:highlight w:val="none"/>
          <w:lang w:val="en-US" w:eastAsia="zh-CN" w:bidi="ar-SA"/>
        </w:rPr>
        <w:t>是：</w:t>
      </w:r>
      <w:r>
        <w:rPr>
          <w:rFonts w:hint="default" w:ascii="Times New Roman" w:hAnsi="Times New Roman" w:eastAsia="方正仿宋_GBK" w:cs="Times New Roman"/>
          <w:b w:val="0"/>
          <w:bCs w:val="0"/>
          <w:color w:val="auto"/>
          <w:kern w:val="2"/>
          <w:sz w:val="32"/>
          <w:szCs w:val="32"/>
          <w:lang w:val="en-US" w:eastAsia="zh-CN" w:bidi="ar-SA"/>
        </w:rPr>
        <w:t>一是2023年第二批省级工业发展资金项目财政未下达预算，2024年预算下达后支付；二是2024年新增中国产业转移发展对接活动（四川）、百园百校万企、全国医药工业信息年会暨年度中国医药工业百强发布会等项目。</w:t>
      </w:r>
    </w:p>
    <w:p>
      <w:pPr>
        <w:spacing w:line="600" w:lineRule="exact"/>
        <w:ind w:firstLine="640" w:firstLineChars="200"/>
        <w:jc w:val="center"/>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w:t>
      </w:r>
    </w:p>
    <w:p>
      <w:pPr>
        <w:pStyle w:val="2"/>
        <w:jc w:val="center"/>
        <w:rPr>
          <w:rFonts w:hint="eastAsia"/>
          <w:lang w:val="en-US" w:eastAsia="zh-CN"/>
        </w:rPr>
      </w:pPr>
      <w:r>
        <w:rPr>
          <w:rFonts w:hint="eastAsia"/>
          <w:lang w:val="en-US" w:eastAsia="zh-CN"/>
        </w:rPr>
        <w:drawing>
          <wp:inline distT="0" distB="0" distL="114300" distR="114300">
            <wp:extent cx="4590415" cy="2761615"/>
            <wp:effectExtent l="0" t="0" r="635" b="635"/>
            <wp:docPr id="5" name="图片 5" descr="图片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5" descr="图片4"/>
                    <pic:cNvPicPr>
                      <a:picLocks noChangeAspect="true"/>
                    </pic:cNvPicPr>
                  </pic:nvPicPr>
                  <pic:blipFill>
                    <a:blip r:embed="rId11"/>
                    <a:stretch>
                      <a:fillRect/>
                    </a:stretch>
                  </pic:blipFill>
                  <pic:spPr>
                    <a:xfrm>
                      <a:off x="0" y="0"/>
                      <a:ext cx="4590415" cy="2761615"/>
                    </a:xfrm>
                    <a:prstGeom prst="rect">
                      <a:avLst/>
                    </a:prstGeom>
                  </pic:spPr>
                </pic:pic>
              </a:graphicData>
            </a:graphic>
          </wp:inline>
        </w:drawing>
      </w:r>
    </w:p>
    <w:p>
      <w:pPr>
        <w:spacing w:line="600" w:lineRule="exact"/>
        <w:ind w:firstLine="640" w:firstLineChars="200"/>
        <w:outlineLvl w:val="1"/>
        <w:rPr>
          <w:rFonts w:hint="eastAsia" w:ascii="Times New Roman" w:hAnsi="Times New Roman" w:eastAsia="黑体"/>
          <w:color w:val="auto"/>
          <w:sz w:val="32"/>
          <w:szCs w:val="32"/>
          <w:highlight w:val="none"/>
        </w:rPr>
      </w:pPr>
      <w:bookmarkStart w:id="26" w:name="_Toc15396607"/>
      <w:bookmarkStart w:id="27" w:name="_Toc15377209"/>
    </w:p>
    <w:p>
      <w:pPr>
        <w:spacing w:line="600" w:lineRule="exact"/>
        <w:ind w:firstLine="640" w:firstLineChars="200"/>
        <w:outlineLvl w:val="1"/>
        <w:rPr>
          <w:rStyle w:val="31"/>
          <w:rFonts w:ascii="Times New Roman" w:hAnsi="Times New Roman" w:eastAsia="黑体"/>
          <w:b w:val="0"/>
          <w:color w:val="auto"/>
          <w:highlight w:val="none"/>
        </w:rPr>
      </w:pPr>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31"/>
          <w:rFonts w:hint="eastAsia" w:ascii="Times New Roman" w:hAnsi="Times New Roman" w:eastAsia="黑体"/>
          <w:b w:val="0"/>
          <w:color w:val="auto"/>
          <w:highlight w:val="none"/>
        </w:rPr>
        <w:t>般公共预算财政拨款支出决算情况说明</w:t>
      </w:r>
      <w:bookmarkEnd w:id="26"/>
      <w:bookmarkEnd w:id="27"/>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28"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28"/>
    </w:p>
    <w:p>
      <w:pPr>
        <w:spacing w:line="600" w:lineRule="exact"/>
        <w:ind w:firstLine="640"/>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w:t>
      </w:r>
      <w:r>
        <w:rPr>
          <w:rFonts w:hint="default" w:ascii="Times New Roman" w:hAnsi="Times New Roman" w:eastAsia="仿宋_GB2312" w:cs="Times New Roman"/>
          <w:color w:val="auto"/>
          <w:sz w:val="32"/>
          <w:szCs w:val="32"/>
          <w:highlight w:val="none"/>
          <w:lang w:val="en-US" w:eastAsia="zh-CN"/>
        </w:rPr>
        <w:t>25527.69</w:t>
      </w:r>
      <w:r>
        <w:rPr>
          <w:rFonts w:hint="default" w:ascii="Times New Roman" w:hAnsi="Times New Roman" w:eastAsia="仿宋_GB2312" w:cs="Times New Roman"/>
          <w:color w:val="auto"/>
          <w:kern w:val="2"/>
          <w:sz w:val="32"/>
          <w:szCs w:val="32"/>
          <w:highlight w:val="none"/>
          <w:lang w:val="en-US" w:eastAsia="zh-CN" w:bidi="ar-SA"/>
        </w:rPr>
        <w:t>万元，占本年支出合计的</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color w:val="auto"/>
          <w:kern w:val="2"/>
          <w:sz w:val="32"/>
          <w:szCs w:val="32"/>
          <w:highlight w:val="none"/>
          <w:lang w:val="en-US" w:eastAsia="zh-CN" w:bidi="ar-SA"/>
        </w:rPr>
        <w:t>%。与2023年度相比，一般公共预算财政拨款支出</w:t>
      </w:r>
      <w:r>
        <w:rPr>
          <w:rFonts w:hint="default" w:ascii="Times New Roman" w:hAnsi="Times New Roman" w:eastAsia="仿宋_GB2312" w:cs="Times New Roman"/>
          <w:color w:val="auto"/>
          <w:sz w:val="32"/>
          <w:szCs w:val="32"/>
          <w:highlight w:val="none"/>
        </w:rPr>
        <w:t>增加</w:t>
      </w:r>
      <w:r>
        <w:rPr>
          <w:rFonts w:hint="default" w:ascii="Times New Roman" w:hAnsi="Times New Roman" w:eastAsia="方正仿宋_GBK" w:cs="Times New Roman"/>
          <w:b w:val="0"/>
          <w:bCs w:val="0"/>
          <w:color w:val="auto"/>
          <w:kern w:val="2"/>
          <w:sz w:val="32"/>
          <w:szCs w:val="32"/>
          <w:lang w:val="en-US" w:eastAsia="zh-CN" w:bidi="ar-SA"/>
        </w:rPr>
        <w:t>3060.11</w:t>
      </w:r>
      <w:r>
        <w:rPr>
          <w:rFonts w:hint="default" w:ascii="Times New Roman" w:hAnsi="Times New Roman" w:eastAsia="仿宋_GB2312" w:cs="Times New Roman"/>
          <w:color w:val="auto"/>
          <w:sz w:val="32"/>
          <w:szCs w:val="32"/>
          <w:highlight w:val="none"/>
        </w:rPr>
        <w:t>万元，增长</w:t>
      </w:r>
      <w:r>
        <w:rPr>
          <w:rFonts w:hint="default" w:ascii="Times New Roman" w:hAnsi="Times New Roman" w:eastAsia="方正仿宋_GBK" w:cs="Times New Roman"/>
          <w:b w:val="0"/>
          <w:bCs w:val="0"/>
          <w:color w:val="auto"/>
          <w:kern w:val="2"/>
          <w:sz w:val="32"/>
          <w:szCs w:val="32"/>
          <w:lang w:val="en-US" w:eastAsia="zh-CN" w:bidi="ar-SA"/>
        </w:rPr>
        <w:t>13.6</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kern w:val="2"/>
          <w:sz w:val="32"/>
          <w:szCs w:val="32"/>
          <w:highlight w:val="none"/>
          <w:lang w:val="en-US" w:eastAsia="zh-CN" w:bidi="ar-SA"/>
        </w:rPr>
        <w:t>。主要变动原因</w:t>
      </w:r>
      <w:r>
        <w:rPr>
          <w:rFonts w:hint="eastAsia" w:ascii="Times New Roman" w:hAnsi="Times New Roman" w:eastAsia="仿宋_GB2312" w:cs="Times New Roman"/>
          <w:color w:val="auto"/>
          <w:kern w:val="2"/>
          <w:sz w:val="32"/>
          <w:szCs w:val="32"/>
          <w:highlight w:val="none"/>
          <w:lang w:val="en-US" w:eastAsia="zh-CN" w:bidi="ar-SA"/>
        </w:rPr>
        <w:t>是：</w:t>
      </w:r>
      <w:r>
        <w:rPr>
          <w:rFonts w:hint="default" w:ascii="Times New Roman" w:hAnsi="Times New Roman" w:eastAsia="方正仿宋_GBK" w:cs="Times New Roman"/>
          <w:b w:val="0"/>
          <w:bCs w:val="0"/>
          <w:color w:val="auto"/>
          <w:kern w:val="2"/>
          <w:sz w:val="32"/>
          <w:szCs w:val="32"/>
          <w:lang w:val="en-US" w:eastAsia="zh-CN" w:bidi="ar-SA"/>
        </w:rPr>
        <w:t>一是2023年第二批省级工业发展资金项目财政未下达预算，2024年预算下达后支付；二是2024年新增中国产业转移发展对接活动（四川）、百园百校万企、全国医药工业信息年会暨年度中国医药工业百强发布会等项目。</w:t>
      </w:r>
    </w:p>
    <w:p>
      <w:pPr>
        <w:spacing w:line="600" w:lineRule="exact"/>
        <w:ind w:firstLine="640"/>
        <w:jc w:val="center"/>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w:t>
      </w:r>
    </w:p>
    <w:p>
      <w:pPr>
        <w:pStyle w:val="2"/>
        <w:jc w:val="center"/>
        <w:rPr>
          <w:rFonts w:hint="eastAsia"/>
          <w:lang w:val="en-US" w:eastAsia="zh-CN"/>
        </w:rPr>
      </w:pPr>
      <w:r>
        <w:rPr>
          <w:rFonts w:hint="eastAsia"/>
          <w:lang w:val="en-US" w:eastAsia="zh-CN"/>
        </w:rPr>
        <w:drawing>
          <wp:inline distT="0" distB="0" distL="114300" distR="114300">
            <wp:extent cx="4511040" cy="2713990"/>
            <wp:effectExtent l="0" t="0" r="3810" b="10160"/>
            <wp:docPr id="7" name="图片 7" descr="图片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 name="图片 7" descr="图片5"/>
                    <pic:cNvPicPr>
                      <a:picLocks noChangeAspect="true"/>
                    </pic:cNvPicPr>
                  </pic:nvPicPr>
                  <pic:blipFill>
                    <a:blip r:embed="rId12"/>
                    <a:stretch>
                      <a:fillRect/>
                    </a:stretch>
                  </pic:blipFill>
                  <pic:spPr>
                    <a:xfrm>
                      <a:off x="0" y="0"/>
                      <a:ext cx="4511040" cy="2713990"/>
                    </a:xfrm>
                    <a:prstGeom prst="rect">
                      <a:avLst/>
                    </a:prstGeom>
                  </pic:spPr>
                </pic:pic>
              </a:graphicData>
            </a:graphic>
          </wp:inline>
        </w:drawing>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29"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29"/>
    </w:p>
    <w:p>
      <w:pPr>
        <w:spacing w:line="600" w:lineRule="exact"/>
        <w:ind w:firstLine="640"/>
        <w:rPr>
          <w:rFonts w:hint="default" w:ascii="Times New Roman" w:hAnsi="Times New Roman" w:eastAsia="仿宋_GB2312" w:cs="Times New Roman"/>
          <w:b/>
          <w:bCs/>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w:t>
      </w:r>
      <w:r>
        <w:rPr>
          <w:rFonts w:hint="default" w:ascii="Times New Roman" w:hAnsi="Times New Roman" w:eastAsia="仿宋_GB2312" w:cs="Times New Roman"/>
          <w:color w:val="auto"/>
          <w:sz w:val="32"/>
          <w:szCs w:val="32"/>
          <w:highlight w:val="none"/>
          <w:lang w:val="en-US" w:eastAsia="zh-CN"/>
        </w:rPr>
        <w:t>25527.69</w:t>
      </w:r>
      <w:r>
        <w:rPr>
          <w:rFonts w:hint="default" w:ascii="Times New Roman" w:hAnsi="Times New Roman" w:eastAsia="仿宋_GB2312" w:cs="Times New Roman"/>
          <w:color w:val="auto"/>
          <w:kern w:val="2"/>
          <w:sz w:val="32"/>
          <w:szCs w:val="32"/>
          <w:highlight w:val="none"/>
          <w:lang w:val="en-US" w:eastAsia="zh-CN" w:bidi="ar-SA"/>
        </w:rPr>
        <w:t>万元，主要用于以下方面：一般公共服务支出11.7万元，占0.05%；社会保障和就业支出5781.69万元，占22.65%；卫生健康支出814.57万元，占3.</w:t>
      </w:r>
      <w:r>
        <w:rPr>
          <w:rFonts w:hint="eastAsia" w:ascii="Times New Roman" w:hAnsi="Times New Roman" w:eastAsia="仿宋_GB2312" w:cs="Times New Roman"/>
          <w:color w:val="auto"/>
          <w:kern w:val="2"/>
          <w:sz w:val="32"/>
          <w:szCs w:val="32"/>
          <w:highlight w:val="none"/>
          <w:lang w:val="en-US" w:eastAsia="zh-CN" w:bidi="ar-SA"/>
        </w:rPr>
        <w:t>2</w:t>
      </w:r>
      <w:r>
        <w:rPr>
          <w:rFonts w:hint="default" w:ascii="Times New Roman" w:hAnsi="Times New Roman" w:eastAsia="仿宋_GB2312" w:cs="Times New Roman"/>
          <w:color w:val="auto"/>
          <w:kern w:val="2"/>
          <w:sz w:val="32"/>
          <w:szCs w:val="32"/>
          <w:highlight w:val="none"/>
          <w:lang w:val="en-US" w:eastAsia="zh-CN" w:bidi="ar-SA"/>
        </w:rPr>
        <w:t>%；资源勘探工业信息（类）支出</w:t>
      </w:r>
      <w:r>
        <w:rPr>
          <w:rFonts w:hint="default" w:ascii="Times New Roman" w:hAnsi="Times New Roman" w:eastAsia="仿宋" w:cs="Times New Roman"/>
          <w:color w:val="auto"/>
          <w:sz w:val="32"/>
          <w:szCs w:val="32"/>
          <w:lang w:val="en-US" w:eastAsia="zh-CN"/>
        </w:rPr>
        <w:t>17895.48</w:t>
      </w:r>
      <w:r>
        <w:rPr>
          <w:rFonts w:hint="default" w:ascii="Times New Roman" w:hAnsi="Times New Roman" w:eastAsia="仿宋" w:cs="Times New Roman"/>
          <w:color w:val="auto"/>
          <w:sz w:val="32"/>
          <w:szCs w:val="32"/>
        </w:rPr>
        <w:t>万元，占</w:t>
      </w:r>
      <w:r>
        <w:rPr>
          <w:rFonts w:hint="default" w:ascii="Times New Roman" w:hAnsi="Times New Roman" w:eastAsia="仿宋_GB2312" w:cs="Times New Roman"/>
          <w:color w:val="auto"/>
          <w:kern w:val="2"/>
          <w:sz w:val="32"/>
          <w:szCs w:val="32"/>
          <w:highlight w:val="none"/>
          <w:lang w:val="en-US" w:eastAsia="zh-CN" w:bidi="ar-SA"/>
        </w:rPr>
        <w:t>70.1</w:t>
      </w:r>
      <w:r>
        <w:rPr>
          <w:rFonts w:hint="default" w:ascii="Times New Roman" w:hAnsi="Times New Roman" w:eastAsia="仿宋" w:cs="Times New Roman"/>
          <w:color w:val="auto"/>
          <w:sz w:val="32"/>
          <w:szCs w:val="32"/>
        </w:rPr>
        <w:t>%；</w:t>
      </w:r>
      <w:r>
        <w:rPr>
          <w:rFonts w:hint="default" w:ascii="Times New Roman" w:hAnsi="Times New Roman" w:eastAsia="仿宋_GB2312" w:cs="Times New Roman"/>
          <w:color w:val="auto"/>
          <w:kern w:val="2"/>
          <w:sz w:val="32"/>
          <w:szCs w:val="32"/>
          <w:highlight w:val="none"/>
          <w:lang w:val="en-US" w:eastAsia="zh-CN" w:bidi="ar-SA"/>
        </w:rPr>
        <w:t>住房保障支出1024.25万元，占4%。</w:t>
      </w:r>
    </w:p>
    <w:p>
      <w:pPr>
        <w:spacing w:line="600" w:lineRule="exact"/>
        <w:ind w:firstLine="640"/>
        <w:jc w:val="center"/>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w:t>
      </w:r>
    </w:p>
    <w:p>
      <w:pPr>
        <w:pStyle w:val="2"/>
        <w:jc w:val="center"/>
        <w:rPr>
          <w:rFonts w:hint="eastAsia"/>
          <w:lang w:val="en-US" w:eastAsia="zh-CN"/>
        </w:rPr>
      </w:pPr>
      <w:r>
        <w:rPr>
          <w:rFonts w:hint="eastAsia"/>
          <w:lang w:val="en-US" w:eastAsia="zh-CN"/>
        </w:rPr>
        <w:drawing>
          <wp:inline distT="0" distB="0" distL="114300" distR="114300">
            <wp:extent cx="3769995" cy="2562225"/>
            <wp:effectExtent l="0" t="0" r="1905" b="9525"/>
            <wp:docPr id="9" name="图片 9" descr="图片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 name="图片 9" descr="图片6"/>
                    <pic:cNvPicPr>
                      <a:picLocks noChangeAspect="true"/>
                    </pic:cNvPicPr>
                  </pic:nvPicPr>
                  <pic:blipFill>
                    <a:blip r:embed="rId13"/>
                    <a:stretch>
                      <a:fillRect/>
                    </a:stretch>
                  </pic:blipFill>
                  <pic:spPr>
                    <a:xfrm>
                      <a:off x="0" y="0"/>
                      <a:ext cx="3769995" cy="2562225"/>
                    </a:xfrm>
                    <a:prstGeom prst="rect">
                      <a:avLst/>
                    </a:prstGeom>
                  </pic:spPr>
                </pic:pic>
              </a:graphicData>
            </a:graphic>
          </wp:inline>
        </w:drawing>
      </w:r>
    </w:p>
    <w:p>
      <w:pPr>
        <w:spacing w:line="600" w:lineRule="exact"/>
        <w:ind w:firstLine="642" w:firstLineChars="200"/>
        <w:outlineLvl w:val="2"/>
        <w:rPr>
          <w:rFonts w:hint="default" w:ascii="Times New Roman" w:hAnsi="Times New Roman" w:eastAsia="楷体_GB2312" w:cs="Times New Roman"/>
          <w:b/>
          <w:color w:val="auto"/>
          <w:sz w:val="32"/>
          <w:szCs w:val="32"/>
          <w:highlight w:val="none"/>
        </w:rPr>
      </w:pPr>
      <w:bookmarkStart w:id="30" w:name="_Toc15377212"/>
      <w:r>
        <w:rPr>
          <w:rFonts w:hint="default" w:ascii="Times New Roman" w:hAnsi="Times New Roman" w:eastAsia="楷体_GB2312" w:cs="Times New Roman"/>
          <w:b/>
          <w:color w:val="auto"/>
          <w:sz w:val="32"/>
          <w:szCs w:val="32"/>
          <w:highlight w:val="none"/>
        </w:rPr>
        <w:t>（三）一般公共预算财政拨款支出决算具体情况</w:t>
      </w:r>
      <w:bookmarkEnd w:id="30"/>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bookmarkStart w:id="31" w:name="_Toc15378460"/>
      <w:bookmarkStart w:id="32" w:name="_Toc15377213"/>
      <w:bookmarkStart w:id="33" w:name="_Toc15377444"/>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2024年度一般公共预算财政拨款支出决算数为</w:t>
      </w:r>
      <w:r>
        <w:rPr>
          <w:rFonts w:hint="default" w:ascii="Times New Roman" w:hAnsi="Times New Roman" w:eastAsia="仿宋_GB2312" w:cs="Times New Roman"/>
          <w:color w:val="auto"/>
          <w:sz w:val="32"/>
          <w:szCs w:val="32"/>
          <w:highlight w:val="none"/>
          <w:lang w:val="en-US" w:eastAsia="zh-CN"/>
        </w:rPr>
        <w:t>25527.69</w:t>
      </w:r>
      <w:r>
        <w:rPr>
          <w:rFonts w:hint="default" w:ascii="Times New Roman" w:hAnsi="Times New Roman" w:eastAsia="仿宋_GB2312" w:cs="Times New Roman"/>
          <w:color w:val="auto"/>
          <w:kern w:val="2"/>
          <w:sz w:val="32"/>
          <w:szCs w:val="32"/>
          <w:highlight w:val="none"/>
          <w:lang w:val="en-US" w:eastAsia="zh-CN" w:bidi="ar-SA"/>
        </w:rPr>
        <w:t>，完成预算90.6%。其中：</w:t>
      </w:r>
      <w:bookmarkEnd w:id="31"/>
      <w:bookmarkEnd w:id="32"/>
      <w:bookmarkEnd w:id="33"/>
    </w:p>
    <w:p>
      <w:pPr>
        <w:spacing w:line="600" w:lineRule="exact"/>
        <w:ind w:firstLine="640"/>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2"/>
          <w:sz w:val="32"/>
          <w:szCs w:val="32"/>
          <w:highlight w:val="none"/>
          <w:lang w:val="en-US" w:eastAsia="zh-CN" w:bidi="ar-SA"/>
        </w:rPr>
        <w:t>1.一般公共服务（类）其他共产党事务支出（款）其他共产党事务支出（项</w:t>
      </w:r>
      <w:r>
        <w:rPr>
          <w:rFonts w:hint="default" w:ascii="Times New Roman" w:hAnsi="Times New Roman" w:eastAsia="仿宋_GB2312" w:cs="Times New Roman"/>
          <w:b/>
          <w:bCs/>
          <w:color w:val="auto"/>
          <w:kern w:val="2"/>
          <w:sz w:val="32"/>
          <w:szCs w:val="24"/>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支出决算为11.7万元，完成预算100%。</w:t>
      </w:r>
    </w:p>
    <w:p>
      <w:pPr>
        <w:pStyle w:val="37"/>
        <w:numPr>
          <w:ilvl w:val="0"/>
          <w:numId w:val="0"/>
        </w:numPr>
        <w:rPr>
          <w:rFonts w:hint="default" w:ascii="Times New Roman" w:hAnsi="Times New Roman" w:eastAsia="仿宋_GB2312" w:cs="Times New Roman"/>
          <w:color w:val="auto"/>
        </w:rPr>
      </w:pPr>
      <w:r>
        <w:rPr>
          <w:rFonts w:hint="default" w:ascii="Times New Roman" w:hAnsi="Times New Roman" w:eastAsia="仿宋_GB2312" w:cs="Times New Roman"/>
          <w:b/>
          <w:bCs/>
          <w:color w:val="auto"/>
          <w:lang w:val="en-US" w:eastAsia="zh-CN"/>
        </w:rPr>
        <w:t xml:space="preserve">    2.</w:t>
      </w:r>
      <w:r>
        <w:rPr>
          <w:rFonts w:hint="default" w:ascii="Times New Roman" w:hAnsi="Times New Roman" w:eastAsia="仿宋_GB2312" w:cs="Times New Roman"/>
          <w:b/>
          <w:bCs/>
          <w:color w:val="auto"/>
        </w:rPr>
        <w:t>社会保障和就业支出（类）行政事业单位养老支出（款）行政单位离退休（项）:</w:t>
      </w:r>
      <w:r>
        <w:rPr>
          <w:rFonts w:hint="default" w:ascii="Times New Roman" w:hAnsi="Times New Roman" w:eastAsia="仿宋_GB2312" w:cs="Times New Roman"/>
          <w:color w:val="auto"/>
        </w:rPr>
        <w:t xml:space="preserve"> 支出决算为</w:t>
      </w:r>
      <w:r>
        <w:rPr>
          <w:rFonts w:hint="default" w:ascii="Times New Roman" w:hAnsi="Times New Roman" w:eastAsia="仿宋_GB2312" w:cs="Times New Roman"/>
          <w:color w:val="auto"/>
          <w:lang w:val="en-US" w:eastAsia="zh-CN"/>
        </w:rPr>
        <w:t>4144.79</w:t>
      </w:r>
      <w:r>
        <w:rPr>
          <w:rFonts w:hint="default" w:ascii="Times New Roman" w:hAnsi="Times New Roman" w:eastAsia="仿宋_GB2312" w:cs="Times New Roman"/>
          <w:color w:val="auto"/>
        </w:rPr>
        <w:t>万元，完成预算</w:t>
      </w:r>
      <w:r>
        <w:rPr>
          <w:rFonts w:hint="default" w:ascii="Times New Roman" w:hAnsi="Times New Roman" w:eastAsia="仿宋_GB2312" w:cs="Times New Roman"/>
          <w:color w:val="auto"/>
          <w:highlight w:val="none"/>
          <w:lang w:val="en-US" w:eastAsia="zh-CN"/>
        </w:rPr>
        <w:t>100</w:t>
      </w:r>
      <w:r>
        <w:rPr>
          <w:rFonts w:hint="default" w:ascii="Times New Roman" w:hAnsi="Times New Roman" w:eastAsia="仿宋_GB2312" w:cs="Times New Roman"/>
          <w:color w:val="auto"/>
        </w:rPr>
        <w:t>%</w:t>
      </w:r>
      <w:r>
        <w:rPr>
          <w:rFonts w:hint="default" w:ascii="Times New Roman" w:hAnsi="Times New Roman" w:eastAsia="仿宋_GB2312" w:cs="Times New Roman"/>
          <w:color w:val="auto"/>
          <w:lang w:eastAsia="zh-CN"/>
        </w:rPr>
        <w:t>。</w:t>
      </w:r>
    </w:p>
    <w:p>
      <w:pPr>
        <w:pStyle w:val="37"/>
        <w:numPr>
          <w:ilvl w:val="0"/>
          <w:numId w:val="0"/>
        </w:numPr>
        <w:rPr>
          <w:rFonts w:hint="default" w:ascii="Times New Roman" w:hAnsi="Times New Roman" w:eastAsia="仿宋_GB2312" w:cs="Times New Roman"/>
          <w:color w:val="auto"/>
        </w:rPr>
      </w:pPr>
      <w:r>
        <w:rPr>
          <w:rFonts w:hint="default" w:ascii="Times New Roman" w:hAnsi="Times New Roman" w:eastAsia="仿宋_GB2312" w:cs="Times New Roman"/>
          <w:b/>
          <w:bCs/>
          <w:color w:val="auto"/>
          <w:lang w:val="en-US" w:eastAsia="zh-CN"/>
        </w:rPr>
        <w:t xml:space="preserve">    3.</w:t>
      </w:r>
      <w:r>
        <w:rPr>
          <w:rFonts w:hint="default" w:ascii="Times New Roman" w:hAnsi="Times New Roman" w:eastAsia="仿宋_GB2312" w:cs="Times New Roman"/>
          <w:b/>
          <w:bCs/>
          <w:color w:val="auto"/>
        </w:rPr>
        <w:t>社会保障和就业支出（类）行政事业单位养老支出（款） 机关事业单位基本养老保险缴费支出（项）:</w:t>
      </w:r>
      <w:r>
        <w:rPr>
          <w:rFonts w:hint="default" w:ascii="Times New Roman" w:hAnsi="Times New Roman" w:eastAsia="仿宋_GB2312" w:cs="Times New Roman"/>
          <w:color w:val="auto"/>
        </w:rPr>
        <w:t xml:space="preserve"> 支出决算为</w:t>
      </w:r>
      <w:r>
        <w:rPr>
          <w:rFonts w:hint="default" w:ascii="Times New Roman" w:hAnsi="Times New Roman" w:eastAsia="仿宋_GB2312" w:cs="Times New Roman"/>
          <w:color w:val="auto"/>
          <w:lang w:val="en-US" w:eastAsia="zh-CN"/>
        </w:rPr>
        <w:t>748.44</w:t>
      </w:r>
      <w:r>
        <w:rPr>
          <w:rFonts w:hint="default" w:ascii="Times New Roman" w:hAnsi="Times New Roman" w:eastAsia="仿宋_GB2312" w:cs="Times New Roman"/>
          <w:color w:val="auto"/>
        </w:rPr>
        <w:t>万元，完成预算</w:t>
      </w:r>
      <w:r>
        <w:rPr>
          <w:rFonts w:hint="default" w:ascii="Times New Roman" w:hAnsi="Times New Roman" w:eastAsia="仿宋_GB2312" w:cs="Times New Roman"/>
          <w:color w:val="auto"/>
          <w:lang w:val="en-US" w:eastAsia="zh-CN"/>
        </w:rPr>
        <w:t>98.7</w:t>
      </w:r>
      <w:r>
        <w:rPr>
          <w:rFonts w:hint="default" w:ascii="Times New Roman" w:hAnsi="Times New Roman" w:eastAsia="仿宋_GB2312" w:cs="Times New Roman"/>
          <w:color w:val="auto"/>
        </w:rPr>
        <w:t>%</w:t>
      </w: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决算数小于预算数的主要原因是</w:t>
      </w:r>
      <w:bookmarkStart w:id="34" w:name="OLE_LINK2"/>
      <w:r>
        <w:rPr>
          <w:rFonts w:hint="default" w:ascii="Times New Roman" w:hAnsi="Times New Roman" w:eastAsia="仿宋_GB2312" w:cs="Times New Roman"/>
          <w:color w:val="auto"/>
          <w:kern w:val="2"/>
          <w:sz w:val="32"/>
          <w:szCs w:val="32"/>
          <w:highlight w:val="none"/>
          <w:lang w:val="en-US" w:eastAsia="zh-CN" w:bidi="ar-SA"/>
        </w:rPr>
        <w:t>年度预算执行中有变化，导致预算执行未完成</w:t>
      </w:r>
      <w:r>
        <w:rPr>
          <w:rFonts w:hint="default" w:ascii="Times New Roman" w:hAnsi="Times New Roman" w:eastAsia="仿宋_GB2312" w:cs="Times New Roman"/>
          <w:color w:val="auto"/>
          <w:lang w:val="en-US" w:eastAsia="zh-CN"/>
        </w:rPr>
        <w:t>。</w:t>
      </w:r>
      <w:bookmarkEnd w:id="34"/>
    </w:p>
    <w:p>
      <w:pPr>
        <w:pStyle w:val="37"/>
        <w:numPr>
          <w:ilvl w:val="0"/>
          <w:numId w:val="0"/>
        </w:numPr>
        <w:ind w:firstLine="640"/>
        <w:rPr>
          <w:rFonts w:hint="default" w:ascii="Times New Roman" w:hAnsi="Times New Roman" w:eastAsia="仿宋_GB2312" w:cs="Times New Roman"/>
          <w:color w:val="auto"/>
        </w:rPr>
      </w:pPr>
      <w:r>
        <w:rPr>
          <w:rFonts w:hint="default" w:ascii="Times New Roman" w:hAnsi="Times New Roman" w:eastAsia="仿宋_GB2312" w:cs="Times New Roman"/>
          <w:b/>
          <w:bCs/>
          <w:color w:val="auto"/>
          <w:lang w:val="en-US" w:eastAsia="zh-CN"/>
        </w:rPr>
        <w:t>4.</w:t>
      </w:r>
      <w:r>
        <w:rPr>
          <w:rFonts w:hint="default" w:ascii="Times New Roman" w:hAnsi="Times New Roman" w:eastAsia="仿宋_GB2312" w:cs="Times New Roman"/>
          <w:b/>
          <w:bCs/>
          <w:color w:val="auto"/>
        </w:rPr>
        <w:t>社会保障和就业支出（类）行政事业单位养老支出（款）机关事业单位职业年金缴费支出（项）:</w:t>
      </w:r>
      <w:r>
        <w:rPr>
          <w:rFonts w:hint="default" w:ascii="Times New Roman" w:hAnsi="Times New Roman" w:eastAsia="仿宋_GB2312" w:cs="Times New Roman"/>
          <w:color w:val="auto"/>
        </w:rPr>
        <w:t xml:space="preserve"> 支出决算为</w:t>
      </w:r>
      <w:r>
        <w:rPr>
          <w:rFonts w:hint="default" w:ascii="Times New Roman" w:hAnsi="Times New Roman" w:eastAsia="仿宋_GB2312" w:cs="Times New Roman"/>
          <w:color w:val="auto"/>
          <w:lang w:val="en-US" w:eastAsia="zh-CN"/>
        </w:rPr>
        <w:t>121.17</w:t>
      </w:r>
      <w:r>
        <w:rPr>
          <w:rFonts w:hint="default" w:ascii="Times New Roman" w:hAnsi="Times New Roman" w:eastAsia="仿宋_GB2312" w:cs="Times New Roman"/>
          <w:color w:val="auto"/>
        </w:rPr>
        <w:t>万元，完成预算</w:t>
      </w:r>
      <w:r>
        <w:rPr>
          <w:rFonts w:hint="default" w:ascii="Times New Roman" w:hAnsi="Times New Roman" w:eastAsia="仿宋_GB2312" w:cs="Times New Roman"/>
          <w:color w:val="auto"/>
          <w:lang w:val="en-US" w:eastAsia="zh-CN"/>
        </w:rPr>
        <w:t>100</w:t>
      </w:r>
      <w:r>
        <w:rPr>
          <w:rFonts w:hint="default" w:ascii="Times New Roman" w:hAnsi="Times New Roman" w:eastAsia="仿宋_GB2312" w:cs="Times New Roman"/>
          <w:color w:val="auto"/>
        </w:rPr>
        <w:t>%。</w:t>
      </w:r>
    </w:p>
    <w:p>
      <w:pPr>
        <w:pStyle w:val="37"/>
        <w:numPr>
          <w:ilvl w:val="0"/>
          <w:numId w:val="0"/>
        </w:numPr>
        <w:ind w:firstLine="640"/>
        <w:rPr>
          <w:rFonts w:hint="default" w:ascii="Times New Roman" w:hAnsi="Times New Roman" w:eastAsia="仿宋_GB2312" w:cs="Times New Roman"/>
          <w:color w:val="auto"/>
        </w:rPr>
      </w:pPr>
      <w:r>
        <w:rPr>
          <w:rFonts w:hint="default" w:ascii="Times New Roman" w:hAnsi="Times New Roman" w:eastAsia="仿宋_GB2312" w:cs="Times New Roman"/>
          <w:b/>
          <w:bCs/>
          <w:color w:val="auto"/>
          <w:lang w:val="en-US" w:eastAsia="zh-CN"/>
        </w:rPr>
        <w:t>5.</w:t>
      </w:r>
      <w:r>
        <w:rPr>
          <w:rFonts w:hint="default" w:ascii="Times New Roman" w:hAnsi="Times New Roman" w:eastAsia="仿宋_GB2312" w:cs="Times New Roman"/>
          <w:b/>
          <w:bCs/>
          <w:color w:val="auto"/>
        </w:rPr>
        <w:t>社会保障和就业支出（类）</w:t>
      </w:r>
      <w:r>
        <w:rPr>
          <w:rFonts w:hint="default" w:ascii="Times New Roman" w:hAnsi="Times New Roman" w:eastAsia="仿宋_GB2312" w:cs="Times New Roman"/>
          <w:b/>
          <w:bCs/>
          <w:color w:val="auto"/>
          <w:lang w:eastAsia="zh-CN"/>
        </w:rPr>
        <w:t>抚恤</w:t>
      </w:r>
      <w:r>
        <w:rPr>
          <w:rFonts w:hint="default" w:ascii="Times New Roman" w:hAnsi="Times New Roman" w:eastAsia="仿宋_GB2312" w:cs="Times New Roman"/>
          <w:b/>
          <w:bCs/>
          <w:color w:val="auto"/>
        </w:rPr>
        <w:t>（款）</w:t>
      </w:r>
      <w:r>
        <w:rPr>
          <w:rFonts w:hint="default" w:ascii="Times New Roman" w:hAnsi="Times New Roman" w:eastAsia="仿宋_GB2312" w:cs="Times New Roman"/>
          <w:b/>
          <w:bCs/>
          <w:color w:val="auto"/>
          <w:lang w:eastAsia="zh-CN"/>
        </w:rPr>
        <w:t>死亡抚恤</w:t>
      </w:r>
      <w:r>
        <w:rPr>
          <w:rFonts w:hint="default" w:ascii="Times New Roman" w:hAnsi="Times New Roman" w:eastAsia="仿宋_GB2312" w:cs="Times New Roman"/>
          <w:b/>
          <w:bCs/>
          <w:color w:val="auto"/>
        </w:rPr>
        <w:t>（项）:</w:t>
      </w:r>
      <w:r>
        <w:rPr>
          <w:rFonts w:hint="default" w:ascii="Times New Roman" w:hAnsi="Times New Roman" w:eastAsia="仿宋_GB2312" w:cs="Times New Roman"/>
          <w:color w:val="auto"/>
        </w:rPr>
        <w:t xml:space="preserve"> 支出决算为</w:t>
      </w:r>
      <w:r>
        <w:rPr>
          <w:rFonts w:hint="default" w:ascii="Times New Roman" w:hAnsi="Times New Roman" w:eastAsia="仿宋_GB2312" w:cs="Times New Roman"/>
          <w:color w:val="auto"/>
          <w:lang w:val="en-US" w:eastAsia="zh-CN"/>
        </w:rPr>
        <w:t>675.62</w:t>
      </w:r>
      <w:r>
        <w:rPr>
          <w:rFonts w:hint="default" w:ascii="Times New Roman" w:hAnsi="Times New Roman" w:eastAsia="仿宋_GB2312" w:cs="Times New Roman"/>
          <w:color w:val="auto"/>
        </w:rPr>
        <w:t>万元，完成预算</w:t>
      </w:r>
      <w:r>
        <w:rPr>
          <w:rFonts w:hint="default" w:ascii="Times New Roman" w:hAnsi="Times New Roman" w:eastAsia="仿宋_GB2312" w:cs="Times New Roman"/>
          <w:color w:val="auto"/>
          <w:highlight w:val="none"/>
          <w:lang w:val="en-US" w:eastAsia="zh-CN"/>
        </w:rPr>
        <w:t>100</w:t>
      </w:r>
      <w:r>
        <w:rPr>
          <w:rFonts w:hint="default" w:ascii="Times New Roman" w:hAnsi="Times New Roman" w:eastAsia="仿宋_GB2312" w:cs="Times New Roman"/>
          <w:color w:val="auto"/>
          <w:highlight w:val="none"/>
        </w:rPr>
        <w:t>%</w:t>
      </w:r>
      <w:r>
        <w:rPr>
          <w:rFonts w:hint="default" w:ascii="Times New Roman" w:hAnsi="Times New Roman" w:eastAsia="仿宋_GB2312" w:cs="Times New Roman"/>
          <w:color w:val="auto"/>
        </w:rPr>
        <w:t>。</w:t>
      </w:r>
    </w:p>
    <w:p>
      <w:pPr>
        <w:pStyle w:val="37"/>
        <w:numPr>
          <w:ilvl w:val="0"/>
          <w:numId w:val="0"/>
        </w:numPr>
        <w:rPr>
          <w:rFonts w:hint="default" w:ascii="Times New Roman" w:hAnsi="Times New Roman" w:eastAsia="仿宋_GB2312" w:cs="Times New Roman"/>
          <w:color w:val="auto"/>
          <w:highlight w:val="none"/>
        </w:rPr>
      </w:pPr>
      <w:r>
        <w:rPr>
          <w:rFonts w:hint="default" w:ascii="Times New Roman" w:hAnsi="Times New Roman" w:eastAsia="仿宋_GB2312" w:cs="Times New Roman"/>
          <w:b/>
          <w:bCs/>
          <w:color w:val="auto"/>
          <w:lang w:val="en-US" w:eastAsia="zh-CN"/>
        </w:rPr>
        <w:t xml:space="preserve">    6.</w:t>
      </w:r>
      <w:r>
        <w:rPr>
          <w:rFonts w:hint="default" w:ascii="Times New Roman" w:hAnsi="Times New Roman" w:eastAsia="仿宋_GB2312" w:cs="Times New Roman"/>
          <w:b/>
          <w:bCs/>
          <w:color w:val="auto"/>
        </w:rPr>
        <w:t>社会保障和就业支出（类）其他社会保障和就业支出（款）其他社会保障和就业支出（项）:</w:t>
      </w:r>
      <w:r>
        <w:rPr>
          <w:rFonts w:hint="default" w:ascii="Times New Roman" w:hAnsi="Times New Roman" w:eastAsia="仿宋_GB2312" w:cs="Times New Roman"/>
          <w:color w:val="auto"/>
        </w:rPr>
        <w:t xml:space="preserve"> 支出决算为</w:t>
      </w:r>
      <w:r>
        <w:rPr>
          <w:rFonts w:hint="default" w:ascii="Times New Roman" w:hAnsi="Times New Roman" w:eastAsia="仿宋_GB2312" w:cs="Times New Roman"/>
          <w:color w:val="auto"/>
          <w:lang w:val="en-US" w:eastAsia="zh-CN"/>
        </w:rPr>
        <w:t>91.68</w:t>
      </w:r>
      <w:r>
        <w:rPr>
          <w:rFonts w:hint="default" w:ascii="Times New Roman" w:hAnsi="Times New Roman" w:eastAsia="仿宋_GB2312" w:cs="Times New Roman"/>
          <w:color w:val="auto"/>
        </w:rPr>
        <w:t>万元，完成预算</w:t>
      </w:r>
      <w:r>
        <w:rPr>
          <w:rFonts w:hint="default" w:ascii="Times New Roman" w:hAnsi="Times New Roman" w:eastAsia="仿宋_GB2312" w:cs="Times New Roman"/>
          <w:color w:val="auto"/>
          <w:highlight w:val="none"/>
          <w:lang w:val="en-US" w:eastAsia="zh-CN"/>
        </w:rPr>
        <w:t>96.9</w:t>
      </w:r>
      <w:r>
        <w:rPr>
          <w:rFonts w:hint="default" w:ascii="Times New Roman" w:hAnsi="Times New Roman" w:eastAsia="仿宋_GB2312" w:cs="Times New Roman"/>
          <w:color w:val="auto"/>
          <w:highlight w:val="none"/>
        </w:rPr>
        <w:t>%</w:t>
      </w:r>
      <w:r>
        <w:rPr>
          <w:rFonts w:hint="eastAsia" w:ascii="Times New Roman" w:hAnsi="Times New Roman" w:cs="Times New Roman"/>
          <w:color w:val="auto"/>
          <w:highlight w:val="none"/>
          <w:lang w:eastAsia="zh-CN"/>
        </w:rPr>
        <w:t>，</w:t>
      </w:r>
      <w:r>
        <w:rPr>
          <w:rFonts w:hint="default" w:ascii="Times New Roman" w:hAnsi="Times New Roman" w:eastAsia="仿宋_GB2312" w:cs="Times New Roman"/>
          <w:color w:val="auto"/>
          <w:sz w:val="32"/>
          <w:szCs w:val="32"/>
          <w:highlight w:val="none"/>
        </w:rPr>
        <w:t>决算数小于预算数的主要原因是</w:t>
      </w:r>
      <w:r>
        <w:rPr>
          <w:rFonts w:hint="default" w:ascii="Times New Roman" w:hAnsi="Times New Roman" w:eastAsia="仿宋_GB2312" w:cs="Times New Roman"/>
          <w:color w:val="auto"/>
          <w:sz w:val="32"/>
          <w:szCs w:val="32"/>
          <w:highlight w:val="none"/>
          <w:lang w:eastAsia="zh-CN"/>
        </w:rPr>
        <w:t>遗属生活补助未完全支出。</w:t>
      </w:r>
    </w:p>
    <w:p>
      <w:pPr>
        <w:pStyle w:val="37"/>
        <w:numPr>
          <w:ilvl w:val="0"/>
          <w:numId w:val="0"/>
        </w:numPr>
        <w:rPr>
          <w:rFonts w:hint="default" w:ascii="Times New Roman" w:hAnsi="Times New Roman" w:eastAsia="仿宋_GB2312" w:cs="Times New Roman"/>
          <w:color w:val="auto"/>
        </w:rPr>
      </w:pPr>
      <w:r>
        <w:rPr>
          <w:rFonts w:hint="default" w:ascii="Times New Roman" w:hAnsi="Times New Roman" w:eastAsia="仿宋_GB2312" w:cs="Times New Roman"/>
          <w:b/>
          <w:bCs/>
          <w:color w:val="auto"/>
          <w:lang w:val="en-US" w:eastAsia="zh-CN"/>
        </w:rPr>
        <w:t xml:space="preserve">    7.</w:t>
      </w:r>
      <w:r>
        <w:rPr>
          <w:rFonts w:hint="default" w:ascii="Times New Roman" w:hAnsi="Times New Roman" w:eastAsia="仿宋_GB2312" w:cs="Times New Roman"/>
          <w:b/>
          <w:bCs/>
          <w:color w:val="auto"/>
        </w:rPr>
        <w:t>卫生健康支出（类）行政事业单位医疗（款）行政单位医疗（项）:</w:t>
      </w:r>
      <w:r>
        <w:rPr>
          <w:rFonts w:hint="default" w:ascii="Times New Roman" w:hAnsi="Times New Roman" w:eastAsia="仿宋_GB2312" w:cs="Times New Roman"/>
          <w:color w:val="auto"/>
        </w:rPr>
        <w:t xml:space="preserve"> 支出决算为</w:t>
      </w:r>
      <w:r>
        <w:rPr>
          <w:rFonts w:hint="default" w:ascii="Times New Roman" w:hAnsi="Times New Roman" w:eastAsia="仿宋_GB2312" w:cs="Times New Roman"/>
          <w:color w:val="auto"/>
          <w:lang w:val="en-US" w:eastAsia="zh-CN"/>
        </w:rPr>
        <w:t>599.84</w:t>
      </w:r>
      <w:r>
        <w:rPr>
          <w:rFonts w:hint="default" w:ascii="Times New Roman" w:hAnsi="Times New Roman" w:eastAsia="仿宋_GB2312" w:cs="Times New Roman"/>
          <w:color w:val="auto"/>
        </w:rPr>
        <w:t>万元，完成预算100%。</w:t>
      </w:r>
    </w:p>
    <w:p>
      <w:pPr>
        <w:pStyle w:val="37"/>
        <w:numPr>
          <w:ilvl w:val="0"/>
          <w:numId w:val="0"/>
        </w:numPr>
        <w:rPr>
          <w:rFonts w:hint="default" w:ascii="Times New Roman" w:hAnsi="Times New Roman" w:eastAsia="仿宋_GB2312" w:cs="Times New Roman"/>
          <w:color w:val="auto"/>
        </w:rPr>
      </w:pPr>
      <w:r>
        <w:rPr>
          <w:rFonts w:hint="default" w:ascii="Times New Roman" w:hAnsi="Times New Roman" w:eastAsia="仿宋_GB2312" w:cs="Times New Roman"/>
          <w:b/>
          <w:bCs/>
          <w:color w:val="auto"/>
          <w:lang w:val="en-US" w:eastAsia="zh-CN"/>
        </w:rPr>
        <w:t xml:space="preserve">    8.</w:t>
      </w:r>
      <w:r>
        <w:rPr>
          <w:rFonts w:hint="default" w:ascii="Times New Roman" w:hAnsi="Times New Roman" w:eastAsia="仿宋_GB2312" w:cs="Times New Roman"/>
          <w:b/>
          <w:bCs/>
          <w:color w:val="auto"/>
        </w:rPr>
        <w:t>卫生健康支出（类）行政事业单位医疗（款）公务员医疗补助（项）:</w:t>
      </w:r>
      <w:r>
        <w:rPr>
          <w:rFonts w:hint="default" w:ascii="Times New Roman" w:hAnsi="Times New Roman" w:eastAsia="仿宋_GB2312" w:cs="Times New Roman"/>
          <w:color w:val="auto"/>
        </w:rPr>
        <w:t xml:space="preserve"> 支出决算为</w:t>
      </w:r>
      <w:r>
        <w:rPr>
          <w:rFonts w:hint="default" w:ascii="Times New Roman" w:hAnsi="Times New Roman" w:eastAsia="仿宋_GB2312" w:cs="Times New Roman"/>
          <w:color w:val="auto"/>
          <w:lang w:val="en-US" w:eastAsia="zh-CN"/>
        </w:rPr>
        <w:t>214.73</w:t>
      </w:r>
      <w:r>
        <w:rPr>
          <w:rFonts w:hint="default" w:ascii="Times New Roman" w:hAnsi="Times New Roman" w:eastAsia="仿宋_GB2312" w:cs="Times New Roman"/>
          <w:color w:val="auto"/>
        </w:rPr>
        <w:t>万元，完成预算100%。</w:t>
      </w:r>
    </w:p>
    <w:p>
      <w:pPr>
        <w:pStyle w:val="37"/>
        <w:numPr>
          <w:ilvl w:val="0"/>
          <w:numId w:val="0"/>
        </w:numPr>
        <w:rPr>
          <w:rFonts w:hint="default" w:ascii="Times New Roman" w:hAnsi="Times New Roman" w:eastAsia="仿宋_GB2312" w:cs="Times New Roman"/>
          <w:color w:val="auto"/>
        </w:rPr>
      </w:pPr>
      <w:r>
        <w:rPr>
          <w:rFonts w:hint="default" w:ascii="Times New Roman" w:hAnsi="Times New Roman" w:eastAsia="仿宋_GB2312" w:cs="Times New Roman"/>
          <w:b/>
          <w:bCs/>
          <w:color w:val="auto"/>
          <w:lang w:val="en-US" w:eastAsia="zh-CN"/>
        </w:rPr>
        <w:t xml:space="preserve">    9.</w:t>
      </w:r>
      <w:r>
        <w:rPr>
          <w:rFonts w:hint="default" w:ascii="Times New Roman" w:hAnsi="Times New Roman" w:eastAsia="仿宋_GB2312" w:cs="Times New Roman"/>
          <w:b/>
          <w:bCs/>
          <w:color w:val="auto"/>
        </w:rPr>
        <w:t>资源勘探工业信息等支出（类）制造业（款）行政运行（项）:</w:t>
      </w:r>
      <w:r>
        <w:rPr>
          <w:rFonts w:hint="default" w:ascii="Times New Roman" w:hAnsi="Times New Roman" w:eastAsia="仿宋_GB2312" w:cs="Times New Roman"/>
          <w:color w:val="auto"/>
        </w:rPr>
        <w:t xml:space="preserve"> 支出决算为</w:t>
      </w:r>
      <w:r>
        <w:rPr>
          <w:rFonts w:hint="default" w:ascii="Times New Roman" w:hAnsi="Times New Roman" w:eastAsia="仿宋_GB2312" w:cs="Times New Roman"/>
          <w:color w:val="auto"/>
          <w:lang w:val="en-US" w:eastAsia="zh-CN"/>
        </w:rPr>
        <w:t>8667.52</w:t>
      </w:r>
      <w:r>
        <w:rPr>
          <w:rFonts w:hint="default" w:ascii="Times New Roman" w:hAnsi="Times New Roman" w:eastAsia="仿宋_GB2312" w:cs="Times New Roman"/>
          <w:color w:val="auto"/>
        </w:rPr>
        <w:t>万元，完成预算</w:t>
      </w:r>
      <w:r>
        <w:rPr>
          <w:rFonts w:hint="default" w:ascii="Times New Roman" w:hAnsi="Times New Roman" w:eastAsia="仿宋_GB2312" w:cs="Times New Roman"/>
          <w:color w:val="auto"/>
          <w:lang w:val="en-US" w:eastAsia="zh-CN"/>
        </w:rPr>
        <w:t>96.3</w:t>
      </w:r>
      <w:r>
        <w:rPr>
          <w:rFonts w:hint="default" w:ascii="Times New Roman" w:hAnsi="Times New Roman" w:eastAsia="仿宋_GB2312" w:cs="Times New Roman"/>
          <w:color w:val="auto"/>
        </w:rPr>
        <w:t>%</w:t>
      </w: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sz w:val="32"/>
          <w:szCs w:val="32"/>
          <w:highlight w:val="none"/>
        </w:rPr>
        <w:t>决算数小于预算数的主要原因是</w:t>
      </w:r>
      <w:r>
        <w:rPr>
          <w:rFonts w:hint="default" w:ascii="Times New Roman" w:hAnsi="Times New Roman" w:eastAsia="仿宋_GB2312" w:cs="Times New Roman"/>
          <w:color w:val="auto"/>
          <w:kern w:val="2"/>
          <w:sz w:val="32"/>
          <w:szCs w:val="32"/>
          <w:highlight w:val="none"/>
          <w:lang w:val="en-US" w:eastAsia="zh-CN" w:bidi="ar-SA"/>
        </w:rPr>
        <w:t>年度预算执行中有变化，导致预算执行未完成</w:t>
      </w:r>
      <w:r>
        <w:rPr>
          <w:rFonts w:hint="default" w:ascii="Times New Roman" w:hAnsi="Times New Roman" w:eastAsia="仿宋_GB2312" w:cs="Times New Roman"/>
          <w:color w:val="auto"/>
        </w:rPr>
        <w:t>。</w:t>
      </w:r>
    </w:p>
    <w:p>
      <w:pPr>
        <w:pStyle w:val="37"/>
        <w:numPr>
          <w:ilvl w:val="0"/>
          <w:numId w:val="0"/>
        </w:numPr>
        <w:rPr>
          <w:rFonts w:hint="default" w:ascii="Times New Roman" w:hAnsi="Times New Roman" w:eastAsia="仿宋_GB2312" w:cs="Times New Roman"/>
          <w:color w:val="auto"/>
          <w:highlight w:val="none"/>
        </w:rPr>
      </w:pPr>
      <w:r>
        <w:rPr>
          <w:rFonts w:hint="default" w:ascii="Times New Roman" w:hAnsi="Times New Roman" w:eastAsia="仿宋_GB2312" w:cs="Times New Roman"/>
          <w:b/>
          <w:bCs/>
          <w:color w:val="auto"/>
          <w:lang w:val="en-US" w:eastAsia="zh-CN"/>
        </w:rPr>
        <w:t xml:space="preserve">    10.</w:t>
      </w:r>
      <w:r>
        <w:rPr>
          <w:rFonts w:hint="default" w:ascii="Times New Roman" w:hAnsi="Times New Roman" w:eastAsia="仿宋_GB2312" w:cs="Times New Roman"/>
          <w:b/>
          <w:bCs/>
          <w:color w:val="auto"/>
        </w:rPr>
        <w:t>资源勘探工业信息等支出（类）制造业（款）一般行政管理事务（项）:</w:t>
      </w:r>
      <w:r>
        <w:rPr>
          <w:rFonts w:hint="default" w:ascii="Times New Roman" w:hAnsi="Times New Roman" w:eastAsia="仿宋_GB2312" w:cs="Times New Roman"/>
          <w:color w:val="auto"/>
        </w:rPr>
        <w:t xml:space="preserve"> </w:t>
      </w:r>
      <w:r>
        <w:rPr>
          <w:rFonts w:hint="default" w:ascii="Times New Roman" w:hAnsi="Times New Roman" w:eastAsia="仿宋_GB2312" w:cs="Times New Roman"/>
          <w:color w:val="auto"/>
          <w:highlight w:val="none"/>
        </w:rPr>
        <w:t>支出决算为</w:t>
      </w:r>
      <w:r>
        <w:rPr>
          <w:rFonts w:hint="default" w:ascii="Times New Roman" w:hAnsi="Times New Roman" w:eastAsia="仿宋_GB2312" w:cs="Times New Roman"/>
          <w:color w:val="auto"/>
          <w:highlight w:val="none"/>
          <w:lang w:val="en-US" w:eastAsia="zh-CN"/>
        </w:rPr>
        <w:t>1387.50</w:t>
      </w:r>
      <w:r>
        <w:rPr>
          <w:rFonts w:hint="default" w:ascii="Times New Roman" w:hAnsi="Times New Roman" w:eastAsia="仿宋_GB2312" w:cs="Times New Roman"/>
          <w:color w:val="auto"/>
          <w:highlight w:val="none"/>
        </w:rPr>
        <w:t>万元，完成预算</w:t>
      </w:r>
      <w:r>
        <w:rPr>
          <w:rFonts w:hint="default" w:ascii="Times New Roman" w:hAnsi="Times New Roman" w:eastAsia="仿宋_GB2312" w:cs="Times New Roman"/>
          <w:color w:val="auto"/>
          <w:highlight w:val="none"/>
          <w:lang w:val="en-US" w:eastAsia="zh-CN"/>
        </w:rPr>
        <w:t>92.7</w:t>
      </w:r>
      <w:r>
        <w:rPr>
          <w:rFonts w:hint="default" w:ascii="Times New Roman" w:hAnsi="Times New Roman" w:eastAsia="仿宋_GB2312" w:cs="Times New Roman"/>
          <w:color w:val="auto"/>
          <w:highlight w:val="none"/>
        </w:rPr>
        <w:t>%</w:t>
      </w:r>
      <w:r>
        <w:rPr>
          <w:rFonts w:hint="eastAsia" w:ascii="Times New Roman" w:hAnsi="Times New Roman" w:cs="Times New Roman"/>
          <w:color w:val="auto"/>
          <w:highlight w:val="none"/>
          <w:lang w:eastAsia="zh-CN"/>
        </w:rPr>
        <w:t>，</w:t>
      </w:r>
      <w:r>
        <w:rPr>
          <w:rFonts w:hint="default" w:ascii="Times New Roman" w:hAnsi="Times New Roman" w:eastAsia="仿宋_GB2312" w:cs="Times New Roman"/>
          <w:color w:val="auto"/>
          <w:sz w:val="32"/>
          <w:szCs w:val="32"/>
          <w:highlight w:val="none"/>
        </w:rPr>
        <w:t>决算数小于预算数的主要原因是</w:t>
      </w:r>
      <w:r>
        <w:rPr>
          <w:rFonts w:hint="default" w:ascii="Times New Roman" w:hAnsi="Times New Roman" w:eastAsia="仿宋_GB2312" w:cs="Times New Roman"/>
          <w:color w:val="auto"/>
          <w:sz w:val="32"/>
          <w:szCs w:val="32"/>
          <w:highlight w:val="none"/>
          <w:lang w:eastAsia="zh-CN"/>
        </w:rPr>
        <w:t>印刷费、委托业务费等未完全支出</w:t>
      </w:r>
      <w:r>
        <w:rPr>
          <w:rFonts w:hint="default" w:ascii="Times New Roman" w:hAnsi="Times New Roman" w:eastAsia="仿宋_GB2312" w:cs="Times New Roman"/>
          <w:color w:val="auto"/>
          <w:sz w:val="32"/>
          <w:szCs w:val="32"/>
          <w:highlight w:val="none"/>
          <w:lang w:val="en-US" w:eastAsia="zh-CN"/>
        </w:rPr>
        <w:t>。</w:t>
      </w:r>
    </w:p>
    <w:p>
      <w:pPr>
        <w:pStyle w:val="37"/>
        <w:numPr>
          <w:ilvl w:val="0"/>
          <w:numId w:val="0"/>
        </w:numPr>
        <w:rPr>
          <w:rFonts w:hint="default" w:ascii="Times New Roman" w:hAnsi="Times New Roman" w:eastAsia="仿宋_GB2312" w:cs="Times New Roman"/>
          <w:color w:val="auto"/>
        </w:rPr>
      </w:pPr>
      <w:r>
        <w:rPr>
          <w:rFonts w:hint="default" w:ascii="Times New Roman" w:hAnsi="Times New Roman" w:eastAsia="仿宋_GB2312" w:cs="Times New Roman"/>
          <w:b/>
          <w:bCs/>
          <w:color w:val="auto"/>
          <w:lang w:val="en-US" w:eastAsia="zh-CN"/>
        </w:rPr>
        <w:t xml:space="preserve">    11.</w:t>
      </w:r>
      <w:r>
        <w:rPr>
          <w:rFonts w:hint="default" w:ascii="Times New Roman" w:hAnsi="Times New Roman" w:eastAsia="仿宋_GB2312" w:cs="Times New Roman"/>
          <w:b/>
          <w:bCs/>
          <w:color w:val="auto"/>
        </w:rPr>
        <w:t>资源勘探工业信息等支出（类）制造业（款） 其他制造业支出（项）:</w:t>
      </w:r>
      <w:r>
        <w:rPr>
          <w:rFonts w:hint="default" w:ascii="Times New Roman" w:hAnsi="Times New Roman" w:eastAsia="仿宋_GB2312" w:cs="Times New Roman"/>
          <w:color w:val="auto"/>
        </w:rPr>
        <w:t xml:space="preserve"> </w:t>
      </w:r>
      <w:r>
        <w:rPr>
          <w:rFonts w:hint="default" w:ascii="Times New Roman" w:hAnsi="Times New Roman" w:eastAsia="仿宋_GB2312" w:cs="Times New Roman"/>
          <w:color w:val="auto"/>
          <w:highlight w:val="none"/>
        </w:rPr>
        <w:t>支出决算为</w:t>
      </w:r>
      <w:r>
        <w:rPr>
          <w:rFonts w:hint="default" w:ascii="Times New Roman" w:hAnsi="Times New Roman" w:eastAsia="仿宋_GB2312" w:cs="Times New Roman"/>
          <w:color w:val="auto"/>
          <w:highlight w:val="none"/>
          <w:lang w:val="en-US" w:eastAsia="zh-CN"/>
        </w:rPr>
        <w:t>5248.34</w:t>
      </w:r>
      <w:r>
        <w:rPr>
          <w:rFonts w:hint="default" w:ascii="Times New Roman" w:hAnsi="Times New Roman" w:eastAsia="仿宋_GB2312" w:cs="Times New Roman"/>
          <w:color w:val="auto"/>
          <w:highlight w:val="none"/>
        </w:rPr>
        <w:t>万元，完成预算</w:t>
      </w:r>
      <w:r>
        <w:rPr>
          <w:rFonts w:hint="default" w:ascii="Times New Roman" w:hAnsi="Times New Roman" w:eastAsia="仿宋_GB2312" w:cs="Times New Roman"/>
          <w:color w:val="auto"/>
          <w:highlight w:val="none"/>
          <w:lang w:val="en-US" w:eastAsia="zh-CN"/>
        </w:rPr>
        <w:t>90.3</w:t>
      </w:r>
      <w:r>
        <w:rPr>
          <w:rFonts w:hint="default" w:ascii="Times New Roman" w:hAnsi="Times New Roman" w:eastAsia="仿宋_GB2312" w:cs="Times New Roman"/>
          <w:color w:val="auto"/>
          <w:highlight w:val="none"/>
        </w:rPr>
        <w:t>%</w:t>
      </w:r>
      <w:r>
        <w:rPr>
          <w:rFonts w:hint="eastAsia" w:ascii="Times New Roman" w:hAnsi="Times New Roman" w:cs="Times New Roman"/>
          <w:color w:val="auto"/>
          <w:highlight w:val="none"/>
          <w:lang w:eastAsia="zh-CN"/>
        </w:rPr>
        <w:t>，</w:t>
      </w:r>
      <w:r>
        <w:rPr>
          <w:rFonts w:hint="default" w:ascii="Times New Roman" w:hAnsi="Times New Roman" w:eastAsia="仿宋_GB2312" w:cs="Times New Roman"/>
          <w:color w:val="auto"/>
          <w:sz w:val="32"/>
          <w:szCs w:val="32"/>
          <w:highlight w:val="none"/>
        </w:rPr>
        <w:t>决算数小于预算数的主要原因是</w:t>
      </w:r>
      <w:r>
        <w:rPr>
          <w:rFonts w:hint="default" w:ascii="Times New Roman" w:hAnsi="Times New Roman" w:eastAsia="仿宋_GB2312" w:cs="Times New Roman"/>
          <w:color w:val="auto"/>
          <w:sz w:val="32"/>
          <w:szCs w:val="32"/>
          <w:highlight w:val="none"/>
          <w:lang w:eastAsia="zh-CN"/>
        </w:rPr>
        <w:t>部分项目未实施完毕，项目经费预算结转至</w:t>
      </w:r>
      <w:r>
        <w:rPr>
          <w:rFonts w:hint="default" w:ascii="Times New Roman" w:hAnsi="Times New Roman" w:eastAsia="仿宋_GB2312" w:cs="Times New Roman"/>
          <w:color w:val="auto"/>
          <w:sz w:val="32"/>
          <w:szCs w:val="32"/>
          <w:highlight w:val="none"/>
          <w:lang w:val="en-US" w:eastAsia="zh-CN"/>
        </w:rPr>
        <w:t>2024年。</w:t>
      </w:r>
    </w:p>
    <w:p>
      <w:pPr>
        <w:pStyle w:val="37"/>
        <w:numPr>
          <w:ilvl w:val="0"/>
          <w:numId w:val="0"/>
        </w:numPr>
        <w:ind w:firstLine="640"/>
        <w:rPr>
          <w:rFonts w:hint="default" w:ascii="Times New Roman" w:hAnsi="Times New Roman" w:eastAsia="仿宋_GB2312" w:cs="Times New Roman"/>
          <w:color w:val="auto"/>
          <w:sz w:val="32"/>
          <w:szCs w:val="32"/>
          <w:highlight w:val="yellow"/>
          <w:lang w:val="en-US" w:eastAsia="zh-CN"/>
        </w:rPr>
      </w:pPr>
      <w:r>
        <w:rPr>
          <w:rFonts w:hint="default" w:ascii="Times New Roman" w:hAnsi="Times New Roman" w:eastAsia="仿宋_GB2312" w:cs="Times New Roman"/>
          <w:b/>
          <w:bCs/>
          <w:color w:val="auto"/>
          <w:lang w:val="en-US" w:eastAsia="zh-CN"/>
        </w:rPr>
        <w:t>12.</w:t>
      </w:r>
      <w:r>
        <w:rPr>
          <w:rFonts w:hint="default" w:ascii="Times New Roman" w:hAnsi="Times New Roman" w:eastAsia="仿宋_GB2312" w:cs="Times New Roman"/>
          <w:b/>
          <w:bCs/>
          <w:color w:val="auto"/>
        </w:rPr>
        <w:t>资源勘探工业信息等支出（类）工业和信息产业监管（款）无线电及信息通信监管（项）:</w:t>
      </w:r>
      <w:r>
        <w:rPr>
          <w:rFonts w:hint="default" w:ascii="Times New Roman" w:hAnsi="Times New Roman" w:eastAsia="仿宋_GB2312" w:cs="Times New Roman"/>
          <w:color w:val="auto"/>
        </w:rPr>
        <w:t xml:space="preserve"> 支出决算为</w:t>
      </w:r>
      <w:r>
        <w:rPr>
          <w:rFonts w:hint="default" w:ascii="Times New Roman" w:hAnsi="Times New Roman" w:eastAsia="仿宋_GB2312" w:cs="Times New Roman"/>
          <w:color w:val="auto"/>
          <w:lang w:val="en-US" w:eastAsia="zh-CN"/>
        </w:rPr>
        <w:t>2073</w:t>
      </w:r>
      <w:r>
        <w:rPr>
          <w:rFonts w:hint="default" w:ascii="Times New Roman" w:hAnsi="Times New Roman" w:eastAsia="仿宋_GB2312" w:cs="Times New Roman"/>
          <w:color w:val="auto"/>
        </w:rPr>
        <w:t>万元，完成预</w:t>
      </w:r>
      <w:r>
        <w:rPr>
          <w:rFonts w:hint="default" w:ascii="Times New Roman" w:hAnsi="Times New Roman" w:eastAsia="仿宋_GB2312" w:cs="Times New Roman"/>
          <w:color w:val="auto"/>
          <w:highlight w:val="none"/>
        </w:rPr>
        <w:t>算</w:t>
      </w:r>
      <w:r>
        <w:rPr>
          <w:rFonts w:hint="default" w:ascii="Times New Roman" w:hAnsi="Times New Roman" w:eastAsia="仿宋_GB2312" w:cs="Times New Roman"/>
          <w:color w:val="auto"/>
          <w:highlight w:val="none"/>
          <w:lang w:val="en-US" w:eastAsia="zh-CN"/>
        </w:rPr>
        <w:t>63.7</w:t>
      </w:r>
      <w:r>
        <w:rPr>
          <w:rFonts w:hint="default" w:ascii="Times New Roman" w:hAnsi="Times New Roman" w:eastAsia="仿宋_GB2312" w:cs="Times New Roman"/>
          <w:color w:val="auto"/>
          <w:highlight w:val="none"/>
        </w:rPr>
        <w:t>%</w:t>
      </w:r>
      <w:r>
        <w:rPr>
          <w:rFonts w:hint="eastAsia" w:ascii="Times New Roman" w:hAnsi="Times New Roman" w:cs="Times New Roman"/>
          <w:color w:val="auto"/>
          <w:highlight w:val="none"/>
          <w:lang w:eastAsia="zh-CN"/>
        </w:rPr>
        <w:t>，</w:t>
      </w:r>
      <w:r>
        <w:rPr>
          <w:rFonts w:hint="default" w:ascii="Times New Roman" w:hAnsi="Times New Roman" w:eastAsia="仿宋_GB2312" w:cs="Times New Roman"/>
          <w:color w:val="auto"/>
          <w:sz w:val="32"/>
          <w:szCs w:val="32"/>
          <w:highlight w:val="none"/>
        </w:rPr>
        <w:t>决算数小于预算数的主要原因是</w:t>
      </w:r>
      <w:r>
        <w:rPr>
          <w:rFonts w:hint="default" w:ascii="Times New Roman" w:hAnsi="Times New Roman" w:eastAsia="仿宋_GB2312" w:cs="Times New Roman"/>
          <w:color w:val="auto"/>
          <w:highlight w:val="none"/>
        </w:rPr>
        <w:t>202</w:t>
      </w:r>
      <w:r>
        <w:rPr>
          <w:rFonts w:hint="default" w:ascii="Times New Roman" w:hAnsi="Times New Roman" w:eastAsia="仿宋_GB2312" w:cs="Times New Roman"/>
          <w:color w:val="auto"/>
          <w:highlight w:val="none"/>
          <w:lang w:val="en-US" w:eastAsia="zh-CN"/>
        </w:rPr>
        <w:t>4</w:t>
      </w:r>
      <w:r>
        <w:rPr>
          <w:rFonts w:hint="default" w:ascii="Times New Roman" w:hAnsi="Times New Roman" w:eastAsia="仿宋_GB2312" w:cs="Times New Roman"/>
          <w:color w:val="auto"/>
          <w:highlight w:val="none"/>
        </w:rPr>
        <w:t>年中央无线电管理经费</w:t>
      </w:r>
      <w:r>
        <w:rPr>
          <w:rFonts w:hint="default" w:ascii="Times New Roman" w:hAnsi="Times New Roman" w:eastAsia="仿宋_GB2312" w:cs="Times New Roman"/>
          <w:color w:val="auto"/>
          <w:highlight w:val="none"/>
          <w:lang w:eastAsia="zh-CN"/>
        </w:rPr>
        <w:t>项目未</w:t>
      </w:r>
      <w:r>
        <w:rPr>
          <w:rFonts w:hint="default" w:ascii="Times New Roman" w:hAnsi="Times New Roman" w:eastAsia="仿宋_GB2312" w:cs="Times New Roman"/>
          <w:color w:val="auto"/>
          <w:sz w:val="32"/>
          <w:szCs w:val="32"/>
          <w:highlight w:val="none"/>
          <w:lang w:eastAsia="zh-CN"/>
        </w:rPr>
        <w:t>实施完毕，项目经费预算结转至</w:t>
      </w:r>
      <w:r>
        <w:rPr>
          <w:rFonts w:hint="default" w:ascii="Times New Roman" w:hAnsi="Times New Roman" w:eastAsia="仿宋_GB2312" w:cs="Times New Roman"/>
          <w:color w:val="auto"/>
          <w:sz w:val="32"/>
          <w:szCs w:val="32"/>
          <w:highlight w:val="none"/>
          <w:lang w:val="en-US" w:eastAsia="zh-CN"/>
        </w:rPr>
        <w:t>2025年。</w:t>
      </w:r>
    </w:p>
    <w:p>
      <w:pPr>
        <w:pStyle w:val="37"/>
        <w:numPr>
          <w:ilvl w:val="0"/>
          <w:numId w:val="0"/>
        </w:numPr>
        <w:ind w:firstLine="640"/>
        <w:rPr>
          <w:rFonts w:hint="default" w:ascii="Times New Roman" w:hAnsi="Times New Roman" w:eastAsia="仿宋_GB2312" w:cs="Times New Roman"/>
          <w:color w:val="auto"/>
          <w:kern w:val="2"/>
          <w:sz w:val="32"/>
          <w:szCs w:val="32"/>
          <w:highlight w:val="yellow"/>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 xml:space="preserve">13.资源勘探工业信息等支出（类）支持中小企业发展和管理支出（款）中小企业发展专项（项）: </w:t>
      </w:r>
      <w:r>
        <w:rPr>
          <w:rFonts w:hint="default" w:ascii="Times New Roman" w:hAnsi="Times New Roman" w:eastAsia="仿宋_GB2312" w:cs="Times New Roman"/>
          <w:color w:val="auto"/>
          <w:kern w:val="2"/>
          <w:sz w:val="32"/>
          <w:szCs w:val="32"/>
          <w:highlight w:val="none"/>
          <w:lang w:val="en-US" w:eastAsia="zh-CN" w:bidi="ar-SA"/>
        </w:rPr>
        <w:t>支出决算为519.12万元，完成预算55.8%</w:t>
      </w:r>
      <w:r>
        <w:rPr>
          <w:rFonts w:hint="eastAsia" w:ascii="Times New Roman" w:hAnsi="Times New Roman" w:cs="Times New Roman"/>
          <w:color w:val="auto"/>
          <w:kern w:val="2"/>
          <w:sz w:val="32"/>
          <w:szCs w:val="32"/>
          <w:highlight w:val="none"/>
          <w:lang w:val="en-US" w:eastAsia="zh-CN" w:bidi="ar-SA"/>
        </w:rPr>
        <w:t>，</w:t>
      </w:r>
      <w:r>
        <w:rPr>
          <w:rFonts w:hint="default" w:ascii="Times New Roman" w:hAnsi="Times New Roman" w:eastAsia="仿宋_GB2312" w:cs="Times New Roman"/>
          <w:color w:val="auto"/>
          <w:sz w:val="32"/>
          <w:szCs w:val="32"/>
          <w:highlight w:val="none"/>
        </w:rPr>
        <w:t>决算数小于预算数的主要原因是</w:t>
      </w:r>
      <w:r>
        <w:rPr>
          <w:rFonts w:hint="default" w:ascii="Times New Roman" w:hAnsi="Times New Roman" w:eastAsia="仿宋_GB2312" w:cs="Times New Roman"/>
          <w:color w:val="auto"/>
          <w:sz w:val="32"/>
          <w:szCs w:val="32"/>
          <w:highlight w:val="none"/>
          <w:lang w:eastAsia="zh-CN"/>
        </w:rPr>
        <w:t>部分</w:t>
      </w:r>
      <w:r>
        <w:rPr>
          <w:rFonts w:hint="default" w:ascii="Times New Roman" w:hAnsi="Times New Roman" w:eastAsia="仿宋_GB2312" w:cs="Times New Roman"/>
          <w:color w:val="auto"/>
          <w:highlight w:val="none"/>
          <w:lang w:eastAsia="zh-CN"/>
        </w:rPr>
        <w:t>项目未</w:t>
      </w:r>
      <w:r>
        <w:rPr>
          <w:rFonts w:hint="default" w:ascii="Times New Roman" w:hAnsi="Times New Roman" w:eastAsia="仿宋_GB2312" w:cs="Times New Roman"/>
          <w:color w:val="auto"/>
          <w:sz w:val="32"/>
          <w:szCs w:val="32"/>
          <w:highlight w:val="none"/>
          <w:lang w:eastAsia="zh-CN"/>
        </w:rPr>
        <w:t>实施完毕，项目经费预算结转至</w:t>
      </w:r>
      <w:r>
        <w:rPr>
          <w:rFonts w:hint="default" w:ascii="Times New Roman" w:hAnsi="Times New Roman" w:eastAsia="仿宋_GB2312" w:cs="Times New Roman"/>
          <w:color w:val="auto"/>
          <w:sz w:val="32"/>
          <w:szCs w:val="32"/>
          <w:highlight w:val="none"/>
          <w:lang w:val="en-US" w:eastAsia="zh-CN"/>
        </w:rPr>
        <w:t>2025年。</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14.住房保障支出（类）住房改革支出（款）住房公积金（项）:</w:t>
      </w:r>
      <w:r>
        <w:rPr>
          <w:rFonts w:hint="default" w:ascii="Times New Roman" w:hAnsi="Times New Roman" w:eastAsia="仿宋_GB2312" w:cs="Times New Roman"/>
          <w:color w:val="auto"/>
          <w:kern w:val="2"/>
          <w:sz w:val="32"/>
          <w:szCs w:val="32"/>
          <w:highlight w:val="none"/>
          <w:lang w:val="en-US" w:eastAsia="zh-CN" w:bidi="ar-SA"/>
        </w:rPr>
        <w:t xml:space="preserve"> 支出决算为629.99万元，完成预算97.7%，</w:t>
      </w:r>
      <w:r>
        <w:rPr>
          <w:rFonts w:hint="default" w:ascii="Times New Roman" w:hAnsi="Times New Roman" w:eastAsia="仿宋_GB2312" w:cs="Times New Roman"/>
          <w:color w:val="auto"/>
          <w:sz w:val="32"/>
          <w:szCs w:val="32"/>
          <w:highlight w:val="none"/>
        </w:rPr>
        <w:t>决算数小于预算数的主要原因是</w:t>
      </w:r>
      <w:r>
        <w:rPr>
          <w:rFonts w:hint="default" w:ascii="Times New Roman" w:hAnsi="Times New Roman" w:eastAsia="仿宋_GB2312" w:cs="Times New Roman"/>
          <w:color w:val="auto"/>
          <w:kern w:val="2"/>
          <w:sz w:val="32"/>
          <w:szCs w:val="32"/>
          <w:highlight w:val="none"/>
          <w:lang w:val="en-US" w:eastAsia="zh-CN" w:bidi="ar-SA"/>
        </w:rPr>
        <w:t>年度预算执行中有变化，导致预算执行未完成。</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15.住房保障支出（类）住房改革支出（款）购房补贴（项）:</w:t>
      </w:r>
      <w:r>
        <w:rPr>
          <w:rFonts w:hint="default" w:ascii="Times New Roman" w:hAnsi="Times New Roman" w:eastAsia="仿宋_GB2312" w:cs="Times New Roman"/>
          <w:color w:val="auto"/>
          <w:kern w:val="2"/>
          <w:sz w:val="32"/>
          <w:szCs w:val="32"/>
          <w:highlight w:val="none"/>
          <w:lang w:val="en-US" w:eastAsia="zh-CN" w:bidi="ar-SA"/>
        </w:rPr>
        <w:t xml:space="preserve"> 支出决算为394.26万元，完成预算100%。</w:t>
      </w:r>
    </w:p>
    <w:p>
      <w:pPr>
        <w:pStyle w:val="2"/>
        <w:rPr>
          <w:rFonts w:hint="default"/>
          <w:lang w:val="en-US" w:eastAsia="zh-CN"/>
        </w:rPr>
      </w:pPr>
    </w:p>
    <w:p>
      <w:pPr>
        <w:tabs>
          <w:tab w:val="right" w:pos="8306"/>
        </w:tabs>
        <w:spacing w:line="600" w:lineRule="exact"/>
        <w:ind w:firstLine="640"/>
        <w:outlineLvl w:val="1"/>
        <w:rPr>
          <w:rStyle w:val="31"/>
          <w:rFonts w:hint="eastAsia" w:ascii="黑体" w:hAnsi="黑体" w:eastAsia="黑体" w:cs="黑体"/>
          <w:color w:val="auto"/>
          <w:highlight w:val="none"/>
        </w:rPr>
      </w:pPr>
      <w:bookmarkStart w:id="35" w:name="_Toc15396608"/>
      <w:bookmarkStart w:id="36" w:name="_Toc15377214"/>
      <w:r>
        <w:rPr>
          <w:rFonts w:hint="eastAsia" w:ascii="黑体" w:hAnsi="黑体" w:eastAsia="黑体" w:cs="黑体"/>
          <w:color w:val="auto"/>
          <w:sz w:val="32"/>
          <w:szCs w:val="32"/>
          <w:highlight w:val="none"/>
        </w:rPr>
        <w:t>六</w:t>
      </w:r>
      <w:r>
        <w:rPr>
          <w:rFonts w:hint="eastAsia" w:ascii="黑体" w:hAnsi="黑体" w:eastAsia="黑体" w:cs="黑体"/>
          <w:b/>
          <w:color w:val="auto"/>
          <w:sz w:val="32"/>
          <w:szCs w:val="32"/>
          <w:highlight w:val="none"/>
        </w:rPr>
        <w:t>、一</w:t>
      </w:r>
      <w:r>
        <w:rPr>
          <w:rStyle w:val="31"/>
          <w:rFonts w:hint="eastAsia" w:ascii="黑体" w:hAnsi="黑体" w:eastAsia="黑体" w:cs="黑体"/>
          <w:b w:val="0"/>
          <w:color w:val="auto"/>
          <w:highlight w:val="none"/>
        </w:rPr>
        <w:t>般公共预算财政拨款基本支出决算情况说明</w:t>
      </w:r>
      <w:bookmarkEnd w:id="35"/>
      <w:bookmarkEnd w:id="36"/>
      <w:r>
        <w:rPr>
          <w:rStyle w:val="31"/>
          <w:rFonts w:hint="eastAsia" w:ascii="黑体" w:hAnsi="黑体" w:eastAsia="黑体" w:cs="黑体"/>
          <w:b w:val="0"/>
          <w:color w:val="auto"/>
          <w:highlight w:val="none"/>
        </w:rPr>
        <w:tab/>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2024年度一般公共预算财政拨款基本支出</w:t>
      </w:r>
      <w:r>
        <w:rPr>
          <w:rFonts w:hint="default" w:ascii="Times New Roman" w:hAnsi="Times New Roman" w:eastAsia="仿宋_GB2312" w:cs="Times New Roman"/>
          <w:sz w:val="32"/>
          <w:szCs w:val="32"/>
        </w:rPr>
        <w:t>16288.03</w:t>
      </w:r>
      <w:r>
        <w:rPr>
          <w:rFonts w:hint="default" w:ascii="Times New Roman" w:hAnsi="Times New Roman" w:eastAsia="仿宋_GB2312" w:cs="Times New Roman"/>
          <w:color w:val="auto"/>
          <w:kern w:val="2"/>
          <w:sz w:val="32"/>
          <w:szCs w:val="32"/>
          <w:highlight w:val="none"/>
          <w:lang w:val="en-US" w:eastAsia="zh-CN" w:bidi="ar-SA"/>
        </w:rPr>
        <w:t>万元，其中：</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人员经费</w:t>
      </w:r>
      <w:r>
        <w:rPr>
          <w:rFonts w:hint="default" w:ascii="Times New Roman" w:hAnsi="Times New Roman" w:eastAsia="仿宋_GB2312" w:cs="Times New Roman"/>
          <w:sz w:val="32"/>
          <w:szCs w:val="32"/>
          <w:lang w:val="en-US" w:eastAsia="zh-CN"/>
        </w:rPr>
        <w:t>13345.29</w:t>
      </w:r>
      <w:r>
        <w:rPr>
          <w:rFonts w:hint="default" w:ascii="Times New Roman" w:hAnsi="Times New Roman" w:eastAsia="仿宋_GB2312" w:cs="Times New Roman"/>
          <w:color w:val="auto"/>
          <w:kern w:val="2"/>
          <w:sz w:val="32"/>
          <w:szCs w:val="32"/>
          <w:highlight w:val="none"/>
          <w:lang w:val="en-US" w:eastAsia="zh-CN" w:bidi="ar-SA"/>
        </w:rPr>
        <w:t>万元，主要包括：</w:t>
      </w:r>
      <w:r>
        <w:rPr>
          <w:rFonts w:hint="default" w:ascii="Times New Roman" w:hAnsi="Times New Roman" w:eastAsia="仿宋_GB2312" w:cs="Times New Roman"/>
          <w:color w:val="auto"/>
          <w:sz w:val="32"/>
          <w:szCs w:val="32"/>
          <w:highlight w:val="none"/>
        </w:rPr>
        <w:t>基本工资、津贴补贴、奖金、绩效工资、机关事业单位基本养老保险缴费、职业年金缴费、其他社会保障缴费、其他工资福利支出、离休费、抚恤金、生活补助、奖励金、住房公积金、其他对个人和家庭的补助支出等。</w:t>
      </w:r>
      <w:r>
        <w:rPr>
          <w:rFonts w:hint="default" w:ascii="Times New Roman" w:hAnsi="Times New Roman" w:eastAsia="仿宋_GB2312" w:cs="Times New Roman"/>
          <w:color w:val="auto"/>
          <w:kern w:val="2"/>
          <w:sz w:val="32"/>
          <w:szCs w:val="32"/>
          <w:highlight w:val="none"/>
          <w:lang w:val="en-US" w:eastAsia="zh-CN" w:bidi="ar-SA"/>
        </w:rPr>
        <w:br w:type="textWrapping"/>
      </w:r>
      <w:r>
        <w:rPr>
          <w:rFonts w:hint="default" w:ascii="Times New Roman" w:hAnsi="Times New Roman" w:eastAsia="仿宋_GB2312" w:cs="Times New Roman"/>
          <w:color w:val="auto"/>
          <w:kern w:val="2"/>
          <w:sz w:val="32"/>
          <w:szCs w:val="32"/>
          <w:highlight w:val="none"/>
          <w:lang w:val="en-US" w:eastAsia="zh-CN" w:bidi="ar-SA"/>
        </w:rPr>
        <w:t>　　公用经费</w:t>
      </w:r>
      <w:r>
        <w:rPr>
          <w:rFonts w:hint="default" w:ascii="Times New Roman" w:hAnsi="Times New Roman" w:eastAsia="仿宋_GB2312" w:cs="Times New Roman"/>
          <w:sz w:val="32"/>
          <w:szCs w:val="32"/>
          <w:lang w:val="en-US" w:eastAsia="zh-CN"/>
        </w:rPr>
        <w:t>2942.74</w:t>
      </w:r>
      <w:r>
        <w:rPr>
          <w:rFonts w:hint="default" w:ascii="Times New Roman" w:hAnsi="Times New Roman" w:eastAsia="仿宋_GB2312" w:cs="Times New Roman"/>
          <w:color w:val="auto"/>
          <w:kern w:val="2"/>
          <w:sz w:val="32"/>
          <w:szCs w:val="32"/>
          <w:highlight w:val="none"/>
          <w:lang w:val="en-US" w:eastAsia="zh-CN" w:bidi="ar-SA"/>
        </w:rPr>
        <w:t>万元，主要包括：</w:t>
      </w:r>
      <w:r>
        <w:rPr>
          <w:rFonts w:hint="default" w:ascii="Times New Roman" w:hAnsi="Times New Roman" w:eastAsia="仿宋_GB2312" w:cs="Times New Roman"/>
          <w:color w:val="auto"/>
          <w:sz w:val="32"/>
          <w:szCs w:val="32"/>
          <w:highlight w:val="none"/>
        </w:rPr>
        <w:t>办公费、印刷费、咨询费、水费、电费、邮电费、物业管理费、差旅费、因公出国（境）费用、维修（护）费、会议费、培训费、公务接待费、劳务费、委托业务费、工会经费、福利费、公务用车运行维护费、其他交通费、其他商品和服务支出</w:t>
      </w:r>
      <w:r>
        <w:rPr>
          <w:rFonts w:hint="default" w:ascii="Times New Roman" w:hAnsi="Times New Roman" w:eastAsia="仿宋_GB2312" w:cs="Times New Roman"/>
          <w:color w:val="auto"/>
          <w:sz w:val="32"/>
          <w:szCs w:val="32"/>
          <w:highlight w:val="none"/>
          <w:lang w:eastAsia="zh-CN"/>
        </w:rPr>
        <w:t>等</w:t>
      </w:r>
      <w:r>
        <w:rPr>
          <w:rFonts w:hint="default" w:ascii="Times New Roman" w:hAnsi="Times New Roman" w:eastAsia="仿宋_GB2312" w:cs="Times New Roman"/>
          <w:color w:val="auto"/>
          <w:sz w:val="32"/>
          <w:szCs w:val="32"/>
          <w:highlight w:val="none"/>
        </w:rPr>
        <w:t>。</w:t>
      </w:r>
    </w:p>
    <w:p>
      <w:pPr>
        <w:spacing w:line="600" w:lineRule="exact"/>
        <w:ind w:firstLine="640"/>
        <w:outlineLvl w:val="1"/>
        <w:rPr>
          <w:rFonts w:hint="eastAsia" w:ascii="Times New Roman" w:hAnsi="Times New Roman" w:eastAsia="黑体"/>
          <w:color w:val="auto"/>
          <w:sz w:val="32"/>
          <w:szCs w:val="32"/>
          <w:highlight w:val="none"/>
        </w:rPr>
      </w:pPr>
      <w:bookmarkStart w:id="37" w:name="_Toc15396609"/>
      <w:bookmarkStart w:id="38" w:name="_Toc15377215"/>
    </w:p>
    <w:p>
      <w:pPr>
        <w:spacing w:line="600" w:lineRule="exact"/>
        <w:ind w:firstLine="640"/>
        <w:outlineLvl w:val="1"/>
        <w:rPr>
          <w:rStyle w:val="31"/>
          <w:rFonts w:ascii="Times New Roman" w:hAnsi="Times New Roman" w:eastAsia="黑体"/>
          <w:b w:val="0"/>
          <w:color w:val="auto"/>
          <w:highlight w:val="none"/>
        </w:rPr>
      </w:pPr>
      <w:r>
        <w:rPr>
          <w:rFonts w:hint="eastAsia" w:ascii="Times New Roman" w:hAnsi="Times New Roman" w:eastAsia="黑体"/>
          <w:color w:val="auto"/>
          <w:sz w:val="32"/>
          <w:szCs w:val="32"/>
          <w:highlight w:val="none"/>
        </w:rPr>
        <w:t>七、</w:t>
      </w:r>
      <w:r>
        <w:rPr>
          <w:rStyle w:val="31"/>
          <w:rFonts w:hint="eastAsia" w:ascii="Times New Roman" w:hAnsi="Times New Roman" w:eastAsia="黑体"/>
          <w:b w:val="0"/>
          <w:color w:val="auto"/>
          <w:highlight w:val="none"/>
        </w:rPr>
        <w:t>财政拨款</w:t>
      </w:r>
      <w:r>
        <w:rPr>
          <w:rStyle w:val="31"/>
          <w:rFonts w:hint="eastAsia" w:ascii="Times New Roman" w:hAnsi="Times New Roman" w:eastAsia="黑体"/>
          <w:color w:val="auto"/>
          <w:highlight w:val="none"/>
        </w:rPr>
        <w:t>“</w:t>
      </w:r>
      <w:r>
        <w:rPr>
          <w:rStyle w:val="31"/>
          <w:rFonts w:hint="eastAsia" w:ascii="Times New Roman" w:hAnsi="Times New Roman" w:eastAsia="黑体"/>
          <w:b w:val="0"/>
          <w:color w:val="auto"/>
          <w:highlight w:val="none"/>
        </w:rPr>
        <w:t>三公”经费支出决算情况说明</w:t>
      </w:r>
      <w:bookmarkEnd w:id="37"/>
      <w:bookmarkEnd w:id="38"/>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39"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39"/>
    </w:p>
    <w:p>
      <w:pPr>
        <w:spacing w:line="600" w:lineRule="exact"/>
        <w:ind w:firstLine="64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2024年度“三公”经费财政拨款支出决算为</w:t>
      </w: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color w:val="auto"/>
          <w:sz w:val="32"/>
          <w:szCs w:val="32"/>
          <w:highlight w:val="none"/>
          <w:lang w:val="en-US" w:eastAsia="zh-CN"/>
        </w:rPr>
        <w:t>47.04万元，完成预算</w:t>
      </w:r>
      <w:r>
        <w:rPr>
          <w:rFonts w:hint="default" w:ascii="Times New Roman" w:hAnsi="Times New Roman" w:eastAsia="仿宋_GB2312" w:cs="Times New Roman"/>
          <w:color w:val="auto"/>
          <w:sz w:val="32"/>
          <w:szCs w:val="32"/>
          <w:highlight w:val="none"/>
        </w:rPr>
        <w:t>8</w:t>
      </w:r>
      <w:r>
        <w:rPr>
          <w:rFonts w:hint="default" w:ascii="Times New Roman" w:hAnsi="Times New Roman" w:eastAsia="仿宋_GB2312" w:cs="Times New Roman"/>
          <w:color w:val="auto"/>
          <w:sz w:val="32"/>
          <w:szCs w:val="32"/>
          <w:highlight w:val="none"/>
          <w:lang w:val="en-US" w:eastAsia="zh-CN"/>
        </w:rPr>
        <w:t>9.8%，较上年度增加40.67万元，增长19.7%。决算数小于预算数的主要原因是</w:t>
      </w:r>
      <w:r>
        <w:rPr>
          <w:rFonts w:hint="default" w:ascii="Times New Roman" w:hAnsi="Times New Roman" w:eastAsia="仿宋_GB2312" w:cs="Times New Roman"/>
          <w:color w:val="auto"/>
          <w:sz w:val="32"/>
          <w:szCs w:val="32"/>
          <w:highlight w:val="none"/>
        </w:rPr>
        <w:t>我厅贯彻国家出台的“八项规定”以及省委、省政府出台的“十项规定”精神，强化内部预算监督，严格按标准支出 “三公”经费</w:t>
      </w:r>
      <w:r>
        <w:rPr>
          <w:rFonts w:hint="default" w:ascii="Times New Roman" w:hAnsi="Times New Roman" w:eastAsia="仿宋_GB2312" w:cs="Times New Roman"/>
          <w:color w:val="auto"/>
          <w:sz w:val="32"/>
          <w:szCs w:val="32"/>
          <w:highlight w:val="none"/>
          <w:lang w:eastAsia="zh-CN"/>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0"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40"/>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2024年度“三公”经费财政拨款支出决算中，因公出国（境）费支出决算</w:t>
      </w:r>
      <w:r>
        <w:rPr>
          <w:rFonts w:hint="default" w:ascii="Times New Roman" w:hAnsi="Times New Roman" w:eastAsia="仿宋_GB2312" w:cs="Times New Roman"/>
          <w:sz w:val="32"/>
          <w:szCs w:val="32"/>
          <w:highlight w:val="none"/>
        </w:rPr>
        <w:t>101.85</w:t>
      </w:r>
      <w:r>
        <w:rPr>
          <w:rFonts w:hint="default" w:ascii="Times New Roman" w:hAnsi="Times New Roman" w:eastAsia="仿宋_GB2312" w:cs="Times New Roman"/>
          <w:color w:val="auto"/>
          <w:kern w:val="2"/>
          <w:sz w:val="32"/>
          <w:szCs w:val="32"/>
          <w:highlight w:val="none"/>
          <w:lang w:val="en-US" w:eastAsia="zh-CN" w:bidi="ar-SA"/>
        </w:rPr>
        <w:t>万元，占41.2%；公务用车购置及运行维护费支出决算</w:t>
      </w:r>
      <w:r>
        <w:rPr>
          <w:rFonts w:hint="default" w:ascii="Times New Roman" w:hAnsi="Times New Roman" w:eastAsia="仿宋_GB2312" w:cs="Times New Roman"/>
          <w:sz w:val="32"/>
          <w:szCs w:val="32"/>
          <w:highlight w:val="none"/>
        </w:rPr>
        <w:t>144.02</w:t>
      </w:r>
      <w:r>
        <w:rPr>
          <w:rFonts w:hint="default" w:ascii="Times New Roman" w:hAnsi="Times New Roman" w:eastAsia="仿宋_GB2312" w:cs="Times New Roman"/>
          <w:color w:val="auto"/>
          <w:kern w:val="2"/>
          <w:sz w:val="32"/>
          <w:szCs w:val="32"/>
          <w:highlight w:val="none"/>
          <w:lang w:val="en-US" w:eastAsia="zh-CN" w:bidi="ar-SA"/>
        </w:rPr>
        <w:t>万元，占58.3%；公务接待费支出决算</w:t>
      </w:r>
      <w:r>
        <w:rPr>
          <w:rFonts w:hint="default" w:ascii="Times New Roman" w:hAnsi="Times New Roman" w:eastAsia="仿宋_GB2312" w:cs="Times New Roman"/>
          <w:sz w:val="32"/>
          <w:szCs w:val="32"/>
          <w:highlight w:val="none"/>
          <w:lang w:val="en-US" w:eastAsia="zh-CN"/>
        </w:rPr>
        <w:t>1.17</w:t>
      </w:r>
      <w:r>
        <w:rPr>
          <w:rFonts w:hint="default" w:ascii="Times New Roman" w:hAnsi="Times New Roman" w:eastAsia="仿宋_GB2312" w:cs="Times New Roman"/>
          <w:color w:val="auto"/>
          <w:kern w:val="2"/>
          <w:sz w:val="32"/>
          <w:szCs w:val="32"/>
          <w:highlight w:val="none"/>
          <w:lang w:val="en-US" w:eastAsia="zh-CN" w:bidi="ar-SA"/>
        </w:rPr>
        <w:t>万元，占0.</w:t>
      </w:r>
      <w:r>
        <w:rPr>
          <w:rFonts w:hint="eastAsia" w:ascii="Times New Roman" w:hAnsi="Times New Roman" w:eastAsia="仿宋_GB2312" w:cs="Times New Roman"/>
          <w:color w:val="auto"/>
          <w:kern w:val="2"/>
          <w:sz w:val="32"/>
          <w:szCs w:val="32"/>
          <w:highlight w:val="none"/>
          <w:lang w:val="en-US" w:eastAsia="zh-CN" w:bidi="ar-SA"/>
        </w:rPr>
        <w:t>5</w:t>
      </w:r>
      <w:r>
        <w:rPr>
          <w:rFonts w:hint="default" w:ascii="Times New Roman" w:hAnsi="Times New Roman" w:eastAsia="仿宋_GB2312" w:cs="Times New Roman"/>
          <w:color w:val="auto"/>
          <w:kern w:val="2"/>
          <w:sz w:val="32"/>
          <w:szCs w:val="32"/>
          <w:highlight w:val="none"/>
          <w:lang w:val="en-US" w:eastAsia="zh-CN" w:bidi="ar-SA"/>
        </w:rPr>
        <w:t>%。具体情况如下：</w:t>
      </w:r>
    </w:p>
    <w:p>
      <w:pPr>
        <w:spacing w:line="600" w:lineRule="exact"/>
        <w:ind w:firstLine="640"/>
        <w:jc w:val="center"/>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w:t>
      </w:r>
    </w:p>
    <w:p>
      <w:pPr>
        <w:pStyle w:val="2"/>
        <w:jc w:val="center"/>
        <w:rPr>
          <w:rFonts w:hint="eastAsia"/>
          <w:lang w:val="en-US" w:eastAsia="zh-CN"/>
        </w:rPr>
      </w:pPr>
      <w:r>
        <w:rPr>
          <w:rFonts w:hint="eastAsia"/>
          <w:lang w:val="en-US" w:eastAsia="zh-CN"/>
        </w:rPr>
        <w:drawing>
          <wp:inline distT="0" distB="0" distL="114300" distR="114300">
            <wp:extent cx="4590415" cy="2761615"/>
            <wp:effectExtent l="0" t="0" r="635" b="635"/>
            <wp:docPr id="11" name="图片 11" descr="图片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1" name="图片 11" descr="图片8"/>
                    <pic:cNvPicPr>
                      <a:picLocks noChangeAspect="true"/>
                    </pic:cNvPicPr>
                  </pic:nvPicPr>
                  <pic:blipFill>
                    <a:blip r:embed="rId14"/>
                    <a:stretch>
                      <a:fillRect/>
                    </a:stretch>
                  </pic:blipFill>
                  <pic:spPr>
                    <a:xfrm>
                      <a:off x="0" y="0"/>
                      <a:ext cx="4590415" cy="2761615"/>
                    </a:xfrm>
                    <a:prstGeom prst="rect">
                      <a:avLst/>
                    </a:prstGeom>
                  </pic:spPr>
                </pic:pic>
              </a:graphicData>
            </a:graphic>
          </wp:inline>
        </w:drawing>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1.因公出国（境）经费支出101.8</w:t>
      </w:r>
      <w:r>
        <w:rPr>
          <w:rFonts w:hint="eastAsia" w:eastAsia="仿宋_GB2312" w:cs="仿宋_GB2312"/>
          <w:b/>
          <w:bCs/>
          <w:color w:val="auto"/>
          <w:kern w:val="2"/>
          <w:sz w:val="32"/>
          <w:szCs w:val="32"/>
          <w:highlight w:val="none"/>
          <w:lang w:val="en-US" w:eastAsia="zh-CN" w:bidi="ar-SA"/>
        </w:rPr>
        <w:t>5</w:t>
      </w:r>
      <w:r>
        <w:rPr>
          <w:rFonts w:hint="eastAsia" w:ascii="Times New Roman" w:hAnsi="Times New Roman" w:eastAsia="仿宋_GB2312" w:cs="仿宋_GB2312"/>
          <w:b/>
          <w:bCs/>
          <w:color w:val="auto"/>
          <w:kern w:val="2"/>
          <w:sz w:val="32"/>
          <w:szCs w:val="32"/>
          <w:highlight w:val="none"/>
          <w:lang w:val="en-US" w:eastAsia="zh-CN" w:bidi="ar-SA"/>
        </w:rPr>
        <w:t>万元，完成预算</w:t>
      </w:r>
      <w:r>
        <w:rPr>
          <w:rFonts w:hint="eastAsia" w:eastAsia="仿宋_GB2312" w:cs="仿宋_GB2312"/>
          <w:b/>
          <w:bCs/>
          <w:color w:val="auto"/>
          <w:kern w:val="2"/>
          <w:sz w:val="32"/>
          <w:szCs w:val="32"/>
          <w:highlight w:val="none"/>
          <w:lang w:val="en-US" w:eastAsia="zh-CN" w:bidi="ar-SA"/>
        </w:rPr>
        <w:t>95.3</w:t>
      </w:r>
      <w:r>
        <w:rPr>
          <w:rFonts w:hint="eastAsia" w:ascii="Times New Roman" w:hAnsi="Times New Roman" w:eastAsia="仿宋_GB2312" w:cs="仿宋_GB2312"/>
          <w:b/>
          <w:bCs/>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全年安排因公出国（境）团组</w:t>
      </w:r>
      <w:r>
        <w:rPr>
          <w:rFonts w:hint="default" w:ascii="Times New Roman" w:hAnsi="Times New Roman" w:eastAsia="仿宋_GB2312" w:cs="Times New Roman"/>
          <w:sz w:val="32"/>
          <w:szCs w:val="32"/>
        </w:rPr>
        <w:t>3</w:t>
      </w:r>
      <w:r>
        <w:rPr>
          <w:rFonts w:hint="default" w:ascii="Times New Roman" w:hAnsi="Times New Roman" w:eastAsia="仿宋_GB2312" w:cs="Times New Roman"/>
          <w:color w:val="auto"/>
          <w:kern w:val="2"/>
          <w:sz w:val="32"/>
          <w:szCs w:val="32"/>
          <w:highlight w:val="none"/>
          <w:lang w:val="en-US" w:eastAsia="zh-CN" w:bidi="ar-SA"/>
        </w:rPr>
        <w:t>次，出国（境）</w:t>
      </w:r>
      <w:r>
        <w:rPr>
          <w:rFonts w:hint="default" w:ascii="Times New Roman" w:hAnsi="Times New Roman" w:eastAsia="仿宋_GB2312" w:cs="Times New Roman"/>
          <w:sz w:val="32"/>
          <w:szCs w:val="32"/>
        </w:rPr>
        <w:t>12</w:t>
      </w:r>
      <w:r>
        <w:rPr>
          <w:rFonts w:hint="default" w:ascii="Times New Roman" w:hAnsi="Times New Roman" w:eastAsia="仿宋_GB2312" w:cs="Times New Roman"/>
          <w:color w:val="auto"/>
          <w:kern w:val="2"/>
          <w:sz w:val="32"/>
          <w:szCs w:val="32"/>
          <w:highlight w:val="none"/>
          <w:lang w:val="en-US" w:eastAsia="zh-CN" w:bidi="ar-SA"/>
        </w:rPr>
        <w:t>人。因公出国（境）支出决算比2023年增加57.78万元，增长131.1%。主要原因是按照工作计划安排2024年出国团组次数较2023年增加。</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开支内容包括：</w:t>
      </w:r>
      <w:r>
        <w:rPr>
          <w:rFonts w:hint="default" w:ascii="Times New Roman" w:hAnsi="Times New Roman" w:eastAsia="仿宋_GB2312" w:cs="Times New Roman"/>
          <w:color w:val="auto"/>
          <w:kern w:val="2"/>
          <w:sz w:val="32"/>
          <w:szCs w:val="32"/>
          <w:highlight w:val="none"/>
          <w:lang w:val="en-US" w:eastAsia="zh-CN" w:bidi="ar-SA"/>
        </w:rPr>
        <w:t>一是厅相关领导出访团组赴英国、爱尔兰、西班牙开展经贸</w:t>
      </w:r>
      <w:r>
        <w:rPr>
          <w:rFonts w:hint="eastAsia" w:eastAsia="仿宋_GB2312" w:cs="Times New Roman"/>
          <w:color w:val="auto"/>
          <w:kern w:val="2"/>
          <w:sz w:val="32"/>
          <w:szCs w:val="32"/>
          <w:highlight w:val="none"/>
          <w:lang w:val="en-US" w:eastAsia="zh-CN" w:bidi="ar-SA"/>
        </w:rPr>
        <w:t>交流</w:t>
      </w:r>
      <w:r>
        <w:rPr>
          <w:rFonts w:hint="default" w:ascii="Times New Roman" w:hAnsi="Times New Roman" w:eastAsia="仿宋_GB2312" w:cs="Times New Roman"/>
          <w:color w:val="auto"/>
          <w:kern w:val="2"/>
          <w:sz w:val="32"/>
          <w:szCs w:val="32"/>
          <w:highlight w:val="none"/>
          <w:lang w:val="en-US" w:eastAsia="zh-CN" w:bidi="ar-SA"/>
        </w:rPr>
        <w:t>合作</w:t>
      </w:r>
      <w:r>
        <w:rPr>
          <w:rFonts w:hint="eastAsia"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举办四川装备制造产业专场推介会，进一步扩大了四川装备制造产业的全球影响力；二是厅相关领导出访团组赴美国开展经贸交流合作</w:t>
      </w:r>
      <w:r>
        <w:rPr>
          <w:rFonts w:hint="eastAsia"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举办四川制造业推介座谈会，推动威斯卡特公司与福特公司加强合作，并加大在国内配套力度。三是厅相关领导出访团组赴意大利、德国开展经贸交流合作</w:t>
      </w:r>
      <w:r>
        <w:rPr>
          <w:rFonts w:hint="eastAsia"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推动中外项目合作</w:t>
      </w:r>
      <w:r>
        <w:rPr>
          <w:rFonts w:hint="eastAsia"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举办“四川—法兰克福制造业推介会暨企业对接会”，探寻“四川制造”出海新路径，提升我省优势产品影响力。</w:t>
      </w:r>
    </w:p>
    <w:p>
      <w:pPr>
        <w:spacing w:line="600" w:lineRule="exact"/>
        <w:ind w:firstLine="640"/>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2.公务用车购置及运行维护费支出144.02</w:t>
      </w:r>
      <w:r>
        <w:rPr>
          <w:rFonts w:hint="eastAsia" w:ascii="仿宋_GB2312" w:hAnsi="仿宋_GB2312" w:eastAsia="仿宋_GB2312" w:cs="仿宋_GB2312"/>
          <w:b/>
          <w:bCs/>
          <w:color w:val="auto"/>
          <w:kern w:val="2"/>
          <w:sz w:val="32"/>
          <w:szCs w:val="32"/>
          <w:highlight w:val="none"/>
          <w:lang w:val="en-US" w:eastAsia="zh-CN" w:bidi="ar-SA"/>
        </w:rPr>
        <w:t>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完成预算</w:t>
      </w:r>
      <w:r>
        <w:rPr>
          <w:rFonts w:hint="eastAsia" w:eastAsia="仿宋_GB2312" w:cs="仿宋_GB2312"/>
          <w:b/>
          <w:bCs/>
          <w:color w:val="auto"/>
          <w:kern w:val="2"/>
          <w:sz w:val="32"/>
          <w:szCs w:val="32"/>
          <w:highlight w:val="none"/>
          <w:lang w:val="en-US" w:eastAsia="zh-CN" w:bidi="ar-SA"/>
        </w:rPr>
        <w:t>87.8</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公务用车购置及运行维护费支出决算比2023年度减少</w:t>
      </w:r>
      <w:r>
        <w:rPr>
          <w:rFonts w:hint="eastAsia" w:eastAsia="仿宋_GB2312" w:cs="仿宋_GB2312"/>
          <w:color w:val="auto"/>
          <w:kern w:val="2"/>
          <w:sz w:val="32"/>
          <w:szCs w:val="32"/>
          <w:highlight w:val="none"/>
          <w:lang w:val="en-US" w:eastAsia="zh-CN" w:bidi="ar-SA"/>
        </w:rPr>
        <w:t>17.08</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10.6</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default" w:ascii="Times New Roman" w:hAnsi="Times New Roman" w:eastAsia="仿宋_GB2312" w:cs="Times New Roman"/>
          <w:kern w:val="2"/>
          <w:sz w:val="32"/>
          <w:szCs w:val="32"/>
          <w:highlight w:val="none"/>
          <w:lang w:val="en-US" w:eastAsia="zh-CN" w:bidi="ar-SA"/>
        </w:rPr>
        <w:t>厉行节约，压减支出。</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其中：公务用车购置支出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color w:val="auto"/>
          <w:kern w:val="2"/>
          <w:sz w:val="32"/>
          <w:szCs w:val="32"/>
          <w:highlight w:val="none"/>
          <w:lang w:val="en-US" w:eastAsia="zh-CN" w:bidi="ar-SA"/>
        </w:rPr>
        <w:t>万元。全年按规定更新购置公务用车0辆。截至2024年12月31日，单位共有公务用车42辆，其中：</w:t>
      </w:r>
      <w:r>
        <w:rPr>
          <w:rFonts w:hint="default" w:ascii="Times New Roman" w:hAnsi="Times New Roman" w:eastAsia="仿宋_GB2312" w:cs="Times New Roman"/>
          <w:color w:val="auto"/>
          <w:sz w:val="32"/>
          <w:szCs w:val="32"/>
          <w:highlight w:val="none"/>
        </w:rPr>
        <w:t>轿车</w:t>
      </w:r>
      <w:r>
        <w:rPr>
          <w:rFonts w:hint="default" w:ascii="Times New Roman" w:hAnsi="Times New Roman" w:eastAsia="仿宋_GB2312" w:cs="Times New Roman"/>
          <w:color w:val="auto"/>
          <w:sz w:val="32"/>
          <w:szCs w:val="32"/>
          <w:highlight w:val="none"/>
          <w:lang w:val="en-US" w:eastAsia="zh-CN"/>
        </w:rPr>
        <w:t>27</w:t>
      </w:r>
      <w:r>
        <w:rPr>
          <w:rFonts w:hint="default" w:ascii="Times New Roman" w:hAnsi="Times New Roman" w:eastAsia="仿宋_GB2312" w:cs="Times New Roman"/>
          <w:color w:val="auto"/>
          <w:sz w:val="32"/>
          <w:szCs w:val="32"/>
          <w:highlight w:val="none"/>
        </w:rPr>
        <w:t>辆、越野车</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辆、载客汽车</w:t>
      </w:r>
      <w:r>
        <w:rPr>
          <w:rFonts w:hint="default" w:ascii="Times New Roman" w:hAnsi="Times New Roman" w:eastAsia="仿宋_GB2312" w:cs="Times New Roman"/>
          <w:color w:val="auto"/>
          <w:sz w:val="32"/>
          <w:szCs w:val="32"/>
          <w:highlight w:val="none"/>
          <w:lang w:val="en-US" w:eastAsia="zh-CN"/>
        </w:rPr>
        <w:t>11</w:t>
      </w:r>
      <w:r>
        <w:rPr>
          <w:rFonts w:hint="default" w:ascii="Times New Roman" w:hAnsi="Times New Roman" w:eastAsia="仿宋_GB2312" w:cs="Times New Roman"/>
          <w:color w:val="auto"/>
          <w:sz w:val="32"/>
          <w:szCs w:val="32"/>
          <w:highlight w:val="none"/>
        </w:rPr>
        <w:t>辆。</w:t>
      </w:r>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2"/>
          <w:sz w:val="32"/>
          <w:szCs w:val="32"/>
          <w:highlight w:val="none"/>
          <w:lang w:val="en-US" w:eastAsia="zh-CN" w:bidi="ar-SA"/>
        </w:rPr>
        <w:t>公务用车运行维护费支出144.02万元。主要用于</w:t>
      </w:r>
      <w:r>
        <w:rPr>
          <w:rFonts w:hint="default" w:ascii="Times New Roman" w:hAnsi="Times New Roman" w:eastAsia="仿宋_GB2312" w:cs="Times New Roman"/>
          <w:color w:val="auto"/>
          <w:sz w:val="32"/>
          <w:szCs w:val="32"/>
          <w:highlight w:val="none"/>
        </w:rPr>
        <w:t>经济运行调研、督查走访、参加会议等所需的公务用车燃料费、维修费、过路过桥费、保险费等支出。</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3.公务接待费支出1.17万元，完成预算29.3%。</w:t>
      </w:r>
      <w:r>
        <w:rPr>
          <w:rFonts w:hint="default" w:ascii="Times New Roman" w:hAnsi="Times New Roman" w:eastAsia="仿宋_GB2312" w:cs="Times New Roman"/>
          <w:color w:val="auto"/>
          <w:kern w:val="2"/>
          <w:sz w:val="32"/>
          <w:szCs w:val="32"/>
          <w:highlight w:val="none"/>
          <w:lang w:val="en-US" w:eastAsia="zh-CN" w:bidi="ar-SA"/>
        </w:rPr>
        <w:t>公务接待费支出决算比2023年度减少0.03万元，下降2.5%。主要原因是</w:t>
      </w:r>
      <w:r>
        <w:rPr>
          <w:rFonts w:hint="default" w:ascii="Times New Roman" w:hAnsi="Times New Roman" w:eastAsia="仿宋_GB2312" w:cs="Times New Roman"/>
          <w:color w:val="auto"/>
          <w:sz w:val="32"/>
          <w:szCs w:val="32"/>
          <w:highlight w:val="none"/>
        </w:rPr>
        <w:t>我厅贯彻国家出台的“八项规定”以及省委、省政府出台的“十项规定”精神，</w:t>
      </w:r>
      <w:r>
        <w:rPr>
          <w:rFonts w:hint="default" w:ascii="Times New Roman" w:hAnsi="Times New Roman" w:eastAsia="仿宋_GB2312" w:cs="Times New Roman"/>
          <w:kern w:val="2"/>
          <w:sz w:val="32"/>
          <w:szCs w:val="32"/>
          <w:highlight w:val="none"/>
          <w:lang w:val="en-US" w:eastAsia="zh-CN" w:bidi="ar-SA"/>
        </w:rPr>
        <w:t>厉行节约。</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国内公务接待支出</w:t>
      </w:r>
      <w:bookmarkStart w:id="41" w:name="OLE_LINK1"/>
      <w:r>
        <w:rPr>
          <w:rFonts w:hint="default" w:ascii="Times New Roman" w:hAnsi="Times New Roman" w:eastAsia="仿宋_GB2312" w:cs="Times New Roman"/>
          <w:sz w:val="32"/>
          <w:szCs w:val="32"/>
          <w:lang w:val="en-US" w:eastAsia="zh-CN"/>
        </w:rPr>
        <w:t>1.17</w:t>
      </w:r>
      <w:bookmarkEnd w:id="41"/>
      <w:r>
        <w:rPr>
          <w:rFonts w:hint="default" w:ascii="Times New Roman" w:hAnsi="Times New Roman" w:eastAsia="仿宋_GB2312" w:cs="Times New Roman"/>
          <w:color w:val="auto"/>
          <w:kern w:val="2"/>
          <w:sz w:val="32"/>
          <w:szCs w:val="32"/>
          <w:highlight w:val="none"/>
          <w:lang w:val="en-US" w:eastAsia="zh-CN" w:bidi="ar-SA"/>
        </w:rPr>
        <w:t>万元，主要用于</w:t>
      </w:r>
      <w:r>
        <w:rPr>
          <w:rFonts w:hint="default" w:ascii="Times New Roman" w:hAnsi="Times New Roman" w:eastAsia="仿宋_GB2312" w:cs="Times New Roman"/>
          <w:color w:val="auto"/>
          <w:sz w:val="32"/>
          <w:szCs w:val="32"/>
        </w:rPr>
        <w:t>执行公务、开展业务活动开支的用餐费等</w:t>
      </w:r>
      <w:r>
        <w:rPr>
          <w:rFonts w:hint="default" w:ascii="Times New Roman" w:hAnsi="Times New Roman" w:eastAsia="仿宋_GB2312" w:cs="Times New Roman"/>
          <w:color w:val="auto"/>
          <w:sz w:val="32"/>
          <w:szCs w:val="32"/>
          <w:highlight w:val="none"/>
        </w:rPr>
        <w:t>。国内公务接待</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批次，</w:t>
      </w:r>
      <w:r>
        <w:rPr>
          <w:rFonts w:hint="default" w:ascii="Times New Roman" w:hAnsi="Times New Roman" w:eastAsia="仿宋_GB2312" w:cs="Times New Roman"/>
          <w:color w:val="auto"/>
          <w:sz w:val="32"/>
          <w:szCs w:val="32"/>
          <w:highlight w:val="none"/>
          <w:lang w:val="en-US" w:eastAsia="zh-CN"/>
        </w:rPr>
        <w:t>60</w:t>
      </w:r>
      <w:r>
        <w:rPr>
          <w:rFonts w:hint="default" w:ascii="Times New Roman" w:hAnsi="Times New Roman" w:eastAsia="仿宋_GB2312" w:cs="Times New Roman"/>
          <w:color w:val="auto"/>
          <w:sz w:val="32"/>
          <w:szCs w:val="32"/>
          <w:highlight w:val="none"/>
        </w:rPr>
        <w:t>人次</w:t>
      </w:r>
      <w:r>
        <w:rPr>
          <w:rFonts w:hint="default" w:ascii="Times New Roman" w:hAnsi="Times New Roman" w:eastAsia="仿宋_GB2312" w:cs="Times New Roman"/>
          <w:color w:val="auto"/>
          <w:kern w:val="2"/>
          <w:sz w:val="32"/>
          <w:szCs w:val="32"/>
          <w:highlight w:val="none"/>
          <w:lang w:val="en-US" w:eastAsia="zh-CN" w:bidi="ar-SA"/>
        </w:rPr>
        <w:t>，共计支出</w:t>
      </w:r>
      <w:r>
        <w:rPr>
          <w:rFonts w:hint="default" w:ascii="Times New Roman" w:hAnsi="Times New Roman" w:eastAsia="仿宋_GB2312" w:cs="Times New Roman"/>
          <w:sz w:val="32"/>
          <w:szCs w:val="32"/>
          <w:lang w:val="en-US" w:eastAsia="zh-CN"/>
        </w:rPr>
        <w:t>1.17</w:t>
      </w:r>
      <w:r>
        <w:rPr>
          <w:rFonts w:hint="default" w:ascii="Times New Roman" w:hAnsi="Times New Roman" w:eastAsia="仿宋_GB2312" w:cs="Times New Roman"/>
          <w:color w:val="auto"/>
          <w:kern w:val="2"/>
          <w:sz w:val="32"/>
          <w:szCs w:val="32"/>
          <w:highlight w:val="none"/>
          <w:lang w:val="en-US" w:eastAsia="zh-CN" w:bidi="ar-SA"/>
        </w:rPr>
        <w:t>万元，具体内容包括：</w:t>
      </w:r>
      <w:r>
        <w:rPr>
          <w:rFonts w:hint="default" w:ascii="Times New Roman" w:hAnsi="Times New Roman" w:eastAsia="仿宋_GB2312" w:cs="Times New Roman"/>
          <w:sz w:val="32"/>
          <w:szCs w:val="32"/>
          <w:lang w:val="en-US" w:eastAsia="zh-CN"/>
        </w:rPr>
        <w:t>接待上级部门来川调研、指导工作等0.56万元；接待兄弟省（市）来川调研、业务交流合作等0.61万元</w:t>
      </w:r>
      <w:r>
        <w:rPr>
          <w:rFonts w:hint="default" w:ascii="Times New Roman" w:hAnsi="Times New Roman" w:eastAsia="仿宋_GB2312" w:cs="Times New Roman"/>
          <w:color w:val="auto"/>
          <w:kern w:val="2"/>
          <w:sz w:val="32"/>
          <w:szCs w:val="32"/>
          <w:highlight w:val="none"/>
          <w:lang w:val="en-US" w:eastAsia="zh-CN" w:bidi="ar-SA"/>
        </w:rPr>
        <w:t>。</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外事接待支出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万元。外事接待</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批次，</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人次。</w:t>
      </w:r>
      <w:bookmarkStart w:id="42" w:name="_Toc15377218"/>
      <w:bookmarkStart w:id="43" w:name="_Toc15396610"/>
    </w:p>
    <w:p>
      <w:pPr>
        <w:pStyle w:val="2"/>
        <w:rPr>
          <w:rFonts w:hint="default"/>
          <w:lang w:val="en-US" w:eastAsia="zh-CN"/>
        </w:rPr>
      </w:pPr>
    </w:p>
    <w:p>
      <w:pPr>
        <w:spacing w:line="600" w:lineRule="exact"/>
        <w:ind w:firstLine="640"/>
        <w:outlineLvl w:val="1"/>
        <w:rPr>
          <w:rStyle w:val="31"/>
          <w:rFonts w:ascii="Times New Roman" w:hAnsi="Times New Roman" w:eastAsia="黑体"/>
          <w:color w:val="auto"/>
          <w:highlight w:val="none"/>
        </w:rPr>
      </w:pPr>
      <w:r>
        <w:rPr>
          <w:rFonts w:hint="eastAsia" w:ascii="Times New Roman" w:hAnsi="Times New Roman" w:eastAsia="黑体"/>
          <w:color w:val="auto"/>
          <w:sz w:val="32"/>
          <w:szCs w:val="32"/>
          <w:highlight w:val="none"/>
        </w:rPr>
        <w:t>八、</w:t>
      </w:r>
      <w:r>
        <w:rPr>
          <w:rStyle w:val="31"/>
          <w:rFonts w:hint="eastAsia" w:ascii="Times New Roman" w:hAnsi="Times New Roman" w:eastAsia="黑体"/>
          <w:b w:val="0"/>
          <w:color w:val="auto"/>
          <w:highlight w:val="none"/>
        </w:rPr>
        <w:t>政府性基金预算支出决算情况说明</w:t>
      </w:r>
      <w:bookmarkEnd w:id="42"/>
      <w:bookmarkEnd w:id="43"/>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2024年度政府性基金预算财政拨款支出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sz w:val="32"/>
          <w:szCs w:val="32"/>
          <w:highlight w:val="none"/>
          <w:lang w:eastAsia="zh-CN"/>
        </w:rPr>
        <w:t>与上年度持平。</w:t>
      </w:r>
    </w:p>
    <w:p>
      <w:pPr>
        <w:numPr>
          <w:ilvl w:val="0"/>
          <w:numId w:val="0"/>
        </w:numPr>
        <w:spacing w:line="600" w:lineRule="exact"/>
        <w:ind w:left="630" w:leftChars="0"/>
        <w:outlineLvl w:val="1"/>
        <w:rPr>
          <w:rStyle w:val="31"/>
          <w:rFonts w:ascii="Times New Roman" w:hAnsi="Times New Roman" w:eastAsia="黑体"/>
          <w:b w:val="0"/>
          <w:color w:val="auto"/>
          <w:highlight w:val="none"/>
        </w:rPr>
      </w:pPr>
      <w:bookmarkStart w:id="44" w:name="_Toc15377219"/>
      <w:bookmarkStart w:id="45" w:name="_Toc15396611"/>
      <w:r>
        <w:rPr>
          <w:rStyle w:val="31"/>
          <w:rFonts w:hint="eastAsia" w:ascii="Times New Roman" w:hAnsi="Times New Roman" w:eastAsia="黑体"/>
          <w:b w:val="0"/>
          <w:color w:val="auto"/>
          <w:highlight w:val="none"/>
          <w:lang w:eastAsia="zh-CN"/>
        </w:rPr>
        <w:t>九、</w:t>
      </w:r>
      <w:r>
        <w:rPr>
          <w:rStyle w:val="31"/>
          <w:rFonts w:hint="eastAsia" w:ascii="Times New Roman" w:hAnsi="Times New Roman" w:eastAsia="黑体"/>
          <w:b w:val="0"/>
          <w:color w:val="auto"/>
          <w:highlight w:val="none"/>
        </w:rPr>
        <w:t>国有资本经营预算支出决算情况说明</w:t>
      </w:r>
      <w:bookmarkEnd w:id="44"/>
      <w:bookmarkEnd w:id="45"/>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2024年度国有资本经营预算财政拨款支出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sz w:val="32"/>
          <w:szCs w:val="32"/>
          <w:highlight w:val="none"/>
          <w:lang w:eastAsia="zh-CN"/>
        </w:rPr>
        <w:t>与上年度持平。</w:t>
      </w:r>
    </w:p>
    <w:p>
      <w:pPr>
        <w:numPr>
          <w:ilvl w:val="0"/>
          <w:numId w:val="0"/>
        </w:numPr>
        <w:spacing w:line="600" w:lineRule="exact"/>
        <w:ind w:left="630" w:leftChars="0"/>
        <w:outlineLvl w:val="1"/>
        <w:rPr>
          <w:rStyle w:val="31"/>
          <w:rFonts w:hint="eastAsia" w:ascii="Times New Roman" w:hAnsi="Times New Roman" w:eastAsia="黑体"/>
          <w:b w:val="0"/>
          <w:color w:val="auto"/>
          <w:highlight w:val="none"/>
          <w:lang w:eastAsia="zh-CN"/>
        </w:rPr>
      </w:pPr>
      <w:bookmarkStart w:id="46" w:name="_Toc15377221"/>
      <w:bookmarkStart w:id="47" w:name="_Toc15396612"/>
    </w:p>
    <w:p>
      <w:pPr>
        <w:numPr>
          <w:ilvl w:val="0"/>
          <w:numId w:val="0"/>
        </w:numPr>
        <w:spacing w:line="600" w:lineRule="exact"/>
        <w:ind w:left="630" w:leftChars="0"/>
        <w:outlineLvl w:val="1"/>
        <w:rPr>
          <w:rStyle w:val="31"/>
          <w:rFonts w:hint="eastAsia" w:ascii="Times New Roman" w:hAnsi="Times New Roman" w:eastAsia="黑体"/>
          <w:b w:val="0"/>
          <w:color w:val="auto"/>
          <w:highlight w:val="none"/>
        </w:rPr>
      </w:pPr>
      <w:r>
        <w:rPr>
          <w:rStyle w:val="31"/>
          <w:rFonts w:hint="eastAsia" w:ascii="Times New Roman" w:hAnsi="Times New Roman" w:eastAsia="黑体"/>
          <w:b w:val="0"/>
          <w:color w:val="auto"/>
          <w:highlight w:val="none"/>
          <w:lang w:eastAsia="zh-CN"/>
        </w:rPr>
        <w:t>十、</w:t>
      </w:r>
      <w:r>
        <w:rPr>
          <w:rStyle w:val="31"/>
          <w:rFonts w:hint="eastAsia" w:ascii="Times New Roman" w:hAnsi="Times New Roman" w:eastAsia="黑体"/>
          <w:b w:val="0"/>
          <w:color w:val="auto"/>
          <w:highlight w:val="none"/>
        </w:rPr>
        <w:t>其他重要事项的情况说明</w:t>
      </w:r>
      <w:bookmarkEnd w:id="46"/>
      <w:bookmarkEnd w:id="47"/>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8" w:name="_Toc15377222"/>
      <w:r>
        <w:rPr>
          <w:rFonts w:hint="eastAsia" w:ascii="Times New Roman" w:hAnsi="Times New Roman" w:eastAsia="楷体_GB2312" w:cs="楷体_GB2312"/>
          <w:b/>
          <w:color w:val="auto"/>
          <w:sz w:val="32"/>
          <w:szCs w:val="32"/>
          <w:highlight w:val="none"/>
        </w:rPr>
        <w:t>（一）机关运行经费支出情况</w:t>
      </w:r>
      <w:bookmarkEnd w:id="48"/>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w:t>
      </w:r>
      <w:r>
        <w:rPr>
          <w:rFonts w:hint="default" w:ascii="Times New Roman" w:hAnsi="Times New Roman" w:eastAsia="仿宋_GB2312" w:cs="Times New Roman"/>
          <w:sz w:val="32"/>
          <w:szCs w:val="32"/>
        </w:rPr>
        <w:t>四川省经济和信息化厅</w:t>
      </w:r>
      <w:r>
        <w:rPr>
          <w:rFonts w:hint="default" w:ascii="Times New Roman" w:hAnsi="Times New Roman" w:eastAsia="仿宋_GB2312" w:cs="Times New Roman"/>
          <w:color w:val="auto"/>
          <w:kern w:val="2"/>
          <w:sz w:val="32"/>
          <w:szCs w:val="32"/>
          <w:highlight w:val="none"/>
          <w:lang w:val="en-US" w:eastAsia="zh-CN" w:bidi="ar-SA"/>
        </w:rPr>
        <w:t>机关运行经费支出294</w:t>
      </w:r>
      <w:r>
        <w:rPr>
          <w:rFonts w:hint="eastAsia" w:eastAsia="仿宋_GB2312" w:cs="Times New Roman"/>
          <w:color w:val="auto"/>
          <w:kern w:val="2"/>
          <w:sz w:val="32"/>
          <w:szCs w:val="32"/>
          <w:highlight w:val="none"/>
          <w:lang w:val="en-US" w:eastAsia="zh-CN" w:bidi="ar-SA"/>
        </w:rPr>
        <w:t>2.74</w:t>
      </w:r>
      <w:r>
        <w:rPr>
          <w:rFonts w:hint="default" w:ascii="Times New Roman" w:hAnsi="Times New Roman" w:eastAsia="仿宋_GB2312" w:cs="Times New Roman"/>
          <w:color w:val="auto"/>
          <w:kern w:val="2"/>
          <w:sz w:val="32"/>
          <w:szCs w:val="32"/>
          <w:highlight w:val="none"/>
          <w:lang w:val="en-US" w:eastAsia="zh-CN" w:bidi="ar-SA"/>
        </w:rPr>
        <w:t>万元，比2023年度增加</w:t>
      </w:r>
      <w:r>
        <w:rPr>
          <w:rFonts w:hint="eastAsia" w:eastAsia="仿宋_GB2312" w:cs="Times New Roman"/>
          <w:color w:val="auto"/>
          <w:kern w:val="2"/>
          <w:sz w:val="32"/>
          <w:szCs w:val="32"/>
          <w:highlight w:val="none"/>
          <w:lang w:val="en-US" w:eastAsia="zh-CN" w:bidi="ar-SA"/>
        </w:rPr>
        <w:t>206.88</w:t>
      </w:r>
      <w:r>
        <w:rPr>
          <w:rFonts w:hint="default" w:ascii="Times New Roman" w:hAnsi="Times New Roman" w:eastAsia="仿宋_GB2312" w:cs="Times New Roman"/>
          <w:color w:val="auto"/>
          <w:kern w:val="2"/>
          <w:sz w:val="32"/>
          <w:szCs w:val="32"/>
          <w:highlight w:val="none"/>
          <w:lang w:val="en-US" w:eastAsia="zh-CN" w:bidi="ar-SA"/>
        </w:rPr>
        <w:t>万元，增长</w:t>
      </w:r>
      <w:r>
        <w:rPr>
          <w:rFonts w:hint="eastAsia" w:eastAsia="仿宋_GB2312" w:cs="Times New Roman"/>
          <w:color w:val="auto"/>
          <w:kern w:val="2"/>
          <w:sz w:val="32"/>
          <w:szCs w:val="32"/>
          <w:highlight w:val="none"/>
          <w:lang w:val="en-US" w:eastAsia="zh-CN" w:bidi="ar-SA"/>
        </w:rPr>
        <w:t>7.6</w:t>
      </w:r>
      <w:r>
        <w:rPr>
          <w:rFonts w:hint="default" w:ascii="Times New Roman" w:hAnsi="Times New Roman" w:eastAsia="仿宋_GB2312" w:cs="Times New Roman"/>
          <w:color w:val="auto"/>
          <w:kern w:val="2"/>
          <w:sz w:val="32"/>
          <w:szCs w:val="32"/>
          <w:highlight w:val="none"/>
          <w:lang w:val="en-US" w:eastAsia="zh-CN" w:bidi="ar-SA"/>
        </w:rPr>
        <w:t>%。主要原因是预算结构的调整，2023年公务交通费用编制在人员经费中，2024年按照财政厅相关要求，将公务交通费用编入公用经费。</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9" w:name="_Toc15377223"/>
      <w:r>
        <w:rPr>
          <w:rFonts w:hint="eastAsia" w:ascii="Times New Roman" w:hAnsi="Times New Roman" w:eastAsia="楷体_GB2312" w:cs="楷体_GB2312"/>
          <w:b/>
          <w:color w:val="auto"/>
          <w:sz w:val="32"/>
          <w:szCs w:val="32"/>
          <w:highlight w:val="none"/>
        </w:rPr>
        <w:t>（二）政府采购支出情况</w:t>
      </w:r>
      <w:bookmarkEnd w:id="49"/>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w:t>
      </w:r>
      <w:r>
        <w:rPr>
          <w:rFonts w:hint="default" w:ascii="Times New Roman" w:hAnsi="Times New Roman" w:eastAsia="仿宋_GB2312" w:cs="Times New Roman"/>
          <w:color w:val="auto"/>
          <w:sz w:val="32"/>
          <w:szCs w:val="32"/>
          <w:highlight w:val="none"/>
        </w:rPr>
        <w:t>四川省经济和信息化厅机关</w:t>
      </w:r>
      <w:r>
        <w:rPr>
          <w:rFonts w:hint="eastAsia" w:eastAsia="仿宋_GB2312" w:cs="Times New Roman"/>
          <w:color w:val="auto"/>
          <w:sz w:val="32"/>
          <w:szCs w:val="32"/>
          <w:highlight w:val="none"/>
          <w:lang w:eastAsia="zh-CN"/>
        </w:rPr>
        <w:t>政府</w:t>
      </w:r>
      <w:r>
        <w:rPr>
          <w:rFonts w:hint="default" w:ascii="Times New Roman" w:hAnsi="Times New Roman" w:eastAsia="仿宋_GB2312" w:cs="Times New Roman"/>
          <w:color w:val="auto"/>
          <w:kern w:val="2"/>
          <w:sz w:val="32"/>
          <w:szCs w:val="32"/>
          <w:highlight w:val="none"/>
          <w:lang w:val="en-US" w:eastAsia="zh-CN" w:bidi="ar-SA"/>
        </w:rPr>
        <w:t>采购支出总额</w:t>
      </w:r>
      <w:r>
        <w:rPr>
          <w:rFonts w:hint="default" w:ascii="Times New Roman" w:hAnsi="Times New Roman" w:eastAsia="仿宋_GB2312" w:cs="Times New Roman"/>
          <w:bCs/>
          <w:color w:val="auto"/>
          <w:sz w:val="32"/>
          <w:szCs w:val="32"/>
          <w:lang w:val="en-US" w:eastAsia="zh-CN"/>
        </w:rPr>
        <w:t>6606.62</w:t>
      </w:r>
      <w:r>
        <w:rPr>
          <w:rFonts w:hint="default" w:ascii="Times New Roman" w:hAnsi="Times New Roman" w:eastAsia="仿宋_GB2312" w:cs="Times New Roman"/>
          <w:color w:val="auto"/>
          <w:sz w:val="32"/>
          <w:szCs w:val="32"/>
          <w:highlight w:val="none"/>
        </w:rPr>
        <w:t>万元，其中：政府采购货物支出30</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0</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万元、政府采购工程支出</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万元、政府采购服务支出6630</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kern w:val="2"/>
          <w:sz w:val="32"/>
          <w:szCs w:val="32"/>
          <w:highlight w:val="none"/>
          <w:lang w:val="en-US" w:eastAsia="zh-CN" w:bidi="ar-SA"/>
        </w:rPr>
        <w:t>。主要用于</w:t>
      </w:r>
      <w:bookmarkStart w:id="69" w:name="_GoBack"/>
      <w:bookmarkEnd w:id="69"/>
      <w:r>
        <w:rPr>
          <w:rFonts w:hint="default" w:ascii="Times New Roman" w:hAnsi="Times New Roman" w:eastAsia="仿宋_GB2312" w:cs="Times New Roman"/>
          <w:color w:val="auto"/>
          <w:sz w:val="32"/>
          <w:szCs w:val="32"/>
          <w:highlight w:val="none"/>
          <w:lang w:eastAsia="zh-CN"/>
        </w:rPr>
        <w:t>厅机关办公用房租赁、中央无线电管理经费</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融资服务体系建设系列活动、工业经济宣传等</w:t>
      </w:r>
      <w:r>
        <w:rPr>
          <w:rFonts w:hint="default" w:ascii="Times New Roman" w:hAnsi="Times New Roman" w:eastAsia="仿宋_GB2312" w:cs="Times New Roman"/>
          <w:color w:val="auto"/>
          <w:kern w:val="2"/>
          <w:sz w:val="32"/>
          <w:szCs w:val="32"/>
          <w:highlight w:val="none"/>
          <w:lang w:val="en-US" w:eastAsia="zh-CN" w:bidi="ar-SA"/>
        </w:rPr>
        <w:t>。授予中小企业合同金额</w:t>
      </w:r>
      <w:r>
        <w:rPr>
          <w:rFonts w:hint="default" w:ascii="Times New Roman" w:hAnsi="Times New Roman" w:eastAsia="仿宋_GB2312" w:cs="Times New Roman"/>
          <w:sz w:val="32"/>
          <w:szCs w:val="32"/>
        </w:rPr>
        <w:t>6082</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9</w:t>
      </w:r>
      <w:r>
        <w:rPr>
          <w:rFonts w:hint="default" w:ascii="Times New Roman" w:hAnsi="Times New Roman" w:eastAsia="仿宋_GB2312" w:cs="Times New Roman"/>
          <w:color w:val="auto"/>
          <w:kern w:val="2"/>
          <w:sz w:val="32"/>
          <w:szCs w:val="32"/>
          <w:highlight w:val="none"/>
          <w:lang w:val="en-US" w:eastAsia="zh-CN" w:bidi="ar-SA"/>
        </w:rPr>
        <w:t>万元，占政府采购支出总额的</w:t>
      </w:r>
      <w:r>
        <w:rPr>
          <w:rFonts w:hint="default" w:ascii="Times New Roman" w:hAnsi="Times New Roman" w:eastAsia="仿宋_GB2312" w:cs="Times New Roman"/>
          <w:sz w:val="32"/>
          <w:szCs w:val="32"/>
          <w:lang w:val="en-US" w:eastAsia="zh-CN"/>
        </w:rPr>
        <w:t>9</w:t>
      </w:r>
      <w:r>
        <w:rPr>
          <w:rFonts w:hint="eastAsia" w:eastAsia="仿宋_GB2312" w:cs="Times New Roman"/>
          <w:sz w:val="32"/>
          <w:szCs w:val="32"/>
          <w:lang w:val="en-US" w:eastAsia="zh-CN"/>
        </w:rPr>
        <w:t>2.1</w:t>
      </w:r>
      <w:r>
        <w:rPr>
          <w:rFonts w:hint="default" w:ascii="Times New Roman" w:hAnsi="Times New Roman" w:eastAsia="仿宋_GB2312" w:cs="Times New Roman"/>
          <w:color w:val="auto"/>
          <w:kern w:val="2"/>
          <w:sz w:val="32"/>
          <w:szCs w:val="32"/>
          <w:highlight w:val="none"/>
          <w:lang w:val="en-US" w:eastAsia="zh-CN" w:bidi="ar-SA"/>
        </w:rPr>
        <w:t>%，其中：授予小微企业合同金额</w:t>
      </w:r>
      <w:r>
        <w:rPr>
          <w:rFonts w:hint="default" w:ascii="Times New Roman" w:hAnsi="Times New Roman" w:eastAsia="仿宋_GB2312" w:cs="Times New Roman"/>
          <w:sz w:val="32"/>
          <w:szCs w:val="32"/>
        </w:rPr>
        <w:t>4323</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31</w:t>
      </w:r>
      <w:r>
        <w:rPr>
          <w:rFonts w:hint="default" w:ascii="Times New Roman" w:hAnsi="Times New Roman" w:eastAsia="仿宋_GB2312" w:cs="Times New Roman"/>
          <w:color w:val="auto"/>
          <w:kern w:val="2"/>
          <w:sz w:val="32"/>
          <w:szCs w:val="32"/>
          <w:highlight w:val="none"/>
          <w:lang w:val="en-US" w:eastAsia="zh-CN" w:bidi="ar-SA"/>
        </w:rPr>
        <w:t>万元，占政府采购支出总额的</w:t>
      </w:r>
      <w:r>
        <w:rPr>
          <w:rFonts w:hint="default" w:ascii="Times New Roman" w:hAnsi="Times New Roman" w:eastAsia="仿宋_GB2312" w:cs="Times New Roman"/>
          <w:sz w:val="32"/>
          <w:szCs w:val="32"/>
          <w:lang w:val="en-US" w:eastAsia="zh-CN"/>
        </w:rPr>
        <w:t>6</w:t>
      </w:r>
      <w:r>
        <w:rPr>
          <w:rFonts w:hint="eastAsia" w:eastAsia="仿宋_GB2312" w:cs="Times New Roman"/>
          <w:sz w:val="32"/>
          <w:szCs w:val="32"/>
          <w:lang w:val="en-US" w:eastAsia="zh-CN"/>
        </w:rPr>
        <w:t>5.4</w:t>
      </w:r>
      <w:r>
        <w:rPr>
          <w:rFonts w:hint="default" w:ascii="Times New Roman" w:hAnsi="Times New Roman" w:eastAsia="仿宋_GB2312" w:cs="Times New Roman"/>
          <w:color w:val="auto"/>
          <w:kern w:val="2"/>
          <w:sz w:val="32"/>
          <w:szCs w:val="32"/>
          <w:highlight w:val="none"/>
          <w:lang w:val="en-US" w:eastAsia="zh-CN" w:bidi="ar-SA"/>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50" w:name="_Toc15377224"/>
      <w:r>
        <w:rPr>
          <w:rFonts w:hint="eastAsia" w:ascii="Times New Roman" w:hAnsi="Times New Roman" w:eastAsia="楷体_GB2312" w:cs="楷体_GB2312"/>
          <w:b/>
          <w:color w:val="auto"/>
          <w:sz w:val="32"/>
          <w:szCs w:val="32"/>
          <w:highlight w:val="none"/>
        </w:rPr>
        <w:t>（三）国有资产占有使用情况</w:t>
      </w:r>
      <w:bookmarkEnd w:id="50"/>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截至2024年12月31日，</w:t>
      </w:r>
      <w:r>
        <w:rPr>
          <w:rFonts w:hint="default" w:ascii="Times New Roman" w:hAnsi="Times New Roman" w:eastAsia="仿宋_GB2312" w:cs="Times New Roman"/>
          <w:color w:val="auto"/>
          <w:sz w:val="32"/>
          <w:szCs w:val="32"/>
          <w:highlight w:val="none"/>
        </w:rPr>
        <w:t>四川省经济和信息化厅机关</w:t>
      </w:r>
      <w:r>
        <w:rPr>
          <w:rFonts w:hint="default" w:ascii="Times New Roman" w:hAnsi="Times New Roman" w:eastAsia="仿宋_GB2312" w:cs="Times New Roman"/>
          <w:color w:val="auto"/>
          <w:kern w:val="2"/>
          <w:sz w:val="32"/>
          <w:szCs w:val="32"/>
          <w:highlight w:val="none"/>
          <w:lang w:val="en-US" w:eastAsia="zh-CN" w:bidi="ar-SA"/>
        </w:rPr>
        <w:t>共有车辆</w:t>
      </w:r>
      <w:r>
        <w:rPr>
          <w:rFonts w:hint="default" w:ascii="Times New Roman" w:hAnsi="Times New Roman" w:eastAsia="仿宋_GB2312" w:cs="Times New Roman"/>
          <w:sz w:val="32"/>
          <w:szCs w:val="32"/>
          <w:lang w:val="en-US" w:eastAsia="zh-CN"/>
        </w:rPr>
        <w:t>42</w:t>
      </w:r>
      <w:r>
        <w:rPr>
          <w:rFonts w:hint="default" w:ascii="Times New Roman" w:hAnsi="Times New Roman" w:eastAsia="仿宋_GB2312" w:cs="Times New Roman"/>
          <w:color w:val="auto"/>
          <w:kern w:val="2"/>
          <w:sz w:val="32"/>
          <w:szCs w:val="32"/>
          <w:highlight w:val="none"/>
          <w:lang w:val="en-US" w:eastAsia="zh-CN" w:bidi="ar-SA"/>
        </w:rPr>
        <w:t>辆，其中：主要负责人用车</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color w:val="auto"/>
          <w:kern w:val="2"/>
          <w:sz w:val="32"/>
          <w:szCs w:val="32"/>
          <w:highlight w:val="none"/>
          <w:lang w:val="en-US" w:eastAsia="zh-CN" w:bidi="ar-SA"/>
        </w:rPr>
        <w:t>辆、机要通信用车</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color w:val="auto"/>
          <w:kern w:val="2"/>
          <w:sz w:val="32"/>
          <w:szCs w:val="32"/>
          <w:highlight w:val="none"/>
          <w:lang w:val="en-US" w:eastAsia="zh-CN" w:bidi="ar-SA"/>
        </w:rPr>
        <w:t>辆、应急保障用车</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color w:val="auto"/>
          <w:kern w:val="2"/>
          <w:sz w:val="32"/>
          <w:szCs w:val="32"/>
          <w:highlight w:val="none"/>
          <w:lang w:val="en-US" w:eastAsia="zh-CN" w:bidi="ar-SA"/>
        </w:rPr>
        <w:t>辆、其他用车</w:t>
      </w:r>
      <w:r>
        <w:rPr>
          <w:rFonts w:hint="default" w:ascii="Times New Roman" w:hAnsi="Times New Roman" w:eastAsia="仿宋_GB2312" w:cs="Times New Roman"/>
          <w:sz w:val="32"/>
          <w:szCs w:val="32"/>
          <w:lang w:val="en-US" w:eastAsia="zh-CN"/>
        </w:rPr>
        <w:t>36</w:t>
      </w:r>
      <w:r>
        <w:rPr>
          <w:rFonts w:hint="default" w:ascii="Times New Roman" w:hAnsi="Times New Roman" w:eastAsia="仿宋_GB2312" w:cs="Times New Roman"/>
          <w:color w:val="auto"/>
          <w:kern w:val="2"/>
          <w:sz w:val="32"/>
          <w:szCs w:val="32"/>
          <w:highlight w:val="none"/>
          <w:lang w:val="en-US" w:eastAsia="zh-CN" w:bidi="ar-SA"/>
        </w:rPr>
        <w:t>辆，其他用车主要是用于</w:t>
      </w:r>
      <w:r>
        <w:rPr>
          <w:rFonts w:hint="default" w:ascii="Times New Roman" w:hAnsi="Times New Roman" w:eastAsia="仿宋_GB2312" w:cs="Times New Roman"/>
          <w:color w:val="auto"/>
          <w:sz w:val="32"/>
          <w:szCs w:val="32"/>
          <w:highlight w:val="none"/>
        </w:rPr>
        <w:t>特种专业技术用车、离退休干部用车</w:t>
      </w:r>
      <w:r>
        <w:rPr>
          <w:rFonts w:hint="default" w:ascii="Times New Roman" w:hAnsi="Times New Roman" w:eastAsia="仿宋_GB2312" w:cs="Times New Roman"/>
          <w:color w:val="auto"/>
          <w:sz w:val="32"/>
          <w:szCs w:val="32"/>
          <w:highlight w:val="none"/>
          <w:lang w:eastAsia="zh-CN"/>
        </w:rPr>
        <w:t>等</w:t>
      </w:r>
      <w:r>
        <w:rPr>
          <w:rFonts w:hint="default" w:ascii="Times New Roman" w:hAnsi="Times New Roman" w:eastAsia="仿宋_GB2312" w:cs="Times New Roman"/>
          <w:color w:val="auto"/>
          <w:kern w:val="2"/>
          <w:sz w:val="32"/>
          <w:szCs w:val="32"/>
          <w:highlight w:val="none"/>
          <w:lang w:val="en-US" w:eastAsia="zh-CN" w:bidi="ar-SA"/>
        </w:rPr>
        <w:t>。单价100万元（含）以上设备（不含车辆）</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color w:val="auto"/>
          <w:kern w:val="2"/>
          <w:sz w:val="32"/>
          <w:szCs w:val="32"/>
          <w:highlight w:val="none"/>
          <w:lang w:val="en-US" w:eastAsia="zh-CN" w:bidi="ar-SA"/>
        </w:rPr>
        <w:t>台（套）。</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根据预算绩效管理要求，</w:t>
      </w:r>
      <w:r>
        <w:rPr>
          <w:rFonts w:hint="default" w:ascii="Times New Roman" w:hAnsi="Times New Roman" w:eastAsia="仿宋_GB2312" w:cs="Times New Roman"/>
          <w:color w:val="auto"/>
          <w:sz w:val="32"/>
          <w:szCs w:val="32"/>
          <w:highlight w:val="none"/>
          <w:lang w:eastAsia="zh-CN"/>
        </w:rPr>
        <w:t>本单位</w:t>
      </w:r>
      <w:r>
        <w:rPr>
          <w:rFonts w:hint="default" w:ascii="Times New Roman" w:hAnsi="Times New Roman" w:eastAsia="仿宋_GB2312" w:cs="Times New Roman"/>
          <w:color w:val="auto"/>
          <w:kern w:val="2"/>
          <w:sz w:val="32"/>
          <w:szCs w:val="32"/>
          <w:highlight w:val="none"/>
          <w:lang w:val="en-US" w:eastAsia="zh-CN" w:bidi="ar-SA"/>
        </w:rPr>
        <w:t>在2024年度预算编制阶段，组织对2024中央无线电管理经费、2024中国产业转移发展对接活动（四川）等2个项目开展了预算事前绩效评估，对66个项目编制了绩效目标，预算执行过程中，选取66个项目开展绩效监控。</w:t>
      </w:r>
      <w:r>
        <w:rPr>
          <w:rFonts w:hint="default" w:ascii="Times New Roman" w:hAnsi="Times New Roman" w:eastAsia="仿宋_GB2312" w:cs="Times New Roman"/>
          <w:color w:val="auto"/>
          <w:sz w:val="32"/>
          <w:szCs w:val="32"/>
          <w:highlight w:val="none"/>
          <w:lang w:eastAsia="zh-CN"/>
        </w:rPr>
        <w:t>组织对</w:t>
      </w:r>
      <w:r>
        <w:rPr>
          <w:rFonts w:hint="default" w:ascii="Times New Roman" w:hAnsi="Times New Roman" w:eastAsia="仿宋_GB2312" w:cs="Times New Roman"/>
          <w:color w:val="auto"/>
          <w:sz w:val="32"/>
          <w:szCs w:val="32"/>
          <w:highlight w:val="none"/>
          <w:lang w:val="en-US" w:eastAsia="zh-CN"/>
        </w:rPr>
        <w:t>41个项目开展绩效自评，绩效自评表详见第四部分附件。</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lang w:val="en-US" w:eastAsia="zh-CN"/>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51" w:name="_Toc15396613"/>
      <w:bookmarkStart w:id="52" w:name="_Toc15377225"/>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51"/>
      <w:bookmarkEnd w:id="52"/>
    </w:p>
    <w:p>
      <w:pPr>
        <w:spacing w:line="600" w:lineRule="exact"/>
        <w:jc w:val="left"/>
        <w:rPr>
          <w:rFonts w:ascii="Times New Roman" w:hAnsi="Times New Roman"/>
          <w:b/>
          <w:color w:val="auto"/>
          <w:sz w:val="44"/>
          <w:szCs w:val="44"/>
          <w:highlight w:val="none"/>
        </w:rPr>
      </w:pPr>
    </w:p>
    <w:p>
      <w:pPr>
        <w:pStyle w:val="28"/>
        <w:spacing w:line="560" w:lineRule="exact"/>
        <w:ind w:firstLine="640" w:firstLineChars="200"/>
        <w:rPr>
          <w:rFonts w:ascii="Times New Roman" w:hAnsi="Times New Roman" w:eastAsia="仿宋_GB2312"/>
          <w:color w:val="auto"/>
          <w:sz w:val="32"/>
          <w:szCs w:val="32"/>
        </w:rPr>
      </w:pPr>
      <w:r>
        <w:rPr>
          <w:rFonts w:ascii="仿宋_GB2312" w:eastAsia="仿宋_GB2312"/>
          <w:color w:val="auto"/>
          <w:sz w:val="32"/>
          <w:szCs w:val="32"/>
          <w:highlight w:val="none"/>
        </w:rPr>
        <w:t>1.</w:t>
      </w:r>
      <w:r>
        <w:rPr>
          <w:rFonts w:hint="eastAsia" w:ascii="Times New Roman" w:hAnsi="Times New Roman" w:eastAsia="仿宋_GB2312"/>
          <w:color w:val="auto"/>
          <w:sz w:val="32"/>
          <w:szCs w:val="32"/>
        </w:rPr>
        <w:t>财政拨款收入：指单位从同级财政部门取得的财政预算资金。</w:t>
      </w:r>
    </w:p>
    <w:p>
      <w:pPr>
        <w:pStyle w:val="28"/>
        <w:spacing w:line="56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2.</w:t>
      </w:r>
      <w:r>
        <w:rPr>
          <w:rFonts w:hint="eastAsia" w:ascii="Times New Roman" w:hAnsi="Times New Roman" w:eastAsia="仿宋_GB2312"/>
          <w:color w:val="auto"/>
          <w:sz w:val="32"/>
          <w:szCs w:val="32"/>
        </w:rPr>
        <w:t>事业收入：指事业单位开展专业业务活动及辅助活动取得的收入。</w:t>
      </w:r>
    </w:p>
    <w:p>
      <w:pPr>
        <w:pStyle w:val="28"/>
        <w:spacing w:line="56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3.</w:t>
      </w:r>
      <w:r>
        <w:rPr>
          <w:rFonts w:hint="eastAsia" w:ascii="Times New Roman" w:hAnsi="Times New Roman" w:eastAsia="仿宋_GB2312"/>
          <w:color w:val="auto"/>
          <w:sz w:val="32"/>
          <w:szCs w:val="32"/>
        </w:rPr>
        <w:t>经营收入：指事业单位在专业业务活动及其辅助活动之外开展非独立核算经营活动取得的收入。</w:t>
      </w:r>
    </w:p>
    <w:p>
      <w:pPr>
        <w:pStyle w:val="28"/>
        <w:spacing w:line="56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4.</w:t>
      </w:r>
      <w:r>
        <w:rPr>
          <w:rFonts w:hint="eastAsia" w:ascii="Times New Roman" w:hAnsi="Times New Roman" w:eastAsia="仿宋_GB2312"/>
          <w:color w:val="auto"/>
          <w:sz w:val="32"/>
          <w:szCs w:val="32"/>
        </w:rPr>
        <w:t>其他收入：指单位取得的除上述收入以外的各项收入。</w:t>
      </w:r>
    </w:p>
    <w:p>
      <w:pPr>
        <w:pStyle w:val="28"/>
        <w:spacing w:line="56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5.</w:t>
      </w:r>
      <w:r>
        <w:rPr>
          <w:rFonts w:hint="eastAsia" w:ascii="Times New Roman" w:hAnsi="Times New Roman" w:eastAsia="仿宋_GB2312"/>
          <w:color w:val="auto"/>
          <w:sz w:val="32"/>
          <w:szCs w:val="32"/>
        </w:rPr>
        <w:t>使用非财政拨款结余：指事业单位使用以前年度积累的非财政拨款结余弥补当年收支差额的金额。</w:t>
      </w:r>
    </w:p>
    <w:p>
      <w:pPr>
        <w:pStyle w:val="28"/>
        <w:spacing w:line="56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6.</w:t>
      </w:r>
      <w:r>
        <w:rPr>
          <w:rFonts w:hint="eastAsia" w:ascii="Times New Roman" w:hAnsi="Times New Roman" w:eastAsia="仿宋_GB2312"/>
          <w:color w:val="auto"/>
          <w:sz w:val="32"/>
          <w:szCs w:val="32"/>
        </w:rPr>
        <w:t>年初结转和结余：指以前年度尚未完成、结转到本年按有关规定继续使用的资金。</w:t>
      </w:r>
    </w:p>
    <w:p>
      <w:pPr>
        <w:pStyle w:val="28"/>
        <w:spacing w:line="56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7.</w:t>
      </w:r>
      <w:r>
        <w:rPr>
          <w:rFonts w:hint="eastAsia" w:ascii="Times New Roman" w:hAnsi="Times New Roman" w:eastAsia="仿宋_GB2312"/>
          <w:color w:val="auto"/>
          <w:sz w:val="32"/>
          <w:szCs w:val="32"/>
        </w:rPr>
        <w:t>结余分配：指事业单位按照会计制度规定缴纳的所得税、提取的专用结余以及转入非财政拨款结余的金额等。</w:t>
      </w:r>
    </w:p>
    <w:p>
      <w:pPr>
        <w:pStyle w:val="28"/>
        <w:spacing w:line="56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8.</w:t>
      </w:r>
      <w:r>
        <w:rPr>
          <w:rFonts w:hint="eastAsia" w:ascii="Times New Roman" w:hAnsi="Times New Roman" w:eastAsia="仿宋_GB2312"/>
          <w:color w:val="auto"/>
          <w:sz w:val="32"/>
          <w:szCs w:val="32"/>
        </w:rPr>
        <w:t>年末结转和结余：指单位按有关规定结转到下年或以后年度继续使用的资金。</w:t>
      </w:r>
    </w:p>
    <w:p>
      <w:pPr>
        <w:ind w:firstLine="640" w:firstLineChars="200"/>
        <w:rPr>
          <w:rFonts w:eastAsia="仿宋_GB2312"/>
          <w:color w:val="auto"/>
          <w:sz w:val="32"/>
          <w:szCs w:val="32"/>
        </w:rPr>
      </w:pPr>
      <w:r>
        <w:rPr>
          <w:rFonts w:eastAsia="仿宋_GB2312"/>
          <w:color w:val="auto"/>
          <w:sz w:val="32"/>
          <w:szCs w:val="32"/>
        </w:rPr>
        <w:t>9.</w:t>
      </w:r>
      <w:r>
        <w:rPr>
          <w:rFonts w:hint="eastAsia" w:eastAsia="仿宋_GB2312"/>
          <w:color w:val="auto"/>
          <w:sz w:val="32"/>
          <w:szCs w:val="32"/>
        </w:rPr>
        <w:t>一般公共服务支出（类）其他共产党事务支出（款）其他共产党事务支出（项）：</w:t>
      </w:r>
      <w:r>
        <w:rPr>
          <w:rFonts w:hint="eastAsia" w:eastAsia="仿宋_GB2312"/>
          <w:color w:val="auto"/>
          <w:sz w:val="32"/>
          <w:szCs w:val="32"/>
          <w:lang w:eastAsia="zh-CN"/>
        </w:rPr>
        <w:t>指其他用于中国共产党事务的支出</w:t>
      </w:r>
      <w:r>
        <w:rPr>
          <w:rFonts w:hint="eastAsia" w:eastAsia="仿宋_GB2312"/>
          <w:color w:val="auto"/>
          <w:sz w:val="32"/>
          <w:szCs w:val="32"/>
        </w:rPr>
        <w:t>。</w:t>
      </w:r>
    </w:p>
    <w:p>
      <w:pPr>
        <w:ind w:firstLine="640" w:firstLineChars="200"/>
        <w:rPr>
          <w:rFonts w:eastAsia="仿宋_GB2312"/>
          <w:color w:val="auto"/>
          <w:sz w:val="32"/>
          <w:szCs w:val="32"/>
          <w:highlight w:val="none"/>
        </w:rPr>
      </w:pPr>
      <w:r>
        <w:rPr>
          <w:rFonts w:hint="eastAsia" w:eastAsia="仿宋_GB2312"/>
          <w:color w:val="auto"/>
          <w:sz w:val="32"/>
          <w:szCs w:val="32"/>
          <w:highlight w:val="none"/>
          <w:lang w:val="en-US" w:eastAsia="zh-CN"/>
        </w:rPr>
        <w:t>10</w:t>
      </w:r>
      <w:r>
        <w:rPr>
          <w:rFonts w:eastAsia="仿宋_GB2312"/>
          <w:color w:val="auto"/>
          <w:sz w:val="32"/>
          <w:szCs w:val="32"/>
          <w:highlight w:val="none"/>
        </w:rPr>
        <w:t>.</w:t>
      </w:r>
      <w:r>
        <w:rPr>
          <w:rFonts w:hint="eastAsia" w:eastAsia="仿宋_GB2312"/>
          <w:color w:val="auto"/>
          <w:sz w:val="32"/>
          <w:szCs w:val="32"/>
          <w:highlight w:val="none"/>
        </w:rPr>
        <w:t>社会保障和就业（类）行政事业单位养老支出（款）行政单位离退休（项）：指行政单位(包括实行公务员管理的事业单位）开支的离退休经费。</w:t>
      </w:r>
    </w:p>
    <w:p>
      <w:pPr>
        <w:ind w:firstLine="640"/>
        <w:rPr>
          <w:rFonts w:eastAsia="仿宋_GB2312"/>
          <w:color w:val="auto"/>
          <w:sz w:val="32"/>
          <w:szCs w:val="32"/>
          <w:highlight w:val="none"/>
        </w:rPr>
      </w:pPr>
      <w:r>
        <w:rPr>
          <w:rFonts w:hint="eastAsia" w:eastAsia="仿宋_GB2312"/>
          <w:color w:val="auto"/>
          <w:sz w:val="32"/>
          <w:szCs w:val="32"/>
          <w:highlight w:val="none"/>
          <w:lang w:val="en-US" w:eastAsia="zh-CN"/>
        </w:rPr>
        <w:t>11</w:t>
      </w:r>
      <w:r>
        <w:rPr>
          <w:rFonts w:eastAsia="仿宋_GB2312"/>
          <w:color w:val="auto"/>
          <w:sz w:val="32"/>
          <w:szCs w:val="32"/>
          <w:highlight w:val="none"/>
        </w:rPr>
        <w:t>.</w:t>
      </w:r>
      <w:r>
        <w:rPr>
          <w:rFonts w:hint="eastAsia" w:eastAsia="仿宋_GB2312"/>
          <w:color w:val="auto"/>
          <w:sz w:val="32"/>
          <w:szCs w:val="32"/>
          <w:highlight w:val="none"/>
        </w:rPr>
        <w:t>社会保障和就业（类）行政事业单位养老支出（款）机关事业单位基本养老保险缴费支出（项）：</w:t>
      </w:r>
      <w:r>
        <w:rPr>
          <w:rFonts w:hint="eastAsia"/>
          <w:color w:val="auto"/>
          <w:sz w:val="32"/>
          <w:szCs w:val="32"/>
          <w:highlight w:val="none"/>
        </w:rPr>
        <w:t>指</w:t>
      </w:r>
      <w:r>
        <w:rPr>
          <w:rFonts w:hint="eastAsia" w:eastAsia="仿宋_GB2312"/>
          <w:color w:val="auto"/>
          <w:sz w:val="32"/>
          <w:szCs w:val="32"/>
          <w:highlight w:val="none"/>
        </w:rPr>
        <w:t>机关事业单位实施养老保险制度由单位缴纳的基本养老保险费支出。</w:t>
      </w:r>
    </w:p>
    <w:p>
      <w:pPr>
        <w:ind w:firstLine="640"/>
        <w:rPr>
          <w:rFonts w:eastAsia="仿宋_GB2312"/>
          <w:color w:val="auto"/>
          <w:sz w:val="32"/>
          <w:szCs w:val="32"/>
          <w:highlight w:val="none"/>
        </w:rPr>
      </w:pPr>
      <w:r>
        <w:rPr>
          <w:rFonts w:hint="eastAsia" w:eastAsia="仿宋_GB2312"/>
          <w:color w:val="auto"/>
          <w:sz w:val="32"/>
          <w:szCs w:val="32"/>
          <w:highlight w:val="none"/>
          <w:lang w:val="en-US" w:eastAsia="zh-CN"/>
        </w:rPr>
        <w:t>12</w:t>
      </w:r>
      <w:r>
        <w:rPr>
          <w:rFonts w:eastAsia="仿宋_GB2312"/>
          <w:color w:val="auto"/>
          <w:sz w:val="32"/>
          <w:szCs w:val="32"/>
          <w:highlight w:val="none"/>
        </w:rPr>
        <w:t>.</w:t>
      </w:r>
      <w:r>
        <w:rPr>
          <w:rFonts w:hint="eastAsia" w:eastAsia="仿宋_GB2312"/>
          <w:color w:val="auto"/>
          <w:sz w:val="32"/>
          <w:szCs w:val="32"/>
          <w:highlight w:val="none"/>
        </w:rPr>
        <w:t>社会保障和就业（类）行政事业单位养老支出（款）机关事业单位职业年金缴费支出（项）：指机关事业单位实施养老保险制度由单位实际缴纳的职业年金支出。</w:t>
      </w:r>
    </w:p>
    <w:p>
      <w:pPr>
        <w:pStyle w:val="37"/>
        <w:ind w:left="0" w:leftChars="0" w:firstLine="640" w:firstLineChars="0"/>
        <w:rPr>
          <w:rFonts w:hint="default"/>
          <w:color w:val="auto"/>
          <w:szCs w:val="32"/>
          <w:highlight w:val="none"/>
        </w:rPr>
      </w:pPr>
      <w:r>
        <w:rPr>
          <w:rFonts w:hint="eastAsia"/>
          <w:color w:val="auto"/>
          <w:szCs w:val="32"/>
          <w:highlight w:val="none"/>
          <w:lang w:val="en-US" w:eastAsia="zh-CN"/>
        </w:rPr>
        <w:t>13</w:t>
      </w:r>
      <w:r>
        <w:rPr>
          <w:color w:val="auto"/>
          <w:szCs w:val="32"/>
          <w:highlight w:val="none"/>
        </w:rPr>
        <w:t>.社会保障和就业（类）抚恤（款）死亡抚恤（项）：指按规定用于烈士和牺牲、病故人员家属的一次性和定期抚恤金以及丧葬补助费。</w:t>
      </w:r>
    </w:p>
    <w:p>
      <w:pPr>
        <w:pStyle w:val="37"/>
        <w:ind w:left="0" w:leftChars="0" w:firstLine="640" w:firstLineChars="0"/>
        <w:rPr>
          <w:rFonts w:hint="default"/>
          <w:color w:val="auto"/>
          <w:szCs w:val="32"/>
          <w:highlight w:val="none"/>
        </w:rPr>
      </w:pPr>
      <w:r>
        <w:rPr>
          <w:rFonts w:hint="eastAsia"/>
          <w:color w:val="auto"/>
          <w:szCs w:val="32"/>
          <w:highlight w:val="none"/>
          <w:lang w:val="en-US" w:eastAsia="zh-CN"/>
        </w:rPr>
        <w:t>14</w:t>
      </w:r>
      <w:r>
        <w:rPr>
          <w:color w:val="auto"/>
          <w:szCs w:val="32"/>
          <w:highlight w:val="none"/>
        </w:rPr>
        <w:t>.社会保障和就业（类）其他社会保障和就业支出（款）其他社会保障和就业支出（项）：指其他用于社会保障和就业方面的支出。</w:t>
      </w:r>
    </w:p>
    <w:p>
      <w:pPr>
        <w:pStyle w:val="37"/>
        <w:ind w:left="0" w:leftChars="0" w:firstLine="640" w:firstLineChars="0"/>
        <w:rPr>
          <w:rFonts w:hint="default"/>
          <w:color w:val="auto"/>
          <w:szCs w:val="32"/>
          <w:highlight w:val="none"/>
        </w:rPr>
      </w:pPr>
      <w:r>
        <w:rPr>
          <w:rFonts w:hint="eastAsia"/>
          <w:color w:val="auto"/>
          <w:szCs w:val="32"/>
          <w:highlight w:val="none"/>
          <w:lang w:val="en-US" w:eastAsia="zh-CN"/>
        </w:rPr>
        <w:t>15</w:t>
      </w:r>
      <w:r>
        <w:rPr>
          <w:color w:val="auto"/>
          <w:szCs w:val="32"/>
          <w:highlight w:val="none"/>
        </w:rPr>
        <w:t>.卫生健康支出（类）行政事业单位医疗（款）行政单位医疗（项）：财政部门安排的行政单位(包括实行公务员管理的事业单位，下同）基本医疗保险缴费经费，未参加医疗保险的行政单位的公费医疗经费，按国家规定享受离休人员、红军老战士待遇人员的医疗经费。</w:t>
      </w:r>
    </w:p>
    <w:p>
      <w:pPr>
        <w:pStyle w:val="37"/>
        <w:ind w:left="0" w:leftChars="0" w:firstLine="640" w:firstLineChars="200"/>
        <w:rPr>
          <w:rFonts w:hint="default"/>
          <w:color w:val="auto"/>
          <w:highlight w:val="none"/>
        </w:rPr>
      </w:pPr>
      <w:r>
        <w:rPr>
          <w:rFonts w:hint="eastAsia"/>
          <w:color w:val="auto"/>
          <w:highlight w:val="none"/>
          <w:lang w:val="en-US" w:eastAsia="zh-CN"/>
        </w:rPr>
        <w:t>16</w:t>
      </w:r>
      <w:r>
        <w:rPr>
          <w:color w:val="auto"/>
          <w:highlight w:val="none"/>
        </w:rPr>
        <w:t>.卫生健康支出（类）行政事业单位医疗（款）公务员医疗补助（项）：指财政部门安排的公务员医疗补助经费。</w:t>
      </w:r>
    </w:p>
    <w:p>
      <w:pPr>
        <w:pStyle w:val="37"/>
        <w:ind w:left="0" w:leftChars="0" w:firstLine="640" w:firstLineChars="200"/>
        <w:rPr>
          <w:rFonts w:hint="default"/>
          <w:color w:val="auto"/>
          <w:highlight w:val="none"/>
        </w:rPr>
      </w:pPr>
      <w:r>
        <w:rPr>
          <w:rFonts w:hint="eastAsia"/>
          <w:color w:val="auto"/>
          <w:highlight w:val="none"/>
          <w:lang w:val="en-US" w:eastAsia="zh-CN"/>
        </w:rPr>
        <w:t>17</w:t>
      </w:r>
      <w:r>
        <w:rPr>
          <w:color w:val="auto"/>
          <w:highlight w:val="none"/>
        </w:rPr>
        <w:t>.资源勘探工业信息等支出（类）资源勘探开发（款）一般行政管理事物（项）：指行政单位（包括实行公务员管理的事业单位）未单独及设置项级科目的其他项目支出。</w:t>
      </w:r>
    </w:p>
    <w:p>
      <w:pPr>
        <w:pStyle w:val="37"/>
        <w:ind w:left="0" w:leftChars="0" w:firstLine="640" w:firstLineChars="200"/>
        <w:rPr>
          <w:rFonts w:hint="default"/>
          <w:color w:val="auto"/>
          <w:highlight w:val="none"/>
        </w:rPr>
      </w:pPr>
      <w:r>
        <w:rPr>
          <w:rFonts w:hint="eastAsia"/>
          <w:color w:val="auto"/>
          <w:highlight w:val="none"/>
          <w:lang w:val="en-US" w:eastAsia="zh-CN"/>
        </w:rPr>
        <w:t>18</w:t>
      </w:r>
      <w:r>
        <w:rPr>
          <w:color w:val="auto"/>
          <w:highlight w:val="none"/>
        </w:rPr>
        <w:t>.资源勘探工业信息等支出（类）制造业（款）行政运行（项）：指行政单位（包括实行公务员管理的事业单位）的基本支出。</w:t>
      </w:r>
    </w:p>
    <w:p>
      <w:pPr>
        <w:pStyle w:val="37"/>
        <w:ind w:left="0" w:leftChars="0" w:firstLine="640" w:firstLineChars="200"/>
        <w:rPr>
          <w:rFonts w:hint="default"/>
          <w:color w:val="auto"/>
          <w:highlight w:val="none"/>
        </w:rPr>
      </w:pPr>
      <w:r>
        <w:rPr>
          <w:rFonts w:hint="eastAsia"/>
          <w:color w:val="auto"/>
          <w:highlight w:val="none"/>
          <w:lang w:val="en-US" w:eastAsia="zh-CN"/>
        </w:rPr>
        <w:t>19</w:t>
      </w:r>
      <w:r>
        <w:rPr>
          <w:color w:val="auto"/>
          <w:highlight w:val="none"/>
        </w:rPr>
        <w:t>.资源勘探工业信息等支出（类）制造业（款）一般行政管理事务（项）：指行政单位(包括实行公务员管理的事业单位）未单独设置项级科目的其他项目支出。</w:t>
      </w:r>
    </w:p>
    <w:p>
      <w:pPr>
        <w:pStyle w:val="37"/>
        <w:ind w:left="0" w:leftChars="0" w:firstLine="640" w:firstLineChars="200"/>
        <w:rPr>
          <w:rFonts w:hint="default"/>
          <w:color w:val="auto"/>
          <w:highlight w:val="none"/>
        </w:rPr>
      </w:pPr>
      <w:r>
        <w:rPr>
          <w:rFonts w:hint="eastAsia"/>
          <w:color w:val="auto"/>
          <w:highlight w:val="none"/>
          <w:lang w:val="en-US" w:eastAsia="zh-CN"/>
        </w:rPr>
        <w:t>20</w:t>
      </w:r>
      <w:r>
        <w:rPr>
          <w:color w:val="auto"/>
          <w:highlight w:val="none"/>
        </w:rPr>
        <w:t>.资源勘探工业信息等支出（类）制造业（款）其他制造业支出（项）：指其他用于制造业方面的支出。</w:t>
      </w:r>
    </w:p>
    <w:p>
      <w:pPr>
        <w:pStyle w:val="37"/>
        <w:ind w:left="0" w:leftChars="0" w:firstLine="640" w:firstLineChars="200"/>
        <w:rPr>
          <w:rFonts w:hint="default"/>
          <w:color w:val="auto"/>
          <w:highlight w:val="none"/>
        </w:rPr>
      </w:pPr>
      <w:r>
        <w:rPr>
          <w:rFonts w:hint="eastAsia"/>
          <w:color w:val="auto"/>
          <w:highlight w:val="none"/>
          <w:lang w:val="en-US" w:eastAsia="zh-CN"/>
        </w:rPr>
        <w:t>21</w:t>
      </w:r>
      <w:r>
        <w:rPr>
          <w:color w:val="auto"/>
          <w:highlight w:val="none"/>
        </w:rPr>
        <w:t>.资源勘探工业信息等支出（类）工业和信息产业监管（款）一般行政管理事务（项）：指行政单位未单独设置项级科目的其他项目支出。</w:t>
      </w:r>
    </w:p>
    <w:p>
      <w:pPr>
        <w:pStyle w:val="37"/>
        <w:ind w:left="0" w:leftChars="0" w:firstLine="640" w:firstLineChars="200"/>
        <w:rPr>
          <w:rFonts w:hint="default"/>
          <w:color w:val="auto"/>
          <w:highlight w:val="none"/>
        </w:rPr>
      </w:pPr>
      <w:r>
        <w:rPr>
          <w:rFonts w:hint="eastAsia"/>
          <w:color w:val="auto"/>
          <w:highlight w:val="none"/>
          <w:lang w:val="en-US" w:eastAsia="zh-CN"/>
        </w:rPr>
        <w:t>22</w:t>
      </w:r>
      <w:r>
        <w:rPr>
          <w:color w:val="auto"/>
          <w:highlight w:val="none"/>
        </w:rPr>
        <w:t>.资源勘工业探信息等支出（类）工业和信息产业监管（款）无线电监管（项）：指无线电监管方面的支出。</w:t>
      </w:r>
    </w:p>
    <w:p>
      <w:pPr>
        <w:pStyle w:val="37"/>
        <w:ind w:left="0" w:leftChars="0" w:firstLine="640" w:firstLineChars="200"/>
        <w:rPr>
          <w:rFonts w:hint="default"/>
          <w:color w:val="auto"/>
          <w:highlight w:val="none"/>
        </w:rPr>
      </w:pPr>
      <w:r>
        <w:rPr>
          <w:rFonts w:hint="eastAsia"/>
          <w:color w:val="auto"/>
          <w:highlight w:val="none"/>
          <w:lang w:val="en-US" w:eastAsia="zh-CN"/>
        </w:rPr>
        <w:t>23</w:t>
      </w:r>
      <w:r>
        <w:rPr>
          <w:color w:val="auto"/>
          <w:highlight w:val="none"/>
        </w:rPr>
        <w:t>.住房保障支出（类）住房改革支出（款）住房公积金（项）：指行政事业单位按人力资源和社会保障部、财政部规定的基本工资和津贴补贴以及规定比例为职工缴纳的住房公积金。</w:t>
      </w:r>
    </w:p>
    <w:p>
      <w:pPr>
        <w:pStyle w:val="37"/>
        <w:ind w:left="0" w:leftChars="0" w:firstLine="640" w:firstLineChars="200"/>
        <w:rPr>
          <w:rFonts w:hint="default"/>
          <w:color w:val="auto"/>
          <w:highlight w:val="none"/>
        </w:rPr>
      </w:pPr>
      <w:r>
        <w:rPr>
          <w:rFonts w:hint="eastAsia"/>
          <w:color w:val="auto"/>
          <w:highlight w:val="none"/>
          <w:lang w:val="en-US" w:eastAsia="zh-CN"/>
        </w:rPr>
        <w:t>24</w:t>
      </w:r>
      <w:r>
        <w:rPr>
          <w:color w:val="auto"/>
          <w:highlight w:val="none"/>
        </w:rPr>
        <w:t>.住房保障支出（类）住房改革支出（款）购房补贴（项）：指按房改政策规定，行政事业单位向符合条件职工（含离退休人员）、军队（含武警）向转役复员离退休人员发放的用于购买住房的补贴。</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w:t>
      </w:r>
      <w:r>
        <w:rPr>
          <w:rFonts w:hint="eastAsia"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en-US" w:eastAsia="zh-CN" w:bidi="ar-SA"/>
        </w:rPr>
        <w:t>.基本支出：指为保障机构正常运转、完成日常工作任务而发生的人员支出和公用支出。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w:t>
      </w:r>
      <w:r>
        <w:rPr>
          <w:rFonts w:hint="eastAsia" w:eastAsia="仿宋_GB2312" w:cs="仿宋_GB2312"/>
          <w:color w:val="auto"/>
          <w:kern w:val="2"/>
          <w:sz w:val="32"/>
          <w:szCs w:val="32"/>
          <w:highlight w:val="none"/>
          <w:lang w:val="en-US" w:eastAsia="zh-CN" w:bidi="ar-SA"/>
        </w:rPr>
        <w:t>6</w:t>
      </w:r>
      <w:r>
        <w:rPr>
          <w:rFonts w:hint="eastAsia" w:ascii="Times New Roman" w:hAnsi="Times New Roman" w:eastAsia="仿宋_GB2312" w:cs="仿宋_GB2312"/>
          <w:color w:val="auto"/>
          <w:kern w:val="2"/>
          <w:sz w:val="32"/>
          <w:szCs w:val="32"/>
          <w:highlight w:val="none"/>
          <w:lang w:val="en-US" w:eastAsia="zh-CN" w:bidi="ar-SA"/>
        </w:rPr>
        <w:t xml:space="preserve">.项目支出：指在基本支出之外为完成特定行政任务和事业发展目标所发生的支出。 </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w:t>
      </w:r>
      <w:r>
        <w:rPr>
          <w:rFonts w:hint="eastAsia" w:eastAsia="仿宋_GB2312" w:cs="仿宋_GB2312"/>
          <w:color w:val="auto"/>
          <w:kern w:val="2"/>
          <w:sz w:val="32"/>
          <w:szCs w:val="32"/>
          <w:highlight w:val="none"/>
          <w:lang w:val="en-US" w:eastAsia="zh-CN" w:bidi="ar-SA"/>
        </w:rPr>
        <w:t>7</w:t>
      </w:r>
      <w:r>
        <w:rPr>
          <w:rFonts w:hint="eastAsia" w:ascii="Times New Roman" w:hAnsi="Times New Roman" w:eastAsia="仿宋_GB2312" w:cs="仿宋_GB2312"/>
          <w:color w:val="auto"/>
          <w:kern w:val="2"/>
          <w:sz w:val="32"/>
          <w:szCs w:val="32"/>
          <w:highlight w:val="none"/>
          <w:lang w:val="en-US" w:eastAsia="zh-CN" w:bidi="ar-SA"/>
        </w:rPr>
        <w:t>.经营支出：指事业单位在专业业务活动及其辅助活动之外开展非独立核算经营活动发生的支出。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28</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三公</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29</w:t>
      </w:r>
      <w:r>
        <w:rPr>
          <w:rFonts w:hint="eastAsia" w:ascii="Times New Roman" w:hAnsi="Times New Roman" w:eastAsia="仿宋_GB2312" w:cs="仿宋_GB2312"/>
          <w:color w:val="auto"/>
          <w:kern w:val="2"/>
          <w:sz w:val="32"/>
          <w:szCs w:val="32"/>
          <w:highlight w:val="none"/>
          <w:lang w:val="en-US" w:eastAsia="zh-CN" w:bidi="ar-SA"/>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rPr>
          <w:rStyle w:val="30"/>
          <w:rFonts w:hint="eastAsia" w:ascii="Times New Roman" w:hAnsi="Times New Roman" w:eastAsia="黑体"/>
          <w:b w:val="0"/>
          <w:color w:val="auto"/>
          <w:highlight w:val="none"/>
          <w:lang w:eastAsia="zh-CN"/>
        </w:rPr>
      </w:pPr>
      <w:bookmarkStart w:id="53"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54" w:name="_Toc15396614"/>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54"/>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p>
      <w:pPr>
        <w:keepNext w:val="0"/>
        <w:keepLines w:val="0"/>
        <w:pageBreakBefore w:val="0"/>
        <w:kinsoku/>
        <w:wordWrap/>
        <w:overflowPunct/>
        <w:topLinePunct w:val="0"/>
        <w:autoSpaceDE/>
        <w:autoSpaceDN/>
        <w:bidi w:val="0"/>
        <w:spacing w:line="572" w:lineRule="exact"/>
        <w:jc w:val="left"/>
        <w:textAlignment w:val="auto"/>
        <w:outlineLvl w:val="0"/>
        <w:rPr>
          <w:rFonts w:hint="default" w:ascii="Times New Roman" w:hAnsi="Times New Roman" w:eastAsia="黑体" w:cs="Times New Roman"/>
          <w:color w:val="000000"/>
          <w:kern w:val="0"/>
          <w:sz w:val="24"/>
          <w:szCs w:val="32"/>
          <w:highlight w:val="none"/>
          <w:shd w:val="clear" w:color="auto" w:fill="FFFFFF"/>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zh-CN" w:eastAsia="zh-CN" w:bidi="ar"/>
        </w:rPr>
      </w:pPr>
      <w:r>
        <w:rPr>
          <w:rFonts w:hint="eastAsia" w:ascii="Times New Roman" w:hAnsi="Times New Roman" w:eastAsia="仿宋_GB2312" w:cs="Times New Roman"/>
          <w:kern w:val="2"/>
          <w:sz w:val="32"/>
          <w:szCs w:val="32"/>
          <w:u w:val="none"/>
          <w:lang w:val="zh-CN" w:eastAsia="zh-CN" w:bidi="ar"/>
        </w:rPr>
        <w:t>附表：厅机关部门预算项目支出绩效自评表（2024年度）</w:t>
      </w:r>
    </w:p>
    <w:p>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6"/>
        <w:rPr>
          <w:rFonts w:hint="eastAsia" w:ascii="Times New Roman" w:hAnsi="Times New Roman" w:cs="宋体"/>
          <w:color w:val="FF0000"/>
          <w:kern w:val="0"/>
          <w:sz w:val="32"/>
          <w:szCs w:val="32"/>
          <w:highlight w:val="yellow"/>
          <w:shd w:val="clear" w:color="auto" w:fill="FFFFFF"/>
          <w:lang w:val="zh-CN"/>
        </w:rPr>
      </w:pPr>
    </w:p>
    <w:p>
      <w:pPr>
        <w:rPr>
          <w:rFonts w:hint="eastAsia" w:ascii="Times New Roman" w:hAnsi="Times New Roman" w:eastAsia="黑体" w:cs="黑体"/>
          <w:color w:val="auto"/>
          <w:kern w:val="0"/>
          <w:sz w:val="32"/>
          <w:szCs w:val="32"/>
          <w:highlight w:val="none"/>
          <w:shd w:val="clear" w:color="auto" w:fill="FFFFFF"/>
          <w:lang w:val="zh-CN"/>
        </w:rPr>
      </w:pPr>
      <w:r>
        <w:rPr>
          <w:rFonts w:hint="eastAsia" w:ascii="Times New Roman" w:hAnsi="Times New Roman" w:eastAsia="黑体" w:cs="黑体"/>
          <w:color w:val="auto"/>
          <w:kern w:val="0"/>
          <w:sz w:val="32"/>
          <w:szCs w:val="32"/>
          <w:highlight w:val="none"/>
          <w:shd w:val="clear" w:color="auto" w:fill="FFFFFF"/>
          <w:lang w:val="zh-CN"/>
        </w:rPr>
        <w:br w:type="page"/>
      </w:r>
    </w:p>
    <w:p>
      <w:pPr>
        <w:widowControl/>
        <w:jc w:val="center"/>
        <w:rPr>
          <w:rFonts w:hint="eastAsia" w:ascii="Times New Roman" w:hAnsi="Times New Roman" w:eastAsia="仿宋"/>
          <w:b w:val="0"/>
          <w:color w:val="auto"/>
          <w:highlight w:val="none"/>
        </w:rPr>
      </w:pPr>
      <w:bookmarkStart w:id="55" w:name="_Toc15396618"/>
      <w:r>
        <w:rPr>
          <w:rFonts w:hint="eastAsia" w:ascii="Times New Roman" w:hAnsi="Times New Roman" w:eastAsia="黑体"/>
          <w:color w:val="auto"/>
          <w:sz w:val="44"/>
          <w:szCs w:val="44"/>
          <w:highlight w:val="none"/>
        </w:rPr>
        <w:t>第</w:t>
      </w:r>
      <w:r>
        <w:rPr>
          <w:rStyle w:val="30"/>
          <w:rFonts w:hint="eastAsia" w:ascii="Times New Roman" w:hAnsi="Times New Roman" w:eastAsia="黑体"/>
          <w:b w:val="0"/>
          <w:color w:val="auto"/>
          <w:highlight w:val="none"/>
        </w:rPr>
        <w:t>五部分 附表</w:t>
      </w:r>
      <w:bookmarkEnd w:id="53"/>
      <w:bookmarkEnd w:id="55"/>
      <w:bookmarkStart w:id="56" w:name="_Toc15396619"/>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56"/>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7" w:name="_Toc15396620"/>
      <w:r>
        <w:rPr>
          <w:rFonts w:hint="eastAsia" w:ascii="Times New Roman" w:hAnsi="Times New Roman" w:eastAsia="仿宋_GB2312" w:cs="仿宋_GB2312"/>
          <w:color w:val="auto"/>
          <w:sz w:val="32"/>
          <w:szCs w:val="32"/>
          <w:highlight w:val="none"/>
        </w:rPr>
        <w:t>二、收入决算表</w:t>
      </w:r>
      <w:bookmarkEnd w:id="57"/>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8" w:name="_Toc15396621"/>
      <w:r>
        <w:rPr>
          <w:rFonts w:hint="eastAsia" w:ascii="Times New Roman" w:hAnsi="Times New Roman" w:eastAsia="仿宋_GB2312" w:cs="仿宋_GB2312"/>
          <w:color w:val="auto"/>
          <w:sz w:val="32"/>
          <w:szCs w:val="32"/>
          <w:highlight w:val="none"/>
        </w:rPr>
        <w:t>三、支出决算表</w:t>
      </w:r>
      <w:bookmarkEnd w:id="58"/>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9" w:name="_Toc15396622"/>
      <w:r>
        <w:rPr>
          <w:rFonts w:hint="eastAsia" w:ascii="Times New Roman" w:hAnsi="Times New Roman" w:eastAsia="仿宋_GB2312" w:cs="仿宋_GB2312"/>
          <w:color w:val="auto"/>
          <w:sz w:val="32"/>
          <w:szCs w:val="32"/>
          <w:highlight w:val="none"/>
        </w:rPr>
        <w:t>四、财政拨款收入支出决算总表</w:t>
      </w:r>
      <w:bookmarkEnd w:id="59"/>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0" w:name="_Toc15396623"/>
      <w:r>
        <w:rPr>
          <w:rFonts w:hint="eastAsia" w:ascii="Times New Roman" w:hAnsi="Times New Roman" w:eastAsia="仿宋_GB2312" w:cs="仿宋_GB2312"/>
          <w:color w:val="auto"/>
          <w:sz w:val="32"/>
          <w:szCs w:val="32"/>
          <w:highlight w:val="none"/>
        </w:rPr>
        <w:t>五、财政拨款支出决算明细表</w:t>
      </w:r>
      <w:bookmarkEnd w:id="60"/>
      <w:bookmarkStart w:id="61" w:name="_Toc15396624"/>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61"/>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2" w:name="_Toc15396625"/>
      <w:r>
        <w:rPr>
          <w:rFonts w:hint="eastAsia" w:ascii="Times New Roman" w:hAnsi="Times New Roman" w:eastAsia="仿宋_GB2312" w:cs="仿宋_GB2312"/>
          <w:color w:val="auto"/>
          <w:sz w:val="32"/>
          <w:szCs w:val="32"/>
          <w:highlight w:val="none"/>
        </w:rPr>
        <w:t>七、一般公共预算财政拨款支出决算明细表</w:t>
      </w:r>
      <w:bookmarkEnd w:id="62"/>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3" w:name="_Toc15396626"/>
      <w:r>
        <w:rPr>
          <w:rFonts w:hint="eastAsia" w:ascii="Times New Roman" w:hAnsi="Times New Roman" w:eastAsia="仿宋_GB2312" w:cs="仿宋_GB2312"/>
          <w:color w:val="auto"/>
          <w:sz w:val="32"/>
          <w:szCs w:val="32"/>
          <w:highlight w:val="none"/>
        </w:rPr>
        <w:t>八、一般公共预算财政拨款基本支出决算表</w:t>
      </w:r>
      <w:bookmarkEnd w:id="63"/>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4" w:name="_Toc15396627"/>
      <w:r>
        <w:rPr>
          <w:rFonts w:hint="eastAsia" w:ascii="Times New Roman" w:hAnsi="Times New Roman" w:eastAsia="仿宋_GB2312" w:cs="仿宋_GB2312"/>
          <w:color w:val="auto"/>
          <w:sz w:val="32"/>
          <w:szCs w:val="32"/>
          <w:highlight w:val="none"/>
        </w:rPr>
        <w:t>九、一般公共预算财政拨款项目支出决算表</w:t>
      </w:r>
      <w:bookmarkEnd w:id="64"/>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5" w:name="_Toc15396628"/>
      <w:r>
        <w:rPr>
          <w:rFonts w:hint="eastAsia" w:ascii="Times New Roman" w:hAnsi="Times New Roman" w:eastAsia="仿宋_GB2312" w:cs="仿宋_GB2312"/>
          <w:color w:val="auto"/>
          <w:sz w:val="32"/>
          <w:szCs w:val="32"/>
          <w:highlight w:val="none"/>
        </w:rPr>
        <w:t>十、</w:t>
      </w:r>
      <w:bookmarkEnd w:id="65"/>
      <w:r>
        <w:rPr>
          <w:rFonts w:hint="eastAsia" w:ascii="Times New Roman" w:hAnsi="Times New Roman" w:eastAsia="仿宋_GB2312" w:cs="仿宋_GB2312"/>
          <w:color w:val="auto"/>
          <w:sz w:val="32"/>
          <w:szCs w:val="32"/>
          <w:highlight w:val="none"/>
        </w:rPr>
        <w:t>政府性基金预算财政拨款收入支出决算表</w:t>
      </w: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6" w:name="_Toc15396629"/>
      <w:r>
        <w:rPr>
          <w:rFonts w:hint="eastAsia" w:ascii="Times New Roman" w:hAnsi="Times New Roman" w:eastAsia="仿宋_GB2312" w:cs="仿宋_GB2312"/>
          <w:color w:val="auto"/>
          <w:sz w:val="32"/>
          <w:szCs w:val="32"/>
          <w:highlight w:val="none"/>
        </w:rPr>
        <w:t>十一、</w:t>
      </w:r>
      <w:bookmarkEnd w:id="66"/>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7" w:name="_Toc15396630"/>
      <w:r>
        <w:rPr>
          <w:rFonts w:hint="eastAsia" w:ascii="Times New Roman" w:hAnsi="Times New Roman" w:eastAsia="仿宋_GB2312" w:cs="仿宋_GB2312"/>
          <w:color w:val="auto"/>
          <w:sz w:val="32"/>
          <w:szCs w:val="32"/>
          <w:highlight w:val="none"/>
        </w:rPr>
        <w:t>十二、</w:t>
      </w:r>
      <w:bookmarkEnd w:id="67"/>
      <w:r>
        <w:rPr>
          <w:rFonts w:hint="eastAsia" w:ascii="Times New Roman" w:hAnsi="Times New Roman" w:eastAsia="仿宋_GB2312" w:cs="仿宋_GB2312"/>
          <w:color w:val="auto"/>
          <w:sz w:val="32"/>
          <w:szCs w:val="32"/>
          <w:highlight w:val="none"/>
          <w:lang w:eastAsia="zh-CN"/>
        </w:rPr>
        <w:t>国有资本经营预算财政拨款支出决算表</w:t>
      </w: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68" w:name="_Toc15396631"/>
      <w:r>
        <w:rPr>
          <w:rFonts w:hint="eastAsia" w:ascii="Times New Roman" w:hAnsi="Times New Roman" w:eastAsia="仿宋_GB2312" w:cs="仿宋_GB2312"/>
          <w:color w:val="auto"/>
          <w:sz w:val="32"/>
          <w:szCs w:val="32"/>
          <w:highlight w:val="none"/>
        </w:rPr>
        <w:t>十三、</w:t>
      </w:r>
      <w:bookmarkEnd w:id="68"/>
      <w:r>
        <w:rPr>
          <w:rFonts w:hint="eastAsia" w:ascii="Times New Roman" w:hAnsi="Times New Roman" w:eastAsia="仿宋_GB2312" w:cs="仿宋_GB2312"/>
          <w:color w:val="auto"/>
          <w:sz w:val="32"/>
          <w:szCs w:val="32"/>
          <w:highlight w:val="none"/>
          <w:lang w:eastAsia="zh-CN"/>
        </w:rPr>
        <w:t>财政拨款“三公”经费支出决算表</w:t>
      </w:r>
    </w:p>
    <w:p>
      <w:pPr>
        <w:rPr>
          <w:rFonts w:hint="eastAsia" w:ascii="Times New Roman" w:hAnsi="Times New Roman"/>
          <w:lang w:eastAsia="zh-CN"/>
        </w:rPr>
      </w:pPr>
    </w:p>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方正仿宋_GBK">
    <w:panose1 w:val="02000000000000000000"/>
    <w:charset w:val="86"/>
    <w:family w:val="script"/>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iMuAO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DiMuAOGwIAACkEAAAOAAAAAAAAAAEAIAAAADU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mc:Fallback>
      </mc:AlternateContent>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wh4D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FsIeAxwCAAArBAAADgAAAAAAAAABACAAAAA1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65269"/>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8749B"/>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15F0F49"/>
    <w:rsid w:val="027E548A"/>
    <w:rsid w:val="02FEBE30"/>
    <w:rsid w:val="04916F1E"/>
    <w:rsid w:val="049E4411"/>
    <w:rsid w:val="057F1C25"/>
    <w:rsid w:val="05C46848"/>
    <w:rsid w:val="061E35DE"/>
    <w:rsid w:val="06426F93"/>
    <w:rsid w:val="066E0107"/>
    <w:rsid w:val="07996F6E"/>
    <w:rsid w:val="07DFD8BA"/>
    <w:rsid w:val="09867E8F"/>
    <w:rsid w:val="0A2032A3"/>
    <w:rsid w:val="0B8B7143"/>
    <w:rsid w:val="0BC77D01"/>
    <w:rsid w:val="0CA8290A"/>
    <w:rsid w:val="0D35B1ED"/>
    <w:rsid w:val="0E254B6B"/>
    <w:rsid w:val="0F98263C"/>
    <w:rsid w:val="0FB930E3"/>
    <w:rsid w:val="101860EC"/>
    <w:rsid w:val="101F47CC"/>
    <w:rsid w:val="10C055FF"/>
    <w:rsid w:val="11694EBD"/>
    <w:rsid w:val="11772AA4"/>
    <w:rsid w:val="118107EC"/>
    <w:rsid w:val="11841BE6"/>
    <w:rsid w:val="126032FA"/>
    <w:rsid w:val="12E24EE2"/>
    <w:rsid w:val="13D50BC4"/>
    <w:rsid w:val="14076122"/>
    <w:rsid w:val="14B17F78"/>
    <w:rsid w:val="165E0673"/>
    <w:rsid w:val="16B831D5"/>
    <w:rsid w:val="16BB723D"/>
    <w:rsid w:val="17E50567"/>
    <w:rsid w:val="184E7699"/>
    <w:rsid w:val="186504BB"/>
    <w:rsid w:val="192F6913"/>
    <w:rsid w:val="19A445FC"/>
    <w:rsid w:val="1A0A3C63"/>
    <w:rsid w:val="1BBCBCB8"/>
    <w:rsid w:val="1BE8440E"/>
    <w:rsid w:val="1C191621"/>
    <w:rsid w:val="1D155CEE"/>
    <w:rsid w:val="1D1638FE"/>
    <w:rsid w:val="1E312DEB"/>
    <w:rsid w:val="1E740ACF"/>
    <w:rsid w:val="1FF35744"/>
    <w:rsid w:val="1FF6BC77"/>
    <w:rsid w:val="2186353C"/>
    <w:rsid w:val="218E3380"/>
    <w:rsid w:val="23860B96"/>
    <w:rsid w:val="240371BF"/>
    <w:rsid w:val="244F3473"/>
    <w:rsid w:val="24C97D99"/>
    <w:rsid w:val="25A718F0"/>
    <w:rsid w:val="25BB59F6"/>
    <w:rsid w:val="260F557C"/>
    <w:rsid w:val="26970054"/>
    <w:rsid w:val="27F66458"/>
    <w:rsid w:val="281408E2"/>
    <w:rsid w:val="284D0E65"/>
    <w:rsid w:val="29BC6D90"/>
    <w:rsid w:val="29FD04D3"/>
    <w:rsid w:val="2BFF7BC6"/>
    <w:rsid w:val="2C8A61B5"/>
    <w:rsid w:val="2DD97B30"/>
    <w:rsid w:val="2DF04E50"/>
    <w:rsid w:val="2DFB5AEB"/>
    <w:rsid w:val="2E586DFA"/>
    <w:rsid w:val="2F040D46"/>
    <w:rsid w:val="2F6B035B"/>
    <w:rsid w:val="2FAE5751"/>
    <w:rsid w:val="2FB1A395"/>
    <w:rsid w:val="2FD9A7D8"/>
    <w:rsid w:val="2FDBF714"/>
    <w:rsid w:val="2FEA31E5"/>
    <w:rsid w:val="30AB6865"/>
    <w:rsid w:val="319F7F4E"/>
    <w:rsid w:val="31E4273E"/>
    <w:rsid w:val="322D074A"/>
    <w:rsid w:val="32BD1EF1"/>
    <w:rsid w:val="3304709D"/>
    <w:rsid w:val="33A773CB"/>
    <w:rsid w:val="349D6851"/>
    <w:rsid w:val="34A10404"/>
    <w:rsid w:val="36AA5135"/>
    <w:rsid w:val="36BE0DA7"/>
    <w:rsid w:val="376B6AA6"/>
    <w:rsid w:val="376D39B2"/>
    <w:rsid w:val="379FE301"/>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CFE0A4"/>
    <w:rsid w:val="3EE17838"/>
    <w:rsid w:val="3EFD238F"/>
    <w:rsid w:val="3F37EF9E"/>
    <w:rsid w:val="3F55381A"/>
    <w:rsid w:val="3F7F7599"/>
    <w:rsid w:val="3FDF9A38"/>
    <w:rsid w:val="3FE51BCC"/>
    <w:rsid w:val="3FF4CAE0"/>
    <w:rsid w:val="3FF7B227"/>
    <w:rsid w:val="3FFFF7D0"/>
    <w:rsid w:val="40C83143"/>
    <w:rsid w:val="444035A9"/>
    <w:rsid w:val="44E268DA"/>
    <w:rsid w:val="450D13D7"/>
    <w:rsid w:val="45506656"/>
    <w:rsid w:val="47266C45"/>
    <w:rsid w:val="486A6C7A"/>
    <w:rsid w:val="4A627F82"/>
    <w:rsid w:val="4B0E749A"/>
    <w:rsid w:val="4B2477C4"/>
    <w:rsid w:val="4B4F25DA"/>
    <w:rsid w:val="4BE068DB"/>
    <w:rsid w:val="4C85299D"/>
    <w:rsid w:val="4D31774E"/>
    <w:rsid w:val="4D4D4F9B"/>
    <w:rsid w:val="4D577224"/>
    <w:rsid w:val="4D606FCF"/>
    <w:rsid w:val="4DBF1CEB"/>
    <w:rsid w:val="4DF0007C"/>
    <w:rsid w:val="4EAB630A"/>
    <w:rsid w:val="4ECE2238"/>
    <w:rsid w:val="4F802834"/>
    <w:rsid w:val="4F833267"/>
    <w:rsid w:val="4FE9BD67"/>
    <w:rsid w:val="4FFB052F"/>
    <w:rsid w:val="537E6D0A"/>
    <w:rsid w:val="53F74C96"/>
    <w:rsid w:val="543A3CAD"/>
    <w:rsid w:val="55170BA8"/>
    <w:rsid w:val="553218C9"/>
    <w:rsid w:val="567BA67F"/>
    <w:rsid w:val="567E1AA5"/>
    <w:rsid w:val="56E47B74"/>
    <w:rsid w:val="57175D52"/>
    <w:rsid w:val="57BD3DD4"/>
    <w:rsid w:val="57BFDD71"/>
    <w:rsid w:val="597F81DB"/>
    <w:rsid w:val="59F35CC9"/>
    <w:rsid w:val="5AF92295"/>
    <w:rsid w:val="5B250254"/>
    <w:rsid w:val="5BDD79E6"/>
    <w:rsid w:val="5BF561CA"/>
    <w:rsid w:val="5BFF5DFC"/>
    <w:rsid w:val="5CD71FC4"/>
    <w:rsid w:val="5D1F11B5"/>
    <w:rsid w:val="5D647738"/>
    <w:rsid w:val="5D695134"/>
    <w:rsid w:val="5DAE1B18"/>
    <w:rsid w:val="5DE7D9E5"/>
    <w:rsid w:val="5ECEC941"/>
    <w:rsid w:val="5FBF9FF3"/>
    <w:rsid w:val="5FCD4E2C"/>
    <w:rsid w:val="5FEF394A"/>
    <w:rsid w:val="5FF25E7D"/>
    <w:rsid w:val="5FF67715"/>
    <w:rsid w:val="62BF3928"/>
    <w:rsid w:val="62FB6AF7"/>
    <w:rsid w:val="63B3701E"/>
    <w:rsid w:val="647F5392"/>
    <w:rsid w:val="65DA8396"/>
    <w:rsid w:val="65E66580"/>
    <w:rsid w:val="664B1D71"/>
    <w:rsid w:val="664B4E8E"/>
    <w:rsid w:val="67277B67"/>
    <w:rsid w:val="67AA3209"/>
    <w:rsid w:val="698D0931"/>
    <w:rsid w:val="69A46588"/>
    <w:rsid w:val="6A7FE5F3"/>
    <w:rsid w:val="6B053271"/>
    <w:rsid w:val="6B7D9C0C"/>
    <w:rsid w:val="6BAF68A7"/>
    <w:rsid w:val="6BB81497"/>
    <w:rsid w:val="6BDC2DD0"/>
    <w:rsid w:val="6BDD78B3"/>
    <w:rsid w:val="6C4A05C8"/>
    <w:rsid w:val="6C8742B8"/>
    <w:rsid w:val="6D9F221A"/>
    <w:rsid w:val="6DBF5E93"/>
    <w:rsid w:val="6DFF077E"/>
    <w:rsid w:val="6E714EF0"/>
    <w:rsid w:val="6E7E3605"/>
    <w:rsid w:val="6E7FDCC7"/>
    <w:rsid w:val="6E8E11E9"/>
    <w:rsid w:val="6ED6A62E"/>
    <w:rsid w:val="6EE00B15"/>
    <w:rsid w:val="6EEDCC60"/>
    <w:rsid w:val="6F6FB3EB"/>
    <w:rsid w:val="6F837A70"/>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9670E7"/>
    <w:rsid w:val="77A75DCA"/>
    <w:rsid w:val="77DC22F5"/>
    <w:rsid w:val="783E271A"/>
    <w:rsid w:val="785A5269"/>
    <w:rsid w:val="78616DE9"/>
    <w:rsid w:val="78E875D7"/>
    <w:rsid w:val="79086DAD"/>
    <w:rsid w:val="799B2E62"/>
    <w:rsid w:val="79D7FD79"/>
    <w:rsid w:val="79EE5BA4"/>
    <w:rsid w:val="7A894339"/>
    <w:rsid w:val="7AD284E8"/>
    <w:rsid w:val="7AE11866"/>
    <w:rsid w:val="7AFF7572"/>
    <w:rsid w:val="7B6C7DFB"/>
    <w:rsid w:val="7BBFBED0"/>
    <w:rsid w:val="7BC3E394"/>
    <w:rsid w:val="7BFF8E7B"/>
    <w:rsid w:val="7C1F3737"/>
    <w:rsid w:val="7C9206A0"/>
    <w:rsid w:val="7CBFC87B"/>
    <w:rsid w:val="7CFE0F48"/>
    <w:rsid w:val="7D125A41"/>
    <w:rsid w:val="7D272ABC"/>
    <w:rsid w:val="7D7EC23E"/>
    <w:rsid w:val="7D7F01E5"/>
    <w:rsid w:val="7D7FDC6E"/>
    <w:rsid w:val="7E3784BE"/>
    <w:rsid w:val="7E8ADEBF"/>
    <w:rsid w:val="7EDC1580"/>
    <w:rsid w:val="7EEF11D3"/>
    <w:rsid w:val="7EFE4840"/>
    <w:rsid w:val="7F0971A6"/>
    <w:rsid w:val="7F0D7675"/>
    <w:rsid w:val="7F1D62E7"/>
    <w:rsid w:val="7F3F679B"/>
    <w:rsid w:val="7F4FC4EF"/>
    <w:rsid w:val="7F5E4D54"/>
    <w:rsid w:val="7F6E0135"/>
    <w:rsid w:val="7F79F205"/>
    <w:rsid w:val="7F7B3244"/>
    <w:rsid w:val="7FA30C79"/>
    <w:rsid w:val="7FA79C44"/>
    <w:rsid w:val="7FAF8ABF"/>
    <w:rsid w:val="7FB7269E"/>
    <w:rsid w:val="7FBF6FB2"/>
    <w:rsid w:val="7FC96657"/>
    <w:rsid w:val="7FCB8372"/>
    <w:rsid w:val="7FCFDB93"/>
    <w:rsid w:val="7FD6013C"/>
    <w:rsid w:val="7FDA9588"/>
    <w:rsid w:val="7FDF220F"/>
    <w:rsid w:val="7FE135D2"/>
    <w:rsid w:val="7FE31D63"/>
    <w:rsid w:val="7FEDC5F7"/>
    <w:rsid w:val="7FEDD9DE"/>
    <w:rsid w:val="7FEE27D1"/>
    <w:rsid w:val="7FEF7D47"/>
    <w:rsid w:val="7FF5890D"/>
    <w:rsid w:val="7FF93490"/>
    <w:rsid w:val="7FFFCBC1"/>
    <w:rsid w:val="8DDE5AB7"/>
    <w:rsid w:val="8FDD4600"/>
    <w:rsid w:val="8FF7FE1F"/>
    <w:rsid w:val="99FF2014"/>
    <w:rsid w:val="9EFBD169"/>
    <w:rsid w:val="9FDB1050"/>
    <w:rsid w:val="A6DD0D7F"/>
    <w:rsid w:val="ACFDB7D4"/>
    <w:rsid w:val="ACFF4FBB"/>
    <w:rsid w:val="ADC6F725"/>
    <w:rsid w:val="ADDF95D0"/>
    <w:rsid w:val="AE7D78B0"/>
    <w:rsid w:val="AEFFE5E9"/>
    <w:rsid w:val="B7CF06AB"/>
    <w:rsid w:val="B7CFA926"/>
    <w:rsid w:val="B7F8786B"/>
    <w:rsid w:val="BABB6AA1"/>
    <w:rsid w:val="BB2F4199"/>
    <w:rsid w:val="BBB9B656"/>
    <w:rsid w:val="BBFFA262"/>
    <w:rsid w:val="BCFFB442"/>
    <w:rsid w:val="BD079C78"/>
    <w:rsid w:val="BD733540"/>
    <w:rsid w:val="BF3735D5"/>
    <w:rsid w:val="BF7F09AC"/>
    <w:rsid w:val="BFD475C3"/>
    <w:rsid w:val="BFDE5EA6"/>
    <w:rsid w:val="BFFB7E97"/>
    <w:rsid w:val="C7FD04E2"/>
    <w:rsid w:val="CF579890"/>
    <w:rsid w:val="CF6FC6F3"/>
    <w:rsid w:val="CFCD857E"/>
    <w:rsid w:val="CFD3D3D7"/>
    <w:rsid w:val="CFDF1009"/>
    <w:rsid w:val="D7D7B16A"/>
    <w:rsid w:val="D8D6DB89"/>
    <w:rsid w:val="DB6F4CAB"/>
    <w:rsid w:val="DB777682"/>
    <w:rsid w:val="DD1FB521"/>
    <w:rsid w:val="DEFBFEAE"/>
    <w:rsid w:val="DF1F3B80"/>
    <w:rsid w:val="DF6F9789"/>
    <w:rsid w:val="DF6FA9BA"/>
    <w:rsid w:val="DFE9BE81"/>
    <w:rsid w:val="DFFFA9E8"/>
    <w:rsid w:val="DFFFBB76"/>
    <w:rsid w:val="E5373064"/>
    <w:rsid w:val="E5F4E9DC"/>
    <w:rsid w:val="E70FE695"/>
    <w:rsid w:val="E76B6CA5"/>
    <w:rsid w:val="E7FDA6EA"/>
    <w:rsid w:val="E8F35434"/>
    <w:rsid w:val="E97E1E10"/>
    <w:rsid w:val="E9FE8302"/>
    <w:rsid w:val="EB2E368B"/>
    <w:rsid w:val="ECFED1BC"/>
    <w:rsid w:val="ED1D69BB"/>
    <w:rsid w:val="ED7FD312"/>
    <w:rsid w:val="EDBFD1CF"/>
    <w:rsid w:val="EDD10611"/>
    <w:rsid w:val="EF2E1AC6"/>
    <w:rsid w:val="EF53993F"/>
    <w:rsid w:val="EF6FD633"/>
    <w:rsid w:val="EFBFB2F4"/>
    <w:rsid w:val="EFBFB6ED"/>
    <w:rsid w:val="EFBFFA21"/>
    <w:rsid w:val="EFEF1EB9"/>
    <w:rsid w:val="F2BEBCB8"/>
    <w:rsid w:val="F2FFB83F"/>
    <w:rsid w:val="F36FB518"/>
    <w:rsid w:val="F3DE1A04"/>
    <w:rsid w:val="F3F722E5"/>
    <w:rsid w:val="F4FBCD07"/>
    <w:rsid w:val="F73E5F36"/>
    <w:rsid w:val="F75D8A06"/>
    <w:rsid w:val="F7FAB955"/>
    <w:rsid w:val="FA5F1E70"/>
    <w:rsid w:val="FA5FDB97"/>
    <w:rsid w:val="FB7F486A"/>
    <w:rsid w:val="FB91A8F3"/>
    <w:rsid w:val="FBEF6404"/>
    <w:rsid w:val="FBF33D34"/>
    <w:rsid w:val="FBFF5B2E"/>
    <w:rsid w:val="FD7FFE2B"/>
    <w:rsid w:val="FDEE196B"/>
    <w:rsid w:val="FDEF0555"/>
    <w:rsid w:val="FDF90130"/>
    <w:rsid w:val="FDFE6575"/>
    <w:rsid w:val="FDFF53CB"/>
    <w:rsid w:val="FE5D8099"/>
    <w:rsid w:val="FE7EB52D"/>
    <w:rsid w:val="FE7F5D5A"/>
    <w:rsid w:val="FE858DDD"/>
    <w:rsid w:val="FEC92CB7"/>
    <w:rsid w:val="FEDFDDC2"/>
    <w:rsid w:val="FEED32F6"/>
    <w:rsid w:val="FEF781DD"/>
    <w:rsid w:val="FEFBA000"/>
    <w:rsid w:val="FF3F7E3F"/>
    <w:rsid w:val="FF5F2A93"/>
    <w:rsid w:val="FF618A6F"/>
    <w:rsid w:val="FFAB9B2B"/>
    <w:rsid w:val="FFBA12D7"/>
    <w:rsid w:val="FFBF979B"/>
    <w:rsid w:val="FFCBD314"/>
    <w:rsid w:val="FFDFF91C"/>
    <w:rsid w:val="FFDFFAEE"/>
    <w:rsid w:val="FFEF6777"/>
    <w:rsid w:val="FFF9B57B"/>
    <w:rsid w:val="FFFD61D9"/>
    <w:rsid w:val="FFFD8F59"/>
    <w:rsid w:val="FFFF2BB1"/>
    <w:rsid w:val="FFFF64E0"/>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customStyle="1" w:styleId="2">
    <w:name w:val="正文2"/>
    <w:basedOn w:val="1"/>
    <w:next w:val="1"/>
    <w:qFormat/>
    <w:uiPriority w:val="0"/>
    <w:rPr>
      <w:rFonts w:ascii="Calibri" w:hAnsi="Calibri" w:eastAsia="宋体" w:cs="Times New Roman"/>
      <w:szCs w:val="24"/>
    </w:rPr>
  </w:style>
  <w:style w:type="paragraph" w:styleId="6">
    <w:name w:val="Body Text"/>
    <w:basedOn w:val="1"/>
    <w:link w:val="27"/>
    <w:qFormat/>
    <w:uiPriority w:val="99"/>
    <w:pPr>
      <w:spacing w:beforeLines="30"/>
    </w:pPr>
    <w:rPr>
      <w:rFonts w:ascii="仿宋_GB2312" w:eastAsia="仿宋_GB2312"/>
      <w:kern w:val="0"/>
      <w:sz w:val="30"/>
    </w:rPr>
  </w:style>
  <w:style w:type="paragraph" w:styleId="7">
    <w:name w:val="Body Text Indent"/>
    <w:basedOn w:val="1"/>
    <w:next w:val="8"/>
    <w:qFormat/>
    <w:uiPriority w:val="0"/>
    <w:pPr>
      <w:spacing w:after="120"/>
      <w:ind w:leftChars="200"/>
    </w:pPr>
    <w:rPr>
      <w:rFonts w:ascii="仿宋_GB2312"/>
      <w:szCs w:val="32"/>
    </w:rPr>
  </w:style>
  <w:style w:type="paragraph" w:styleId="8">
    <w:name w:val="Body Text First Indent 2"/>
    <w:basedOn w:val="7"/>
    <w:unhideWhenUsed/>
    <w:qFormat/>
    <w:uiPriority w:val="99"/>
    <w:pPr>
      <w:ind w:firstLine="420" w:firstLine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3"/>
    <w:unhideWhenUsed/>
    <w:qFormat/>
    <w:uiPriority w:val="99"/>
    <w:rPr>
      <w:sz w:val="18"/>
      <w:szCs w:val="18"/>
    </w:rPr>
  </w:style>
  <w:style w:type="paragraph" w:styleId="11">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8"/>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paragraph" w:customStyle="1" w:styleId="21">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2">
    <w:name w:val="Header Char"/>
    <w:basedOn w:val="18"/>
    <w:semiHidden/>
    <w:qFormat/>
    <w:uiPriority w:val="99"/>
    <w:rPr>
      <w:rFonts w:ascii="Times New Roman" w:hAnsi="Times New Roman"/>
      <w:sz w:val="18"/>
      <w:szCs w:val="18"/>
    </w:rPr>
  </w:style>
  <w:style w:type="character" w:customStyle="1" w:styleId="23">
    <w:name w:val="页眉 Char"/>
    <w:link w:val="12"/>
    <w:semiHidden/>
    <w:qFormat/>
    <w:locked/>
    <w:uiPriority w:val="99"/>
    <w:rPr>
      <w:sz w:val="18"/>
    </w:rPr>
  </w:style>
  <w:style w:type="character" w:customStyle="1" w:styleId="24">
    <w:name w:val="Footer Char"/>
    <w:basedOn w:val="18"/>
    <w:semiHidden/>
    <w:qFormat/>
    <w:uiPriority w:val="99"/>
    <w:rPr>
      <w:rFonts w:ascii="Times New Roman" w:hAnsi="Times New Roman"/>
      <w:sz w:val="18"/>
      <w:szCs w:val="18"/>
    </w:rPr>
  </w:style>
  <w:style w:type="character" w:customStyle="1" w:styleId="25">
    <w:name w:val="页脚 Char"/>
    <w:link w:val="11"/>
    <w:qFormat/>
    <w:locked/>
    <w:uiPriority w:val="99"/>
    <w:rPr>
      <w:sz w:val="18"/>
    </w:rPr>
  </w:style>
  <w:style w:type="character" w:customStyle="1" w:styleId="26">
    <w:name w:val="Body Text Char"/>
    <w:basedOn w:val="18"/>
    <w:semiHidden/>
    <w:qFormat/>
    <w:uiPriority w:val="99"/>
    <w:rPr>
      <w:rFonts w:ascii="Times New Roman" w:hAnsi="Times New Roman"/>
      <w:szCs w:val="24"/>
    </w:rPr>
  </w:style>
  <w:style w:type="character" w:customStyle="1" w:styleId="27">
    <w:name w:val="正文文本 Char"/>
    <w:link w:val="6"/>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29">
    <w:name w:val="List Paragraph"/>
    <w:basedOn w:val="1"/>
    <w:qFormat/>
    <w:uiPriority w:val="34"/>
    <w:pPr>
      <w:ind w:firstLine="420" w:firstLineChars="200"/>
    </w:pPr>
  </w:style>
  <w:style w:type="character" w:customStyle="1" w:styleId="30">
    <w:name w:val="标题 1 Char"/>
    <w:basedOn w:val="18"/>
    <w:link w:val="3"/>
    <w:qFormat/>
    <w:uiPriority w:val="9"/>
    <w:rPr>
      <w:rFonts w:ascii="Times New Roman" w:hAnsi="Times New Roman"/>
      <w:b/>
      <w:bCs/>
      <w:kern w:val="44"/>
      <w:sz w:val="44"/>
      <w:szCs w:val="44"/>
    </w:rPr>
  </w:style>
  <w:style w:type="character" w:customStyle="1" w:styleId="31">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8"/>
    <w:link w:val="10"/>
    <w:semiHidden/>
    <w:qFormat/>
    <w:uiPriority w:val="99"/>
    <w:rPr>
      <w:rFonts w:ascii="Times New Roman" w:hAnsi="Times New Roman"/>
      <w:kern w:val="2"/>
      <w:sz w:val="18"/>
      <w:szCs w:val="18"/>
    </w:rPr>
  </w:style>
  <w:style w:type="character" w:customStyle="1" w:styleId="34">
    <w:name w:val="标题 3 Char"/>
    <w:basedOn w:val="18"/>
    <w:link w:val="5"/>
    <w:qFormat/>
    <w:uiPriority w:val="9"/>
    <w:rPr>
      <w:rFonts w:ascii="Times New Roman" w:hAnsi="Times New Roman"/>
      <w:b/>
      <w:bCs/>
      <w:kern w:val="2"/>
      <w:sz w:val="32"/>
      <w:szCs w:val="32"/>
    </w:rPr>
  </w:style>
  <w:style w:type="paragraph" w:customStyle="1" w:styleId="35">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7">
    <w:name w:val="图表目录1"/>
    <w:basedOn w:val="38"/>
    <w:next w:val="1"/>
    <w:qFormat/>
    <w:uiPriority w:val="0"/>
    <w:pPr>
      <w:widowControl w:val="0"/>
      <w:ind w:left="200" w:leftChars="200" w:hanging="200" w:hangingChars="200"/>
      <w:jc w:val="both"/>
    </w:pPr>
    <w:rPr>
      <w:rFonts w:ascii="Times New Roman" w:hAnsi="Times New Roman" w:eastAsia="仿宋_GB2312" w:cs="Times New Roman"/>
      <w:kern w:val="2"/>
      <w:sz w:val="32"/>
      <w:szCs w:val="24"/>
      <w:lang w:val="en-US" w:eastAsia="zh-CN" w:bidi="ar-SA"/>
    </w:rPr>
  </w:style>
  <w:style w:type="paragraph" w:customStyle="1" w:styleId="38">
    <w:name w:val="Normal New"/>
    <w:qFormat/>
    <w:uiPriority w:val="0"/>
    <w:pPr>
      <w:widowControl w:val="0"/>
      <w:jc w:val="both"/>
    </w:pPr>
    <w:rPr>
      <w:rFonts w:hint="eastAsia" w:ascii="Times New Roman" w:hAnsi="Times New Roman" w:eastAsia="宋体" w:cs="Times New Roman"/>
      <w:kern w:val="2"/>
      <w:sz w:val="21"/>
      <w:szCs w:val="22"/>
      <w:lang w:val="en-US" w:eastAsia="zh-CN" w:bidi="ar-SA"/>
    </w:rPr>
  </w:style>
  <w:style w:type="character" w:customStyle="1" w:styleId="39">
    <w:name w:val="font161"/>
    <w:qFormat/>
    <w:uiPriority w:val="0"/>
    <w:rPr>
      <w:rFonts w:hint="eastAsia" w:ascii="宋体" w:hAnsi="宋体" w:eastAsia="宋体" w:cs="宋体"/>
      <w:color w:val="000000"/>
      <w:kern w:val="2"/>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23</Pages>
  <Words>1299</Words>
  <Characters>7410</Characters>
  <Lines>61</Lines>
  <Paragraphs>17</Paragraphs>
  <TotalTime>16</TotalTime>
  <ScaleCrop>false</ScaleCrop>
  <LinksUpToDate>false</LinksUpToDate>
  <CharactersWithSpaces>8692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2020-08-11T01:49:00Z</dcterms:created>
  <dc:creator>曹颖</dc:creator>
  <cp:lastModifiedBy>user</cp:lastModifiedBy>
  <cp:lastPrinted>2025-08-08T09:34:00Z</cp:lastPrinted>
  <dcterms:modified xsi:type="dcterms:W3CDTF">2025-09-16T15:17:35Z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04787F2533EB45DC91BCDE4AB213247F</vt:lpwstr>
  </property>
</Properties>
</file>