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9"/>
        <w:rPr>
          <w:rFonts w:hint="default" w:ascii="Times New Roman" w:hAnsi="Times New Roman" w:eastAsia="方正小标宋简体" w:cs="Times New Roman"/>
          <w:sz w:val="52"/>
          <w:szCs w:val="52"/>
          <w:lang w:val="en-US" w:eastAsia="zh-CN"/>
        </w:rPr>
      </w:pPr>
      <w:bookmarkStart w:id="0" w:name="_Toc15377194"/>
      <w:bookmarkStart w:id="1" w:name="_Toc15378442"/>
      <w:bookmarkStart w:id="2" w:name="_Toc15377426"/>
      <w:bookmarkStart w:id="3" w:name="_Toc15396598"/>
      <w:bookmarkStart w:id="4" w:name="_Toc15396476"/>
      <w:bookmarkStart w:id="5" w:name="_Toc15377425"/>
      <w:bookmarkStart w:id="6" w:name="_Toc15377193"/>
      <w:bookmarkStart w:id="7" w:name="_Toc15306267"/>
      <w:bookmarkStart w:id="8" w:name="_Toc15396475"/>
      <w:bookmarkStart w:id="9" w:name="_Toc15396597"/>
      <w:bookmarkStart w:id="10" w:name="_Toc15378441"/>
    </w:p>
    <w:p>
      <w:pPr>
        <w:adjustRightInd w:val="0"/>
        <w:snapToGrid w:val="0"/>
        <w:spacing w:line="360" w:lineRule="auto"/>
        <w:jc w:val="center"/>
        <w:outlineLvl w:val="9"/>
        <w:rPr>
          <w:rFonts w:hint="default" w:ascii="Times New Roman" w:hAnsi="Times New Roman" w:eastAsia="方正小标宋简体" w:cs="Times New Roman"/>
          <w:sz w:val="52"/>
          <w:szCs w:val="52"/>
          <w:lang w:val="en-US" w:eastAsia="zh-CN"/>
        </w:rPr>
      </w:pPr>
    </w:p>
    <w:p>
      <w:pPr>
        <w:adjustRightInd w:val="0"/>
        <w:snapToGrid w:val="0"/>
        <w:spacing w:line="360" w:lineRule="auto"/>
        <w:jc w:val="center"/>
        <w:outlineLvl w:val="9"/>
        <w:rPr>
          <w:rFonts w:hint="default" w:ascii="Times New Roman" w:hAnsi="Times New Roman" w:eastAsia="方正小标宋简体" w:cs="Times New Roman"/>
          <w:sz w:val="52"/>
          <w:szCs w:val="52"/>
          <w:lang w:val="en-US" w:eastAsia="zh-CN"/>
        </w:rPr>
      </w:pPr>
    </w:p>
    <w:p>
      <w:pPr>
        <w:adjustRightInd w:val="0"/>
        <w:snapToGrid w:val="0"/>
        <w:spacing w:line="360" w:lineRule="auto"/>
        <w:jc w:val="center"/>
        <w:outlineLvl w:val="9"/>
        <w:rPr>
          <w:rFonts w:hint="default" w:ascii="Times New Roman" w:hAnsi="Times New Roman" w:eastAsia="方正小标宋简体" w:cs="Times New Roman"/>
          <w:sz w:val="52"/>
          <w:szCs w:val="52"/>
          <w:lang w:val="en-US" w:eastAsia="zh-CN"/>
        </w:rPr>
      </w:pPr>
      <w:r>
        <w:rPr>
          <w:rFonts w:hint="default" w:ascii="Times New Roman" w:hAnsi="Times New Roman" w:eastAsia="方正小标宋简体" w:cs="Times New Roman"/>
          <w:sz w:val="52"/>
          <w:szCs w:val="52"/>
          <w:lang w:val="en-US" w:eastAsia="zh-CN"/>
        </w:rPr>
        <w:t>2024年度</w:t>
      </w:r>
    </w:p>
    <w:p>
      <w:pPr>
        <w:adjustRightInd w:val="0"/>
        <w:snapToGrid w:val="0"/>
        <w:spacing w:line="360" w:lineRule="auto"/>
        <w:jc w:val="center"/>
        <w:outlineLvl w:val="9"/>
        <w:rPr>
          <w:rFonts w:hint="default" w:ascii="Times New Roman" w:hAnsi="Times New Roman" w:cs="Times New Roman"/>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rPr>
          <w:rFonts w:hint="default" w:ascii="Times New Roman" w:hAnsi="Times New Roman" w:eastAsia="方正小标宋简体" w:cs="Times New Roman"/>
          <w:sz w:val="52"/>
          <w:szCs w:val="52"/>
          <w:lang w:val="en-US" w:eastAsia="zh-CN"/>
        </w:rPr>
        <w:t>四川省</w:t>
      </w:r>
      <w:bookmarkStart w:id="11" w:name="_Toc15306268"/>
      <w:r>
        <w:rPr>
          <w:rFonts w:hint="default" w:ascii="Times New Roman" w:hAnsi="Times New Roman" w:eastAsia="方正小标宋简体" w:cs="Times New Roman"/>
          <w:sz w:val="52"/>
          <w:szCs w:val="52"/>
          <w:lang w:val="en-US" w:eastAsia="zh-CN"/>
        </w:rPr>
        <w:t>节能监管事务中心单位决算</w:t>
      </w:r>
      <w:bookmarkEnd w:id="0"/>
      <w:bookmarkEnd w:id="1"/>
      <w:bookmarkEnd w:id="2"/>
      <w:bookmarkEnd w:id="3"/>
      <w:bookmarkEnd w:id="4"/>
      <w:bookmarkEnd w:id="11"/>
    </w:p>
    <w:bookmarkEnd w:id="5"/>
    <w:bookmarkEnd w:id="6"/>
    <w:bookmarkEnd w:id="7"/>
    <w:bookmarkEnd w:id="8"/>
    <w:bookmarkEnd w:id="9"/>
    <w:bookmarkEnd w:id="10"/>
    <w:p>
      <w:pPr>
        <w:bidi w:val="0"/>
        <w:jc w:val="center"/>
        <w:rPr>
          <w:rFonts w:hint="default" w:ascii="Times New Roman" w:hAnsi="Times New Roman" w:eastAsia="黑体" w:cs="Times New Roman"/>
          <w:color w:val="auto"/>
          <w:szCs w:val="48"/>
          <w:highlight w:val="none"/>
        </w:rPr>
      </w:pP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color w:val="auto"/>
          <w:sz w:val="28"/>
          <w:szCs w:val="28"/>
          <w:highlight w:val="none"/>
        </w:rPr>
      </w:pPr>
    </w:p>
    <w:p>
      <w:pPr>
        <w:pStyle w:val="12"/>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公开时间：20</w:t>
      </w:r>
      <w:r>
        <w:rPr>
          <w:rFonts w:hint="default" w:ascii="Times New Roman" w:hAnsi="Times New Roman" w:eastAsia="仿宋_GB2312" w:cs="Times New Roman"/>
          <w:color w:val="auto"/>
          <w:sz w:val="32"/>
          <w:szCs w:val="32"/>
          <w:highlight w:val="none"/>
          <w:lang w:val="en-US" w:eastAsia="zh-CN"/>
        </w:rPr>
        <w:t>25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 xml:space="preserve">9 </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 xml:space="preserve"> 12 </w:t>
      </w:r>
      <w:r>
        <w:rPr>
          <w:rFonts w:hint="default" w:ascii="Times New Roman" w:hAnsi="Times New Roman" w:eastAsia="仿宋_GB2312" w:cs="Times New Roman"/>
          <w:color w:val="auto"/>
          <w:sz w:val="32"/>
          <w:szCs w:val="32"/>
          <w:highlight w:val="none"/>
        </w:rPr>
        <w:t>日</w:t>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p>
    <w:sdt>
      <w:sdtPr>
        <w:rPr>
          <w:rFonts w:hint="default" w:ascii="Times New Roman" w:hAnsi="Times New Roman" w:eastAsia="宋体" w:cs="Times New Roman"/>
          <w:kern w:val="2"/>
          <w:sz w:val="21"/>
          <w:szCs w:val="24"/>
          <w:lang w:val="en-US" w:eastAsia="zh-CN" w:bidi="ar-SA"/>
        </w:rPr>
        <w:id w:val="147463676"/>
        <w15:color w:val="DBDBDB"/>
        <w:docPartObj>
          <w:docPartGallery w:val="Table of Contents"/>
          <w:docPartUnique/>
        </w:docPartObj>
      </w:sdtPr>
      <w:sdtEndPr>
        <w:rPr>
          <w:rFonts w:hint="default" w:ascii="Times New Roman" w:hAnsi="Times New Roman" w:eastAsia="仿宋_GB2312" w:cs="Times New Roman"/>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rPr>
          </w:pPr>
        </w:p>
        <w:p>
          <w:pPr>
            <w:pStyle w:val="12"/>
            <w:keepNext w:val="0"/>
            <w:keepLines w:val="0"/>
            <w:pageBreakBefore w:val="0"/>
            <w:widowControl w:val="0"/>
            <w:numPr>
              <w:ilvl w:val="0"/>
              <w:numId w:val="0"/>
            </w:numPr>
            <w:tabs>
              <w:tab w:val="right" w:leader="dot" w:pos="8970"/>
              <w:tab w:val="clear" w:pos="8296"/>
            </w:tabs>
            <w:kinsoku/>
            <w:wordWrap/>
            <w:overflowPunct/>
            <w:topLinePunct w:val="0"/>
            <w:autoSpaceDE/>
            <w:autoSpaceDN/>
            <w:bidi w:val="0"/>
            <w:adjustRightInd/>
            <w:snapToGrid/>
            <w:spacing w:before="0" w:line="560" w:lineRule="exact"/>
            <w:ind w:leftChars="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\h \u </w:instrText>
          </w:r>
          <w:r>
            <w:rPr>
              <w:rFonts w:hint="default" w:ascii="Times New Roman" w:hAnsi="Times New Roman" w:eastAsia="仿宋_GB2312" w:cs="Times New Roman"/>
              <w:sz w:val="32"/>
              <w:szCs w:val="32"/>
            </w:rPr>
            <w:fldChar w:fldCharType="separate"/>
          </w:r>
          <w:r>
            <w:rPr>
              <w:rFonts w:hint="default" w:ascii="Times New Roman" w:hAnsi="Times New Roman" w:eastAsia="黑体" w:cs="Times New Roman"/>
              <w:sz w:val="32"/>
              <w:szCs w:val="32"/>
            </w:rPr>
            <w:fldChar w:fldCharType="begin"/>
          </w:r>
          <w:r>
            <w:rPr>
              <w:rFonts w:hint="default" w:ascii="Times New Roman" w:hAnsi="Times New Roman" w:eastAsia="黑体" w:cs="Times New Roman"/>
              <w:sz w:val="32"/>
              <w:szCs w:val="32"/>
            </w:rPr>
            <w:instrText xml:space="preserve"> HYPERLINK \l _Toc23559 </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lang w:val="en-US" w:eastAsia="zh-CN"/>
            </w:rPr>
            <w:t>第一部分  单位概况</w:t>
          </w:r>
          <w:r>
            <w:rPr>
              <w:rFonts w:hint="default" w:ascii="Times New Roman" w:hAnsi="Times New Roman" w:eastAsia="黑体"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_Toc23559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_Toc21059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eastAsia="zh-CN"/>
            </w:rPr>
            <w:t>一、</w:t>
          </w:r>
          <w:r>
            <w:rPr>
              <w:rFonts w:hint="default" w:ascii="Times New Roman" w:hAnsi="Times New Roman" w:eastAsia="仿宋_GB2312" w:cs="Times New Roman"/>
              <w:bCs w:val="0"/>
              <w:sz w:val="32"/>
              <w:szCs w:val="32"/>
              <w:lang w:val="en-US" w:eastAsia="zh-CN"/>
            </w:rPr>
            <w:t>单位</w:t>
          </w:r>
          <w:r>
            <w:rPr>
              <w:rFonts w:hint="default" w:ascii="Times New Roman" w:hAnsi="Times New Roman" w:eastAsia="仿宋_GB2312" w:cs="Times New Roman"/>
              <w:bCs w:val="0"/>
              <w:sz w:val="32"/>
              <w:szCs w:val="32"/>
              <w:lang w:eastAsia="zh-CN"/>
            </w:rPr>
            <w:t>职责</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_Toc21059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_Toc13687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二、机构设置</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fldChar w:fldCharType="begin"/>
          </w:r>
          <w:r>
            <w:rPr>
              <w:rFonts w:hint="default" w:ascii="Times New Roman" w:hAnsi="Times New Roman" w:eastAsia="黑体" w:cs="Times New Roman"/>
              <w:sz w:val="32"/>
              <w:szCs w:val="32"/>
            </w:rPr>
            <w:instrText xml:space="preserve"> HYPERLINK \l _Toc9043 </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rPr>
            <w:t>第二部分</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2024年度单位</w:t>
          </w:r>
          <w:r>
            <w:rPr>
              <w:rFonts w:hint="default" w:ascii="Times New Roman" w:hAnsi="Times New Roman" w:eastAsia="黑体" w:cs="Times New Roman"/>
              <w:sz w:val="32"/>
              <w:szCs w:val="32"/>
            </w:rPr>
            <w:t>决算情况说明</w:t>
          </w:r>
          <w:r>
            <w:rPr>
              <w:rFonts w:hint="default" w:ascii="Times New Roman" w:hAnsi="Times New Roman" w:eastAsia="黑体"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_Toc9043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_Toc6091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一、收入支出决算总体情况说明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_Toc6091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_Toc13037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二、收入决算情况说明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_Toc13037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_Toc8155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三、支出决算情况说明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b w:val="0"/>
              <w:bCs w:val="0"/>
              <w:sz w:val="32"/>
              <w:szCs w:val="32"/>
            </w:rPr>
            <w:fldChar w:fldCharType="begin"/>
          </w:r>
          <w:r>
            <w:rPr>
              <w:rFonts w:hint="default" w:ascii="Times New Roman" w:hAnsi="Times New Roman" w:eastAsia="仿宋_GB2312" w:cs="Times New Roman"/>
              <w:b w:val="0"/>
              <w:bCs w:val="0"/>
              <w:sz w:val="32"/>
              <w:szCs w:val="32"/>
            </w:rPr>
            <w:instrText xml:space="preserve"> PAGEREF _Toc8155 \h </w:instrText>
          </w:r>
          <w:r>
            <w:rPr>
              <w:rFonts w:hint="default" w:ascii="Times New Roman" w:hAnsi="Times New Roman" w:eastAsia="仿宋_GB2312" w:cs="Times New Roman"/>
              <w:b w:val="0"/>
              <w:bCs w:val="0"/>
              <w:sz w:val="32"/>
              <w:szCs w:val="32"/>
            </w:rPr>
            <w:fldChar w:fldCharType="separate"/>
          </w:r>
          <w:r>
            <w:rPr>
              <w:rFonts w:hint="default" w:ascii="Times New Roman" w:hAnsi="Times New Roman" w:eastAsia="仿宋_GB2312" w:cs="Times New Roman"/>
              <w:b w:val="0"/>
              <w:bCs w:val="0"/>
              <w:sz w:val="32"/>
              <w:szCs w:val="32"/>
            </w:rPr>
            <w:t>4</w:t>
          </w:r>
          <w:r>
            <w:rPr>
              <w:rFonts w:hint="default" w:ascii="Times New Roman" w:hAnsi="Times New Roman" w:eastAsia="仿宋_GB2312" w:cs="Times New Roman"/>
              <w:b w:val="0"/>
              <w:bCs w:val="0"/>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_Toc26180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四、财政拨款收入支出决算总体情况说明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_Toc26180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_Toc21216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五、一般公共预算财政拨款支出决算情况说明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_Toc21216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_Toc25561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lang w:val="en-US" w:eastAsia="zh-CN"/>
            </w:rPr>
            <w:t>六、一般公共预算财政拨款基本支出决算情况说明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_Toc25561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_Toc18939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七、财政拨款“三公”经费支出决算情况说明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_Toc18939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9</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_Toc2631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八、政府性基金预算支出决算情况说明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_Toc2631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_Toc26644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九、国有资本经营预算支出决算情况说明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_Toc26644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_Toc11086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十、其他重要事项的情况说明</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_Toc11086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fldChar w:fldCharType="begin"/>
          </w:r>
          <w:r>
            <w:rPr>
              <w:rFonts w:hint="default" w:ascii="Times New Roman" w:hAnsi="Times New Roman" w:eastAsia="黑体" w:cs="Times New Roman"/>
              <w:sz w:val="32"/>
              <w:szCs w:val="32"/>
            </w:rPr>
            <w:instrText xml:space="preserve"> HYPERLINK \l _Toc12684 </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rPr>
            <w:t>第</w:t>
          </w: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部分</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名词解释</w:t>
          </w:r>
          <w:r>
            <w:rPr>
              <w:rFonts w:hint="default" w:ascii="Times New Roman" w:hAnsi="Times New Roman" w:eastAsia="黑体"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_Toc12684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13</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fldChar w:fldCharType="begin"/>
          </w:r>
          <w:r>
            <w:rPr>
              <w:rFonts w:hint="default" w:ascii="Times New Roman" w:hAnsi="Times New Roman" w:eastAsia="黑体" w:cs="Times New Roman"/>
              <w:sz w:val="32"/>
              <w:szCs w:val="32"/>
            </w:rPr>
            <w:instrText xml:space="preserve"> HYPERLINK \l _Toc1695 </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rPr>
            <w:t>第四部分</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附件</w:t>
          </w:r>
          <w:r>
            <w:rPr>
              <w:rFonts w:hint="default" w:ascii="Times New Roman" w:hAnsi="Times New Roman" w:eastAsia="黑体"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_Toc1695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16</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sz w:val="32"/>
              <w:szCs w:val="32"/>
            </w:rPr>
            <w:fldChar w:fldCharType="end"/>
          </w:r>
        </w:p>
        <w:p>
          <w:pPr>
            <w:pStyle w:val="12"/>
            <w:keepNext w:val="0"/>
            <w:keepLines w:val="0"/>
            <w:pageBreakBefore w:val="0"/>
            <w:widowControl w:val="0"/>
            <w:tabs>
              <w:tab w:val="right" w:leader="dot" w:pos="8970"/>
              <w:tab w:val="clear" w:pos="8296"/>
            </w:tabs>
            <w:kinsoku/>
            <w:wordWrap/>
            <w:overflowPunct/>
            <w:topLinePunct w:val="0"/>
            <w:autoSpaceDE/>
            <w:autoSpaceDN/>
            <w:bidi w:val="0"/>
            <w:adjustRightInd/>
            <w:snapToGrid/>
            <w:spacing w:before="0" w:line="560" w:lineRule="exact"/>
            <w:ind w:left="0" w:leftChars="0"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fldChar w:fldCharType="begin"/>
          </w:r>
          <w:r>
            <w:rPr>
              <w:rFonts w:hint="default" w:ascii="Times New Roman" w:hAnsi="Times New Roman" w:eastAsia="黑体" w:cs="Times New Roman"/>
              <w:sz w:val="32"/>
              <w:szCs w:val="32"/>
            </w:rPr>
            <w:instrText xml:space="preserve"> HYPERLINK \l _Toc26675 </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highlight w:val="none"/>
            </w:rPr>
            <w:t xml:space="preserve">第五部分 </w:t>
          </w:r>
          <w:r>
            <w:rPr>
              <w:rFonts w:hint="default" w:ascii="Times New Roman" w:hAnsi="Times New Roman" w:eastAsia="黑体" w:cs="Times New Roman"/>
              <w:sz w:val="32"/>
              <w:szCs w:val="32"/>
              <w:highlight w:val="none"/>
              <w:lang w:val="en"/>
            </w:rPr>
            <w:t xml:space="preserve"> </w:t>
          </w:r>
          <w:r>
            <w:rPr>
              <w:rFonts w:hint="default" w:ascii="Times New Roman" w:hAnsi="Times New Roman" w:eastAsia="黑体" w:cs="Times New Roman"/>
              <w:sz w:val="32"/>
              <w:szCs w:val="32"/>
              <w:highlight w:val="none"/>
            </w:rPr>
            <w:t>附表</w:t>
          </w:r>
          <w:r>
            <w:rPr>
              <w:rFonts w:hint="default" w:ascii="Times New Roman" w:hAnsi="Times New Roman" w:eastAsia="黑体"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_Toc26675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26</w:t>
          </w:r>
          <w:r>
            <w:rPr>
              <w:rFonts w:hint="default" w:ascii="Times New Roman" w:hAnsi="Times New Roman" w:eastAsia="仿宋_GB2312" w:cs="Times New Roman"/>
              <w:sz w:val="32"/>
              <w:szCs w:val="32"/>
            </w:rPr>
            <w:fldChar w:fldCharType="end"/>
          </w:r>
          <w:r>
            <w:rPr>
              <w:rFonts w:hint="default" w:ascii="Times New Roman" w:hAnsi="Times New Roman" w:eastAsia="黑体"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_Toc4090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一、收入支出决算总表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_Toc9806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二、收入决算表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sectPr>
              <w:footerReference r:id="rId6" w:type="first"/>
              <w:footerReference r:id="rId5" w:type="default"/>
              <w:pgSz w:w="11906" w:h="16838"/>
              <w:pgMar w:top="1440" w:right="1468" w:bottom="1440" w:left="1468" w:header="851" w:footer="992" w:gutter="0"/>
              <w:pgNumType w:fmt="decimal" w:start="1"/>
              <w:cols w:space="425" w:num="1"/>
              <w:docGrid w:type="lines" w:linePitch="312" w:charSpace="0"/>
            </w:sectPr>
          </w:pP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_Toc8396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三、支出决算表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_Toc1424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四、财政拨款收入支出决算总表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_Toc29820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五、财政拨款支出决算明细表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_Toc16962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六、一般公共预算财政拨款支出决算表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_Toc29374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七、一般公共预算财政拨款支出决算明细表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_Toc6035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八、一般公共预算财政拨款基本支出决算表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_Toc15145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九、一般公共预算财政拨款项目支出决算表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_Toc15188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十、政府性基金预算财政拨款收入支出决算表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_Toc22141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十一、国有资本经营预算财政拨款收入支出决算表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_Toc23729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十二、国有资本经营预算财政拨款支出决算表</w:t>
          </w:r>
          <w:r>
            <w:rPr>
              <w:rFonts w:hint="default" w:ascii="Times New Roman" w:hAnsi="Times New Roman" w:eastAsia="仿宋_GB2312" w:cs="Times New Roman"/>
              <w:sz w:val="32"/>
              <w:szCs w:val="32"/>
            </w:rPr>
            <w:fldChar w:fldCharType="end"/>
          </w:r>
        </w:p>
        <w:p>
          <w:pPr>
            <w:pStyle w:val="14"/>
            <w:keepNext w:val="0"/>
            <w:keepLines w:val="0"/>
            <w:pageBreakBefore w:val="0"/>
            <w:widowControl w:val="0"/>
            <w:tabs>
              <w:tab w:val="right" w:leader="dot" w:pos="8970"/>
              <w:tab w:val="clear" w:pos="8296"/>
            </w:tabs>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_Toc761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lang w:val="en-US" w:eastAsia="zh-CN"/>
            </w:rPr>
            <w:t>十三、财政拨款“三公”经费支出决算表</w:t>
          </w:r>
          <w:r>
            <w:rPr>
              <w:rFonts w:hint="default" w:ascii="Times New Roman" w:hAnsi="Times New Roman" w:eastAsia="仿宋_GB2312" w:cs="Times New Roman"/>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end"/>
          </w:r>
        </w:p>
      </w:sdtContent>
    </w:sdt>
    <w:p>
      <w:pPr>
        <w:pStyle w:val="3"/>
        <w:pageBreakBefore w:val="0"/>
        <w:widowControl w:val="0"/>
        <w:kinsoku/>
        <w:wordWrap/>
        <w:overflowPunct/>
        <w:topLinePunct w:val="0"/>
        <w:autoSpaceDE/>
        <w:autoSpaceDN/>
        <w:bidi w:val="0"/>
        <w:adjustRightInd/>
        <w:snapToGrid/>
        <w:spacing w:before="0" w:after="0"/>
        <w:ind w:firstLine="0" w:firstLineChars="0"/>
        <w:jc w:val="both"/>
        <w:textAlignment w:val="auto"/>
        <w:rPr>
          <w:rFonts w:hint="default" w:ascii="Times New Roman" w:hAnsi="Times New Roman" w:eastAsia="方正小标宋简体" w:cs="Times New Roman"/>
          <w:lang w:val="en-US" w:eastAsia="zh-CN"/>
        </w:rPr>
      </w:pPr>
      <w:bookmarkStart w:id="12" w:name="_Toc23559"/>
    </w:p>
    <w:p>
      <w:pPr>
        <w:pStyle w:val="3"/>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方正小标宋简体" w:cs="Times New Roman"/>
          <w:lang w:val="en-US" w:eastAsia="zh-CN"/>
        </w:rPr>
      </w:pPr>
    </w:p>
    <w:p>
      <w:pPr>
        <w:rPr>
          <w:rFonts w:hint="default" w:ascii="Times New Roman" w:hAnsi="Times New Roman" w:eastAsia="方正小标宋简体" w:cs="Times New Roman"/>
          <w:lang w:val="en-US" w:eastAsia="zh-CN"/>
        </w:rPr>
      </w:pPr>
    </w:p>
    <w:p>
      <w:pPr>
        <w:pStyle w:val="2"/>
        <w:rPr>
          <w:rFonts w:hint="default" w:ascii="Times New Roman" w:hAnsi="Times New Roman" w:cs="Times New Roman"/>
          <w:lang w:val="en-US" w:eastAsia="zh-CN"/>
        </w:rPr>
      </w:pPr>
    </w:p>
    <w:p>
      <w:pPr>
        <w:pStyle w:val="3"/>
        <w:bidi w:val="0"/>
        <w:jc w:val="both"/>
        <w:rPr>
          <w:rFonts w:hint="default" w:ascii="Times New Roman" w:hAnsi="Times New Roman" w:eastAsia="方正小标宋简体" w:cs="Times New Roman"/>
          <w:lang w:val="en-US" w:eastAsia="zh-CN"/>
        </w:rPr>
      </w:pPr>
    </w:p>
    <w:p>
      <w:pPr>
        <w:rPr>
          <w:rFonts w:hint="default" w:ascii="Times New Roman" w:hAnsi="Times New Roman" w:cs="Times New Roman"/>
          <w:lang w:val="en-US" w:eastAsia="zh-CN"/>
        </w:rPr>
      </w:pPr>
    </w:p>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lang w:val="en-US" w:eastAsia="zh-CN"/>
        </w:rPr>
        <w:sectPr>
          <w:footerReference r:id="rId8" w:type="first"/>
          <w:footerReference r:id="rId7" w:type="default"/>
          <w:pgSz w:w="11906" w:h="16838"/>
          <w:pgMar w:top="1440" w:right="1468" w:bottom="1440" w:left="1468" w:header="851" w:footer="992" w:gutter="0"/>
          <w:pgNumType w:fmt="decimal" w:start="1"/>
          <w:cols w:space="425" w:num="1"/>
          <w:titlePg/>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方正小标宋简体" w:cs="Times New Roman"/>
          <w:b w:val="0"/>
          <w:bCs w:val="0"/>
          <w:lang w:val="en-US" w:eastAsia="zh-CN"/>
        </w:rPr>
        <w:t>第一部分  单位概况</w:t>
      </w:r>
      <w:bookmarkEnd w:id="12"/>
    </w:p>
    <w:p>
      <w:pPr>
        <w:pStyle w:val="2"/>
        <w:keepNext/>
        <w:keepLines/>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eastAsia="zh-CN"/>
        </w:rPr>
      </w:pPr>
      <w:bookmarkStart w:id="13" w:name="_Toc4130"/>
      <w:bookmarkStart w:id="14" w:name="_Toc21059"/>
      <w:bookmarkStart w:id="15" w:name="_Toc31054"/>
      <w:r>
        <w:rPr>
          <w:rStyle w:val="35"/>
          <w:rFonts w:hint="default" w:ascii="Times New Roman" w:hAnsi="Times New Roman" w:eastAsia="黑体" w:cs="Times New Roman"/>
          <w:b w:val="0"/>
          <w:bCs w:val="0"/>
          <w:lang w:val="en-US" w:eastAsia="zh-CN"/>
        </w:rPr>
        <w:t>单位</w:t>
      </w:r>
      <w:r>
        <w:rPr>
          <w:rStyle w:val="35"/>
          <w:rFonts w:hint="default" w:ascii="Times New Roman" w:hAnsi="Times New Roman" w:eastAsia="黑体" w:cs="Times New Roman"/>
          <w:b w:val="0"/>
          <w:bCs w:val="0"/>
          <w:lang w:eastAsia="zh-CN"/>
        </w:rPr>
        <w:t>职责</w:t>
      </w:r>
      <w:bookmarkEnd w:id="13"/>
      <w:bookmarkEnd w:id="14"/>
      <w:bookmarkEnd w:id="1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四川省节能监管事务中心贯彻“节约资源”基本国策，落实党中央关于绿色、低碳、循环发展的方针政策和省委决策部署。主要承担为四川省经济和信息化厅提供支持保障职能，主要职责是：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1、贯彻落实国家和省有关能源节约的方针政策和法律法规，参与拟订地方性政策、法规和标准并协助实施。</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2、承担全省节能监察、用能单位节能监督检查的事务性工作。参与固定资产投资项目节能审查、验收工作。接受节能违法违规案件的举报、投诉。</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3、承担工业、公共机构和能源行业节能降耗、循环经济、资源综合利用、清洁生产、淘汰落后产能相关事务性工作。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4、承担全省重点用能单位能耗在线监测系统日常维护管理工作，指导重点用能单位能源管理信息化系统建设，负责能源利用现状和趋势、重大问题分析研究工作。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5、承担节能培训和节能新技术、信息化技术评审的事务性工作，并实施推广应用。</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eastAsia="zh-CN"/>
        </w:rPr>
      </w:pPr>
      <w:bookmarkStart w:id="16" w:name="_Toc13678"/>
      <w:r>
        <w:rPr>
          <w:rFonts w:hint="default" w:ascii="Times New Roman" w:hAnsi="Times New Roman" w:eastAsia="仿宋_GB2312" w:cs="Times New Roman"/>
          <w:sz w:val="32"/>
          <w:szCs w:val="32"/>
          <w:lang w:val="en-US" w:eastAsia="zh-CN"/>
        </w:rPr>
        <w:t>6、完成四川省经济和信息化厅和节能主管部门交办的其他任务。</w:t>
      </w:r>
      <w:bookmarkEnd w:id="16"/>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17" w:name="_Toc31406"/>
      <w:bookmarkStart w:id="18" w:name="_Toc18315"/>
      <w:bookmarkStart w:id="19" w:name="_Toc13687"/>
      <w:bookmarkStart w:id="20" w:name="_Toc15396601"/>
      <w:bookmarkStart w:id="21" w:name="_Toc15377200"/>
      <w:r>
        <w:rPr>
          <w:rStyle w:val="35"/>
          <w:rFonts w:hint="default" w:ascii="Times New Roman" w:hAnsi="Times New Roman" w:eastAsia="黑体" w:cs="Times New Roman"/>
          <w:b w:val="0"/>
          <w:bCs w:val="0"/>
          <w:lang w:val="en-US" w:eastAsia="zh-CN"/>
        </w:rPr>
        <w:t>二、机构设置</w:t>
      </w:r>
      <w:bookmarkEnd w:id="17"/>
      <w:bookmarkEnd w:id="18"/>
      <w:bookmarkEnd w:id="19"/>
      <w:bookmarkEnd w:id="20"/>
      <w:bookmarkEnd w:id="21"/>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四川省节能监管事务中心（以下简称“</w:t>
      </w:r>
      <w:r>
        <w:rPr>
          <w:rFonts w:hint="default" w:ascii="Times New Roman" w:hAnsi="Times New Roman" w:eastAsia="仿宋_GB2312" w:cs="Times New Roman"/>
          <w:kern w:val="2"/>
          <w:sz w:val="32"/>
          <w:szCs w:val="32"/>
          <w:lang w:val="en-US" w:eastAsia="zh-CN" w:bidi="ar-SA"/>
        </w:rPr>
        <w:t>中心</w:t>
      </w:r>
      <w:r>
        <w:rPr>
          <w:rFonts w:hint="default" w:ascii="Times New Roman" w:hAnsi="Times New Roman" w:eastAsia="仿宋_GB2312" w:cs="Times New Roman"/>
          <w:sz w:val="32"/>
          <w:szCs w:val="32"/>
          <w:lang w:val="en-US" w:eastAsia="zh-CN"/>
        </w:rPr>
        <w:t>”）为四川省经济和信息化厅二级预算单位，是参照公务员法管理的事业单位。中心内设7个科室，分别为办公室、综合科、监察一科、监察三科、检测科、培训科、信息科。</w:t>
      </w:r>
    </w:p>
    <w:p>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default" w:ascii="Times New Roman" w:hAnsi="Times New Roman" w:cs="Times New Roman"/>
        </w:rPr>
      </w:pPr>
    </w:p>
    <w:p>
      <w:pPr>
        <w:pageBreakBefore w:val="0"/>
        <w:kinsoku/>
        <w:wordWrap/>
        <w:overflowPunct/>
        <w:topLinePunct w:val="0"/>
        <w:autoSpaceDE/>
        <w:autoSpaceDN/>
        <w:bidi w:val="0"/>
        <w:adjustRightInd/>
        <w:snapToGrid/>
        <w:spacing w:line="560" w:lineRule="exact"/>
        <w:ind w:firstLine="800" w:firstLineChars="250"/>
        <w:textAlignment w:val="auto"/>
        <w:rPr>
          <w:rFonts w:hint="default" w:ascii="Times New Roman" w:hAnsi="Times New Roman" w:eastAsia="仿宋_GB2312" w:cs="Times New Roman"/>
          <w:color w:val="auto"/>
          <w:sz w:val="32"/>
          <w:szCs w:val="32"/>
          <w:highlight w:val="none"/>
        </w:rPr>
      </w:pPr>
    </w:p>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sz w:val="32"/>
          <w:szCs w:val="32"/>
          <w:highlight w:val="none"/>
        </w:rPr>
        <w:br w:type="page"/>
      </w:r>
    </w:p>
    <w:p>
      <w:pPr>
        <w:pStyle w:val="3"/>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highlight w:val="none"/>
        </w:rPr>
      </w:pPr>
      <w:bookmarkStart w:id="22" w:name="_Toc31680"/>
      <w:bookmarkStart w:id="23" w:name="_Toc15377204"/>
      <w:bookmarkStart w:id="24" w:name="_Toc15396602"/>
      <w:bookmarkStart w:id="25" w:name="_Toc9043"/>
      <w:bookmarkStart w:id="26" w:name="_Toc14537"/>
      <w:r>
        <w:rPr>
          <w:rFonts w:hint="default" w:ascii="Times New Roman" w:hAnsi="Times New Roman" w:eastAsia="方正小标宋简体" w:cs="Times New Roman"/>
          <w:b w:val="0"/>
          <w:bCs w:val="0"/>
          <w:sz w:val="44"/>
          <w:szCs w:val="44"/>
        </w:rPr>
        <w:t>第二部分</w:t>
      </w:r>
      <w:r>
        <w:rPr>
          <w:rFonts w:hint="default" w:ascii="Times New Roman" w:hAnsi="Times New Roman" w:eastAsia="方正小标宋简体" w:cs="Times New Roman"/>
          <w:b w:val="0"/>
          <w:bCs w:val="0"/>
          <w:sz w:val="44"/>
          <w:szCs w:val="44"/>
          <w:lang w:val="en-US" w:eastAsia="zh-CN"/>
        </w:rPr>
        <w:t xml:space="preserve"> </w:t>
      </w:r>
      <w:r>
        <w:rPr>
          <w:rFonts w:hint="default" w:ascii="Times New Roman" w:hAnsi="Times New Roman" w:eastAsia="方正小标宋简体" w:cs="Times New Roman"/>
          <w:b w:val="0"/>
          <w:bCs w:val="0"/>
          <w:sz w:val="44"/>
          <w:szCs w:val="44"/>
        </w:rPr>
        <w:t xml:space="preserve"> </w:t>
      </w:r>
      <w:r>
        <w:rPr>
          <w:rFonts w:hint="default" w:ascii="Times New Roman" w:hAnsi="Times New Roman" w:eastAsia="方正小标宋简体" w:cs="Times New Roman"/>
          <w:b w:val="0"/>
          <w:bCs w:val="0"/>
          <w:sz w:val="44"/>
          <w:szCs w:val="44"/>
          <w:lang w:val="en-US" w:eastAsia="zh-CN"/>
        </w:rPr>
        <w:t>2024年度单位</w:t>
      </w:r>
      <w:r>
        <w:rPr>
          <w:rFonts w:hint="default" w:ascii="Times New Roman" w:hAnsi="Times New Roman" w:eastAsia="方正小标宋简体" w:cs="Times New Roman"/>
          <w:b w:val="0"/>
          <w:bCs w:val="0"/>
          <w:sz w:val="44"/>
          <w:szCs w:val="44"/>
        </w:rPr>
        <w:t>决算情况说明</w:t>
      </w:r>
      <w:bookmarkEnd w:id="22"/>
      <w:bookmarkEnd w:id="23"/>
      <w:bookmarkEnd w:id="24"/>
      <w:bookmarkEnd w:id="25"/>
      <w:bookmarkEnd w:id="26"/>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27" w:name="_Toc3392"/>
      <w:bookmarkStart w:id="28" w:name="_Toc27572"/>
      <w:bookmarkStart w:id="29" w:name="_Toc6091"/>
      <w:bookmarkStart w:id="30" w:name="_Toc15377205"/>
      <w:bookmarkStart w:id="31" w:name="_Toc15396603"/>
      <w:r>
        <w:rPr>
          <w:rStyle w:val="35"/>
          <w:rFonts w:hint="default" w:ascii="Times New Roman" w:hAnsi="Times New Roman" w:eastAsia="黑体" w:cs="Times New Roman"/>
          <w:b w:val="0"/>
          <w:bCs w:val="0"/>
          <w:lang w:val="en-US" w:eastAsia="zh-CN"/>
        </w:rPr>
        <w:t>一、收入支出决算总体情况说明</w:t>
      </w:r>
      <w:bookmarkEnd w:id="27"/>
      <w:bookmarkEnd w:id="28"/>
      <w:bookmarkEnd w:id="29"/>
      <w:bookmarkEnd w:id="30"/>
      <w:bookmarkEnd w:id="31"/>
    </w:p>
    <w:p>
      <w:pPr>
        <w:pageBreakBefore w:val="0"/>
        <w:kinsoku/>
        <w:wordWrap/>
        <w:overflowPunct/>
        <w:topLinePunct w:val="0"/>
        <w:bidi w:val="0"/>
        <w:spacing w:line="560" w:lineRule="exact"/>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eastAsia="zh-CN"/>
        </w:rPr>
        <w:t>2024年度收入</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支出</w:t>
      </w:r>
      <w:r>
        <w:rPr>
          <w:rFonts w:hint="default" w:ascii="Times New Roman" w:hAnsi="Times New Roman" w:eastAsia="仿宋" w:cs="Times New Roman"/>
          <w:sz w:val="32"/>
          <w:szCs w:val="32"/>
        </w:rPr>
        <w:t>总计</w:t>
      </w:r>
      <w:r>
        <w:rPr>
          <w:rFonts w:hint="default" w:ascii="Times New Roman" w:hAnsi="Times New Roman" w:eastAsia="仿宋" w:cs="Times New Roman"/>
          <w:sz w:val="32"/>
          <w:szCs w:val="32"/>
          <w:lang w:eastAsia="zh-CN"/>
        </w:rPr>
        <w:t>均为</w:t>
      </w:r>
      <w:r>
        <w:rPr>
          <w:rFonts w:hint="default" w:ascii="Times New Roman" w:hAnsi="Times New Roman" w:eastAsia="仿宋" w:cs="Times New Roman"/>
          <w:sz w:val="32"/>
          <w:szCs w:val="32"/>
          <w:lang w:val="en-US" w:eastAsia="zh-CN"/>
        </w:rPr>
        <w:t>1262.29</w:t>
      </w:r>
      <w:r>
        <w:rPr>
          <w:rFonts w:hint="default" w:ascii="Times New Roman" w:hAnsi="Times New Roman" w:eastAsia="仿宋" w:cs="Times New Roman"/>
          <w:sz w:val="32"/>
          <w:szCs w:val="32"/>
        </w:rPr>
        <w:t>万元。与</w:t>
      </w:r>
      <w:r>
        <w:rPr>
          <w:rFonts w:hint="default" w:ascii="Times New Roman" w:hAnsi="Times New Roman" w:eastAsia="仿宋" w:cs="Times New Roman"/>
          <w:sz w:val="32"/>
          <w:szCs w:val="32"/>
          <w:lang w:eastAsia="zh-CN"/>
        </w:rPr>
        <w:t>202</w:t>
      </w: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eastAsia="zh-CN"/>
        </w:rPr>
        <w:t>度</w:t>
      </w:r>
      <w:r>
        <w:rPr>
          <w:rFonts w:hint="default" w:ascii="Times New Roman" w:hAnsi="Times New Roman" w:eastAsia="仿宋" w:cs="Times New Roman"/>
          <w:sz w:val="32"/>
          <w:szCs w:val="32"/>
        </w:rPr>
        <w:t>相比，</w:t>
      </w:r>
      <w:r>
        <w:rPr>
          <w:rFonts w:hint="default" w:ascii="Times New Roman" w:hAnsi="Times New Roman" w:eastAsia="仿宋" w:cs="Times New Roman"/>
          <w:sz w:val="32"/>
          <w:szCs w:val="32"/>
          <w:lang w:eastAsia="zh-CN"/>
        </w:rPr>
        <w:t>收入</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支出</w:t>
      </w:r>
      <w:r>
        <w:rPr>
          <w:rFonts w:hint="default" w:ascii="Times New Roman" w:hAnsi="Times New Roman" w:eastAsia="仿宋" w:cs="Times New Roman"/>
          <w:sz w:val="32"/>
          <w:szCs w:val="32"/>
        </w:rPr>
        <w:t>总计各减少</w:t>
      </w:r>
      <w:r>
        <w:rPr>
          <w:rFonts w:hint="default" w:ascii="Times New Roman" w:hAnsi="Times New Roman" w:eastAsia="仿宋" w:cs="Times New Roman"/>
          <w:sz w:val="32"/>
          <w:szCs w:val="32"/>
          <w:lang w:val="en-US"/>
        </w:rPr>
        <w:t>230.64</w:t>
      </w:r>
      <w:r>
        <w:rPr>
          <w:rFonts w:hint="default" w:ascii="Times New Roman" w:hAnsi="Times New Roman" w:eastAsia="仿宋" w:cs="Times New Roman"/>
          <w:sz w:val="32"/>
          <w:szCs w:val="32"/>
        </w:rPr>
        <w:t>万元，下降</w:t>
      </w:r>
      <w:r>
        <w:rPr>
          <w:rFonts w:hint="default" w:ascii="Times New Roman" w:hAnsi="Times New Roman" w:eastAsia="仿宋" w:cs="Times New Roman"/>
          <w:sz w:val="32"/>
          <w:szCs w:val="32"/>
          <w:lang w:val="en-US"/>
        </w:rPr>
        <w:t>15.4</w:t>
      </w:r>
      <w:r>
        <w:rPr>
          <w:rFonts w:hint="default" w:ascii="Times New Roman" w:hAnsi="Times New Roman" w:eastAsia="仿宋" w:cs="Times New Roman"/>
          <w:sz w:val="32"/>
          <w:szCs w:val="32"/>
        </w:rPr>
        <w:t>%。主要变动原因是</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一般公共预算财政拨款收入较上年减少226.83万元，主要为资源勘探工业信息等支出中其他制造业支出及其他工业和信息产业监管支出等项目支出减少;其他收入减少21.13万元，主要为国家重大工业节能监察专项收支减少；年初结转结余资金略有减少。</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center"/>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（图1：</w:t>
      </w:r>
      <w:r>
        <w:rPr>
          <w:rFonts w:hint="default" w:ascii="Times New Roman" w:hAnsi="Times New Roman" w:eastAsia="仿宋" w:cs="Times New Roman"/>
          <w:sz w:val="32"/>
          <w:szCs w:val="32"/>
          <w:lang w:eastAsia="zh-CN"/>
        </w:rPr>
        <w:t>收入</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支出</w:t>
      </w:r>
      <w:r>
        <w:rPr>
          <w:rFonts w:hint="default" w:ascii="Times New Roman" w:hAnsi="Times New Roman" w:eastAsia="仿宋" w:cs="Times New Roman"/>
          <w:sz w:val="32"/>
          <w:szCs w:val="32"/>
        </w:rPr>
        <w:t>决算总计变动情况图）</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cs="Times New Roman"/>
        </w:rPr>
        <w:drawing>
          <wp:anchor distT="0" distB="0" distL="114300" distR="114300" simplePos="0" relativeHeight="251662336" behindDoc="1" locked="0" layoutInCell="1" allowOverlap="1">
            <wp:simplePos x="0" y="0"/>
            <wp:positionH relativeFrom="column">
              <wp:posOffset>834390</wp:posOffset>
            </wp:positionH>
            <wp:positionV relativeFrom="paragraph">
              <wp:posOffset>189230</wp:posOffset>
            </wp:positionV>
            <wp:extent cx="4492625" cy="2628900"/>
            <wp:effectExtent l="4445" t="4445" r="17780" b="14605"/>
            <wp:wrapNone/>
            <wp:docPr id="11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kinsoku/>
        <w:wordWrap/>
        <w:overflowPunct/>
        <w:topLinePunct w:val="0"/>
        <w:bidi w:val="0"/>
        <w:spacing w:line="560" w:lineRule="exact"/>
        <w:rPr>
          <w:rFonts w:hint="default" w:ascii="Times New Roman" w:hAnsi="Times New Roman" w:cs="Times New Roma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32" w:name="_Toc22038"/>
      <w:bookmarkStart w:id="33" w:name="_Toc13037"/>
      <w:bookmarkStart w:id="34" w:name="_Toc12144"/>
      <w:bookmarkStart w:id="35" w:name="_Toc15377206"/>
      <w:bookmarkStart w:id="36" w:name="_Toc15396604"/>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r>
        <w:rPr>
          <w:rStyle w:val="35"/>
          <w:rFonts w:hint="default" w:ascii="Times New Roman" w:hAnsi="Times New Roman" w:eastAsia="黑体" w:cs="Times New Roman"/>
          <w:b w:val="0"/>
          <w:bCs w:val="0"/>
          <w:lang w:val="en-US" w:eastAsia="zh-CN"/>
        </w:rPr>
        <w:t>二、收入决算情况说明</w:t>
      </w:r>
      <w:bookmarkEnd w:id="32"/>
      <w:bookmarkEnd w:id="33"/>
      <w:bookmarkEnd w:id="34"/>
      <w:bookmarkEnd w:id="35"/>
      <w:bookmarkEnd w:id="36"/>
    </w:p>
    <w:p>
      <w:pPr>
        <w:pageBreakBefore w:val="0"/>
        <w:kinsoku/>
        <w:wordWrap/>
        <w:overflowPunct/>
        <w:topLinePunct w:val="0"/>
        <w:bidi w:val="0"/>
        <w:spacing w:line="56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2024年度本年收入合计</w:t>
      </w:r>
      <w:r>
        <w:rPr>
          <w:rFonts w:hint="default" w:ascii="Times New Roman" w:hAnsi="Times New Roman" w:eastAsia="仿宋" w:cs="Times New Roman"/>
          <w:sz w:val="32"/>
          <w:szCs w:val="32"/>
          <w:lang w:val="en-US" w:eastAsia="zh-CN"/>
        </w:rPr>
        <w:t>1201.63</w:t>
      </w:r>
      <w:r>
        <w:rPr>
          <w:rFonts w:hint="default" w:ascii="Times New Roman" w:hAnsi="Times New Roman" w:eastAsia="仿宋" w:cs="Times New Roman"/>
          <w:sz w:val="32"/>
          <w:szCs w:val="32"/>
          <w:lang w:eastAsia="zh-CN"/>
        </w:rPr>
        <w:t>万元，其中：一般公共预算财政拨款收入</w:t>
      </w:r>
      <w:r>
        <w:rPr>
          <w:rFonts w:hint="default" w:ascii="Times New Roman" w:hAnsi="Times New Roman" w:eastAsia="仿宋" w:cs="Times New Roman"/>
          <w:sz w:val="32"/>
          <w:szCs w:val="32"/>
          <w:lang w:val="en-US" w:eastAsia="zh-CN"/>
        </w:rPr>
        <w:t>1109.97</w:t>
      </w:r>
      <w:r>
        <w:rPr>
          <w:rFonts w:hint="default" w:ascii="Times New Roman" w:hAnsi="Times New Roman" w:eastAsia="仿宋" w:cs="Times New Roman"/>
          <w:sz w:val="32"/>
          <w:szCs w:val="32"/>
          <w:lang w:eastAsia="zh-CN"/>
        </w:rPr>
        <w:t>万元，占</w:t>
      </w:r>
      <w:r>
        <w:rPr>
          <w:rFonts w:hint="default" w:ascii="Times New Roman" w:hAnsi="Times New Roman" w:eastAsia="仿宋" w:cs="Times New Roman"/>
          <w:sz w:val="32"/>
          <w:szCs w:val="32"/>
          <w:lang w:val="en-US" w:eastAsia="zh-CN"/>
        </w:rPr>
        <w:t>92.4</w:t>
      </w:r>
      <w:r>
        <w:rPr>
          <w:rFonts w:hint="default" w:ascii="Times New Roman" w:hAnsi="Times New Roman" w:eastAsia="仿宋" w:cs="Times New Roman"/>
          <w:sz w:val="32"/>
          <w:szCs w:val="32"/>
          <w:lang w:eastAsia="zh-CN"/>
        </w:rPr>
        <w:t>%；其他收入</w:t>
      </w:r>
      <w:r>
        <w:rPr>
          <w:rFonts w:hint="default" w:ascii="Times New Roman" w:hAnsi="Times New Roman" w:eastAsia="仿宋" w:cs="Times New Roman"/>
          <w:sz w:val="32"/>
          <w:szCs w:val="32"/>
          <w:lang w:val="en-US" w:eastAsia="zh-CN"/>
        </w:rPr>
        <w:t>91.66</w:t>
      </w:r>
      <w:r>
        <w:rPr>
          <w:rFonts w:hint="default" w:ascii="Times New Roman" w:hAnsi="Times New Roman" w:eastAsia="仿宋" w:cs="Times New Roman"/>
          <w:sz w:val="32"/>
          <w:szCs w:val="32"/>
          <w:lang w:eastAsia="zh-CN"/>
        </w:rPr>
        <w:t>万元，占</w:t>
      </w:r>
      <w:r>
        <w:rPr>
          <w:rFonts w:hint="default" w:ascii="Times New Roman" w:hAnsi="Times New Roman" w:eastAsia="仿宋" w:cs="Times New Roman"/>
          <w:sz w:val="32"/>
          <w:szCs w:val="32"/>
          <w:lang w:val="en-US" w:eastAsia="zh-CN"/>
        </w:rPr>
        <w:t>7.6</w:t>
      </w:r>
      <w:r>
        <w:rPr>
          <w:rFonts w:hint="default" w:ascii="Times New Roman" w:hAnsi="Times New Roman" w:eastAsia="仿宋" w:cs="Times New Roman"/>
          <w:sz w:val="32"/>
          <w:szCs w:val="32"/>
          <w:lang w:eastAsia="zh-CN"/>
        </w:rPr>
        <w:t>%。</w:t>
      </w:r>
    </w:p>
    <w:p>
      <w:pPr>
        <w:pageBreakBefore w:val="0"/>
        <w:kinsoku/>
        <w:wordWrap/>
        <w:overflowPunct/>
        <w:topLinePunct w:val="0"/>
        <w:bidi w:val="0"/>
        <w:spacing w:line="560" w:lineRule="exact"/>
        <w:ind w:firstLine="1440" w:firstLineChars="450"/>
        <w:rPr>
          <w:rFonts w:hint="default" w:ascii="Times New Roman" w:hAnsi="Times New Roman" w:eastAsia="仿宋_GB2312" w:cs="Times New Roman"/>
          <w:color w:val="auto"/>
          <w:sz w:val="32"/>
          <w:szCs w:val="32"/>
          <w:highlight w:val="none"/>
          <w:lang w:eastAsia="zh-CN"/>
        </w:rPr>
      </w:pPr>
    </w:p>
    <w:p>
      <w:pPr>
        <w:pageBreakBefore w:val="0"/>
        <w:kinsoku/>
        <w:wordWrap/>
        <w:overflowPunct/>
        <w:topLinePunct w:val="0"/>
        <w:bidi w:val="0"/>
        <w:spacing w:line="560" w:lineRule="exact"/>
        <w:ind w:firstLine="1440" w:firstLineChars="45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（图2：收入决算结构图）（饼状图）</w:t>
      </w:r>
    </w:p>
    <w:p>
      <w:pPr>
        <w:pageBreakBefore w:val="0"/>
        <w:kinsoku/>
        <w:wordWrap/>
        <w:overflowPunct/>
        <w:topLinePunct w:val="0"/>
        <w:bidi w:val="0"/>
        <w:spacing w:line="560" w:lineRule="exact"/>
        <w:ind w:firstLine="525" w:firstLineChars="250"/>
        <w:rPr>
          <w:rFonts w:hint="default" w:ascii="Times New Roman" w:hAnsi="Times New Roman" w:cs="Times New Roman"/>
          <w:lang w:eastAsia="zh-CN"/>
        </w:rPr>
      </w:pPr>
      <w:r>
        <w:rPr>
          <w:rFonts w:hint="default" w:ascii="Times New Roman" w:hAnsi="Times New Roman" w:cs="Times New Roman"/>
        </w:rPr>
        <w:drawing>
          <wp:anchor distT="0" distB="0" distL="114300" distR="114300" simplePos="0" relativeHeight="251663360" behindDoc="1" locked="0" layoutInCell="1" allowOverlap="1">
            <wp:simplePos x="0" y="0"/>
            <wp:positionH relativeFrom="column">
              <wp:posOffset>425450</wp:posOffset>
            </wp:positionH>
            <wp:positionV relativeFrom="paragraph">
              <wp:posOffset>103505</wp:posOffset>
            </wp:positionV>
            <wp:extent cx="5274310" cy="2606675"/>
            <wp:effectExtent l="4445" t="4445" r="17145" b="17780"/>
            <wp:wrapNone/>
            <wp:docPr id="11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37" w:name="_Toc8754"/>
      <w:bookmarkStart w:id="38" w:name="_Toc15377207"/>
      <w:bookmarkStart w:id="39" w:name="_Toc15396605"/>
      <w:bookmarkStart w:id="40" w:name="_Toc8155"/>
      <w:bookmarkStart w:id="41" w:name="_Toc11397"/>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r>
        <w:rPr>
          <w:rStyle w:val="35"/>
          <w:rFonts w:hint="default" w:ascii="Times New Roman" w:hAnsi="Times New Roman" w:eastAsia="黑体" w:cs="Times New Roman"/>
          <w:b w:val="0"/>
          <w:bCs w:val="0"/>
          <w:lang w:val="en-US" w:eastAsia="zh-CN"/>
        </w:rPr>
        <w:t>三、支出决算情况说明</w:t>
      </w:r>
      <w:bookmarkEnd w:id="37"/>
      <w:bookmarkEnd w:id="38"/>
      <w:bookmarkEnd w:id="39"/>
      <w:bookmarkEnd w:id="40"/>
      <w:bookmarkEnd w:id="41"/>
    </w:p>
    <w:p>
      <w:pPr>
        <w:pageBreakBefore w:val="0"/>
        <w:kinsoku/>
        <w:wordWrap/>
        <w:overflowPunct/>
        <w:topLinePunct w:val="0"/>
        <w:bidi w:val="0"/>
        <w:spacing w:line="560" w:lineRule="exact"/>
        <w:ind w:firstLine="640" w:firstLineChars="20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sz w:val="32"/>
          <w:szCs w:val="32"/>
          <w:lang w:eastAsia="zh-CN"/>
        </w:rPr>
        <w:t>2024年度本年支出合计</w:t>
      </w:r>
      <w:r>
        <w:rPr>
          <w:rFonts w:hint="default" w:ascii="Times New Roman" w:hAnsi="Times New Roman" w:eastAsia="仿宋" w:cs="Times New Roman"/>
          <w:sz w:val="32"/>
          <w:szCs w:val="32"/>
          <w:lang w:val="en-US" w:eastAsia="zh-CN"/>
        </w:rPr>
        <w:t>1233.56</w:t>
      </w:r>
      <w:r>
        <w:rPr>
          <w:rFonts w:hint="default" w:ascii="Times New Roman" w:hAnsi="Times New Roman" w:eastAsia="仿宋" w:cs="Times New Roman"/>
          <w:sz w:val="32"/>
          <w:szCs w:val="32"/>
          <w:lang w:eastAsia="zh-CN"/>
        </w:rPr>
        <w:t>万元，其中：基本支出</w:t>
      </w:r>
      <w:r>
        <w:rPr>
          <w:rFonts w:hint="default" w:ascii="Times New Roman" w:hAnsi="Times New Roman" w:eastAsia="仿宋" w:cs="Times New Roman"/>
          <w:sz w:val="32"/>
          <w:szCs w:val="32"/>
          <w:lang w:val="en-US" w:eastAsia="zh-CN"/>
        </w:rPr>
        <w:t>945.99</w:t>
      </w:r>
      <w:r>
        <w:rPr>
          <w:rFonts w:hint="default" w:ascii="Times New Roman" w:hAnsi="Times New Roman" w:eastAsia="仿宋" w:cs="Times New Roman"/>
          <w:sz w:val="32"/>
          <w:szCs w:val="32"/>
          <w:lang w:eastAsia="zh-CN"/>
        </w:rPr>
        <w:t>万元，占</w:t>
      </w:r>
      <w:r>
        <w:rPr>
          <w:rFonts w:hint="default" w:ascii="Times New Roman" w:hAnsi="Times New Roman" w:eastAsia="仿宋" w:cs="Times New Roman"/>
          <w:sz w:val="32"/>
          <w:szCs w:val="32"/>
          <w:lang w:val="en-US" w:eastAsia="zh-CN"/>
        </w:rPr>
        <w:t>76.7</w:t>
      </w:r>
      <w:r>
        <w:rPr>
          <w:rFonts w:hint="default" w:ascii="Times New Roman" w:hAnsi="Times New Roman" w:eastAsia="仿宋" w:cs="Times New Roman"/>
          <w:sz w:val="32"/>
          <w:szCs w:val="32"/>
          <w:lang w:eastAsia="zh-CN"/>
        </w:rPr>
        <w:t>%；项目支出</w:t>
      </w:r>
      <w:r>
        <w:rPr>
          <w:rFonts w:hint="default" w:ascii="Times New Roman" w:hAnsi="Times New Roman" w:eastAsia="仿宋" w:cs="Times New Roman"/>
          <w:sz w:val="32"/>
          <w:szCs w:val="32"/>
          <w:lang w:val="en-US" w:eastAsia="zh-CN"/>
        </w:rPr>
        <w:t>287.6</w:t>
      </w:r>
      <w:r>
        <w:rPr>
          <w:rFonts w:hint="default" w:ascii="Times New Roman" w:hAnsi="Times New Roman" w:eastAsia="仿宋" w:cs="Times New Roman"/>
          <w:sz w:val="32"/>
          <w:szCs w:val="32"/>
          <w:lang w:eastAsia="zh-CN"/>
        </w:rPr>
        <w:t>万元，占</w:t>
      </w:r>
      <w:r>
        <w:rPr>
          <w:rFonts w:hint="default" w:ascii="Times New Roman" w:hAnsi="Times New Roman" w:eastAsia="仿宋" w:cs="Times New Roman"/>
          <w:sz w:val="32"/>
          <w:szCs w:val="32"/>
          <w:lang w:val="en-US" w:eastAsia="zh-CN"/>
        </w:rPr>
        <w:t>23.3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w:t>
      </w:r>
    </w:p>
    <w:p>
      <w:pPr>
        <w:pageBreakBefore w:val="0"/>
        <w:kinsoku/>
        <w:wordWrap/>
        <w:overflowPunct/>
        <w:topLinePunct w:val="0"/>
        <w:bidi w:val="0"/>
        <w:spacing w:line="560" w:lineRule="exact"/>
        <w:ind w:firstLine="800" w:firstLineChars="250"/>
        <w:jc w:val="cente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（图3：支出决算结构图）</w:t>
      </w:r>
    </w:p>
    <w:p>
      <w:pPr>
        <w:pageBreakBefore w:val="0"/>
        <w:kinsoku/>
        <w:wordWrap/>
        <w:overflowPunct/>
        <w:topLinePunct w:val="0"/>
        <w:bidi w:val="0"/>
        <w:spacing w:line="560" w:lineRule="exact"/>
        <w:ind w:firstLine="525" w:firstLineChars="250"/>
        <w:rPr>
          <w:rFonts w:hint="default" w:ascii="Times New Roman" w:hAnsi="Times New Roman" w:eastAsia="仿宋_GB2312" w:cs="Times New Roman"/>
          <w:color w:val="0000FF"/>
          <w:sz w:val="32"/>
          <w:szCs w:val="32"/>
          <w:highlight w:val="none"/>
          <w:lang w:eastAsia="zh-CN"/>
        </w:rPr>
      </w:pPr>
      <w:r>
        <w:rPr>
          <w:rFonts w:hint="default" w:ascii="Times New Roman" w:hAnsi="Times New Roman" w:cs="Times New Roman"/>
        </w:rPr>
        <w:drawing>
          <wp:anchor distT="0" distB="0" distL="114300" distR="114300" simplePos="0" relativeHeight="251664384" behindDoc="1" locked="0" layoutInCell="1" allowOverlap="1">
            <wp:simplePos x="0" y="0"/>
            <wp:positionH relativeFrom="column">
              <wp:posOffset>758825</wp:posOffset>
            </wp:positionH>
            <wp:positionV relativeFrom="paragraph">
              <wp:posOffset>96520</wp:posOffset>
            </wp:positionV>
            <wp:extent cx="4629785" cy="2701290"/>
            <wp:effectExtent l="4445" t="4445" r="13970" b="18415"/>
            <wp:wrapNone/>
            <wp:docPr id="111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ageBreakBefore w:val="0"/>
        <w:kinsoku/>
        <w:wordWrap/>
        <w:overflowPunct/>
        <w:topLinePunct w:val="0"/>
        <w:bidi w:val="0"/>
        <w:spacing w:line="560" w:lineRule="exact"/>
        <w:rPr>
          <w:rFonts w:hint="default" w:ascii="Times New Roman" w:hAnsi="Times New Roman" w:cs="Times New Roman"/>
          <w:lang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0"/>
        <w:rPr>
          <w:rStyle w:val="35"/>
          <w:rFonts w:hint="default" w:ascii="Times New Roman" w:hAnsi="Times New Roman" w:eastAsia="黑体" w:cs="Times New Roman"/>
          <w:b w:val="0"/>
          <w:bCs w:val="0"/>
          <w:lang w:val="en-US" w:eastAsia="zh-CN"/>
        </w:rPr>
      </w:pPr>
      <w:bookmarkStart w:id="42" w:name="_Toc15396606"/>
      <w:bookmarkStart w:id="43" w:name="_Toc15377208"/>
      <w:bookmarkStart w:id="44" w:name="_Toc26180"/>
      <w:bookmarkStart w:id="45" w:name="_Toc21946"/>
      <w:bookmarkStart w:id="46" w:name="_Toc23449"/>
    </w:p>
    <w:p>
      <w:pPr>
        <w:rPr>
          <w:rFonts w:hint="default" w:ascii="Times New Roman" w:hAnsi="Times New Roman" w:cs="Times New Roman"/>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0"/>
        <w:rPr>
          <w:rStyle w:val="35"/>
          <w:rFonts w:hint="default" w:ascii="Times New Roman" w:hAnsi="Times New Roman" w:eastAsia="黑体" w:cs="Times New Roman"/>
          <w:b w:val="0"/>
          <w:bCs w:val="0"/>
          <w:lang w:val="en-US" w:eastAsia="zh-CN"/>
        </w:rPr>
      </w:pPr>
    </w:p>
    <w:p>
      <w:pPr>
        <w:rPr>
          <w:rFonts w:hint="default" w:ascii="Times New Roman" w:hAnsi="Times New Roman" w:cs="Times New Roman"/>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r>
        <w:rPr>
          <w:rStyle w:val="35"/>
          <w:rFonts w:hint="default" w:ascii="Times New Roman" w:hAnsi="Times New Roman" w:eastAsia="黑体" w:cs="Times New Roman"/>
          <w:b w:val="0"/>
          <w:bCs w:val="0"/>
          <w:lang w:val="en-US" w:eastAsia="zh-CN"/>
        </w:rPr>
        <w:t>四、财政拨款收入支出决算总体情况说明</w:t>
      </w:r>
      <w:bookmarkEnd w:id="42"/>
      <w:bookmarkEnd w:id="43"/>
      <w:bookmarkEnd w:id="44"/>
      <w:bookmarkEnd w:id="45"/>
      <w:bookmarkEnd w:id="46"/>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1138.3万元。与2023年度相比，财政拨款收入总计、支出总计各减少198.5万元，下降14.8%。主要变动原因是一般公共预算财政拨款中资源勘探工业信息等支出中项目支出减少，无政府性基金预算财政拨款和国有资本经营预算财政拨款，与2023年持平。</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（图4：财政拨款收、支决算总计变动情况）（柱状图）</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685165</wp:posOffset>
            </wp:positionH>
            <wp:positionV relativeFrom="paragraph">
              <wp:posOffset>163195</wp:posOffset>
            </wp:positionV>
            <wp:extent cx="4572000" cy="2743200"/>
            <wp:effectExtent l="4445" t="4445" r="14605" b="14605"/>
            <wp:wrapNone/>
            <wp:docPr id="111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keepNext/>
        <w:keepLines/>
        <w:pageBreakBefore w:val="0"/>
        <w:widowControl w:val="0"/>
        <w:kinsoku/>
        <w:wordWrap/>
        <w:overflowPunct/>
        <w:topLinePunct w:val="0"/>
        <w:bidi w:val="0"/>
        <w:spacing w:before="260" w:after="260" w:line="560" w:lineRule="exact"/>
        <w:jc w:val="both"/>
        <w:outlineLvl w:val="9"/>
        <w:rPr>
          <w:rFonts w:hint="default" w:ascii="Times New Roman" w:hAnsi="Times New Roman" w:cs="Times New Roman" w:eastAsiaTheme="majorEastAsia"/>
          <w:b/>
          <w:bCs/>
          <w:kern w:val="2"/>
          <w:sz w:val="32"/>
          <w:szCs w:val="32"/>
          <w:lang w:val="en-US" w:eastAsia="zh-CN" w:bidi="ar-SA"/>
        </w:rPr>
      </w:pPr>
    </w:p>
    <w:p>
      <w:pPr>
        <w:pageBreakBefore w:val="0"/>
        <w:kinsoku/>
        <w:wordWrap/>
        <w:overflowPunct/>
        <w:topLinePunct w:val="0"/>
        <w:bidi w:val="0"/>
        <w:spacing w:line="560" w:lineRule="exact"/>
        <w:ind w:firstLine="640" w:firstLineChars="200"/>
        <w:outlineLvl w:val="9"/>
        <w:rPr>
          <w:rFonts w:hint="default" w:ascii="Times New Roman" w:hAnsi="Times New Roman" w:eastAsia="黑体" w:cs="Times New Roman"/>
          <w:color w:val="auto"/>
          <w:sz w:val="32"/>
          <w:szCs w:val="32"/>
          <w:highlight w:val="none"/>
        </w:rPr>
      </w:pPr>
      <w:bookmarkStart w:id="47" w:name="_Toc15396607"/>
      <w:bookmarkStart w:id="48" w:name="_Toc15377209"/>
    </w:p>
    <w:p>
      <w:pPr>
        <w:pageBreakBefore w:val="0"/>
        <w:kinsoku/>
        <w:wordWrap/>
        <w:overflowPunct/>
        <w:topLinePunct w:val="0"/>
        <w:bidi w:val="0"/>
        <w:spacing w:line="560" w:lineRule="exact"/>
        <w:ind w:firstLine="640" w:firstLineChars="200"/>
        <w:outlineLvl w:val="9"/>
        <w:rPr>
          <w:rFonts w:hint="default" w:ascii="Times New Roman" w:hAnsi="Times New Roman" w:eastAsia="黑体" w:cs="Times New Roman"/>
          <w:color w:val="auto"/>
          <w:sz w:val="32"/>
          <w:szCs w:val="32"/>
          <w:highlight w:val="none"/>
        </w:rPr>
      </w:pPr>
    </w:p>
    <w:p>
      <w:pPr>
        <w:pageBreakBefore w:val="0"/>
        <w:kinsoku/>
        <w:wordWrap/>
        <w:overflowPunct/>
        <w:topLinePunct w:val="0"/>
        <w:bidi w:val="0"/>
        <w:spacing w:line="560" w:lineRule="exact"/>
        <w:ind w:firstLine="640" w:firstLineChars="200"/>
        <w:outlineLvl w:val="9"/>
        <w:rPr>
          <w:rFonts w:hint="default" w:ascii="Times New Roman" w:hAnsi="Times New Roman" w:eastAsia="黑体" w:cs="Times New Roman"/>
          <w:color w:val="auto"/>
          <w:sz w:val="32"/>
          <w:szCs w:val="32"/>
          <w:highlight w:val="none"/>
        </w:rPr>
      </w:pPr>
    </w:p>
    <w:p>
      <w:pPr>
        <w:rPr>
          <w:rFonts w:hint="default" w:ascii="Times New Roman" w:hAnsi="Times New Roman" w:cs="Times New Roman"/>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49" w:name="_Toc21216"/>
      <w:bookmarkStart w:id="50" w:name="_Toc10152"/>
      <w:bookmarkStart w:id="51" w:name="_Toc1701"/>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r>
        <w:rPr>
          <w:rStyle w:val="35"/>
          <w:rFonts w:hint="default" w:ascii="Times New Roman" w:hAnsi="Times New Roman" w:eastAsia="黑体" w:cs="Times New Roman"/>
          <w:b w:val="0"/>
          <w:bCs w:val="0"/>
          <w:lang w:val="en-US" w:eastAsia="zh-CN"/>
        </w:rPr>
        <w:t>五、一般公共预算财政拨款支出决算情况说明</w:t>
      </w:r>
      <w:bookmarkEnd w:id="47"/>
      <w:bookmarkEnd w:id="48"/>
      <w:bookmarkEnd w:id="49"/>
      <w:bookmarkEnd w:id="50"/>
      <w:bookmarkEnd w:id="51"/>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bookmarkStart w:id="52" w:name="_Toc15377210"/>
      <w:bookmarkStart w:id="53" w:name="_Toc9798"/>
      <w:bookmarkStart w:id="54" w:name="_Toc22327"/>
      <w:bookmarkStart w:id="55" w:name="_Toc1163"/>
      <w:r>
        <w:rPr>
          <w:rFonts w:hint="default" w:ascii="Times New Roman" w:hAnsi="Times New Roman" w:eastAsia="仿宋_GB2312" w:cs="Times New Roman"/>
          <w:sz w:val="32"/>
          <w:szCs w:val="32"/>
        </w:rPr>
        <w:t>（一）一般公共预算财政拨款支出决算总体情况</w:t>
      </w:r>
      <w:bookmarkEnd w:id="52"/>
      <w:bookmarkEnd w:id="53"/>
      <w:bookmarkEnd w:id="54"/>
      <w:bookmarkEnd w:id="55"/>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2024年度一般公共预算财政拨款支出1138.3万元，占本年支出合计的92.3%。与2023年度相比，一般公共预算财政拨款支出减少198.5万元，下降14.8%。主要变动原因是资源勘探工业信息等支出中项目支出减少。</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color w:val="0000FF"/>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（图5：一般公共预算财政拨款支出决算变动情况）</w:t>
      </w:r>
    </w:p>
    <w:p>
      <w:pPr>
        <w:pageBreakBefore w:val="0"/>
        <w:kinsoku/>
        <w:wordWrap/>
        <w:overflowPunct/>
        <w:topLinePunct w:val="0"/>
        <w:bidi w:val="0"/>
        <w:spacing w:line="560" w:lineRule="exact"/>
        <w:ind w:firstLine="420" w:firstLineChars="200"/>
        <w:outlineLvl w:val="9"/>
        <w:rPr>
          <w:rFonts w:hint="default" w:ascii="Times New Roman" w:hAnsi="Times New Roman" w:eastAsia="楷体_GB2312" w:cs="Times New Roman"/>
          <w:b/>
          <w:color w:val="auto"/>
          <w:sz w:val="32"/>
          <w:szCs w:val="32"/>
          <w:highlight w:val="none"/>
        </w:rPr>
      </w:pPr>
      <w:bookmarkStart w:id="56" w:name="_Toc15377211"/>
      <w:r>
        <w:rPr>
          <w:rFonts w:hint="default" w:ascii="Times New Roman" w:hAnsi="Times New Roman" w:cs="Times New Roman"/>
        </w:rPr>
        <w:drawing>
          <wp:anchor distT="0" distB="0" distL="114300" distR="114300" simplePos="0" relativeHeight="251660288" behindDoc="1" locked="0" layoutInCell="1" allowOverlap="1">
            <wp:simplePos x="0" y="0"/>
            <wp:positionH relativeFrom="column">
              <wp:posOffset>530225</wp:posOffset>
            </wp:positionH>
            <wp:positionV relativeFrom="paragraph">
              <wp:posOffset>90170</wp:posOffset>
            </wp:positionV>
            <wp:extent cx="4180840" cy="2743200"/>
            <wp:effectExtent l="4445" t="4445" r="5715" b="14605"/>
            <wp:wrapNone/>
            <wp:docPr id="111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bookmarkStart w:id="57" w:name="_Toc3742"/>
      <w:bookmarkStart w:id="58" w:name="_Toc16212"/>
      <w:bookmarkStart w:id="59" w:name="_Toc30200"/>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（二）一般公共预算财政拨款支出决算结构情况</w:t>
      </w:r>
      <w:bookmarkEnd w:id="56"/>
      <w:bookmarkEnd w:id="57"/>
      <w:bookmarkEnd w:id="58"/>
      <w:bookmarkEnd w:id="59"/>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1138.3万元，主要用于以下方面：教育支出0.5万元，占0.04%；社会保障和就业支出166.14万元，占14.6%；卫生健康支出51.97万元，占4.6%；资源勘探工业信息等支出864.22万元，占比75.9%；住房保障支出55.47万元，占4.9%。</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（图6：一般公共预算财政拨款支出决算结构）（饼状图）</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0000FF"/>
          <w:kern w:val="2"/>
          <w:sz w:val="32"/>
          <w:szCs w:val="32"/>
          <w:highlight w:val="none"/>
          <w:lang w:val="en-US" w:eastAsia="zh-CN" w:bidi="ar-SA"/>
        </w:rPr>
      </w:pPr>
      <w:r>
        <w:rPr>
          <w:rFonts w:hint="default" w:ascii="Times New Roman" w:hAnsi="Times New Roman" w:cs="Times New Roman"/>
        </w:rPr>
        <w:drawing>
          <wp:anchor distT="0" distB="0" distL="114300" distR="114300" simplePos="0" relativeHeight="251661312" behindDoc="1" locked="0" layoutInCell="1" allowOverlap="1">
            <wp:simplePos x="0" y="0"/>
            <wp:positionH relativeFrom="column">
              <wp:posOffset>374015</wp:posOffset>
            </wp:positionH>
            <wp:positionV relativeFrom="paragraph">
              <wp:posOffset>174625</wp:posOffset>
            </wp:positionV>
            <wp:extent cx="5180965" cy="3109595"/>
            <wp:effectExtent l="4445" t="4445" r="15240" b="10160"/>
            <wp:wrapNone/>
            <wp:docPr id="112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bookmarkStart w:id="60" w:name="_Toc15377212"/>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pageBreakBefore w:val="0"/>
        <w:kinsoku/>
        <w:wordWrap/>
        <w:overflowPunct/>
        <w:topLinePunct w:val="0"/>
        <w:bidi w:val="0"/>
        <w:spacing w:line="560" w:lineRule="exact"/>
        <w:ind w:firstLine="642" w:firstLineChars="200"/>
        <w:outlineLvl w:val="9"/>
        <w:rPr>
          <w:rFonts w:hint="default" w:ascii="Times New Roman" w:hAnsi="Times New Roman" w:eastAsia="楷体_GB2312" w:cs="Times New Roman"/>
          <w:b/>
          <w:color w:val="auto"/>
          <w:sz w:val="32"/>
          <w:szCs w:val="32"/>
          <w:highlight w:val="none"/>
        </w:rPr>
      </w:pPr>
    </w:p>
    <w:p>
      <w:pPr>
        <w:keepNext/>
        <w:keepLines/>
        <w:pageBreakBefore w:val="0"/>
        <w:widowControl w:val="0"/>
        <w:kinsoku/>
        <w:wordWrap/>
        <w:overflowPunct/>
        <w:topLinePunct w:val="0"/>
        <w:bidi w:val="0"/>
        <w:spacing w:before="260" w:after="260" w:line="560" w:lineRule="exact"/>
        <w:jc w:val="both"/>
        <w:outlineLvl w:val="9"/>
        <w:rPr>
          <w:rFonts w:hint="default" w:ascii="Times New Roman" w:hAnsi="Times New Roman" w:eastAsia="楷体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outlineLvl w:val="9"/>
        <w:rPr>
          <w:rFonts w:hint="default" w:ascii="Times New Roman" w:hAnsi="Times New Roman" w:eastAsia="楷体_GB2312" w:cs="Times New Roman"/>
          <w:b/>
          <w:color w:val="auto"/>
          <w:sz w:val="32"/>
          <w:szCs w:val="32"/>
          <w:highlight w:val="none"/>
        </w:rPr>
      </w:pPr>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bookmarkStart w:id="61" w:name="_Toc32311"/>
      <w:bookmarkStart w:id="62" w:name="_Toc29270"/>
      <w:bookmarkStart w:id="63" w:name="_Toc2161"/>
      <w:r>
        <w:rPr>
          <w:rFonts w:hint="default" w:ascii="Times New Roman" w:hAnsi="Times New Roman" w:eastAsia="仿宋_GB2312" w:cs="Times New Roman"/>
          <w:sz w:val="32"/>
          <w:szCs w:val="32"/>
        </w:rPr>
        <w:t>（三）一般公共预算财政拨款支出决算具体情况</w:t>
      </w:r>
      <w:bookmarkEnd w:id="60"/>
      <w:bookmarkEnd w:id="61"/>
      <w:bookmarkEnd w:id="62"/>
      <w:bookmarkEnd w:id="63"/>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64" w:name="_Toc15377444"/>
      <w:bookmarkStart w:id="65" w:name="_Toc15377213"/>
      <w:bookmarkStart w:id="66" w:name="_Toc15378460"/>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2024年度一般公共预算财政拨款支出决算数为1138.3万元，完成预算85.5%。其中：</w:t>
      </w:r>
      <w:bookmarkEnd w:id="64"/>
      <w:bookmarkEnd w:id="65"/>
      <w:bookmarkEnd w:id="66"/>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1.教育（类）进修及培训（款）培训支出（项）： 支出决算为0.5万元，完成预算83.3%。决算数小于预算数的主要原因是根据厉行节约要求，培训支出减少。</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2.社会保障和就业类支出（类）行政事业单位养老支出（款）行政单位离退休（项）：支出决算为69.63万元，完成预算100%。</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社会保障和就业类支出（类）行政事业单位养老支出（款）机关事业单位养老保险缴费支出（项）：支出决算为87.75万元，完成预算93.5%。决算数小于预算数的主要原因是在职人员退休，机关事业单位养老保险缴费支出少量结余。</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FF0000"/>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4.社会保障和就业类支出（类）抚恤（款）死亡抚恤（项）：支出决算为8.77万元，完成预算100%。</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5.卫生健康支出（类）行政事业单位医疗保险（款）行政单位医疗（项）：支出决算为43.50万元，完成预算95.1%，决算数小于预算数的主要原因是在职人员退休，医疗保险支出少量结余。</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6.卫生健康支出（类）行政事业单位医疗保险（款）事公务员医疗补助（项）：支出决算为8.47万元，完成预算100%。</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7.资源探勘信息等支出（类）制造业（款）行政运行（项）：支出决算为658.19万元，完成预算96.4%，决算数小于预算数的主要原因是在职人员退休，人员经费和公用经费略有结余。</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资源探勘信息等支出（类）制造业（款）其他制造业支出（项）：支出决算为88.29万元，完成预算44.2%，决算数小于全年预算数的原因为监察任务较计划有所调整，故经信工业发展资金专项（节能监察）经费有结余。</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9.资源探勘信息等支出（类）工业和信息产业监管（款）其他工业和信息产业监管支出（项）：支出决算为92.82万元，完成预算69.2%，决算数小于全年预算数的原因为任务调整，实际核查企业数较预计减少，故其他工业和信息产业监管支出（发改2024年节能监管及节能审查验收专项）经费有结余。</w:t>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10.资源探勘信息等支出（类）其他资源勘探信息等支出（款）其他资源勘探信息等支出（项）：支出决算为24.91万元，完成预算92.1%，决算数小于全年预算数的原因为公务接待费和公务用车运行维护费中维修费有少量结余。</w:t>
      </w:r>
    </w:p>
    <w:p>
      <w:pPr>
        <w:pageBreakBefore w:val="0"/>
        <w:kinsoku/>
        <w:wordWrap/>
        <w:overflowPunct/>
        <w:topLinePunct w:val="0"/>
        <w:bidi w:val="0"/>
        <w:spacing w:line="560" w:lineRule="exact"/>
        <w:ind w:firstLine="640"/>
        <w:rPr>
          <w:rStyle w:val="35"/>
          <w:rFonts w:hint="default" w:ascii="Times New Roman" w:hAnsi="Times New Roman" w:eastAsia="黑体" w:cs="Times New Roman"/>
          <w:b w:val="0"/>
          <w:bCs w:val="0"/>
          <w:lang w:val="en-US" w:eastAsia="zh-CN"/>
        </w:rPr>
      </w:pPr>
      <w:r>
        <w:rPr>
          <w:rFonts w:hint="default" w:ascii="Times New Roman" w:hAnsi="Times New Roman" w:eastAsia="仿宋_GB2312" w:cs="Times New Roman"/>
          <w:color w:val="auto"/>
          <w:kern w:val="2"/>
          <w:sz w:val="32"/>
          <w:szCs w:val="32"/>
          <w:highlight w:val="none"/>
          <w:lang w:val="en-US" w:eastAsia="zh-CN" w:bidi="ar-SA"/>
        </w:rPr>
        <w:t>11.住房保障支出（类）住房改革支出（款）住房公积金（项）：支出决算为55.47万元，完成预算94.9%，决算数小于全年预算数的原因为在职人员退休，住房公积金经费有少量结余。</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67" w:name="_Toc15377214"/>
      <w:bookmarkStart w:id="68" w:name="_Toc25561"/>
      <w:bookmarkStart w:id="69" w:name="_Toc3525"/>
      <w:bookmarkStart w:id="70" w:name="_Toc24522"/>
      <w:bookmarkStart w:id="71" w:name="_Toc15396608"/>
      <w:r>
        <w:rPr>
          <w:rStyle w:val="35"/>
          <w:rFonts w:hint="default" w:ascii="Times New Roman" w:hAnsi="Times New Roman" w:eastAsia="黑体" w:cs="Times New Roman"/>
          <w:b w:val="0"/>
          <w:bCs w:val="0"/>
          <w:lang w:val="en-US" w:eastAsia="zh-CN"/>
        </w:rPr>
        <w:t>六、一般公共预算财政拨款基本支出决算情况说明</w:t>
      </w:r>
      <w:bookmarkEnd w:id="67"/>
      <w:bookmarkEnd w:id="68"/>
      <w:bookmarkEnd w:id="69"/>
      <w:bookmarkEnd w:id="70"/>
      <w:bookmarkEnd w:id="71"/>
      <w:r>
        <w:rPr>
          <w:rStyle w:val="35"/>
          <w:rFonts w:hint="default" w:ascii="Times New Roman" w:hAnsi="Times New Roman" w:eastAsia="黑体" w:cs="Times New Roman"/>
          <w:b w:val="0"/>
          <w:bCs w:val="0"/>
          <w:lang w:val="en-US" w:eastAsia="zh-CN"/>
        </w:rPr>
        <w:tab/>
      </w:r>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2024年度一般公共预算财政拨款基本支出945.99万元，其中：</w:t>
      </w:r>
    </w:p>
    <w:p>
      <w:pPr>
        <w:pageBreakBefore w:val="0"/>
        <w:kinsoku/>
        <w:wordWrap/>
        <w:overflowPunct/>
        <w:topLinePunct w:val="0"/>
        <w:bidi w:val="0"/>
        <w:spacing w:line="560" w:lineRule="exact"/>
        <w:ind w:firstLine="640"/>
        <w:rPr>
          <w:rFonts w:hint="default" w:ascii="Times New Roman" w:hAnsi="Times New Roman" w:eastAsia="仿宋"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人员经费827.26万元，主要包括：基本工资、津贴补贴、奖金、机关事业单位基本养老保险缴费、行政单位医疗、其他工资福利支出、离休费、抚恤金、生活补助、公务员医疗补助、奖励金、住房公积金、其他对个人和家庭的补助支出等。</w:t>
      </w:r>
      <w:r>
        <w:rPr>
          <w:rFonts w:hint="default" w:ascii="Times New Roman" w:hAnsi="Times New Roman" w:eastAsia="仿宋" w:cs="Times New Roman"/>
          <w:sz w:val="32"/>
          <w:szCs w:val="32"/>
        </w:rPr>
        <w:br w:type="textWrapping"/>
      </w:r>
      <w:r>
        <w:rPr>
          <w:rFonts w:hint="default" w:ascii="Times New Roman" w:hAnsi="Times New Roman" w:eastAsia="仿宋_GB2312" w:cs="Times New Roman"/>
          <w:color w:val="auto"/>
          <w:kern w:val="2"/>
          <w:sz w:val="32"/>
          <w:szCs w:val="32"/>
          <w:highlight w:val="none"/>
          <w:lang w:val="en-US" w:eastAsia="zh-CN" w:bidi="ar-SA"/>
        </w:rPr>
        <w:t>　　公用经费118.74万元，主要包括：</w:t>
      </w:r>
      <w:r>
        <w:rPr>
          <w:rFonts w:hint="default" w:ascii="Times New Roman" w:hAnsi="Times New Roman" w:eastAsia="仿宋" w:cs="Times New Roman"/>
          <w:sz w:val="32"/>
          <w:szCs w:val="32"/>
        </w:rPr>
        <w:t>办公费、印刷费、电费、邮电费、差旅费、维修（护）费、租赁费、会议费、培训费</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公务接待费、劳务费、委托业务费、工会经费、福利费、公务用车运行维护费、其他交通费、其他商品和服务支出等。</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72" w:name="_Toc15377215"/>
      <w:bookmarkStart w:id="73" w:name="_Toc15396609"/>
      <w:bookmarkStart w:id="74" w:name="_Toc13087"/>
      <w:bookmarkStart w:id="75" w:name="_Toc27816"/>
      <w:bookmarkStart w:id="76" w:name="_Toc18939"/>
      <w:r>
        <w:rPr>
          <w:rStyle w:val="35"/>
          <w:rFonts w:hint="default" w:ascii="Times New Roman" w:hAnsi="Times New Roman" w:eastAsia="黑体" w:cs="Times New Roman"/>
          <w:b w:val="0"/>
          <w:bCs w:val="0"/>
          <w:lang w:val="en-US" w:eastAsia="zh-CN"/>
        </w:rPr>
        <w:t>七、财政拨款“三公”经费支出决算情况说明</w:t>
      </w:r>
      <w:bookmarkEnd w:id="72"/>
      <w:bookmarkEnd w:id="73"/>
      <w:bookmarkEnd w:id="74"/>
      <w:bookmarkEnd w:id="75"/>
      <w:bookmarkEnd w:id="76"/>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bookmarkStart w:id="77" w:name="_Toc15377216"/>
      <w:bookmarkStart w:id="78" w:name="_Toc4299"/>
      <w:bookmarkStart w:id="79" w:name="_Toc23538"/>
      <w:bookmarkStart w:id="80" w:name="_Toc30084"/>
      <w:r>
        <w:rPr>
          <w:rFonts w:hint="default" w:ascii="Times New Roman" w:hAnsi="Times New Roman" w:eastAsia="仿宋_GB2312" w:cs="Times New Roman"/>
          <w:sz w:val="32"/>
          <w:szCs w:val="32"/>
        </w:rPr>
        <w:t>（一）“三公”经费财政拨款支出决算总体情况说明</w:t>
      </w:r>
      <w:bookmarkEnd w:id="77"/>
      <w:bookmarkEnd w:id="78"/>
      <w:bookmarkEnd w:id="79"/>
      <w:bookmarkEnd w:id="80"/>
    </w:p>
    <w:p>
      <w:pPr>
        <w:pageBreakBefore w:val="0"/>
        <w:kinsoku/>
        <w:wordWrap/>
        <w:overflowPunct/>
        <w:topLinePunct w:val="0"/>
        <w:bidi w:val="0"/>
        <w:spacing w:line="560" w:lineRule="exact"/>
        <w:ind w:firstLine="640" w:firstLineChars="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2024年度“三公”经费财政拨款支出决算为13.73万元，完成预算88.6%，较上年度减少1.42万元，下降9.4%。决算数小于预算数的主要原因是公务车更新，公务用车运行维护费中车辆维修费减少。</w:t>
      </w:r>
    </w:p>
    <w:p>
      <w:pPr>
        <w:pStyle w:val="4"/>
        <w:keepNext/>
        <w:keepLines/>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Fonts w:hint="default" w:ascii="Times New Roman" w:hAnsi="Times New Roman" w:eastAsia="仿宋_GB2312" w:cs="Times New Roman"/>
          <w:sz w:val="32"/>
          <w:szCs w:val="32"/>
        </w:rPr>
      </w:pPr>
      <w:bookmarkStart w:id="81" w:name="_Toc28490"/>
      <w:bookmarkStart w:id="82" w:name="_Toc26028"/>
      <w:bookmarkStart w:id="83" w:name="_Toc15377217"/>
      <w:bookmarkStart w:id="84" w:name="_Toc11314"/>
      <w:r>
        <w:rPr>
          <w:rFonts w:hint="default" w:ascii="Times New Roman" w:hAnsi="Times New Roman" w:eastAsia="仿宋_GB2312" w:cs="Times New Roman"/>
          <w:sz w:val="32"/>
          <w:szCs w:val="32"/>
        </w:rPr>
        <w:t>（二）“三公”经费财政拨款支出决算具体情况说明</w:t>
      </w:r>
      <w:bookmarkEnd w:id="81"/>
      <w:bookmarkEnd w:id="82"/>
      <w:bookmarkEnd w:id="83"/>
      <w:bookmarkEnd w:id="84"/>
    </w:p>
    <w:p>
      <w:pPr>
        <w:pageBreakBefore w:val="0"/>
        <w:kinsoku/>
        <w:wordWrap/>
        <w:overflowPunct/>
        <w:topLinePunct w:val="0"/>
        <w:bidi w:val="0"/>
        <w:spacing w:line="560" w:lineRule="exact"/>
        <w:ind w:firstLine="640" w:firstLineChars="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2024年度“三公”经费财政拨款支出决算中，因公出国（境）费支出决算0万元；公务用车购置及运行维护费支出决算13.27万元，占96.7%；公务接待费支出决算0.45万元，占3.3%。具体情况如下：</w:t>
      </w:r>
    </w:p>
    <w:p>
      <w:pPr>
        <w:pageBreakBefore w:val="0"/>
        <w:kinsoku/>
        <w:wordWrap/>
        <w:overflowPunct/>
        <w:topLinePunct w:val="0"/>
        <w:bidi w:val="0"/>
        <w:spacing w:line="560" w:lineRule="exact"/>
        <w:ind w:firstLine="640" w:firstLineChars="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（图7：“三公”经费财政拨款支出结构）（饼状图）</w:t>
      </w:r>
    </w:p>
    <w:p>
      <w:pPr>
        <w:keepNext/>
        <w:keepLines/>
        <w:pageBreakBefore w:val="0"/>
        <w:widowControl w:val="0"/>
        <w:kinsoku/>
        <w:wordWrap/>
        <w:overflowPunct/>
        <w:topLinePunct w:val="0"/>
        <w:bidi w:val="0"/>
        <w:spacing w:before="260" w:after="260" w:line="560" w:lineRule="exact"/>
        <w:jc w:val="both"/>
        <w:outlineLvl w:val="9"/>
        <w:rPr>
          <w:rFonts w:hint="default" w:ascii="Times New Roman" w:hAnsi="Times New Roman" w:cs="Times New Roman" w:eastAsiaTheme="majorEastAsia"/>
          <w:b/>
          <w:bCs/>
          <w:kern w:val="2"/>
          <w:sz w:val="32"/>
          <w:szCs w:val="32"/>
          <w:lang w:val="en-US" w:eastAsia="zh-CN" w:bidi="ar-SA"/>
        </w:rPr>
      </w:pPr>
      <w:r>
        <w:rPr>
          <w:rFonts w:hint="default" w:ascii="Times New Roman" w:hAnsi="Times New Roman" w:cs="Times New Roman" w:eastAsiaTheme="majorEastAsia"/>
          <w:b/>
          <w:bCs/>
          <w:kern w:val="2"/>
          <w:sz w:val="32"/>
          <w:szCs w:val="32"/>
          <w:lang w:val="en-US" w:eastAsia="zh-CN" w:bidi="ar-SA"/>
        </w:rPr>
        <w:drawing>
          <wp:anchor distT="0" distB="0" distL="114300" distR="114300" simplePos="0" relativeHeight="251665408" behindDoc="1" locked="0" layoutInCell="1" allowOverlap="1">
            <wp:simplePos x="0" y="0"/>
            <wp:positionH relativeFrom="column">
              <wp:posOffset>385445</wp:posOffset>
            </wp:positionH>
            <wp:positionV relativeFrom="paragraph">
              <wp:posOffset>349250</wp:posOffset>
            </wp:positionV>
            <wp:extent cx="5075555" cy="2707005"/>
            <wp:effectExtent l="4445" t="4445" r="6350" b="12700"/>
            <wp:wrapNone/>
            <wp:docPr id="1129"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pageBreakBefore w:val="0"/>
        <w:kinsoku/>
        <w:wordWrap/>
        <w:overflowPunct/>
        <w:topLinePunct w:val="0"/>
        <w:bidi w:val="0"/>
        <w:spacing w:line="56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rPr>
          <w:rFonts w:hint="default" w:ascii="Times New Roman" w:hAnsi="Times New Roman" w:eastAsia="仿宋_GB2312" w:cs="Times New Roman"/>
          <w:b/>
          <w:bCs/>
          <w:color w:val="auto"/>
          <w:kern w:val="2"/>
          <w:sz w:val="32"/>
          <w:szCs w:val="32"/>
          <w:highlight w:val="none"/>
          <w:lang w:val="en-US" w:eastAsia="zh-CN" w:bidi="ar-SA"/>
        </w:rPr>
      </w:pPr>
    </w:p>
    <w:p>
      <w:pPr>
        <w:pageBreakBefore w:val="0"/>
        <w:kinsoku/>
        <w:wordWrap/>
        <w:overflowPunct/>
        <w:topLinePunct w:val="0"/>
        <w:bidi w:val="0"/>
        <w:spacing w:line="560" w:lineRule="exact"/>
        <w:ind w:firstLine="64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b w:val="0"/>
          <w:bCs w:val="0"/>
          <w:color w:val="auto"/>
          <w:kern w:val="2"/>
          <w:sz w:val="32"/>
          <w:szCs w:val="32"/>
          <w:highlight w:val="none"/>
          <w:lang w:val="en-US" w:eastAsia="zh-CN" w:bidi="ar-SA"/>
        </w:rPr>
        <w:t>全年安排因公出国（境）团组0次，出国（境）0人。</w:t>
      </w:r>
      <w:r>
        <w:rPr>
          <w:rFonts w:hint="default" w:ascii="Times New Roman" w:hAnsi="Times New Roman" w:eastAsia="仿宋_GB2312" w:cs="Times New Roman"/>
          <w:b w:val="0"/>
          <w:bCs w:val="0"/>
          <w:sz w:val="32"/>
          <w:szCs w:val="32"/>
        </w:rPr>
        <w:t>因公出国（境）支出决算</w:t>
      </w:r>
      <w:r>
        <w:rPr>
          <w:rFonts w:hint="default" w:ascii="Times New Roman" w:hAnsi="Times New Roman" w:eastAsia="仿宋_GB2312" w:cs="Times New Roman"/>
          <w:b w:val="0"/>
          <w:bCs w:val="0"/>
          <w:sz w:val="32"/>
          <w:szCs w:val="32"/>
          <w:lang w:val="en-US" w:eastAsia="zh-CN"/>
        </w:rPr>
        <w:t>与</w:t>
      </w:r>
      <w:r>
        <w:rPr>
          <w:rFonts w:hint="default" w:ascii="Times New Roman" w:hAnsi="Times New Roman" w:eastAsia="仿宋_GB2312" w:cs="Times New Roman"/>
          <w:b w:val="0"/>
          <w:bCs w:val="0"/>
          <w:sz w:val="32"/>
          <w:szCs w:val="32"/>
        </w:rPr>
        <w:t>202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年</w:t>
      </w:r>
      <w:r>
        <w:rPr>
          <w:rFonts w:hint="default" w:ascii="Times New Roman" w:hAnsi="Times New Roman" w:eastAsia="仿宋_GB2312" w:cs="Times New Roman"/>
          <w:b w:val="0"/>
          <w:bCs w:val="0"/>
          <w:sz w:val="32"/>
          <w:szCs w:val="32"/>
          <w:lang w:val="en-US" w:eastAsia="zh-CN"/>
        </w:rPr>
        <w:t>持平</w:t>
      </w:r>
      <w:r>
        <w:rPr>
          <w:rFonts w:hint="default" w:ascii="Times New Roman" w:hAnsi="Times New Roman" w:eastAsia="仿宋_GB2312" w:cs="Times New Roman"/>
          <w:b w:val="0"/>
          <w:bCs w:val="0"/>
          <w:sz w:val="32"/>
          <w:szCs w:val="32"/>
        </w:rPr>
        <w:t>，主要原因是</w:t>
      </w:r>
      <w:r>
        <w:rPr>
          <w:rFonts w:hint="default" w:ascii="Times New Roman" w:hAnsi="Times New Roman" w:eastAsia="仿宋_GB2312" w:cs="Times New Roman"/>
          <w:b w:val="0"/>
          <w:bCs w:val="0"/>
          <w:sz w:val="32"/>
          <w:szCs w:val="32"/>
          <w:lang w:val="en-US" w:eastAsia="zh-CN"/>
        </w:rPr>
        <w:t>无</w:t>
      </w:r>
      <w:r>
        <w:rPr>
          <w:rFonts w:hint="default" w:ascii="Times New Roman" w:hAnsi="Times New Roman" w:eastAsia="仿宋_GB2312" w:cs="Times New Roman"/>
          <w:b w:val="0"/>
          <w:bCs w:val="0"/>
          <w:sz w:val="32"/>
          <w:szCs w:val="32"/>
        </w:rPr>
        <w:t>因公出国（境）经费</w:t>
      </w:r>
      <w:r>
        <w:rPr>
          <w:rFonts w:hint="default" w:ascii="Times New Roman" w:hAnsi="Times New Roman" w:eastAsia="仿宋_GB2312" w:cs="Times New Roman"/>
          <w:b w:val="0"/>
          <w:bCs w:val="0"/>
          <w:sz w:val="32"/>
          <w:szCs w:val="32"/>
          <w:lang w:val="en-US" w:eastAsia="zh-CN"/>
        </w:rPr>
        <w:t>预算和实际</w:t>
      </w:r>
      <w:r>
        <w:rPr>
          <w:rFonts w:hint="default" w:ascii="Times New Roman" w:hAnsi="Times New Roman" w:eastAsia="仿宋_GB2312" w:cs="Times New Roman"/>
          <w:b w:val="0"/>
          <w:bCs w:val="0"/>
          <w:sz w:val="32"/>
          <w:szCs w:val="32"/>
        </w:rPr>
        <w:t>支出。</w:t>
      </w:r>
    </w:p>
    <w:p>
      <w:pPr>
        <w:pageBreakBefore w:val="0"/>
        <w:kinsoku/>
        <w:wordWrap/>
        <w:overflowPunct/>
        <w:topLinePunct w:val="0"/>
        <w:bidi w:val="0"/>
        <w:spacing w:line="560" w:lineRule="exact"/>
        <w:ind w:firstLine="64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2.公务用车购置及运行维护费支出13.27万元，完成预算88.5%。</w:t>
      </w:r>
      <w:r>
        <w:rPr>
          <w:rFonts w:hint="default" w:ascii="Times New Roman" w:hAnsi="Times New Roman" w:eastAsia="仿宋_GB2312" w:cs="Times New Roman"/>
          <w:b w:val="0"/>
          <w:bCs w:val="0"/>
          <w:color w:val="auto"/>
          <w:kern w:val="2"/>
          <w:sz w:val="32"/>
          <w:szCs w:val="32"/>
          <w:highlight w:val="none"/>
          <w:lang w:val="en-US" w:eastAsia="zh-CN" w:bidi="ar-SA"/>
        </w:rPr>
        <w:t>公务用车购置及运行维护费支出决算比2023年度减少1.79万元，下降11.9%。主要原因是更新公务车辆，公务车维修支出减少。</w:t>
      </w:r>
    </w:p>
    <w:p>
      <w:pPr>
        <w:pageBreakBefore w:val="0"/>
        <w:kinsoku/>
        <w:wordWrap/>
        <w:overflowPunct/>
        <w:topLinePunct w:val="0"/>
        <w:bidi w:val="0"/>
        <w:spacing w:line="560" w:lineRule="exact"/>
        <w:ind w:firstLine="640"/>
        <w:rPr>
          <w:rFonts w:hint="default" w:ascii="Times New Roman" w:hAnsi="Times New Roman" w:eastAsia="仿宋_GB2312" w:cs="Times New Roman"/>
          <w:b w:val="0"/>
          <w:bCs w:val="0"/>
          <w:color w:val="FF0000"/>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其中：公务用车购置支出0万元。全年按规定更新购置公务用车0辆，其中：轿车0辆、金额0万元，越野车0辆、金额0万元，载客汽车0辆、金额0万元。截至2024年12月31日，单位共有公务用车4辆，其中：轿车1辆、越野车2辆、载客汽车1辆。</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kern w:val="2"/>
          <w:sz w:val="32"/>
          <w:szCs w:val="32"/>
          <w:highlight w:val="none"/>
          <w:lang w:val="en-US" w:eastAsia="zh-CN" w:bidi="ar-SA"/>
        </w:rPr>
        <w:t>公务用车运行维护费支出13.27万元。</w:t>
      </w:r>
      <w:r>
        <w:rPr>
          <w:rFonts w:hint="default" w:ascii="Times New Roman" w:hAnsi="Times New Roman" w:eastAsia="仿宋_GB2312" w:cs="Times New Roman"/>
          <w:b w:val="0"/>
          <w:bCs w:val="0"/>
          <w:color w:val="auto"/>
          <w:sz w:val="32"/>
          <w:szCs w:val="32"/>
        </w:rPr>
        <w:t>主要用于开展节能监察、</w:t>
      </w:r>
      <w:r>
        <w:rPr>
          <w:rFonts w:hint="default" w:ascii="Times New Roman" w:hAnsi="Times New Roman" w:eastAsia="仿宋_GB2312" w:cs="Times New Roman"/>
          <w:b w:val="0"/>
          <w:bCs w:val="0"/>
          <w:color w:val="auto"/>
          <w:sz w:val="32"/>
          <w:szCs w:val="32"/>
          <w:lang w:val="en-US" w:eastAsia="zh-CN"/>
        </w:rPr>
        <w:t>能耗核查</w:t>
      </w:r>
      <w:r>
        <w:rPr>
          <w:rFonts w:hint="default" w:ascii="Times New Roman" w:hAnsi="Times New Roman" w:eastAsia="仿宋_GB2312" w:cs="Times New Roman"/>
          <w:b w:val="0"/>
          <w:bCs w:val="0"/>
          <w:color w:val="auto"/>
          <w:sz w:val="32"/>
          <w:szCs w:val="32"/>
        </w:rPr>
        <w:t>等工作所需的公务用车燃料费、维修费、过路过桥费、保险费等支出。</w:t>
      </w:r>
    </w:p>
    <w:p>
      <w:pPr>
        <w:pageBreakBefore w:val="0"/>
        <w:kinsoku/>
        <w:wordWrap/>
        <w:overflowPunct/>
        <w:topLinePunct w:val="0"/>
        <w:bidi w:val="0"/>
        <w:spacing w:line="560" w:lineRule="exact"/>
        <w:ind w:firstLine="64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3.公务接待费支出0.45万元，完成预算90.7%。</w:t>
      </w:r>
      <w:r>
        <w:rPr>
          <w:rFonts w:hint="default" w:ascii="Times New Roman" w:hAnsi="Times New Roman" w:eastAsia="仿宋_GB2312" w:cs="Times New Roman"/>
          <w:b w:val="0"/>
          <w:bCs w:val="0"/>
          <w:color w:val="auto"/>
          <w:kern w:val="2"/>
          <w:sz w:val="32"/>
          <w:szCs w:val="32"/>
          <w:highlight w:val="none"/>
          <w:lang w:val="en-US" w:eastAsia="zh-CN" w:bidi="ar-SA"/>
        </w:rPr>
        <w:t>公务接待费支出决算比2023年度增加0.36万元，增长400%。主要原因是国内公务接待批次和人数增加。其中：</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kern w:val="2"/>
          <w:sz w:val="32"/>
          <w:szCs w:val="32"/>
          <w:highlight w:val="none"/>
          <w:lang w:val="en-US" w:eastAsia="zh-CN" w:bidi="ar-SA"/>
        </w:rPr>
        <w:t>国内公务接待支出0.45万元，主要用于</w:t>
      </w:r>
      <w:r>
        <w:rPr>
          <w:rFonts w:hint="default" w:ascii="Times New Roman" w:hAnsi="Times New Roman" w:eastAsia="仿宋_GB2312" w:cs="Times New Roman"/>
          <w:b w:val="0"/>
          <w:bCs w:val="0"/>
          <w:sz w:val="32"/>
          <w:szCs w:val="32"/>
        </w:rPr>
        <w:t>支出开展业务活动的餐费</w:t>
      </w:r>
      <w:r>
        <w:rPr>
          <w:rFonts w:hint="default" w:ascii="Times New Roman" w:hAnsi="Times New Roman" w:eastAsia="仿宋_GB2312" w:cs="Times New Roman"/>
          <w:b w:val="0"/>
          <w:bCs w:val="0"/>
          <w:color w:val="auto"/>
          <w:kern w:val="2"/>
          <w:sz w:val="32"/>
          <w:szCs w:val="32"/>
          <w:highlight w:val="none"/>
          <w:lang w:val="en-US" w:eastAsia="zh-CN" w:bidi="ar-SA"/>
        </w:rPr>
        <w:t>。国内公务接待5批次，29人次（不包括陪同人员），共计支出0.45万元。具体内容包括：1、</w:t>
      </w:r>
      <w:r>
        <w:rPr>
          <w:rFonts w:hint="default" w:ascii="Times New Roman" w:hAnsi="Times New Roman" w:eastAsia="仿宋_GB2312" w:cs="Times New Roman"/>
          <w:b w:val="0"/>
          <w:bCs w:val="0"/>
          <w:color w:val="auto"/>
          <w:sz w:val="32"/>
          <w:szCs w:val="32"/>
        </w:rPr>
        <w:t>202</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年</w:t>
      </w: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rPr>
        <w:t>月23日接待</w:t>
      </w:r>
      <w:r>
        <w:rPr>
          <w:rFonts w:hint="default" w:ascii="Times New Roman" w:hAnsi="Times New Roman" w:eastAsia="仿宋_GB2312" w:cs="Times New Roman"/>
          <w:b w:val="0"/>
          <w:bCs w:val="0"/>
          <w:color w:val="auto"/>
          <w:sz w:val="32"/>
          <w:szCs w:val="32"/>
          <w:lang w:val="en-US" w:eastAsia="zh-CN"/>
        </w:rPr>
        <w:t>安徽省节能监察</w:t>
      </w:r>
      <w:r>
        <w:rPr>
          <w:rFonts w:hint="default" w:ascii="Times New Roman" w:hAnsi="Times New Roman" w:eastAsia="仿宋_GB2312" w:cs="Times New Roman"/>
          <w:b w:val="0"/>
          <w:bCs w:val="0"/>
          <w:color w:val="auto"/>
          <w:sz w:val="32"/>
          <w:szCs w:val="32"/>
        </w:rPr>
        <w:t>中心一行5人（处级及以下）开展</w:t>
      </w:r>
      <w:r>
        <w:rPr>
          <w:rFonts w:hint="default" w:ascii="Times New Roman" w:hAnsi="Times New Roman" w:eastAsia="仿宋_GB2312" w:cs="Times New Roman"/>
          <w:b w:val="0"/>
          <w:bCs w:val="0"/>
          <w:color w:val="auto"/>
          <w:sz w:val="32"/>
          <w:szCs w:val="32"/>
          <w:lang w:val="en-US" w:eastAsia="zh-CN"/>
        </w:rPr>
        <w:t>钛白粉行业能效</w:t>
      </w:r>
      <w:r>
        <w:rPr>
          <w:rFonts w:hint="default" w:ascii="Times New Roman" w:hAnsi="Times New Roman" w:eastAsia="仿宋_GB2312" w:cs="Times New Roman"/>
          <w:b w:val="0"/>
          <w:bCs w:val="0"/>
          <w:color w:val="auto"/>
          <w:sz w:val="32"/>
          <w:szCs w:val="32"/>
        </w:rPr>
        <w:t>调研及对接工作产生的餐费，支出</w:t>
      </w:r>
      <w:r>
        <w:rPr>
          <w:rFonts w:hint="default" w:ascii="Times New Roman" w:hAnsi="Times New Roman" w:eastAsia="仿宋_GB2312" w:cs="Times New Roman"/>
          <w:b w:val="0"/>
          <w:bCs w:val="0"/>
          <w:color w:val="auto"/>
          <w:sz w:val="32"/>
          <w:szCs w:val="32"/>
          <w:lang w:val="en-US" w:eastAsia="zh-CN"/>
        </w:rPr>
        <w:t>0.09</w:t>
      </w:r>
      <w:r>
        <w:rPr>
          <w:rFonts w:hint="default" w:ascii="Times New Roman" w:hAnsi="Times New Roman" w:eastAsia="仿宋_GB2312" w:cs="Times New Roman"/>
          <w:b w:val="0"/>
          <w:bCs w:val="0"/>
          <w:color w:val="auto"/>
          <w:sz w:val="32"/>
          <w:szCs w:val="32"/>
        </w:rPr>
        <w:t>万元，陪同人员3人</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2、2024年11月5日接待云南省节能监察中心一行6人</w:t>
      </w:r>
      <w:r>
        <w:rPr>
          <w:rFonts w:hint="default" w:ascii="Times New Roman" w:hAnsi="Times New Roman" w:eastAsia="仿宋_GB2312" w:cs="Times New Roman"/>
          <w:b w:val="0"/>
          <w:bCs w:val="0"/>
          <w:color w:val="auto"/>
          <w:sz w:val="32"/>
          <w:szCs w:val="32"/>
        </w:rPr>
        <w:t>开展</w:t>
      </w:r>
      <w:r>
        <w:rPr>
          <w:rFonts w:hint="default" w:ascii="Times New Roman" w:hAnsi="Times New Roman" w:eastAsia="仿宋_GB2312" w:cs="Times New Roman"/>
          <w:b w:val="0"/>
          <w:bCs w:val="0"/>
          <w:color w:val="auto"/>
          <w:sz w:val="32"/>
          <w:szCs w:val="32"/>
          <w:lang w:val="en-US" w:eastAsia="zh-CN"/>
        </w:rPr>
        <w:t>节能监察</w:t>
      </w:r>
      <w:r>
        <w:rPr>
          <w:rFonts w:hint="default" w:ascii="Times New Roman" w:hAnsi="Times New Roman" w:eastAsia="仿宋_GB2312" w:cs="Times New Roman"/>
          <w:b w:val="0"/>
          <w:bCs w:val="0"/>
          <w:color w:val="auto"/>
          <w:sz w:val="32"/>
          <w:szCs w:val="32"/>
        </w:rPr>
        <w:t>工作产生的餐费</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支出0.09万元，陪同3人；3、2024年11月19日接待北京节能环保中心一行4人关于“双碳”工作调研产生</w:t>
      </w:r>
      <w:r>
        <w:rPr>
          <w:rFonts w:hint="default" w:ascii="Times New Roman" w:hAnsi="Times New Roman" w:eastAsia="仿宋_GB2312" w:cs="Times New Roman"/>
          <w:b w:val="0"/>
          <w:bCs w:val="0"/>
          <w:color w:val="auto"/>
          <w:sz w:val="32"/>
          <w:szCs w:val="32"/>
        </w:rPr>
        <w:t>的餐费</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支出0.06万元，陪同3人；4、2024年12月12日接待浙江省能源监测中心1行6人关于节能监察相关工作的调研产生的餐费，支出0.09万元，陪同3人；5、2024年12月9日接待中共巴中市巴州区大罗镇委员会1行8人开展定点帮扶交流暨支部共建工作产生的餐费，支出0.12万元，陪同3人。</w:t>
      </w:r>
    </w:p>
    <w:p>
      <w:pPr>
        <w:pageBreakBefore w:val="0"/>
        <w:kinsoku/>
        <w:wordWrap/>
        <w:overflowPunct/>
        <w:topLinePunct w:val="0"/>
        <w:bidi w:val="0"/>
        <w:spacing w:line="560" w:lineRule="exact"/>
        <w:ind w:firstLine="640" w:firstLineChars="0"/>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外事接待支出0万元</w:t>
      </w:r>
      <w:bookmarkStart w:id="85" w:name="_Toc15396610"/>
      <w:bookmarkStart w:id="86" w:name="_Toc15377218"/>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87" w:name="_Toc22559"/>
      <w:bookmarkStart w:id="88" w:name="_Toc2631"/>
      <w:bookmarkStart w:id="89" w:name="_Toc444"/>
      <w:r>
        <w:rPr>
          <w:rStyle w:val="35"/>
          <w:rFonts w:hint="default" w:ascii="Times New Roman" w:hAnsi="Times New Roman" w:eastAsia="黑体" w:cs="Times New Roman"/>
          <w:b w:val="0"/>
          <w:bCs w:val="0"/>
          <w:lang w:val="en-US" w:eastAsia="zh-CN"/>
        </w:rPr>
        <w:t>八、政府性基金预算支出决算情况说明</w:t>
      </w:r>
      <w:bookmarkEnd w:id="85"/>
      <w:bookmarkEnd w:id="86"/>
      <w:bookmarkEnd w:id="87"/>
      <w:bookmarkEnd w:id="88"/>
      <w:bookmarkEnd w:id="89"/>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2024年度政府性基金预算财政拨款支出0万元。与2023年度相比，政府性基金预算财政拨款支出持平。</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90" w:name="_Toc31467"/>
      <w:bookmarkStart w:id="91" w:name="_Toc15377219"/>
      <w:bookmarkStart w:id="92" w:name="_Toc15396611"/>
      <w:bookmarkStart w:id="93" w:name="_Toc20147"/>
      <w:bookmarkStart w:id="94" w:name="_Toc26644"/>
      <w:r>
        <w:rPr>
          <w:rStyle w:val="35"/>
          <w:rFonts w:hint="default" w:ascii="Times New Roman" w:hAnsi="Times New Roman" w:eastAsia="黑体" w:cs="Times New Roman"/>
          <w:b w:val="0"/>
          <w:bCs w:val="0"/>
          <w:lang w:val="en-US" w:eastAsia="zh-CN"/>
        </w:rPr>
        <w:t>九、国有资本经营预算支出决算情况说明</w:t>
      </w:r>
      <w:bookmarkEnd w:id="90"/>
      <w:bookmarkEnd w:id="91"/>
      <w:bookmarkEnd w:id="92"/>
      <w:bookmarkEnd w:id="93"/>
      <w:bookmarkEnd w:id="94"/>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2024年度国有资本经营预算财政拨款支出0万元。与2023年度相比，国有资本经营预算财政拨款支出持平。</w:t>
      </w: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Style w:val="35"/>
          <w:rFonts w:hint="default" w:ascii="Times New Roman" w:hAnsi="Times New Roman" w:eastAsia="黑体" w:cs="Times New Roman"/>
          <w:b w:val="0"/>
          <w:bCs w:val="0"/>
          <w:lang w:val="en-US" w:eastAsia="zh-CN"/>
        </w:rPr>
      </w:pPr>
      <w:bookmarkStart w:id="95" w:name="_Toc11086"/>
      <w:bookmarkStart w:id="96" w:name="_Toc15396612"/>
      <w:bookmarkStart w:id="97" w:name="_Toc23968"/>
      <w:bookmarkStart w:id="98" w:name="_Toc15377221"/>
      <w:bookmarkStart w:id="99" w:name="_Toc31717"/>
      <w:r>
        <w:rPr>
          <w:rStyle w:val="35"/>
          <w:rFonts w:hint="default" w:ascii="Times New Roman" w:hAnsi="Times New Roman" w:eastAsia="黑体" w:cs="Times New Roman"/>
          <w:b w:val="0"/>
          <w:bCs w:val="0"/>
          <w:lang w:val="en-US" w:eastAsia="zh-CN"/>
        </w:rPr>
        <w:t>十、其他重要事项的情况说明</w:t>
      </w:r>
      <w:bookmarkEnd w:id="95"/>
      <w:bookmarkEnd w:id="96"/>
      <w:bookmarkEnd w:id="97"/>
      <w:bookmarkEnd w:id="98"/>
      <w:bookmarkEnd w:id="99"/>
    </w:p>
    <w:p>
      <w:pPr>
        <w:pageBreakBefore w:val="0"/>
        <w:kinsoku/>
        <w:wordWrap/>
        <w:overflowPunct/>
        <w:topLinePunct w:val="0"/>
        <w:bidi w:val="0"/>
        <w:spacing w:line="560" w:lineRule="exact"/>
        <w:ind w:firstLine="642" w:firstLineChars="200"/>
        <w:outlineLvl w:val="1"/>
        <w:rPr>
          <w:rFonts w:hint="default" w:ascii="Times New Roman" w:hAnsi="Times New Roman" w:eastAsia="仿宋_GB2312" w:cs="Times New Roman"/>
          <w:b/>
          <w:bCs w:val="0"/>
          <w:sz w:val="32"/>
          <w:szCs w:val="32"/>
        </w:rPr>
      </w:pPr>
      <w:bookmarkStart w:id="100" w:name="_Toc20722"/>
      <w:bookmarkStart w:id="101" w:name="_Toc907"/>
      <w:bookmarkStart w:id="102" w:name="_Toc15377222"/>
      <w:bookmarkStart w:id="103" w:name="_Toc26003"/>
      <w:r>
        <w:rPr>
          <w:rFonts w:hint="default" w:ascii="Times New Roman" w:hAnsi="Times New Roman" w:eastAsia="仿宋_GB2312" w:cs="Times New Roman"/>
          <w:b/>
          <w:bCs w:val="0"/>
          <w:sz w:val="32"/>
          <w:szCs w:val="32"/>
        </w:rPr>
        <w:t>（一）机关运行经费支出情况</w:t>
      </w:r>
      <w:bookmarkEnd w:id="100"/>
      <w:bookmarkEnd w:id="101"/>
      <w:bookmarkEnd w:id="102"/>
      <w:bookmarkEnd w:id="103"/>
    </w:p>
    <w:p>
      <w:pPr>
        <w:pageBreakBefore w:val="0"/>
        <w:kinsoku/>
        <w:wordWrap/>
        <w:overflowPunct/>
        <w:topLinePunct w:val="0"/>
        <w:bidi w:val="0"/>
        <w:spacing w:line="560" w:lineRule="exact"/>
        <w:ind w:firstLine="640" w:firstLineChars="200"/>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b w:val="0"/>
          <w:bCs/>
          <w:sz w:val="32"/>
          <w:szCs w:val="32"/>
        </w:rPr>
        <w:t>四川省节能监管事务中心</w:t>
      </w:r>
      <w:r>
        <w:rPr>
          <w:rFonts w:hint="default" w:ascii="Times New Roman" w:hAnsi="Times New Roman" w:eastAsia="仿宋_GB2312" w:cs="Times New Roman"/>
          <w:color w:val="auto"/>
          <w:kern w:val="2"/>
          <w:sz w:val="32"/>
          <w:szCs w:val="32"/>
          <w:highlight w:val="none"/>
          <w:lang w:val="en-US" w:eastAsia="zh-CN" w:bidi="ar-SA"/>
        </w:rPr>
        <w:t>机关运行经费支出118.74万元，比2023年度减少6.35万元，下降5.1%。主要原因是</w:t>
      </w:r>
      <w:bookmarkStart w:id="104" w:name="_Toc15377223"/>
      <w:r>
        <w:rPr>
          <w:rFonts w:hint="default" w:ascii="Times New Roman" w:hAnsi="Times New Roman" w:eastAsia="仿宋_GB2312" w:cs="Times New Roman"/>
          <w:color w:val="auto"/>
          <w:kern w:val="2"/>
          <w:sz w:val="32"/>
          <w:szCs w:val="32"/>
          <w:highlight w:val="none"/>
          <w:lang w:val="en-US" w:eastAsia="zh-CN" w:bidi="ar-SA"/>
        </w:rPr>
        <w:t>在职人员减少，机关运行经费相应减少。</w:t>
      </w:r>
    </w:p>
    <w:p>
      <w:pPr>
        <w:pageBreakBefore w:val="0"/>
        <w:kinsoku/>
        <w:wordWrap/>
        <w:overflowPunct/>
        <w:topLinePunct w:val="0"/>
        <w:bidi w:val="0"/>
        <w:spacing w:line="560" w:lineRule="exact"/>
        <w:ind w:firstLine="642" w:firstLineChars="200"/>
        <w:outlineLvl w:val="1"/>
        <w:rPr>
          <w:rFonts w:hint="default" w:ascii="Times New Roman" w:hAnsi="Times New Roman" w:eastAsia="仿宋_GB2312" w:cs="Times New Roman"/>
          <w:b/>
          <w:bCs w:val="0"/>
          <w:sz w:val="32"/>
          <w:szCs w:val="32"/>
        </w:rPr>
      </w:pPr>
      <w:bookmarkStart w:id="105" w:name="_Toc3110"/>
      <w:bookmarkStart w:id="106" w:name="_Toc22956"/>
      <w:bookmarkStart w:id="107" w:name="_Toc17024"/>
      <w:r>
        <w:rPr>
          <w:rFonts w:hint="default" w:ascii="Times New Roman" w:hAnsi="Times New Roman" w:eastAsia="仿宋_GB2312" w:cs="Times New Roman"/>
          <w:b/>
          <w:bCs w:val="0"/>
          <w:sz w:val="32"/>
          <w:szCs w:val="32"/>
        </w:rPr>
        <w:t>（二）政府采购支出情况</w:t>
      </w:r>
      <w:bookmarkEnd w:id="104"/>
      <w:bookmarkEnd w:id="105"/>
      <w:bookmarkEnd w:id="106"/>
      <w:bookmarkEnd w:id="107"/>
    </w:p>
    <w:p>
      <w:pPr>
        <w:pageBreakBefore w:val="0"/>
        <w:kinsoku/>
        <w:wordWrap/>
        <w:overflowPunct/>
        <w:topLinePunct w:val="0"/>
        <w:bidi w:val="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b w:val="0"/>
          <w:bCs/>
          <w:sz w:val="32"/>
          <w:szCs w:val="32"/>
        </w:rPr>
        <w:t>四川省节能监管事务中心</w:t>
      </w:r>
      <w:r>
        <w:rPr>
          <w:rFonts w:hint="default" w:ascii="Times New Roman" w:hAnsi="Times New Roman" w:eastAsia="仿宋_GB2312" w:cs="Times New Roman"/>
          <w:color w:val="auto"/>
          <w:kern w:val="2"/>
          <w:sz w:val="32"/>
          <w:szCs w:val="32"/>
          <w:highlight w:val="none"/>
          <w:lang w:val="en-US" w:eastAsia="zh-CN" w:bidi="ar-SA"/>
        </w:rPr>
        <w:t>政府采购支出总额9.61万元，其中：政府采购货物支出0万元、政府采购工程支出0万元、政府采购服务支出9.61万元。主要用于</w:t>
      </w:r>
      <w:r>
        <w:rPr>
          <w:rFonts w:hint="default" w:ascii="Times New Roman" w:hAnsi="Times New Roman" w:eastAsia="仿宋_GB2312" w:cs="Times New Roman"/>
          <w:b w:val="0"/>
          <w:bCs/>
          <w:sz w:val="32"/>
          <w:szCs w:val="32"/>
          <w:lang w:val="en-US" w:eastAsia="zh-CN"/>
        </w:rPr>
        <w:t>采购公务车加油、保险、维修服务</w:t>
      </w:r>
      <w:r>
        <w:rPr>
          <w:rFonts w:hint="default" w:ascii="Times New Roman" w:hAnsi="Times New Roman" w:eastAsia="仿宋_GB2312" w:cs="Times New Roman"/>
          <w:color w:val="auto"/>
          <w:kern w:val="2"/>
          <w:sz w:val="32"/>
          <w:szCs w:val="32"/>
          <w:highlight w:val="none"/>
          <w:lang w:val="en-US" w:eastAsia="zh-CN" w:bidi="ar-SA"/>
        </w:rPr>
        <w:t>。授予中小企业合同金额6万元，占政府采购支出总额的62.4%，其中：授予小微企业合同金额0万元，占政府采购支出总额的0%。</w:t>
      </w:r>
    </w:p>
    <w:p>
      <w:pPr>
        <w:pageBreakBefore w:val="0"/>
        <w:kinsoku/>
        <w:wordWrap/>
        <w:overflowPunct/>
        <w:topLinePunct w:val="0"/>
        <w:bidi w:val="0"/>
        <w:spacing w:line="560" w:lineRule="exact"/>
        <w:ind w:firstLine="642" w:firstLineChars="200"/>
        <w:outlineLvl w:val="1"/>
        <w:rPr>
          <w:rFonts w:hint="default" w:ascii="Times New Roman" w:hAnsi="Times New Roman" w:eastAsia="仿宋_GB2312" w:cs="Times New Roman"/>
          <w:b/>
          <w:bCs w:val="0"/>
          <w:sz w:val="32"/>
          <w:szCs w:val="32"/>
        </w:rPr>
      </w:pPr>
      <w:bookmarkStart w:id="108" w:name="_Toc15377224"/>
      <w:bookmarkStart w:id="109" w:name="_Toc29971"/>
      <w:bookmarkStart w:id="110" w:name="_Toc32722"/>
      <w:bookmarkStart w:id="111" w:name="_Toc12614"/>
      <w:r>
        <w:rPr>
          <w:rFonts w:hint="default" w:ascii="Times New Roman" w:hAnsi="Times New Roman" w:eastAsia="仿宋_GB2312" w:cs="Times New Roman"/>
          <w:b/>
          <w:bCs w:val="0"/>
          <w:sz w:val="32"/>
          <w:szCs w:val="32"/>
        </w:rPr>
        <w:t>（三）国有资产占有使用情况</w:t>
      </w:r>
      <w:bookmarkEnd w:id="108"/>
      <w:bookmarkEnd w:id="109"/>
      <w:bookmarkEnd w:id="110"/>
      <w:bookmarkEnd w:id="111"/>
    </w:p>
    <w:p>
      <w:pPr>
        <w:pageBreakBefore w:val="0"/>
        <w:kinsoku/>
        <w:wordWrap/>
        <w:overflowPunct/>
        <w:topLinePunct w:val="0"/>
        <w:bidi w:val="0"/>
        <w:spacing w:line="560" w:lineRule="exact"/>
        <w:ind w:firstLine="640" w:firstLineChars="200"/>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b w:val="0"/>
          <w:bCs/>
          <w:sz w:val="32"/>
          <w:szCs w:val="32"/>
        </w:rPr>
        <w:t>四川省节能监管事务中心</w:t>
      </w:r>
      <w:r>
        <w:rPr>
          <w:rFonts w:hint="default" w:ascii="Times New Roman" w:hAnsi="Times New Roman" w:eastAsia="仿宋_GB2312" w:cs="Times New Roman"/>
          <w:color w:val="auto"/>
          <w:kern w:val="2"/>
          <w:sz w:val="32"/>
          <w:szCs w:val="32"/>
          <w:highlight w:val="none"/>
          <w:lang w:val="en-US" w:eastAsia="zh-CN" w:bidi="ar-SA"/>
        </w:rPr>
        <w:t>共有车辆4辆，其中：主要负责人用车0辆、机要通信用车0辆、应急保障用车0辆、其他用车4辆，其他用车主要是用于</w:t>
      </w:r>
      <w:r>
        <w:rPr>
          <w:rFonts w:hint="default" w:ascii="Times New Roman" w:hAnsi="Times New Roman" w:eastAsia="仿宋_GB2312" w:cs="Times New Roman"/>
          <w:b w:val="0"/>
          <w:bCs/>
          <w:sz w:val="32"/>
          <w:szCs w:val="32"/>
          <w:lang w:val="en-US" w:eastAsia="zh-CN"/>
        </w:rPr>
        <w:t>单位完成国家工信部、省发改委、省经信厅下达的节能监察任务远程公务用车以及市内重大活动用车等</w:t>
      </w:r>
      <w:r>
        <w:rPr>
          <w:rFonts w:hint="default" w:ascii="Times New Roman" w:hAnsi="Times New Roman" w:eastAsia="仿宋_GB2312" w:cs="Times New Roman"/>
          <w:b w:val="0"/>
          <w:bCs/>
          <w:sz w:val="32"/>
          <w:szCs w:val="32"/>
        </w:rPr>
        <w:t>。</w:t>
      </w:r>
      <w:r>
        <w:rPr>
          <w:rFonts w:hint="default" w:ascii="Times New Roman" w:hAnsi="Times New Roman" w:eastAsia="仿宋_GB2312" w:cs="Times New Roman"/>
          <w:color w:val="auto"/>
          <w:kern w:val="2"/>
          <w:sz w:val="32"/>
          <w:szCs w:val="32"/>
          <w:highlight w:val="none"/>
          <w:lang w:val="en-US" w:eastAsia="zh-CN" w:bidi="ar-SA"/>
        </w:rPr>
        <w:t>单价100万元（含）以上设备（不含车辆）0台（套）。</w:t>
      </w:r>
    </w:p>
    <w:p>
      <w:pPr>
        <w:pageBreakBefore w:val="0"/>
        <w:kinsoku/>
        <w:wordWrap/>
        <w:overflowPunct/>
        <w:topLinePunct w:val="0"/>
        <w:bidi w:val="0"/>
        <w:spacing w:line="560" w:lineRule="exact"/>
        <w:ind w:firstLine="642" w:firstLineChars="200"/>
        <w:outlineLvl w:val="1"/>
        <w:rPr>
          <w:rFonts w:hint="default" w:ascii="Times New Roman" w:hAnsi="Times New Roman" w:eastAsia="仿宋_GB2312" w:cs="Times New Roman"/>
          <w:b/>
          <w:bCs w:val="0"/>
          <w:sz w:val="32"/>
          <w:szCs w:val="32"/>
        </w:rPr>
      </w:pPr>
      <w:bookmarkStart w:id="112" w:name="_Toc27726"/>
      <w:bookmarkStart w:id="113" w:name="_Toc31638"/>
      <w:bookmarkStart w:id="114" w:name="_Toc21300"/>
      <w:r>
        <w:rPr>
          <w:rFonts w:hint="default" w:ascii="Times New Roman" w:hAnsi="Times New Roman" w:eastAsia="仿宋_GB2312" w:cs="Times New Roman"/>
          <w:b/>
          <w:bCs w:val="0"/>
          <w:sz w:val="32"/>
          <w:szCs w:val="32"/>
        </w:rPr>
        <w:t>（四）预算绩效管理情况</w:t>
      </w:r>
      <w:bookmarkEnd w:id="112"/>
      <w:bookmarkEnd w:id="113"/>
      <w:bookmarkEnd w:id="114"/>
    </w:p>
    <w:p>
      <w:pPr>
        <w:pageBreakBefore w:val="0"/>
        <w:kinsoku/>
        <w:wordWrap/>
        <w:overflowPunct/>
        <w:topLinePunct w:val="0"/>
        <w:bidi w:val="0"/>
        <w:spacing w:line="560" w:lineRule="exact"/>
        <w:ind w:firstLine="640" w:firstLineChars="200"/>
        <w:outlineLvl w:val="9"/>
        <w:rPr>
          <w:rFonts w:hint="default" w:ascii="Times New Roman" w:hAnsi="Times New Roman" w:eastAsia="方正小标宋简体" w:cs="Times New Roman"/>
        </w:rPr>
      </w:pPr>
      <w:r>
        <w:rPr>
          <w:rFonts w:hint="default" w:ascii="Times New Roman" w:hAnsi="Times New Roman" w:eastAsia="仿宋_GB2312" w:cs="Times New Roman"/>
          <w:color w:val="auto"/>
          <w:kern w:val="2"/>
          <w:sz w:val="32"/>
          <w:szCs w:val="32"/>
          <w:highlight w:val="none"/>
          <w:lang w:val="en-US" w:eastAsia="zh-CN" w:bidi="ar-SA"/>
        </w:rPr>
        <w:t>根据预算绩效管理要求，本单位在2024年度预算编制阶段，组织对工资性支出、其他人员支出、2024年国家重大工业节能专项监察经费、2024年节能监察与节能审查验收等18个项目开展了预算事前绩效评估，对18个项目编制了绩效目标，预算执行过程中，选取6个项目开展绩效监控，组织对6个项目开展绩效自评。</w:t>
      </w:r>
      <w:bookmarkStart w:id="115" w:name="_Toc2368"/>
      <w:bookmarkStart w:id="116" w:name="_Toc12684"/>
      <w:bookmarkStart w:id="117" w:name="_Toc15396613"/>
      <w:bookmarkStart w:id="118" w:name="_Toc15377225"/>
      <w:bookmarkStart w:id="119" w:name="_Toc7474"/>
    </w:p>
    <w:p>
      <w:pPr>
        <w:pStyle w:val="3"/>
        <w:pageBreakBefore w:val="0"/>
        <w:kinsoku/>
        <w:wordWrap/>
        <w:overflowPunct/>
        <w:topLinePunct w:val="0"/>
        <w:bidi w:val="0"/>
        <w:spacing w:line="560" w:lineRule="exact"/>
        <w:jc w:val="center"/>
        <w:rPr>
          <w:rFonts w:hint="default" w:ascii="Times New Roman" w:hAnsi="Times New Roman" w:eastAsia="方正小标宋简体" w:cs="Times New Roman"/>
        </w:rPr>
      </w:pPr>
    </w:p>
    <w:p>
      <w:pPr>
        <w:pStyle w:val="2"/>
        <w:rPr>
          <w:rFonts w:hint="default" w:ascii="Times New Roman" w:hAnsi="Times New Roman" w:eastAsia="方正小标宋简体" w:cs="Times New Roman"/>
        </w:rPr>
      </w:pPr>
    </w:p>
    <w:p>
      <w:pPr>
        <w:rPr>
          <w:rFonts w:hint="default" w:ascii="Times New Roman" w:hAnsi="Times New Roman" w:cs="Times New Roman"/>
        </w:rPr>
      </w:pPr>
    </w:p>
    <w:p>
      <w:pPr>
        <w:pStyle w:val="3"/>
        <w:pageBreakBefore w:val="0"/>
        <w:kinsoku/>
        <w:wordWrap/>
        <w:overflowPunct/>
        <w:topLinePunct w:val="0"/>
        <w:bidi w:val="0"/>
        <w:spacing w:line="560" w:lineRule="exact"/>
        <w:jc w:val="center"/>
        <w:rPr>
          <w:rFonts w:hint="default" w:ascii="Times New Roman" w:hAnsi="Times New Roman" w:eastAsia="方正小标宋简体" w:cs="Times New Roman"/>
          <w:b w:val="0"/>
          <w:bCs w:val="0"/>
        </w:rPr>
      </w:pPr>
      <w:r>
        <w:rPr>
          <w:rFonts w:hint="default" w:ascii="Times New Roman" w:hAnsi="Times New Roman" w:eastAsia="方正小标宋简体" w:cs="Times New Roman"/>
          <w:b w:val="0"/>
          <w:bCs w:val="0"/>
        </w:rPr>
        <w:t>第</w:t>
      </w:r>
      <w:r>
        <w:rPr>
          <w:rFonts w:hint="default" w:ascii="Times New Roman" w:hAnsi="Times New Roman" w:eastAsia="方正小标宋简体" w:cs="Times New Roman"/>
          <w:b w:val="0"/>
          <w:bCs w:val="0"/>
          <w:lang w:eastAsia="zh-CN"/>
        </w:rPr>
        <w:t>三</w:t>
      </w:r>
      <w:r>
        <w:rPr>
          <w:rFonts w:hint="default" w:ascii="Times New Roman" w:hAnsi="Times New Roman" w:eastAsia="方正小标宋简体" w:cs="Times New Roman"/>
          <w:b w:val="0"/>
          <w:bCs w:val="0"/>
        </w:rPr>
        <w:t>部分</w:t>
      </w:r>
      <w:r>
        <w:rPr>
          <w:rFonts w:hint="default" w:ascii="Times New Roman" w:hAnsi="Times New Roman" w:eastAsia="方正小标宋简体" w:cs="Times New Roman"/>
          <w:b w:val="0"/>
          <w:bCs w:val="0"/>
          <w:lang w:val="en-US" w:eastAsia="zh-CN"/>
        </w:rPr>
        <w:t xml:space="preserve">  </w:t>
      </w:r>
      <w:r>
        <w:rPr>
          <w:rFonts w:hint="default" w:ascii="Times New Roman" w:hAnsi="Times New Roman" w:eastAsia="方正小标宋简体" w:cs="Times New Roman"/>
          <w:b w:val="0"/>
          <w:bCs w:val="0"/>
        </w:rPr>
        <w:t>名词解释</w:t>
      </w:r>
      <w:bookmarkEnd w:id="115"/>
      <w:bookmarkEnd w:id="116"/>
      <w:bookmarkEnd w:id="117"/>
      <w:bookmarkEnd w:id="118"/>
      <w:bookmarkEnd w:id="119"/>
    </w:p>
    <w:p>
      <w:pPr>
        <w:pageBreakBefore w:val="0"/>
        <w:kinsoku/>
        <w:wordWrap/>
        <w:overflowPunct/>
        <w:topLinePunct w:val="0"/>
        <w:bidi w:val="0"/>
        <w:spacing w:line="560" w:lineRule="exact"/>
        <w:jc w:val="left"/>
        <w:rPr>
          <w:rFonts w:hint="default" w:ascii="Times New Roman" w:hAnsi="Times New Roman" w:cs="Times New Roman"/>
          <w:b/>
          <w:color w:val="auto"/>
          <w:sz w:val="44"/>
          <w:szCs w:val="44"/>
          <w:highlight w:val="none"/>
        </w:rPr>
      </w:pPr>
    </w:p>
    <w:p>
      <w:pPr>
        <w:pStyle w:val="26"/>
        <w:pageBreakBefore w:val="0"/>
        <w:kinsoku/>
        <w:wordWrap/>
        <w:overflowPunct/>
        <w:topLinePunct w:val="0"/>
        <w:bidi w:val="0"/>
        <w:spacing w:line="560" w:lineRule="exact"/>
        <w:ind w:firstLine="640" w:firstLineChars="200"/>
        <w:outlineLvl w:val="9"/>
        <w:rPr>
          <w:rFonts w:hint="default" w:ascii="Times New Roman" w:hAnsi="Times New Roman" w:eastAsia="仿宋_GB2312" w:cs="Times New Roman"/>
          <w:color w:val="auto"/>
          <w:sz w:val="32"/>
          <w:szCs w:val="32"/>
          <w:highlight w:val="none"/>
        </w:rPr>
      </w:pPr>
      <w:bookmarkStart w:id="120" w:name="_Toc22714"/>
      <w:r>
        <w:rPr>
          <w:rFonts w:hint="default" w:ascii="Times New Roman" w:hAnsi="Times New Roman" w:eastAsia="仿宋_GB2312" w:cs="Times New Roman"/>
          <w:color w:val="auto"/>
          <w:sz w:val="32"/>
          <w:szCs w:val="32"/>
          <w:highlight w:val="none"/>
        </w:rPr>
        <w:t>1.财政拨款收入：指单位从同级财政部门取得的财政预算资金。</w:t>
      </w:r>
      <w:bookmarkEnd w:id="120"/>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2.事业收入：指事业单位开展专业业务活动及辅助活动取得的收入。</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3.经营收入：</w:t>
      </w:r>
      <w:r>
        <w:rPr>
          <w:rStyle w:val="25"/>
          <w:rFonts w:hint="default" w:ascii="Times New Roman" w:hAnsi="Times New Roman" w:cs="Times New Roman"/>
          <w:bCs/>
          <w:sz w:val="32"/>
          <w:szCs w:val="32"/>
        </w:rPr>
        <w:t>指事业单位在专业业务活动及其辅助活动之外开展非独立核算经营活动取得的收入</w:t>
      </w:r>
      <w:r>
        <w:rPr>
          <w:rFonts w:hint="default" w:ascii="Times New Roman" w:hAnsi="Times New Roman" w:eastAsia="仿宋_GB2312" w:cs="Times New Roman"/>
          <w:color w:val="auto"/>
          <w:sz w:val="32"/>
          <w:szCs w:val="32"/>
          <w:highlight w:val="none"/>
        </w:rPr>
        <w:t>。</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4.其他收入：指单位取得的除上述收入以外的各项收入。主要是银行存款利息收入及</w:t>
      </w:r>
      <w:r>
        <w:rPr>
          <w:rFonts w:hint="default" w:ascii="Times New Roman" w:hAnsi="Times New Roman" w:eastAsia="仿宋_GB2312" w:cs="Times New Roman"/>
          <w:color w:val="auto"/>
          <w:sz w:val="32"/>
          <w:szCs w:val="32"/>
          <w:highlight w:val="none"/>
          <w:lang w:val="en-US" w:eastAsia="zh-CN"/>
        </w:rPr>
        <w:t>非同级财政拨款收入</w:t>
      </w:r>
      <w:r>
        <w:rPr>
          <w:rFonts w:hint="default" w:ascii="Times New Roman" w:hAnsi="Times New Roman" w:eastAsia="仿宋_GB2312" w:cs="Times New Roman"/>
          <w:color w:val="auto"/>
          <w:sz w:val="32"/>
          <w:szCs w:val="32"/>
          <w:highlight w:val="none"/>
        </w:rPr>
        <w:t xml:space="preserve">等。 </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w:t>
      </w:r>
      <w:r>
        <w:rPr>
          <w:rFonts w:hint="default" w:ascii="Times New Roman" w:hAnsi="Times New Roman" w:eastAsia="仿宋_GB2312" w:cs="Times New Roman"/>
          <w:color w:val="auto"/>
          <w:sz w:val="32"/>
          <w:szCs w:val="32"/>
          <w:highlight w:val="none"/>
          <w:lang w:eastAsia="zh-CN"/>
        </w:rPr>
        <w:t>使用非财政拨款结余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r>
        <w:rPr>
          <w:rFonts w:hint="default" w:ascii="Times New Roman" w:hAnsi="Times New Roman" w:eastAsia="仿宋_GB2312" w:cs="Times New Roman"/>
          <w:color w:val="auto"/>
          <w:sz w:val="32"/>
          <w:szCs w:val="32"/>
          <w:highlight w:val="none"/>
        </w:rPr>
        <w:t xml:space="preserve"> </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6.年初结转和结余：指以前年度尚未完成、结转到本年按有关规定继续使用的资金。 </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7.结余分配：指事业单位按照会计制度规定</w:t>
      </w:r>
      <w:r>
        <w:rPr>
          <w:rFonts w:hint="default" w:ascii="Times New Roman" w:hAnsi="Times New Roman" w:eastAsia="仿宋_GB2312" w:cs="Times New Roman"/>
          <w:color w:val="auto"/>
          <w:sz w:val="32"/>
          <w:szCs w:val="32"/>
          <w:highlight w:val="none"/>
          <w:lang w:eastAsia="zh-CN"/>
        </w:rPr>
        <w:t>缴纳的所得税、提取的专用结余以及转入非财政拨款结余的金额</w:t>
      </w:r>
      <w:r>
        <w:rPr>
          <w:rFonts w:hint="default" w:ascii="Times New Roman" w:hAnsi="Times New Roman" w:eastAsia="仿宋_GB2312" w:cs="Times New Roman"/>
          <w:color w:val="auto"/>
          <w:sz w:val="32"/>
          <w:szCs w:val="32"/>
          <w:highlight w:val="none"/>
        </w:rPr>
        <w:t>等。</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年末结转和结余：指单位按有关规定结转到下年或以后年度继续使用的资金。</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9.</w:t>
      </w:r>
      <w:r>
        <w:rPr>
          <w:rStyle w:val="25"/>
          <w:rFonts w:hint="default" w:ascii="Times New Roman" w:hAnsi="Times New Roman" w:cs="Times New Roman"/>
          <w:bCs/>
          <w:sz w:val="32"/>
          <w:szCs w:val="32"/>
        </w:rPr>
        <w:t>教育支出（类）进修及培训(款)培训支出（项）:指用于单位安排的培训支出</w:t>
      </w:r>
      <w:r>
        <w:rPr>
          <w:rFonts w:hint="default" w:ascii="Times New Roman" w:hAnsi="Times New Roman" w:eastAsia="仿宋_GB2312" w:cs="Times New Roman"/>
          <w:color w:val="auto"/>
          <w:sz w:val="32"/>
          <w:szCs w:val="32"/>
          <w:highlight w:val="none"/>
        </w:rPr>
        <w:t>。</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10.</w:t>
      </w:r>
      <w:r>
        <w:rPr>
          <w:rStyle w:val="25"/>
          <w:rFonts w:hint="default" w:ascii="Times New Roman" w:hAnsi="Times New Roman" w:cs="Times New Roman"/>
          <w:bCs/>
          <w:sz w:val="32"/>
          <w:szCs w:val="32"/>
        </w:rPr>
        <w:t>社会保障和就业支出（类）行政事业单位养老支出（款）行政单位离退休（项）:指用于单位开支的离退休经费</w:t>
      </w:r>
      <w:r>
        <w:rPr>
          <w:rFonts w:hint="default" w:ascii="Times New Roman" w:hAnsi="Times New Roman" w:eastAsia="仿宋_GB2312" w:cs="Times New Roman"/>
          <w:color w:val="auto"/>
          <w:sz w:val="32"/>
          <w:szCs w:val="32"/>
          <w:highlight w:val="none"/>
        </w:rPr>
        <w:t>。</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11.</w:t>
      </w:r>
      <w:r>
        <w:rPr>
          <w:rStyle w:val="25"/>
          <w:rFonts w:hint="default" w:ascii="Times New Roman" w:hAnsi="Times New Roman" w:cs="Times New Roman"/>
          <w:bCs/>
          <w:sz w:val="32"/>
          <w:szCs w:val="32"/>
        </w:rPr>
        <w:t>社会保障和就业支出（类）行政事业单位养老支出（款）事业单位离退休（项）：指发放202</w:t>
      </w:r>
      <w:r>
        <w:rPr>
          <w:rStyle w:val="25"/>
          <w:rFonts w:hint="default" w:ascii="Times New Roman" w:hAnsi="Times New Roman" w:eastAsia="仿宋_GB2312" w:cs="Times New Roman"/>
          <w:bCs/>
          <w:sz w:val="32"/>
          <w:szCs w:val="32"/>
          <w:lang w:val="en-US" w:eastAsia="zh-CN"/>
        </w:rPr>
        <w:t>2</w:t>
      </w:r>
      <w:r>
        <w:rPr>
          <w:rStyle w:val="25"/>
          <w:rFonts w:hint="default" w:ascii="Times New Roman" w:hAnsi="Times New Roman" w:cs="Times New Roman"/>
          <w:bCs/>
          <w:sz w:val="32"/>
          <w:szCs w:val="32"/>
        </w:rPr>
        <w:t>年度离退休人员一次性生活补助支出</w:t>
      </w:r>
      <w:r>
        <w:rPr>
          <w:rFonts w:hint="default" w:ascii="Times New Roman" w:hAnsi="Times New Roman" w:eastAsia="仿宋_GB2312" w:cs="Times New Roman"/>
          <w:color w:val="auto"/>
          <w:sz w:val="32"/>
          <w:szCs w:val="32"/>
          <w:highlight w:val="none"/>
        </w:rPr>
        <w:t>。</w:t>
      </w:r>
    </w:p>
    <w:p>
      <w:pPr>
        <w:pageBreakBefore w:val="0"/>
        <w:kinsoku/>
        <w:wordWrap/>
        <w:overflowPunct/>
        <w:topLinePunct w:val="0"/>
        <w:bidi w:val="0"/>
        <w:spacing w:line="560" w:lineRule="exact"/>
        <w:ind w:firstLine="640" w:firstLineChars="200"/>
        <w:rPr>
          <w:rStyle w:val="25"/>
          <w:rFonts w:hint="default" w:ascii="Times New Roman" w:hAnsi="Times New Roman" w:cs="Times New Roman"/>
          <w:bCs/>
          <w:sz w:val="32"/>
          <w:szCs w:val="32"/>
        </w:rPr>
      </w:pPr>
      <w:r>
        <w:rPr>
          <w:rStyle w:val="25"/>
          <w:rFonts w:hint="default" w:ascii="Times New Roman" w:hAnsi="Times New Roman" w:cs="Times New Roman"/>
          <w:bCs/>
          <w:sz w:val="32"/>
          <w:szCs w:val="32"/>
        </w:rPr>
        <w:t>12.社会保障和就业支出（类）行政事业单位养老支出（款）机关事业单位基本养老保险缴费支出（项）指用于单位实施养老保险制度由单位缴纳的基本养老保险支出。</w:t>
      </w:r>
    </w:p>
    <w:p>
      <w:pPr>
        <w:pageBreakBefore w:val="0"/>
        <w:kinsoku/>
        <w:wordWrap/>
        <w:overflowPunct/>
        <w:topLinePunct w:val="0"/>
        <w:bidi w:val="0"/>
        <w:spacing w:line="560" w:lineRule="exact"/>
        <w:ind w:firstLine="640" w:firstLineChars="200"/>
        <w:rPr>
          <w:rStyle w:val="25"/>
          <w:rFonts w:hint="default" w:ascii="Times New Roman" w:hAnsi="Times New Roman" w:cs="Times New Roman"/>
          <w:bCs/>
          <w:sz w:val="32"/>
          <w:szCs w:val="32"/>
        </w:rPr>
      </w:pPr>
      <w:r>
        <w:rPr>
          <w:rStyle w:val="25"/>
          <w:rFonts w:hint="default" w:ascii="Times New Roman" w:hAnsi="Times New Roman" w:cs="Times New Roman"/>
          <w:bCs/>
          <w:sz w:val="32"/>
          <w:szCs w:val="32"/>
        </w:rPr>
        <w:t>13.卫生健康支出（类）行政事业单位医疗（款）行政单位医疗（项）指用于支付单位基本医疗保险缴费经费。</w:t>
      </w:r>
    </w:p>
    <w:p>
      <w:pPr>
        <w:pageBreakBefore w:val="0"/>
        <w:kinsoku/>
        <w:wordWrap/>
        <w:overflowPunct/>
        <w:topLinePunct w:val="0"/>
        <w:bidi w:val="0"/>
        <w:spacing w:line="560" w:lineRule="exact"/>
        <w:ind w:firstLine="640" w:firstLineChars="200"/>
        <w:rPr>
          <w:rStyle w:val="25"/>
          <w:rFonts w:hint="default" w:ascii="Times New Roman" w:hAnsi="Times New Roman" w:cs="Times New Roman"/>
          <w:bCs/>
          <w:sz w:val="32"/>
          <w:szCs w:val="32"/>
        </w:rPr>
      </w:pPr>
      <w:r>
        <w:rPr>
          <w:rStyle w:val="25"/>
          <w:rFonts w:hint="default" w:ascii="Times New Roman" w:hAnsi="Times New Roman" w:cs="Times New Roman"/>
          <w:bCs/>
          <w:sz w:val="32"/>
          <w:szCs w:val="32"/>
        </w:rPr>
        <w:t>1</w:t>
      </w:r>
      <w:r>
        <w:rPr>
          <w:rStyle w:val="25"/>
          <w:rFonts w:hint="default" w:ascii="Times New Roman" w:hAnsi="Times New Roman" w:eastAsia="仿宋_GB2312" w:cs="Times New Roman"/>
          <w:bCs/>
          <w:sz w:val="32"/>
          <w:szCs w:val="32"/>
          <w:lang w:val="en-US" w:eastAsia="zh-CN"/>
        </w:rPr>
        <w:t>4</w:t>
      </w:r>
      <w:r>
        <w:rPr>
          <w:rStyle w:val="25"/>
          <w:rFonts w:hint="default" w:ascii="Times New Roman" w:hAnsi="Times New Roman" w:cs="Times New Roman"/>
          <w:bCs/>
          <w:sz w:val="32"/>
          <w:szCs w:val="32"/>
        </w:rPr>
        <w:t>.卫生健康支出（类）行政事业单位医疗（款）公务员医疗补助（项）指用于公务员医疗补助经费。</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w:t>
      </w: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sz w:val="32"/>
          <w:szCs w:val="32"/>
        </w:rPr>
        <w:t>资源勘探工业信息等支出（类）制造业（款）行政运行（项）指用于维护单位日常运行的行政支出。</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16.资源勘探工业信息等支出（类）制造业（款）其他制造业支出（项）指用于支出全省重点用能企业能耗核查、节能监察相关培训等专项（节能改造和技术升级资金项目）支出。</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17.</w:t>
      </w:r>
      <w:r>
        <w:rPr>
          <w:rFonts w:hint="default" w:ascii="Times New Roman" w:hAnsi="Times New Roman" w:eastAsia="仿宋_GB2312" w:cs="Times New Roman"/>
          <w:bCs/>
          <w:sz w:val="32"/>
          <w:szCs w:val="32"/>
        </w:rPr>
        <w:t>资源探勘信息等支出</w:t>
      </w:r>
      <w:r>
        <w:rPr>
          <w:rStyle w:val="25"/>
          <w:rFonts w:hint="default" w:ascii="Times New Roman" w:hAnsi="Times New Roman" w:cs="Times New Roman"/>
          <w:bCs/>
          <w:sz w:val="32"/>
          <w:szCs w:val="32"/>
        </w:rPr>
        <w:t>（类）工业和信息产业监管（款）其他工业和信息产业监管支出（项）</w:t>
      </w:r>
      <w:r>
        <w:rPr>
          <w:rFonts w:hint="default" w:ascii="Times New Roman" w:hAnsi="Times New Roman" w:eastAsia="仿宋_GB2312" w:cs="Times New Roman"/>
          <w:sz w:val="32"/>
          <w:szCs w:val="32"/>
        </w:rPr>
        <w:t>指</w:t>
      </w:r>
      <w:r>
        <w:rPr>
          <w:rFonts w:hint="default" w:ascii="Times New Roman" w:hAnsi="Times New Roman" w:eastAsia="仿宋_GB2312" w:cs="Times New Roman"/>
          <w:sz w:val="32"/>
          <w:szCs w:val="32"/>
          <w:lang w:val="en-US" w:eastAsia="zh-CN"/>
        </w:rPr>
        <w:t>用于完成</w:t>
      </w:r>
      <w:r>
        <w:rPr>
          <w:rStyle w:val="25"/>
          <w:rFonts w:hint="default" w:ascii="Times New Roman" w:hAnsi="Times New Roman" w:cs="Times New Roman"/>
          <w:bCs/>
          <w:sz w:val="32"/>
          <w:szCs w:val="32"/>
          <w:lang w:val="en-US" w:eastAsia="zh-CN"/>
        </w:rPr>
        <w:t>省发改委下达的固定资产投资项目节能审查意见落实情况专项监察</w:t>
      </w:r>
      <w:r>
        <w:rPr>
          <w:rStyle w:val="25"/>
          <w:rFonts w:hint="default" w:ascii="Times New Roman" w:hAnsi="Times New Roman" w:eastAsia="仿宋_GB2312" w:cs="Times New Roman"/>
          <w:bCs/>
          <w:sz w:val="32"/>
          <w:szCs w:val="32"/>
          <w:lang w:val="en-US" w:eastAsia="zh-CN"/>
        </w:rPr>
        <w:t>任务相关支出。</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资源勘探工业信息等支出（类）其他资源勘探工业信息等支出（款）其他资源勘探工业信息等支出（项）指用于其他资源探勘工业信息等方面的支出，本单位包括公务用车运行维护费、公务接待费、办公设备购置费、开展节能监察工作所需的其他商品服务支出费用。</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19.住房保障支出（类）住房改革支出（款）住房公积金（项）指用于本单位按人力资源和社会保障部、财政部规定的基本工资和津补贴以及规定比例为职工缴纳住房公积金。</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20.住房保障支出（类）住房改革支出（款）购房补贴（项）指用于支付单位向符合条件的职工发放的用于购买住房的补贴。</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.基本支出：指为保障机构正常运转、完成日常工作任务而发生的人员支出和公用支出。</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 xml:space="preserve">.项目支出：指在基本支出之外为完成特定行政任务和事业发展目标所发生的支出。 </w:t>
      </w:r>
    </w:p>
    <w:p>
      <w:pPr>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.经营支出：指事业单位在专业业务活动及其辅助活动之外开展非独立核算经营活动发生的支出。</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rPr>
        <w:t>.“三公”经费：指</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25</w:t>
      </w:r>
      <w:r>
        <w:rPr>
          <w:rFonts w:hint="default" w:ascii="Times New Roman"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6"/>
        <w:pageBreakBefore w:val="0"/>
        <w:kinsoku/>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highlight w:val="none"/>
        </w:rPr>
      </w:pPr>
    </w:p>
    <w:p>
      <w:pPr>
        <w:pStyle w:val="26"/>
        <w:pageBreakBefore w:val="0"/>
        <w:kinsoku/>
        <w:wordWrap/>
        <w:overflowPunct/>
        <w:topLinePunct w:val="0"/>
        <w:bidi w:val="0"/>
        <w:spacing w:line="560" w:lineRule="exact"/>
        <w:rPr>
          <w:rFonts w:hint="default" w:ascii="Times New Roman" w:hAnsi="Times New Roman" w:eastAsia="仿宋_GB2312" w:cs="Times New Roman"/>
          <w:color w:val="auto"/>
          <w:sz w:val="32"/>
          <w:szCs w:val="32"/>
          <w:highlight w:val="none"/>
        </w:rPr>
      </w:pPr>
    </w:p>
    <w:p>
      <w:pPr>
        <w:pStyle w:val="3"/>
        <w:pageBreakBefore w:val="0"/>
        <w:kinsoku/>
        <w:wordWrap/>
        <w:overflowPunct/>
        <w:topLinePunct w:val="0"/>
        <w:bidi w:val="0"/>
        <w:spacing w:line="560" w:lineRule="exact"/>
        <w:jc w:val="center"/>
        <w:rPr>
          <w:rFonts w:hint="default" w:ascii="Times New Roman" w:hAnsi="Times New Roman" w:eastAsia="方正小标宋简体" w:cs="Times New Roman"/>
          <w:b w:val="0"/>
          <w:bCs w:val="0"/>
          <w:lang w:eastAsia="zh-CN"/>
        </w:rPr>
      </w:pPr>
      <w:bookmarkStart w:id="121" w:name="_Toc15396614"/>
      <w:bookmarkStart w:id="122" w:name="_Toc1695"/>
      <w:bookmarkStart w:id="123" w:name="_Toc257"/>
      <w:bookmarkStart w:id="124" w:name="_Toc4470"/>
      <w:bookmarkStart w:id="125" w:name="_Toc15377226"/>
      <w:r>
        <w:rPr>
          <w:rFonts w:hint="default" w:ascii="Times New Roman" w:hAnsi="Times New Roman" w:eastAsia="方正小标宋简体" w:cs="Times New Roman"/>
          <w:b w:val="0"/>
          <w:bCs w:val="0"/>
        </w:rPr>
        <w:t>第四部分</w:t>
      </w:r>
      <w:r>
        <w:rPr>
          <w:rFonts w:hint="default" w:ascii="Times New Roman" w:hAnsi="Times New Roman" w:eastAsia="方正小标宋简体" w:cs="Times New Roman"/>
          <w:b w:val="0"/>
          <w:bCs w:val="0"/>
          <w:lang w:val="en-US" w:eastAsia="zh-CN"/>
        </w:rPr>
        <w:t xml:space="preserve"> </w:t>
      </w:r>
      <w:r>
        <w:rPr>
          <w:rFonts w:hint="default" w:ascii="Times New Roman" w:hAnsi="Times New Roman" w:eastAsia="方正小标宋简体" w:cs="Times New Roman"/>
          <w:b w:val="0"/>
          <w:bCs w:val="0"/>
        </w:rPr>
        <w:t xml:space="preserve"> 附件</w:t>
      </w:r>
      <w:bookmarkEnd w:id="121"/>
      <w:bookmarkEnd w:id="122"/>
      <w:bookmarkEnd w:id="123"/>
      <w:bookmarkEnd w:id="124"/>
    </w:p>
    <w:p>
      <w:pPr>
        <w:keepNext w:val="0"/>
        <w:keepLines w:val="0"/>
        <w:pageBreakBefore w:val="0"/>
        <w:kinsoku/>
        <w:wordWrap/>
        <w:overflowPunct/>
        <w:topLinePunct w:val="0"/>
        <w:autoSpaceDE/>
        <w:autoSpaceDN/>
        <w:bidi w:val="0"/>
        <w:spacing w:line="560" w:lineRule="exact"/>
        <w:jc w:val="left"/>
        <w:textAlignment w:val="auto"/>
        <w:outlineLvl w:val="9"/>
        <w:rPr>
          <w:rFonts w:hint="default" w:ascii="Times New Roman" w:hAnsi="Times New Roman" w:eastAsia="黑体" w:cs="Times New Roman"/>
          <w:color w:val="FF0000"/>
          <w:sz w:val="32"/>
          <w:szCs w:val="32"/>
          <w:highlight w:val="none"/>
        </w:rPr>
      </w:pPr>
    </w:p>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714"/>
        <w:gridCol w:w="761"/>
        <w:gridCol w:w="775"/>
        <w:gridCol w:w="1483"/>
        <w:gridCol w:w="408"/>
        <w:gridCol w:w="466"/>
        <w:gridCol w:w="408"/>
        <w:gridCol w:w="910"/>
        <w:gridCol w:w="460"/>
        <w:gridCol w:w="460"/>
        <w:gridCol w:w="2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b/>
                <w:bCs/>
                <w:i w:val="0"/>
                <w:iCs w:val="0"/>
                <w:color w:val="000000"/>
                <w:sz w:val="30"/>
                <w:szCs w:val="30"/>
                <w:u w:val="none"/>
              </w:rPr>
            </w:pPr>
            <w:bookmarkStart w:id="126" w:name="_Toc15396618"/>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51000023T000009292504-2023年节能监管及节能审查验收专项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499"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四川省节能监管事务中心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根据年度节能监察计划确定的监察任务开展节能监察，根据项目建设情况开展节能验收。</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根据年度节能监察计划确定的监察任务开展节能监察，根据项目建设情况开展节能验收。年度目标已完成。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根据年度节能监察计划确定的监察任务开展节能监察，根据项目建设情况开展节能验收。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34.10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34.10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28.33</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83.07%</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8.3</w:t>
            </w:r>
          </w:p>
        </w:tc>
        <w:tc>
          <w:tcPr>
            <w:tcW w:w="1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此项目为上年结转项目，主要为继续完成2023年工业锅炉热效率测试项目以及支付机电设备识别及能效计算APP开发服务费尾款等。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34.10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34.10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28.33</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83.07%</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监察（能效测试）项目总数</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16</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项目质量达标率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按时完成监察及验收工作</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可持续影响指标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促进四川省节能监察工作推进</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良</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主管部门满意度</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成本指标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经济成本指标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资金使用额</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万元</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28.3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25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98.3</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根据年度节能监察计划确定的监察任务开展节能监察，根据项目建设情况开展节能验收。产出指标、绩效指标、满意度指标、成本指标均达到要求。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合理安排预算，及时监督执行进度，加快预算执行。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2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项目负责人：武斌</w:t>
            </w:r>
          </w:p>
        </w:tc>
        <w:tc>
          <w:tcPr>
            <w:tcW w:w="272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财务负责人：鞠仕斌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2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815"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99"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23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51000024T000010849734-2024年国家重大工业节能专项监察经费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499"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四川省节能监管事务中心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根据工信部下达任务，完成重点用能企业的能耗监察</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根据工信部下达任务，完成重点用能企业的能耗监察</w:t>
            </w:r>
            <w:bookmarkStart w:id="156" w:name="_GoBack"/>
            <w:bookmarkEnd w:id="156"/>
            <w:r>
              <w:rPr>
                <w:rFonts w:hint="default" w:ascii="Times New Roman" w:hAnsi="Times New Roman" w:eastAsia="黑体" w:cs="Times New Roman"/>
                <w:i w:val="0"/>
                <w:iCs w:val="0"/>
                <w:color w:val="000000"/>
                <w:kern w:val="0"/>
                <w:sz w:val="18"/>
                <w:szCs w:val="18"/>
                <w:u w:val="none"/>
                <w:lang w:val="en-US" w:eastAsia="zh-CN" w:bidi="ar"/>
              </w:rPr>
              <w:t>工作。年度目标已完成。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根据工信部下达的监察任务，完成重点行业能效专项监察、重点领域能效专项监察、年违规企业整改落实情况专项监察等工作。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111.66</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93.69</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83.90%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8.4</w:t>
            </w:r>
          </w:p>
        </w:tc>
        <w:tc>
          <w:tcPr>
            <w:tcW w:w="1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年初结转结余资金预算20万元，中期根据工信部下达当年任务，追加预算91.66万元。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111.66</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93.69</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83.90%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监察重点用能企业企业数</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户</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299</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目标完成合格率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规定时间内完成监察工作</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对节能政策宣传以及用能企业进行政策指导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良</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优</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服务对象满意度指标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监察企业满意度</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成本指标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经济成本指标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监察费用总支出</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万元</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25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sz w:val="18"/>
                <w:szCs w:val="18"/>
                <w:u w:val="none"/>
                <w:lang w:val="en-US"/>
              </w:rPr>
              <w:t>98.4</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根据工信部下达的监察任务，完成重点行业能效专项监察、重点领域能效专项监察、年违规企业整改落实情况专项监察等工作。产出指标、效益指标、满意度指标、成本指标均达到要求。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合理安排预算，及时监督执行进度，加快预算执行。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22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项目负责人：武斌</w:t>
            </w:r>
          </w:p>
        </w:tc>
        <w:tc>
          <w:tcPr>
            <w:tcW w:w="272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财务负责人：鞠仕斌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2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815"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99"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23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51000024T000011648577-2024年节能监察与节能审查验收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499"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四川省节能监管事务中心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根据年度节能监察计划确定的监察任务开展节能监察，很据项目建设情况开展节能审查验收</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根据年度节能监察计划确定的监察任务开展节能监察，很据项目建设情况开展节能审查验收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根据省发改委要求，按时高质量的完成固定资产投资项目节能审查意见落实情况专项监察、省级节能审查项目节能审查意见落实情况监察等。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64.50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64.50%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6.5</w:t>
            </w:r>
          </w:p>
        </w:tc>
        <w:tc>
          <w:tcPr>
            <w:tcW w:w="1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各项工作任务已完成，预算准确性待进一步提高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64.50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64.50%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节能监察、节能审查验收企业户数</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户</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130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项目质量达标率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按时完成监督工作</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促进四川节能监察工作推进</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定性</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优</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主管部门满意率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成本指标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经济成本指标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项目资金使用额</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万元</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微软雅黑" w:cs="Times New Roman"/>
                <w:i/>
                <w:iCs/>
                <w:color w:val="000000"/>
                <w:sz w:val="16"/>
                <w:szCs w:val="16"/>
                <w:u w:val="none"/>
              </w:rPr>
            </w:pPr>
            <w:r>
              <w:rPr>
                <w:rFonts w:hint="default" w:ascii="Times New Roman" w:hAnsi="Times New Roman" w:eastAsia="微软雅黑" w:cs="Times New Roman"/>
                <w:i/>
                <w:iCs/>
                <w:color w:val="000000"/>
                <w:kern w:val="0"/>
                <w:sz w:val="16"/>
                <w:szCs w:val="16"/>
                <w:u w:val="none"/>
                <w:lang w:val="en-US" w:eastAsia="zh-CN" w:bidi="ar"/>
              </w:rPr>
              <w:t>65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25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96.5</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评价结论</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根据省发改委要求，按时高质量的完成固定资产投资项目节能审查意见落实情况专项监察、省级节能审查项目节能审查意见落实情况监察等。产出指标、效益指标、满意度指标、成本指标均达到要求。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存在问题</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改进措施</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合理安排预算，及时监督执行进度，加快预算执行。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2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项目负责人：武斌</w:t>
            </w:r>
          </w:p>
        </w:tc>
        <w:tc>
          <w:tcPr>
            <w:tcW w:w="272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财务负责人：鞠仕斌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2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815"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6"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24"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99"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253"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237" w:type="pct"/>
            <w:tcBorders>
              <w:top w:val="nil"/>
              <w:left w:val="nil"/>
              <w:bottom w:val="nil"/>
              <w:right w:val="nil"/>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b/>
                <w:bCs/>
                <w:i w:val="0"/>
                <w:iCs w:val="0"/>
                <w:color w:val="000000"/>
                <w:sz w:val="30"/>
                <w:szCs w:val="30"/>
                <w:u w:val="none"/>
              </w:rPr>
            </w:pPr>
            <w:r>
              <w:rPr>
                <w:rFonts w:hint="default" w:ascii="Times New Roman" w:hAnsi="Times New Roman" w:eastAsia="黑体" w:cs="Times New Roman"/>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51000025T000012609574-2024年节能监察专项资金（省级工业发展专项资金）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四川省经济和信息化厅部门</w:t>
            </w:r>
          </w:p>
        </w:tc>
        <w:tc>
          <w:tcPr>
            <w:tcW w:w="499"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实施单位 （盖章）</w:t>
            </w:r>
          </w:p>
        </w:tc>
        <w:tc>
          <w:tcPr>
            <w:tcW w:w="1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四川省节能监管事务中心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项目基本情况</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1.项目年度目标完成情况</w:t>
            </w: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项目年度目标</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19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重点行业、重点项目、重点用能设备节能监察，企业296户</w:t>
            </w:r>
          </w:p>
        </w:tc>
        <w:tc>
          <w:tcPr>
            <w:tcW w:w="22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组织开展2024年度重点行业领域节能监察工作，重点实施用能设备能效达标情况、技术改造投资项目节能审查意见落实情况、未按规定进行节能审查的技术改造投资项目整改落实情况等296户专项监察任务。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2.项目实施内容及过程概述</w:t>
            </w:r>
          </w:p>
        </w:tc>
        <w:tc>
          <w:tcPr>
            <w:tcW w:w="418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组织开展2024年度重点行业领域节能监察工作，重点实施用能设备能效达标情况、技术改造投资项目节能审查意见落实情况、未按规定进行节能审查的技术改造投资项目整改落实情况等296户专项监察任务。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预算执行情况（10分）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年度预算数（万元）</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调整后预算数</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预算执行数</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总额</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88.29</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cs="Times New Roman"/>
                <w:i w:val="0"/>
                <w:iCs w:val="0"/>
                <w:color w:val="000000"/>
                <w:kern w:val="0"/>
                <w:sz w:val="18"/>
                <w:szCs w:val="18"/>
                <w:u w:val="none"/>
                <w:lang w:val="en-US" w:eastAsia="zh-CN" w:bidi="ar"/>
              </w:rPr>
              <w:t>4.4</w:t>
            </w:r>
          </w:p>
        </w:tc>
        <w:tc>
          <w:tcPr>
            <w:tcW w:w="1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预算指标下达较晚，各项工工作时间紧，任务重，工作完成时间较计划大大压缩，同时原计划围绕监察开展的相关工作未开展。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其中：财政资金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88.29</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财政专户管理资金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单位资金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7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微软雅黑" w:cs="Times New Roman"/>
                <w:i/>
                <w:iCs/>
                <w:color w:val="000000"/>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1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绩效指标（90分）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指标性质</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度量单位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权重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产出指标</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数量指标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未按规定进行节能审查技术改造项目的专项监察等(含节能低碳管理体系培养建设)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36</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户</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38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val="0"/>
                <w:iCs w:val="0"/>
                <w:color w:val="000000"/>
                <w:sz w:val="18"/>
                <w:szCs w:val="18"/>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重点行业、重点项目、重点用能设备节能监察企业户数</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户</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296</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20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质量指标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按要求完成监察任务，质量合格率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98</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时效指标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在规定时间内完成任务率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效益指标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可持续发展指标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促进企业用能改善，促进可持续发展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定性</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良</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良</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30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宋体" w:cs="Times New Roman"/>
                <w:i w:val="0"/>
                <w:iCs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服务对象满意度指标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被监察企业满意度</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98</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iCs/>
                <w:color w:val="000000"/>
                <w:sz w:val="16"/>
                <w:szCs w:val="16"/>
                <w:u w:val="none"/>
              </w:rPr>
            </w:pPr>
            <w:r>
              <w:rPr>
                <w:rFonts w:hint="default" w:ascii="Times New Roman" w:hAnsi="Times New Roman" w:eastAsia="仿宋_GB2312" w:cs="Times New Roman"/>
                <w:i/>
                <w:iCs/>
                <w:color w:val="000000"/>
                <w:kern w:val="0"/>
                <w:sz w:val="16"/>
                <w:szCs w:val="16"/>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jc w:val="center"/>
              <w:rPr>
                <w:rFonts w:hint="default" w:ascii="Times New Roman" w:hAnsi="Times New Roman" w:eastAsia="仿宋_GB2312" w:cs="Times New Roman"/>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25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合计</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kern w:val="0"/>
                <w:sz w:val="18"/>
                <w:szCs w:val="18"/>
                <w:u w:val="none"/>
                <w:lang w:val="en-US" w:eastAsia="zh-CN" w:bidi="ar"/>
              </w:rPr>
              <w:t>94.5</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napToGrid w:val="0"/>
              <w:spacing w:line="560" w:lineRule="exact"/>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评价结论</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组织开展2024年度重点行业领域节能监察工作，重点实施用能设备能效达标情况、技术改造投资项目节能审查意见落实情况、未按规定进行节能审查的技术改造投资项目整改落实情况等296户专项监察任务。产出指标、效益指标、满意度指标均达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存在问题</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改进措施</w:t>
            </w:r>
          </w:p>
        </w:tc>
        <w:tc>
          <w:tcPr>
            <w:tcW w:w="46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微软雅黑" w:cs="Times New Roman"/>
                <w:i w:val="0"/>
                <w:iCs w:val="0"/>
                <w:color w:val="000000"/>
                <w:sz w:val="16"/>
                <w:szCs w:val="16"/>
                <w:u w:val="none"/>
              </w:rPr>
            </w:pPr>
            <w:r>
              <w:rPr>
                <w:rFonts w:hint="default" w:ascii="Times New Roman" w:hAnsi="Times New Roman" w:eastAsia="微软雅黑" w:cs="Times New Roman"/>
                <w:i w:val="0"/>
                <w:iCs w:val="0"/>
                <w:color w:val="000000"/>
                <w:kern w:val="0"/>
                <w:sz w:val="16"/>
                <w:szCs w:val="16"/>
                <w:u w:val="none"/>
                <w:lang w:val="en-US" w:eastAsia="zh-CN" w:bidi="ar"/>
              </w:rPr>
              <w:t>预算指标下达较晚，调整该项目进年初预算。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2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项目负责人：武斌</w:t>
            </w:r>
          </w:p>
        </w:tc>
        <w:tc>
          <w:tcPr>
            <w:tcW w:w="272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val="0"/>
              <w:spacing w:line="560" w:lineRule="exact"/>
              <w:jc w:val="left"/>
              <w:textAlignment w:val="center"/>
              <w:rPr>
                <w:rFonts w:hint="default" w:ascii="Times New Roman" w:hAnsi="Times New Roman" w:eastAsia="黑体" w:cs="Times New Roman"/>
                <w:i w:val="0"/>
                <w:iCs w:val="0"/>
                <w:color w:val="000000"/>
                <w:sz w:val="18"/>
                <w:szCs w:val="18"/>
                <w:u w:val="none"/>
              </w:rPr>
            </w:pPr>
            <w:r>
              <w:rPr>
                <w:rFonts w:hint="default" w:ascii="Times New Roman" w:hAnsi="Times New Roman" w:eastAsia="黑体" w:cs="Times New Roman"/>
                <w:i w:val="0"/>
                <w:iCs w:val="0"/>
                <w:color w:val="000000"/>
                <w:kern w:val="0"/>
                <w:sz w:val="18"/>
                <w:szCs w:val="18"/>
                <w:u w:val="none"/>
                <w:lang w:val="en-US" w:eastAsia="zh-CN" w:bidi="ar"/>
              </w:rPr>
              <w:t>财务负责人：鞠仕斌</w:t>
            </w:r>
          </w:p>
        </w:tc>
      </w:tr>
    </w:tbl>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en-US" w:eastAsia="zh-CN" w:bidi="ar-SA"/>
        </w:rPr>
        <w:br w:type="page"/>
      </w:r>
    </w:p>
    <w:p>
      <w:pPr>
        <w:pageBreakBefore w:val="0"/>
        <w:widowControl/>
        <w:kinsoku/>
        <w:wordWrap/>
        <w:overflowPunct/>
        <w:topLinePunct w:val="0"/>
        <w:bidi w:val="0"/>
        <w:spacing w:line="560" w:lineRule="exact"/>
        <w:jc w:val="center"/>
        <w:outlineLvl w:val="0"/>
        <w:rPr>
          <w:rFonts w:hint="default" w:ascii="Times New Roman" w:hAnsi="Times New Roman" w:eastAsia="方正小标宋简体" w:cs="Times New Roman"/>
          <w:b w:val="0"/>
          <w:color w:val="auto"/>
          <w:highlight w:val="none"/>
        </w:rPr>
      </w:pPr>
      <w:bookmarkStart w:id="127" w:name="_Toc23761"/>
      <w:bookmarkStart w:id="128" w:name="_Toc26675"/>
      <w:bookmarkStart w:id="129" w:name="_Toc2293"/>
      <w:r>
        <w:rPr>
          <w:rFonts w:hint="default" w:ascii="Times New Roman" w:hAnsi="Times New Roman" w:eastAsia="方正小标宋简体" w:cs="Times New Roman"/>
          <w:color w:val="auto"/>
          <w:sz w:val="44"/>
          <w:szCs w:val="44"/>
          <w:highlight w:val="none"/>
        </w:rPr>
        <w:t>第</w:t>
      </w:r>
      <w:r>
        <w:rPr>
          <w:rStyle w:val="28"/>
          <w:rFonts w:hint="default" w:ascii="Times New Roman" w:hAnsi="Times New Roman" w:eastAsia="方正小标宋简体" w:cs="Times New Roman"/>
          <w:b w:val="0"/>
          <w:color w:val="auto"/>
          <w:highlight w:val="none"/>
        </w:rPr>
        <w:t xml:space="preserve">五部分 </w:t>
      </w:r>
      <w:r>
        <w:rPr>
          <w:rStyle w:val="28"/>
          <w:rFonts w:hint="default" w:ascii="Times New Roman" w:hAnsi="Times New Roman" w:eastAsia="方正小标宋简体" w:cs="Times New Roman"/>
          <w:b w:val="0"/>
          <w:color w:val="auto"/>
          <w:highlight w:val="none"/>
          <w:lang w:val="en"/>
        </w:rPr>
        <w:t xml:space="preserve"> </w:t>
      </w:r>
      <w:r>
        <w:rPr>
          <w:rStyle w:val="28"/>
          <w:rFonts w:hint="default" w:ascii="Times New Roman" w:hAnsi="Times New Roman" w:eastAsia="方正小标宋简体" w:cs="Times New Roman"/>
          <w:b w:val="0"/>
          <w:color w:val="auto"/>
          <w:highlight w:val="none"/>
        </w:rPr>
        <w:t>附表</w:t>
      </w:r>
      <w:bookmarkEnd w:id="125"/>
      <w:bookmarkEnd w:id="126"/>
      <w:bookmarkEnd w:id="127"/>
      <w:bookmarkEnd w:id="128"/>
      <w:bookmarkEnd w:id="129"/>
      <w:bookmarkStart w:id="130"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p>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31" w:name="_Toc4090"/>
      <w:r>
        <w:rPr>
          <w:rStyle w:val="35"/>
          <w:rFonts w:hint="default" w:ascii="Times New Roman" w:hAnsi="Times New Roman" w:eastAsia="仿宋_GB2312" w:cs="Times New Roman"/>
          <w:b w:val="0"/>
          <w:bCs w:val="0"/>
          <w:lang w:val="en-US" w:eastAsia="zh-CN"/>
        </w:rPr>
        <w:t>一、收入支出决算总表</w:t>
      </w:r>
      <w:bookmarkEnd w:id="130"/>
    </w:p>
    <w:bookmarkEnd w:id="131"/>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32" w:name="_Toc15396620"/>
      <w:bookmarkStart w:id="133" w:name="_Toc9806"/>
      <w:r>
        <w:rPr>
          <w:rStyle w:val="35"/>
          <w:rFonts w:hint="default" w:ascii="Times New Roman" w:hAnsi="Times New Roman" w:eastAsia="仿宋_GB2312" w:cs="Times New Roman"/>
          <w:b w:val="0"/>
          <w:bCs w:val="0"/>
          <w:lang w:val="en-US" w:eastAsia="zh-CN"/>
        </w:rPr>
        <w:t>二、收入决算表</w:t>
      </w:r>
      <w:bookmarkEnd w:id="132"/>
    </w:p>
    <w:bookmarkEnd w:id="133"/>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34" w:name="_Toc15396621"/>
      <w:bookmarkStart w:id="135" w:name="_Toc8396"/>
      <w:r>
        <w:rPr>
          <w:rStyle w:val="35"/>
          <w:rFonts w:hint="default" w:ascii="Times New Roman" w:hAnsi="Times New Roman" w:eastAsia="仿宋_GB2312" w:cs="Times New Roman"/>
          <w:b w:val="0"/>
          <w:bCs w:val="0"/>
          <w:lang w:val="en-US" w:eastAsia="zh-CN"/>
        </w:rPr>
        <w:t>三、支出决算表</w:t>
      </w:r>
      <w:bookmarkEnd w:id="134"/>
    </w:p>
    <w:bookmarkEnd w:id="135"/>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36" w:name="_Toc15396622"/>
      <w:bookmarkStart w:id="137" w:name="_Toc1424"/>
      <w:r>
        <w:rPr>
          <w:rStyle w:val="35"/>
          <w:rFonts w:hint="default" w:ascii="Times New Roman" w:hAnsi="Times New Roman" w:eastAsia="仿宋_GB2312" w:cs="Times New Roman"/>
          <w:b w:val="0"/>
          <w:bCs w:val="0"/>
          <w:lang w:val="en-US" w:eastAsia="zh-CN"/>
        </w:rPr>
        <w:t>四、财政拨款收入支出决算总表</w:t>
      </w:r>
      <w:bookmarkEnd w:id="136"/>
    </w:p>
    <w:bookmarkEnd w:id="137"/>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38" w:name="_Toc15396623"/>
      <w:bookmarkStart w:id="139" w:name="_Toc29820"/>
      <w:r>
        <w:rPr>
          <w:rStyle w:val="35"/>
          <w:rFonts w:hint="default" w:ascii="Times New Roman" w:hAnsi="Times New Roman" w:eastAsia="仿宋_GB2312" w:cs="Times New Roman"/>
          <w:b w:val="0"/>
          <w:bCs w:val="0"/>
          <w:lang w:val="en-US" w:eastAsia="zh-CN"/>
        </w:rPr>
        <w:t>五、财政拨款支出决算明细表</w:t>
      </w:r>
      <w:bookmarkEnd w:id="138"/>
      <w:bookmarkStart w:id="140" w:name="_Toc15396624"/>
    </w:p>
    <w:bookmarkEnd w:id="139"/>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41" w:name="_Toc16962"/>
      <w:r>
        <w:rPr>
          <w:rStyle w:val="35"/>
          <w:rFonts w:hint="default" w:ascii="Times New Roman" w:hAnsi="Times New Roman" w:eastAsia="仿宋_GB2312" w:cs="Times New Roman"/>
          <w:b w:val="0"/>
          <w:bCs w:val="0"/>
          <w:lang w:val="en-US" w:eastAsia="zh-CN"/>
        </w:rPr>
        <w:t>六、一般公共预算财政拨款支出决算表</w:t>
      </w:r>
      <w:bookmarkEnd w:id="140"/>
    </w:p>
    <w:bookmarkEnd w:id="141"/>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42" w:name="_Toc15396625"/>
      <w:bookmarkStart w:id="143" w:name="_Toc29374"/>
      <w:r>
        <w:rPr>
          <w:rStyle w:val="35"/>
          <w:rFonts w:hint="default" w:ascii="Times New Roman" w:hAnsi="Times New Roman" w:eastAsia="仿宋_GB2312" w:cs="Times New Roman"/>
          <w:b w:val="0"/>
          <w:bCs w:val="0"/>
          <w:lang w:val="en-US" w:eastAsia="zh-CN"/>
        </w:rPr>
        <w:t>七、一般公共预算财政拨款支出决算明细表</w:t>
      </w:r>
      <w:bookmarkEnd w:id="142"/>
    </w:p>
    <w:bookmarkEnd w:id="143"/>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44" w:name="_Toc15396626"/>
      <w:bookmarkStart w:id="145" w:name="_Toc6035"/>
      <w:r>
        <w:rPr>
          <w:rStyle w:val="35"/>
          <w:rFonts w:hint="default" w:ascii="Times New Roman" w:hAnsi="Times New Roman" w:eastAsia="仿宋_GB2312" w:cs="Times New Roman"/>
          <w:b w:val="0"/>
          <w:bCs w:val="0"/>
          <w:lang w:val="en-US" w:eastAsia="zh-CN"/>
        </w:rPr>
        <w:t>八、一般公共预算财政拨款基本支出决算表</w:t>
      </w:r>
      <w:bookmarkEnd w:id="144"/>
    </w:p>
    <w:bookmarkEnd w:id="145"/>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46" w:name="_Toc15396627"/>
      <w:bookmarkStart w:id="147" w:name="_Toc15145"/>
      <w:r>
        <w:rPr>
          <w:rStyle w:val="35"/>
          <w:rFonts w:hint="default" w:ascii="Times New Roman" w:hAnsi="Times New Roman" w:eastAsia="仿宋_GB2312" w:cs="Times New Roman"/>
          <w:b w:val="0"/>
          <w:bCs w:val="0"/>
          <w:lang w:val="en-US" w:eastAsia="zh-CN"/>
        </w:rPr>
        <w:t>九、一般公共预算财政拨款项目支出决算表</w:t>
      </w:r>
      <w:bookmarkEnd w:id="146"/>
    </w:p>
    <w:bookmarkEnd w:id="147"/>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48" w:name="_Toc15396628"/>
      <w:bookmarkStart w:id="149" w:name="_Toc15188"/>
      <w:r>
        <w:rPr>
          <w:rStyle w:val="35"/>
          <w:rFonts w:hint="default" w:ascii="Times New Roman" w:hAnsi="Times New Roman" w:eastAsia="仿宋_GB2312" w:cs="Times New Roman"/>
          <w:b w:val="0"/>
          <w:bCs w:val="0"/>
          <w:lang w:val="en-US" w:eastAsia="zh-CN"/>
        </w:rPr>
        <w:t>十、</w:t>
      </w:r>
      <w:bookmarkEnd w:id="148"/>
      <w:r>
        <w:rPr>
          <w:rStyle w:val="35"/>
          <w:rFonts w:hint="default" w:ascii="Times New Roman" w:hAnsi="Times New Roman" w:eastAsia="仿宋_GB2312" w:cs="Times New Roman"/>
          <w:b w:val="0"/>
          <w:bCs w:val="0"/>
          <w:lang w:val="en-US" w:eastAsia="zh-CN"/>
        </w:rPr>
        <w:t>政府性基金预算财政拨款收入支出决算表</w:t>
      </w:r>
    </w:p>
    <w:bookmarkEnd w:id="149"/>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50" w:name="_Toc15396629"/>
      <w:bookmarkStart w:id="151" w:name="_Toc22141"/>
      <w:r>
        <w:rPr>
          <w:rStyle w:val="35"/>
          <w:rFonts w:hint="default" w:ascii="Times New Roman" w:hAnsi="Times New Roman" w:eastAsia="仿宋_GB2312" w:cs="Times New Roman"/>
          <w:b w:val="0"/>
          <w:bCs w:val="0"/>
          <w:lang w:val="en-US" w:eastAsia="zh-CN"/>
        </w:rPr>
        <w:t>十一、</w:t>
      </w:r>
      <w:bookmarkEnd w:id="150"/>
      <w:r>
        <w:rPr>
          <w:rStyle w:val="35"/>
          <w:rFonts w:hint="default" w:ascii="Times New Roman" w:hAnsi="Times New Roman" w:eastAsia="仿宋_GB2312" w:cs="Times New Roman"/>
          <w:b w:val="0"/>
          <w:bCs w:val="0"/>
          <w:lang w:val="en-US" w:eastAsia="zh-CN"/>
        </w:rPr>
        <w:t>国有资本经营预算财政拨款收入支出决算表</w:t>
      </w:r>
    </w:p>
    <w:bookmarkEnd w:id="151"/>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52" w:name="_Toc15396630"/>
      <w:bookmarkStart w:id="153" w:name="_Toc23729"/>
      <w:r>
        <w:rPr>
          <w:rStyle w:val="35"/>
          <w:rFonts w:hint="default" w:ascii="Times New Roman" w:hAnsi="Times New Roman" w:eastAsia="仿宋_GB2312" w:cs="Times New Roman"/>
          <w:b w:val="0"/>
          <w:bCs w:val="0"/>
          <w:lang w:val="en-US" w:eastAsia="zh-CN"/>
        </w:rPr>
        <w:t>十二、</w:t>
      </w:r>
      <w:bookmarkEnd w:id="152"/>
      <w:r>
        <w:rPr>
          <w:rStyle w:val="35"/>
          <w:rFonts w:hint="default" w:ascii="Times New Roman" w:hAnsi="Times New Roman" w:eastAsia="仿宋_GB2312" w:cs="Times New Roman"/>
          <w:b w:val="0"/>
          <w:bCs w:val="0"/>
          <w:lang w:val="en-US" w:eastAsia="zh-CN"/>
        </w:rPr>
        <w:t>国有资本经营预算财政拨款支出决算表</w:t>
      </w:r>
    </w:p>
    <w:bookmarkEnd w:id="153"/>
    <w:p>
      <w:pPr>
        <w:pStyle w:val="2"/>
        <w:keepNext/>
        <w:keepLines/>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Style w:val="35"/>
          <w:rFonts w:hint="default" w:ascii="Times New Roman" w:hAnsi="Times New Roman" w:eastAsia="仿宋_GB2312" w:cs="Times New Roman"/>
          <w:b w:val="0"/>
          <w:bCs w:val="0"/>
          <w:lang w:val="en-US" w:eastAsia="zh-CN"/>
        </w:rPr>
      </w:pPr>
      <w:bookmarkStart w:id="154" w:name="_Toc15396631"/>
      <w:bookmarkStart w:id="155" w:name="_Toc761"/>
      <w:r>
        <w:rPr>
          <w:rStyle w:val="35"/>
          <w:rFonts w:hint="default" w:ascii="Times New Roman" w:hAnsi="Times New Roman" w:eastAsia="仿宋_GB2312" w:cs="Times New Roman"/>
          <w:b w:val="0"/>
          <w:bCs w:val="0"/>
          <w:lang w:val="en-US" w:eastAsia="zh-CN"/>
        </w:rPr>
        <w:t>十三、</w:t>
      </w:r>
      <w:bookmarkEnd w:id="154"/>
      <w:r>
        <w:rPr>
          <w:rStyle w:val="35"/>
          <w:rFonts w:hint="default" w:ascii="Times New Roman" w:hAnsi="Times New Roman" w:eastAsia="仿宋_GB2312" w:cs="Times New Roman"/>
          <w:b w:val="0"/>
          <w:bCs w:val="0"/>
          <w:lang w:val="en-US" w:eastAsia="zh-CN"/>
        </w:rPr>
        <w:t>财政拨款“三公”经费支出决算表</w:t>
      </w:r>
    </w:p>
    <w:bookmarkEnd w:id="155"/>
    <w:p>
      <w:pPr>
        <w:pageBreakBefore w:val="0"/>
        <w:kinsoku/>
        <w:wordWrap/>
        <w:overflowPunct/>
        <w:topLinePunct w:val="0"/>
        <w:bidi w:val="0"/>
        <w:spacing w:line="560" w:lineRule="exact"/>
        <w:rPr>
          <w:rFonts w:hint="default" w:ascii="Times New Roman" w:hAnsi="Times New Roman" w:cs="Times New Roman"/>
          <w:highlight w:val="none"/>
          <w:lang w:eastAsia="zh-CN"/>
        </w:rPr>
      </w:pPr>
    </w:p>
    <w:sectPr>
      <w:footerReference r:id="rId10" w:type="first"/>
      <w:footerReference r:id="rId9" w:type="default"/>
      <w:pgSz w:w="11906" w:h="16838"/>
      <w:pgMar w:top="1440" w:right="1468" w:bottom="1440" w:left="1468"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024B"/>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16A5229"/>
    <w:rsid w:val="01A00C4B"/>
    <w:rsid w:val="01D465E8"/>
    <w:rsid w:val="02B01361"/>
    <w:rsid w:val="02FEBE30"/>
    <w:rsid w:val="03207FB0"/>
    <w:rsid w:val="039C3694"/>
    <w:rsid w:val="04406715"/>
    <w:rsid w:val="044F0A90"/>
    <w:rsid w:val="04D70DAB"/>
    <w:rsid w:val="04FA4B16"/>
    <w:rsid w:val="05502988"/>
    <w:rsid w:val="061E35DE"/>
    <w:rsid w:val="0636776B"/>
    <w:rsid w:val="066E0107"/>
    <w:rsid w:val="074F100F"/>
    <w:rsid w:val="078132CC"/>
    <w:rsid w:val="0790350F"/>
    <w:rsid w:val="07996F6E"/>
    <w:rsid w:val="07DFD8BA"/>
    <w:rsid w:val="080F2686"/>
    <w:rsid w:val="08257D6D"/>
    <w:rsid w:val="082E68F9"/>
    <w:rsid w:val="087864F3"/>
    <w:rsid w:val="08C01BD2"/>
    <w:rsid w:val="08D8516E"/>
    <w:rsid w:val="09181A0E"/>
    <w:rsid w:val="09867E8F"/>
    <w:rsid w:val="09A92667"/>
    <w:rsid w:val="0A156B4C"/>
    <w:rsid w:val="0A2032A3"/>
    <w:rsid w:val="0B102933"/>
    <w:rsid w:val="0B4801C2"/>
    <w:rsid w:val="0B4B1C27"/>
    <w:rsid w:val="0B770C6E"/>
    <w:rsid w:val="0BF7590B"/>
    <w:rsid w:val="0BFE313E"/>
    <w:rsid w:val="0C37664F"/>
    <w:rsid w:val="0C93244B"/>
    <w:rsid w:val="0CA8290A"/>
    <w:rsid w:val="0D271B30"/>
    <w:rsid w:val="0D35B1ED"/>
    <w:rsid w:val="0D4D2E74"/>
    <w:rsid w:val="0D5C636E"/>
    <w:rsid w:val="0E5232CD"/>
    <w:rsid w:val="0E666D78"/>
    <w:rsid w:val="0E9B4C74"/>
    <w:rsid w:val="0F384BB8"/>
    <w:rsid w:val="0F735BF1"/>
    <w:rsid w:val="0F98263C"/>
    <w:rsid w:val="0FAB538A"/>
    <w:rsid w:val="101860EC"/>
    <w:rsid w:val="10523A58"/>
    <w:rsid w:val="105D5FCD"/>
    <w:rsid w:val="1081433D"/>
    <w:rsid w:val="10C055FF"/>
    <w:rsid w:val="11772AA4"/>
    <w:rsid w:val="118107EC"/>
    <w:rsid w:val="11AE4D38"/>
    <w:rsid w:val="12751C80"/>
    <w:rsid w:val="12D6271E"/>
    <w:rsid w:val="130A23C8"/>
    <w:rsid w:val="13374BF0"/>
    <w:rsid w:val="13484D13"/>
    <w:rsid w:val="13C656D9"/>
    <w:rsid w:val="13CE7899"/>
    <w:rsid w:val="13D50BC4"/>
    <w:rsid w:val="13FF2FDC"/>
    <w:rsid w:val="149A53D9"/>
    <w:rsid w:val="14A64372"/>
    <w:rsid w:val="14DA401C"/>
    <w:rsid w:val="151B08BC"/>
    <w:rsid w:val="15597637"/>
    <w:rsid w:val="15F1340C"/>
    <w:rsid w:val="15F67121"/>
    <w:rsid w:val="165E0673"/>
    <w:rsid w:val="16BB723D"/>
    <w:rsid w:val="17F17FFA"/>
    <w:rsid w:val="17F3167D"/>
    <w:rsid w:val="180970F2"/>
    <w:rsid w:val="182C2DE0"/>
    <w:rsid w:val="186504BB"/>
    <w:rsid w:val="18A60DE5"/>
    <w:rsid w:val="18BD7EDC"/>
    <w:rsid w:val="190C751C"/>
    <w:rsid w:val="19A445FC"/>
    <w:rsid w:val="19E75211"/>
    <w:rsid w:val="19F45B80"/>
    <w:rsid w:val="1A385A6D"/>
    <w:rsid w:val="1A8B2040"/>
    <w:rsid w:val="1A9FE8C6"/>
    <w:rsid w:val="1AB64BE3"/>
    <w:rsid w:val="1B2D1349"/>
    <w:rsid w:val="1B8A79B9"/>
    <w:rsid w:val="1B8C2514"/>
    <w:rsid w:val="1B9F38C9"/>
    <w:rsid w:val="1BBB4BA7"/>
    <w:rsid w:val="1BE8440E"/>
    <w:rsid w:val="1BED0AD9"/>
    <w:rsid w:val="1C1D13BE"/>
    <w:rsid w:val="1C35495A"/>
    <w:rsid w:val="1C7D7B4D"/>
    <w:rsid w:val="1D155CEE"/>
    <w:rsid w:val="1D65301C"/>
    <w:rsid w:val="1DCD0BC2"/>
    <w:rsid w:val="1DFB0CA0"/>
    <w:rsid w:val="1E672DC4"/>
    <w:rsid w:val="1E740ACF"/>
    <w:rsid w:val="1ECD6378"/>
    <w:rsid w:val="1F1F544D"/>
    <w:rsid w:val="1F5F3A9B"/>
    <w:rsid w:val="1F912448"/>
    <w:rsid w:val="1FD47FE6"/>
    <w:rsid w:val="1FF35744"/>
    <w:rsid w:val="1FF6BC77"/>
    <w:rsid w:val="205B6824"/>
    <w:rsid w:val="208D63E6"/>
    <w:rsid w:val="20914128"/>
    <w:rsid w:val="21725D08"/>
    <w:rsid w:val="218F68ED"/>
    <w:rsid w:val="219F63D1"/>
    <w:rsid w:val="21C866EC"/>
    <w:rsid w:val="228316AC"/>
    <w:rsid w:val="22D40EE3"/>
    <w:rsid w:val="23052BAC"/>
    <w:rsid w:val="23860B96"/>
    <w:rsid w:val="240371BF"/>
    <w:rsid w:val="248144B4"/>
    <w:rsid w:val="24977834"/>
    <w:rsid w:val="253A7D87"/>
    <w:rsid w:val="25553977"/>
    <w:rsid w:val="259A75DB"/>
    <w:rsid w:val="260F557C"/>
    <w:rsid w:val="263631A5"/>
    <w:rsid w:val="26633E71"/>
    <w:rsid w:val="267E3CAA"/>
    <w:rsid w:val="269229A8"/>
    <w:rsid w:val="26E03714"/>
    <w:rsid w:val="26EE126B"/>
    <w:rsid w:val="27135897"/>
    <w:rsid w:val="27707112"/>
    <w:rsid w:val="27A83F1D"/>
    <w:rsid w:val="27B16E5E"/>
    <w:rsid w:val="27FF406E"/>
    <w:rsid w:val="281408E2"/>
    <w:rsid w:val="28610884"/>
    <w:rsid w:val="28996270"/>
    <w:rsid w:val="29746395"/>
    <w:rsid w:val="29FD04D3"/>
    <w:rsid w:val="2A3D0E7D"/>
    <w:rsid w:val="2AD64209"/>
    <w:rsid w:val="2B3C2EE3"/>
    <w:rsid w:val="2B3F68B5"/>
    <w:rsid w:val="2B471FB3"/>
    <w:rsid w:val="2B5E3C9A"/>
    <w:rsid w:val="2B9D5521"/>
    <w:rsid w:val="2BEF28ED"/>
    <w:rsid w:val="2BFF7BC6"/>
    <w:rsid w:val="2C7D1A05"/>
    <w:rsid w:val="2C8A61B5"/>
    <w:rsid w:val="2CA37B48"/>
    <w:rsid w:val="2CCF3C12"/>
    <w:rsid w:val="2D0B0DBF"/>
    <w:rsid w:val="2D654973"/>
    <w:rsid w:val="2D7B5F44"/>
    <w:rsid w:val="2DBE22D5"/>
    <w:rsid w:val="2DF04E50"/>
    <w:rsid w:val="2E6B5FB9"/>
    <w:rsid w:val="2EF7784D"/>
    <w:rsid w:val="2F040D46"/>
    <w:rsid w:val="2F2D14C0"/>
    <w:rsid w:val="2F394689"/>
    <w:rsid w:val="2F8336E1"/>
    <w:rsid w:val="2FAE5751"/>
    <w:rsid w:val="2FB1A395"/>
    <w:rsid w:val="2FBE6AE0"/>
    <w:rsid w:val="2FD9A7D8"/>
    <w:rsid w:val="2FDBF714"/>
    <w:rsid w:val="2FDD2EE6"/>
    <w:rsid w:val="2FF65D56"/>
    <w:rsid w:val="2FFF534B"/>
    <w:rsid w:val="307A24E3"/>
    <w:rsid w:val="30817D16"/>
    <w:rsid w:val="30AC28B9"/>
    <w:rsid w:val="30F46739"/>
    <w:rsid w:val="318B07B2"/>
    <w:rsid w:val="319F7F4E"/>
    <w:rsid w:val="31AA329C"/>
    <w:rsid w:val="31AE180F"/>
    <w:rsid w:val="31B37593"/>
    <w:rsid w:val="32002EBC"/>
    <w:rsid w:val="320C1861"/>
    <w:rsid w:val="320D7387"/>
    <w:rsid w:val="32650F71"/>
    <w:rsid w:val="32B72DD0"/>
    <w:rsid w:val="32BD1EF1"/>
    <w:rsid w:val="3304709D"/>
    <w:rsid w:val="33FE6BEC"/>
    <w:rsid w:val="34324DB1"/>
    <w:rsid w:val="3491429F"/>
    <w:rsid w:val="349D6851"/>
    <w:rsid w:val="34A672EE"/>
    <w:rsid w:val="34B63D06"/>
    <w:rsid w:val="34D61C7F"/>
    <w:rsid w:val="351A6043"/>
    <w:rsid w:val="356814A4"/>
    <w:rsid w:val="3583008C"/>
    <w:rsid w:val="3589141A"/>
    <w:rsid w:val="35C83CF1"/>
    <w:rsid w:val="35F44AE6"/>
    <w:rsid w:val="36105698"/>
    <w:rsid w:val="369C0D75"/>
    <w:rsid w:val="369C16B8"/>
    <w:rsid w:val="36AA5135"/>
    <w:rsid w:val="36BE0DA7"/>
    <w:rsid w:val="36EC1C61"/>
    <w:rsid w:val="37074CED"/>
    <w:rsid w:val="374F144B"/>
    <w:rsid w:val="376B6AA6"/>
    <w:rsid w:val="376D39B2"/>
    <w:rsid w:val="376F660D"/>
    <w:rsid w:val="377E6663"/>
    <w:rsid w:val="37870785"/>
    <w:rsid w:val="37992B44"/>
    <w:rsid w:val="37AD13F0"/>
    <w:rsid w:val="37B02C8E"/>
    <w:rsid w:val="37C247E4"/>
    <w:rsid w:val="37E16F03"/>
    <w:rsid w:val="37F53A3B"/>
    <w:rsid w:val="381F0AFD"/>
    <w:rsid w:val="38402264"/>
    <w:rsid w:val="389B6C89"/>
    <w:rsid w:val="38D469F0"/>
    <w:rsid w:val="39627CCD"/>
    <w:rsid w:val="397BAF1F"/>
    <w:rsid w:val="39E92488"/>
    <w:rsid w:val="3A230C04"/>
    <w:rsid w:val="3A2F2590"/>
    <w:rsid w:val="3A4F2C33"/>
    <w:rsid w:val="3A773F37"/>
    <w:rsid w:val="3A94460B"/>
    <w:rsid w:val="3AB79AF3"/>
    <w:rsid w:val="3B3D2A8B"/>
    <w:rsid w:val="3B7EF35A"/>
    <w:rsid w:val="3B9707CE"/>
    <w:rsid w:val="3B9FDB6C"/>
    <w:rsid w:val="3BA725FA"/>
    <w:rsid w:val="3BF5BC2F"/>
    <w:rsid w:val="3C0B0DDB"/>
    <w:rsid w:val="3C2E6878"/>
    <w:rsid w:val="3C3814A4"/>
    <w:rsid w:val="3CE8111C"/>
    <w:rsid w:val="3CEBA265"/>
    <w:rsid w:val="3D034824"/>
    <w:rsid w:val="3D595B76"/>
    <w:rsid w:val="3D98207C"/>
    <w:rsid w:val="3DCB6A74"/>
    <w:rsid w:val="3DE96EFA"/>
    <w:rsid w:val="3DEE7CF3"/>
    <w:rsid w:val="3E185FAA"/>
    <w:rsid w:val="3E78745D"/>
    <w:rsid w:val="3F55381A"/>
    <w:rsid w:val="3F7E4F38"/>
    <w:rsid w:val="3F7F7599"/>
    <w:rsid w:val="3F83115D"/>
    <w:rsid w:val="3FBB48C6"/>
    <w:rsid w:val="3FEFC803"/>
    <w:rsid w:val="3FF0A3C7"/>
    <w:rsid w:val="3FF4CAE0"/>
    <w:rsid w:val="3FF7B227"/>
    <w:rsid w:val="4004626D"/>
    <w:rsid w:val="40B373C0"/>
    <w:rsid w:val="40C15F0C"/>
    <w:rsid w:val="41876612"/>
    <w:rsid w:val="41E65573"/>
    <w:rsid w:val="41E81277"/>
    <w:rsid w:val="427C024A"/>
    <w:rsid w:val="43195B8C"/>
    <w:rsid w:val="4359067E"/>
    <w:rsid w:val="436F1C50"/>
    <w:rsid w:val="437C436D"/>
    <w:rsid w:val="43882D11"/>
    <w:rsid w:val="44305883"/>
    <w:rsid w:val="44E268DA"/>
    <w:rsid w:val="44E516F9"/>
    <w:rsid w:val="4561381A"/>
    <w:rsid w:val="4666070F"/>
    <w:rsid w:val="468A074A"/>
    <w:rsid w:val="47633879"/>
    <w:rsid w:val="47B84E9F"/>
    <w:rsid w:val="47FF6E7D"/>
    <w:rsid w:val="484216E1"/>
    <w:rsid w:val="4860600B"/>
    <w:rsid w:val="486A6C7A"/>
    <w:rsid w:val="486A6E89"/>
    <w:rsid w:val="49276B29"/>
    <w:rsid w:val="49975A5C"/>
    <w:rsid w:val="49A85EBB"/>
    <w:rsid w:val="49F20EE5"/>
    <w:rsid w:val="4A526B1C"/>
    <w:rsid w:val="4A627F82"/>
    <w:rsid w:val="4A8F3747"/>
    <w:rsid w:val="4AB32D6A"/>
    <w:rsid w:val="4B0E749A"/>
    <w:rsid w:val="4B4F25DA"/>
    <w:rsid w:val="4B6B0F4E"/>
    <w:rsid w:val="4B8D7117"/>
    <w:rsid w:val="4BBA0128"/>
    <w:rsid w:val="4BE068DB"/>
    <w:rsid w:val="4C72630D"/>
    <w:rsid w:val="4D3A71AE"/>
    <w:rsid w:val="4D467EC5"/>
    <w:rsid w:val="4D577224"/>
    <w:rsid w:val="4D9F1383"/>
    <w:rsid w:val="4DBF1CEB"/>
    <w:rsid w:val="4E710F72"/>
    <w:rsid w:val="4EAB630A"/>
    <w:rsid w:val="4ECE2238"/>
    <w:rsid w:val="4EE72FE2"/>
    <w:rsid w:val="4F0C2A48"/>
    <w:rsid w:val="4F1F277C"/>
    <w:rsid w:val="4F833267"/>
    <w:rsid w:val="4F9C201E"/>
    <w:rsid w:val="4FE9BD67"/>
    <w:rsid w:val="4FFB052F"/>
    <w:rsid w:val="5023004A"/>
    <w:rsid w:val="510065DD"/>
    <w:rsid w:val="51532BB1"/>
    <w:rsid w:val="51AB479B"/>
    <w:rsid w:val="523E73BD"/>
    <w:rsid w:val="52F201A7"/>
    <w:rsid w:val="52F21F55"/>
    <w:rsid w:val="536C7F5A"/>
    <w:rsid w:val="537E6D0A"/>
    <w:rsid w:val="53A414A2"/>
    <w:rsid w:val="53F74C96"/>
    <w:rsid w:val="540168F4"/>
    <w:rsid w:val="546D21DB"/>
    <w:rsid w:val="54B167A5"/>
    <w:rsid w:val="54C47921"/>
    <w:rsid w:val="54C53DC5"/>
    <w:rsid w:val="54CF07A0"/>
    <w:rsid w:val="54E40912"/>
    <w:rsid w:val="55222FC6"/>
    <w:rsid w:val="552A00CC"/>
    <w:rsid w:val="559C3120"/>
    <w:rsid w:val="55CB540B"/>
    <w:rsid w:val="55DB4169"/>
    <w:rsid w:val="566118CC"/>
    <w:rsid w:val="56E47B74"/>
    <w:rsid w:val="57BD3DD4"/>
    <w:rsid w:val="587A4EC7"/>
    <w:rsid w:val="587A6C75"/>
    <w:rsid w:val="58AD0DF8"/>
    <w:rsid w:val="58F72073"/>
    <w:rsid w:val="59967ADE"/>
    <w:rsid w:val="59FD5DAF"/>
    <w:rsid w:val="5A19426B"/>
    <w:rsid w:val="5A214DED"/>
    <w:rsid w:val="5ADF54B5"/>
    <w:rsid w:val="5AF92295"/>
    <w:rsid w:val="5B445318"/>
    <w:rsid w:val="5B482AE8"/>
    <w:rsid w:val="5B5C6B06"/>
    <w:rsid w:val="5B7A6F8C"/>
    <w:rsid w:val="5BDD79E6"/>
    <w:rsid w:val="5BF561CA"/>
    <w:rsid w:val="5BFF5DFC"/>
    <w:rsid w:val="5C12559D"/>
    <w:rsid w:val="5C1949F7"/>
    <w:rsid w:val="5C25514A"/>
    <w:rsid w:val="5C700ABB"/>
    <w:rsid w:val="5C82259C"/>
    <w:rsid w:val="5CBA1D36"/>
    <w:rsid w:val="5CD71FC4"/>
    <w:rsid w:val="5CDA4186"/>
    <w:rsid w:val="5D1F11B5"/>
    <w:rsid w:val="5D4D2BAA"/>
    <w:rsid w:val="5DAE1B18"/>
    <w:rsid w:val="5DE7D9E5"/>
    <w:rsid w:val="5E1E4546"/>
    <w:rsid w:val="5E3B6EA6"/>
    <w:rsid w:val="5EAF519E"/>
    <w:rsid w:val="5ECEC941"/>
    <w:rsid w:val="5EEE00D5"/>
    <w:rsid w:val="5EFB19BE"/>
    <w:rsid w:val="5F1020E1"/>
    <w:rsid w:val="5FBF9FF3"/>
    <w:rsid w:val="5FCD4E2C"/>
    <w:rsid w:val="5FEF394A"/>
    <w:rsid w:val="5FEF619A"/>
    <w:rsid w:val="5FF67715"/>
    <w:rsid w:val="60F33A68"/>
    <w:rsid w:val="60FF56E8"/>
    <w:rsid w:val="616404C2"/>
    <w:rsid w:val="616B7363"/>
    <w:rsid w:val="61930DA7"/>
    <w:rsid w:val="61B70E15"/>
    <w:rsid w:val="61C40F61"/>
    <w:rsid w:val="620D46B6"/>
    <w:rsid w:val="622F0AD0"/>
    <w:rsid w:val="62BF3928"/>
    <w:rsid w:val="62FA10DE"/>
    <w:rsid w:val="6335193F"/>
    <w:rsid w:val="64085A7D"/>
    <w:rsid w:val="647F5392"/>
    <w:rsid w:val="64EE1C5B"/>
    <w:rsid w:val="65385EEE"/>
    <w:rsid w:val="66216982"/>
    <w:rsid w:val="664B1D71"/>
    <w:rsid w:val="67AA3209"/>
    <w:rsid w:val="67B37AAD"/>
    <w:rsid w:val="67D57A24"/>
    <w:rsid w:val="67FD6F7B"/>
    <w:rsid w:val="68106035"/>
    <w:rsid w:val="687F3E33"/>
    <w:rsid w:val="68B0223F"/>
    <w:rsid w:val="68E85E7D"/>
    <w:rsid w:val="693D7F76"/>
    <w:rsid w:val="69643755"/>
    <w:rsid w:val="69744E10"/>
    <w:rsid w:val="69794D27"/>
    <w:rsid w:val="698D0931"/>
    <w:rsid w:val="6A4D243B"/>
    <w:rsid w:val="6A7FE5F3"/>
    <w:rsid w:val="6AB02FF3"/>
    <w:rsid w:val="6AD93CCF"/>
    <w:rsid w:val="6B053271"/>
    <w:rsid w:val="6B221F4E"/>
    <w:rsid w:val="6B657311"/>
    <w:rsid w:val="6B8C0D41"/>
    <w:rsid w:val="6BE75F78"/>
    <w:rsid w:val="6C4A05C8"/>
    <w:rsid w:val="6C8742B8"/>
    <w:rsid w:val="6C8D39CB"/>
    <w:rsid w:val="6C8F4205"/>
    <w:rsid w:val="6CD65B22"/>
    <w:rsid w:val="6D2A67DF"/>
    <w:rsid w:val="6D4A0EB4"/>
    <w:rsid w:val="6D657A9C"/>
    <w:rsid w:val="6DBA30B1"/>
    <w:rsid w:val="6DBF5E93"/>
    <w:rsid w:val="6DF42BCE"/>
    <w:rsid w:val="6DFA687D"/>
    <w:rsid w:val="6DFF077E"/>
    <w:rsid w:val="6E69536A"/>
    <w:rsid w:val="6E7E3605"/>
    <w:rsid w:val="6E7FDCC7"/>
    <w:rsid w:val="6EAE1AEC"/>
    <w:rsid w:val="6ED46F82"/>
    <w:rsid w:val="6ED6A62E"/>
    <w:rsid w:val="6EE00B15"/>
    <w:rsid w:val="6F106A8F"/>
    <w:rsid w:val="6F2B261F"/>
    <w:rsid w:val="6F4831D1"/>
    <w:rsid w:val="6F6FB3EB"/>
    <w:rsid w:val="6F8731EA"/>
    <w:rsid w:val="6FCE6052"/>
    <w:rsid w:val="6FD57C00"/>
    <w:rsid w:val="6FD66A2F"/>
    <w:rsid w:val="6FEB9DE7"/>
    <w:rsid w:val="6FEFFFD8"/>
    <w:rsid w:val="6FF5CC65"/>
    <w:rsid w:val="6FFB47EC"/>
    <w:rsid w:val="6FFF034A"/>
    <w:rsid w:val="707357E9"/>
    <w:rsid w:val="70F85622"/>
    <w:rsid w:val="711C2B67"/>
    <w:rsid w:val="71235CA4"/>
    <w:rsid w:val="712438AC"/>
    <w:rsid w:val="712A28F1"/>
    <w:rsid w:val="715C0E4B"/>
    <w:rsid w:val="72233669"/>
    <w:rsid w:val="72734D90"/>
    <w:rsid w:val="72AE5A41"/>
    <w:rsid w:val="73012015"/>
    <w:rsid w:val="7309711B"/>
    <w:rsid w:val="733028FA"/>
    <w:rsid w:val="7332FE48"/>
    <w:rsid w:val="739C1D3D"/>
    <w:rsid w:val="73AB61DA"/>
    <w:rsid w:val="73AD73D5"/>
    <w:rsid w:val="73B6EB34"/>
    <w:rsid w:val="73CF3EC1"/>
    <w:rsid w:val="73D414D7"/>
    <w:rsid w:val="73EA6309"/>
    <w:rsid w:val="73ED07EB"/>
    <w:rsid w:val="73FA497D"/>
    <w:rsid w:val="74453847"/>
    <w:rsid w:val="744731E5"/>
    <w:rsid w:val="74B44E65"/>
    <w:rsid w:val="74BBD01D"/>
    <w:rsid w:val="74DA2B1D"/>
    <w:rsid w:val="74ED5379"/>
    <w:rsid w:val="74F55BA9"/>
    <w:rsid w:val="759233F8"/>
    <w:rsid w:val="75DEEEC2"/>
    <w:rsid w:val="761B33ED"/>
    <w:rsid w:val="7621477C"/>
    <w:rsid w:val="762F50EB"/>
    <w:rsid w:val="7634625D"/>
    <w:rsid w:val="763933D7"/>
    <w:rsid w:val="76397D18"/>
    <w:rsid w:val="764C17F9"/>
    <w:rsid w:val="76A35191"/>
    <w:rsid w:val="76E3355F"/>
    <w:rsid w:val="76EF6628"/>
    <w:rsid w:val="76FF5125"/>
    <w:rsid w:val="77130569"/>
    <w:rsid w:val="772A140E"/>
    <w:rsid w:val="776F6FFA"/>
    <w:rsid w:val="77843214"/>
    <w:rsid w:val="778769C8"/>
    <w:rsid w:val="77DC22F5"/>
    <w:rsid w:val="78BA61D2"/>
    <w:rsid w:val="78DB50B6"/>
    <w:rsid w:val="79086DAD"/>
    <w:rsid w:val="794C38BE"/>
    <w:rsid w:val="796A3742"/>
    <w:rsid w:val="79C8388C"/>
    <w:rsid w:val="79D7FD79"/>
    <w:rsid w:val="79EE5BA4"/>
    <w:rsid w:val="79FAA69B"/>
    <w:rsid w:val="7A301431"/>
    <w:rsid w:val="7A894339"/>
    <w:rsid w:val="7AD284E8"/>
    <w:rsid w:val="7AFF7572"/>
    <w:rsid w:val="7B6C7DFB"/>
    <w:rsid w:val="7B8E01BE"/>
    <w:rsid w:val="7BBFBED0"/>
    <w:rsid w:val="7BC3E394"/>
    <w:rsid w:val="7BD1454E"/>
    <w:rsid w:val="7C1F3737"/>
    <w:rsid w:val="7C745605"/>
    <w:rsid w:val="7CBFC87B"/>
    <w:rsid w:val="7CF84488"/>
    <w:rsid w:val="7CFE0F48"/>
    <w:rsid w:val="7D7EC23E"/>
    <w:rsid w:val="7DB06B11"/>
    <w:rsid w:val="7DD51CDC"/>
    <w:rsid w:val="7DFE7575"/>
    <w:rsid w:val="7E2766A8"/>
    <w:rsid w:val="7E5059B3"/>
    <w:rsid w:val="7E682F48"/>
    <w:rsid w:val="7E8ADEBF"/>
    <w:rsid w:val="7EAD2713"/>
    <w:rsid w:val="7EBE0DBA"/>
    <w:rsid w:val="7EEF11D3"/>
    <w:rsid w:val="7EFE4840"/>
    <w:rsid w:val="7F0971A6"/>
    <w:rsid w:val="7F174C12"/>
    <w:rsid w:val="7F196938"/>
    <w:rsid w:val="7F2A644F"/>
    <w:rsid w:val="7F3F679B"/>
    <w:rsid w:val="7F4FC4EF"/>
    <w:rsid w:val="7F567244"/>
    <w:rsid w:val="7F5E4D54"/>
    <w:rsid w:val="7F6E0135"/>
    <w:rsid w:val="7F79F205"/>
    <w:rsid w:val="7FA30C79"/>
    <w:rsid w:val="7FA79C44"/>
    <w:rsid w:val="7FAF8ABF"/>
    <w:rsid w:val="7FB65F35"/>
    <w:rsid w:val="7FB7269E"/>
    <w:rsid w:val="7FBFB018"/>
    <w:rsid w:val="7FC06DB4"/>
    <w:rsid w:val="7FC96657"/>
    <w:rsid w:val="7FDA9588"/>
    <w:rsid w:val="7FDF220F"/>
    <w:rsid w:val="7FEDC5F7"/>
    <w:rsid w:val="7FEDD9DE"/>
    <w:rsid w:val="7FF5890D"/>
    <w:rsid w:val="7FF93490"/>
    <w:rsid w:val="7FFD4576"/>
    <w:rsid w:val="99FF2014"/>
    <w:rsid w:val="A6DD0D7F"/>
    <w:rsid w:val="ACFF4FBB"/>
    <w:rsid w:val="ADC6F725"/>
    <w:rsid w:val="AEFB1A0E"/>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6DB5805"/>
    <w:rsid w:val="E70FE695"/>
    <w:rsid w:val="EB2E368B"/>
    <w:rsid w:val="ECFED1BC"/>
    <w:rsid w:val="ED1D69BB"/>
    <w:rsid w:val="ED7FD312"/>
    <w:rsid w:val="EDFF26F7"/>
    <w:rsid w:val="EF2E1AC6"/>
    <w:rsid w:val="EF53993F"/>
    <w:rsid w:val="EF6FD633"/>
    <w:rsid w:val="EFBFB2F4"/>
    <w:rsid w:val="EFBFFA21"/>
    <w:rsid w:val="F2BEBCB8"/>
    <w:rsid w:val="F36FB518"/>
    <w:rsid w:val="F3DE1A04"/>
    <w:rsid w:val="F3F722E5"/>
    <w:rsid w:val="F4FBCD07"/>
    <w:rsid w:val="F56E7F38"/>
    <w:rsid w:val="FA5F1E70"/>
    <w:rsid w:val="FA5FDB97"/>
    <w:rsid w:val="FB7F486A"/>
    <w:rsid w:val="FBFF5B2E"/>
    <w:rsid w:val="FD7FFE2B"/>
    <w:rsid w:val="FDEE196B"/>
    <w:rsid w:val="FDFE6575"/>
    <w:rsid w:val="FEDFDDC2"/>
    <w:rsid w:val="FEED32F6"/>
    <w:rsid w:val="FEF781DD"/>
    <w:rsid w:val="FF3F7E3F"/>
    <w:rsid w:val="FF7DAB09"/>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3"/>
    <w:qFormat/>
    <w:uiPriority w:val="9"/>
    <w:rPr>
      <w:rFonts w:ascii="Times New Roman" w:hAnsi="Times New Roman"/>
      <w:b/>
      <w:bCs/>
      <w:kern w:val="44"/>
      <w:sz w:val="44"/>
      <w:szCs w:val="44"/>
    </w:rPr>
  </w:style>
  <w:style w:type="character" w:customStyle="1" w:styleId="29">
    <w:name w:val="标题 2 Char"/>
    <w:basedOn w:val="16"/>
    <w:link w:val="2"/>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4"/>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5">
    <w:name w:val="标题 2 字符"/>
    <w:basedOn w:val="16"/>
    <w:link w:val="2"/>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Lenovo\Desktop\2024&#24180;&#20915;&#31639;&#20844;&#24320;\&#26032;&#24314;%20XLS%20&#24037;&#20316;&#34920;-2024&#24180;&#20915;&#31639;&#29992;&#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'[新建 XLS 工作表-2024年决算用表.xls]Sheet1'!$B$1:$B$2</c:f>
              <c:strCache>
                <c:ptCount val="1"/>
                <c:pt idx="0">
                  <c:v>收入、支出总计变化情况 收支总计（万元）</c:v>
                </c:pt>
              </c:strCache>
            </c:strRef>
          </c:tx>
          <c:spPr>
            <a:gradFill>
              <a:gsLst>
                <a:gs pos="0">
                  <a:schemeClr val="accent1"/>
                </a:gs>
                <a:gs pos="100000">
                  <a:srgbClr val="760303"/>
                </a:gs>
              </a:gsLst>
              <a:lin scaled="false"/>
            </a:gradFill>
            <a:ln>
              <a:noFill/>
            </a:ln>
            <a:effectLst/>
          </c:spPr>
          <c:invertIfNegative val="false"/>
          <c:dPt>
            <c:idx val="0"/>
            <c:invertIfNegative val="false"/>
            <c:bubble3D val="false"/>
            <c:explosion val="0"/>
            <c:spPr>
              <a:solidFill>
                <a:schemeClr val="accent2"/>
              </a:solidFill>
              <a:ln>
                <a:noFill/>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'[新建 XLS 工作表-2024年决算用表.xls]Sheet1'!$A$3:$A$4</c:f>
              <c:strCache>
                <c:ptCount val="2"/>
                <c:pt idx="0">
                  <c:v>2023年</c:v>
                </c:pt>
                <c:pt idx="1">
                  <c:v>2024年</c:v>
                </c:pt>
              </c:strCache>
            </c:strRef>
          </c:cat>
          <c:val>
            <c:numRef>
              <c:f>'[新建 XLS 工作表-2024年决算用表.xls]Sheet1'!$B$3:$B$4</c:f>
              <c:numCache>
                <c:formatCode>General</c:formatCode>
                <c:ptCount val="2"/>
                <c:pt idx="0">
                  <c:v>1492.93</c:v>
                </c:pt>
                <c:pt idx="1">
                  <c:v>1262.69</c:v>
                </c:pt>
              </c:numCache>
            </c:numRef>
          </c:val>
        </c:ser>
        <c:dLbls>
          <c:showLegendKey val="false"/>
          <c:showVal val="false"/>
          <c:showCatName val="false"/>
          <c:showSerName val="false"/>
          <c:showPercent val="false"/>
          <c:showBubbleSize val="false"/>
        </c:dLbls>
        <c:gapWidth val="219"/>
        <c:overlap val="-27"/>
        <c:axId val="825297048"/>
        <c:axId val="773512524"/>
      </c:barChart>
      <c:catAx>
        <c:axId val="825297048"/>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73512524"/>
        <c:crosses val="autoZero"/>
        <c:auto val="true"/>
        <c:lblAlgn val="ctr"/>
        <c:lblOffset val="100"/>
        <c:noMultiLvlLbl val="false"/>
      </c:catAx>
      <c:valAx>
        <c:axId val="773512524"/>
        <c:scaling>
          <c:orientation val="minMax"/>
          <c:max val="1600"/>
          <c:min val="0"/>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2529704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200">
                <a:latin typeface="仿宋_GB2312" panose="02010609030101010101" charset="-122"/>
                <a:ea typeface="仿宋_GB2312" panose="02010609030101010101" charset="-122"/>
                <a:cs typeface="仿宋_GB2312" panose="02010609030101010101" charset="-122"/>
              </a:rPr>
              <a:t>202</a:t>
            </a:r>
            <a:r>
              <a:rPr lang="en-US" altLang="zh-CN" sz="1200">
                <a:latin typeface="仿宋_GB2312" panose="02010609030101010101" charset="-122"/>
                <a:ea typeface="仿宋_GB2312" panose="02010609030101010101" charset="-122"/>
                <a:cs typeface="仿宋_GB2312" panose="02010609030101010101" charset="-122"/>
              </a:rPr>
              <a:t>4</a:t>
            </a:r>
            <a:r>
              <a:rPr sz="1200">
                <a:latin typeface="仿宋_GB2312" panose="02010609030101010101" charset="-122"/>
                <a:ea typeface="仿宋_GB2312" panose="02010609030101010101" charset="-122"/>
                <a:cs typeface="仿宋_GB2312" panose="02010609030101010101" charset="-122"/>
              </a:rPr>
              <a:t>年收入决算结构图 收支（万元）</a:t>
            </a:r>
            <a:endParaRPr sz="1200" b="0" i="0" u="none" strike="noStrike" baseline="0">
              <a:solidFill>
                <a:srgbClr val="595959">
                  <a:alpha val="100000"/>
                </a:srgbClr>
              </a:solidFill>
              <a:latin typeface="仿宋_GB2312" panose="02010609030101010101" charset="-122"/>
              <a:ea typeface="仿宋_GB2312" panose="02010609030101010101" charset="-122"/>
              <a:cs typeface="仿宋_GB2312" panose="02010609030101010101" charset="-122"/>
            </a:endParaRPr>
          </a:p>
        </c:rich>
      </c:tx>
      <c:layout/>
      <c:overlay val="false"/>
      <c:spPr>
        <a:noFill/>
        <a:ln>
          <a:noFill/>
        </a:ln>
        <a:effectLst/>
      </c:spPr>
    </c:title>
    <c:autoTitleDeleted val="false"/>
    <c:plotArea>
      <c:layout/>
      <c:pieChart>
        <c:varyColors val="true"/>
        <c:ser>
          <c:idx val="0"/>
          <c:order val="0"/>
          <c:tx>
            <c:strRef>
              <c:f>'[新建 XLS 工作表-2024年决算用表.xls]Sheet1'!$H$32:$H$33</c:f>
              <c:strCache>
                <c:ptCount val="1"/>
                <c:pt idx="0">
                  <c:v>2022年收入决算结构图 收支（万元）</c:v>
                </c:pt>
              </c:strCache>
            </c:strRef>
          </c:tx>
          <c:spPr>
            <a:solidFill>
              <a:schemeClr val="accent2"/>
            </a:solidFill>
          </c:spPr>
          <c:explosion val="0"/>
          <c:dPt>
            <c:idx val="0"/>
            <c:bubble3D val="false"/>
            <c:explosion val="0"/>
            <c:spPr>
              <a:solidFill>
                <a:schemeClr val="accent2"/>
              </a:solidFill>
              <a:ln w="19050">
                <a:solidFill>
                  <a:schemeClr val="lt1"/>
                </a:solidFill>
              </a:ln>
              <a:effectLst/>
            </c:spPr>
          </c:dPt>
          <c:dPt>
            <c:idx val="1"/>
            <c:bubble3D val="false"/>
            <c:explosion val="0"/>
            <c:spPr>
              <a:solidFill>
                <a:schemeClr val="accent1"/>
              </a:solidFill>
              <a:ln w="19050">
                <a:solidFill>
                  <a:schemeClr val="lt1"/>
                </a:solidFill>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tru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969696">
                          <a:alpha val="100000"/>
                        </a:srgbClr>
                      </a:solidFill>
                      <a:prstDash val="solid"/>
                      <a:round/>
                    </a:ln>
                  </c:spPr>
                </c15:leaderLines>
              </c:ext>
            </c:extLst>
          </c:dLbls>
          <c:cat>
            <c:strRef>
              <c:f>'[新建 XLS 工作表-2024年决算用表.xls]Sheet1'!$G$34:$G$35</c:f>
              <c:strCache>
                <c:ptCount val="2"/>
                <c:pt idx="0">
                  <c:v>一般公共预算财政拨款收入</c:v>
                </c:pt>
                <c:pt idx="1">
                  <c:v>其他收入</c:v>
                </c:pt>
              </c:strCache>
            </c:strRef>
          </c:cat>
          <c:val>
            <c:numRef>
              <c:f>'[新建 XLS 工作表-2024年决算用表.xls]Sheet1'!$H$34:$H$35</c:f>
              <c:numCache>
                <c:formatCode>General</c:formatCode>
                <c:ptCount val="2"/>
                <c:pt idx="0">
                  <c:v>1109.97</c:v>
                </c:pt>
                <c:pt idx="1">
                  <c:v>91.66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仿宋_GB2312" panose="02010609030101010101" charset="-122"/>
                <a:ea typeface="仿宋_GB2312" panose="02010609030101010101" charset="-122"/>
                <a:cs typeface="仿宋_GB2312" panose="02010609030101010101" charset="-122"/>
              </a:rPr>
              <a:t>202</a:t>
            </a:r>
            <a:r>
              <a:rPr lang="en-US" altLang="zh-CN" sz="1400" b="0" i="0" u="none" strike="noStrike" baseline="0">
                <a:solidFill>
                  <a:srgbClr val="333333"/>
                </a:solidFill>
                <a:latin typeface="仿宋_GB2312" panose="02010609030101010101" charset="-122"/>
                <a:ea typeface="仿宋_GB2312" panose="02010609030101010101" charset="-122"/>
                <a:cs typeface="仿宋_GB2312" panose="02010609030101010101" charset="-122"/>
              </a:rPr>
              <a:t>4</a:t>
            </a:r>
            <a:r>
              <a:rPr sz="1400" b="0" i="0" u="none" strike="noStrike" baseline="0">
                <a:solidFill>
                  <a:srgbClr val="333333"/>
                </a:solidFill>
                <a:latin typeface="仿宋_GB2312" panose="02010609030101010101" charset="-122"/>
                <a:ea typeface="仿宋_GB2312" panose="02010609030101010101" charset="-122"/>
                <a:cs typeface="仿宋_GB2312" panose="02010609030101010101" charset="-122"/>
              </a:rPr>
              <a:t>年支出决算结构图 收支（万元</a:t>
            </a:r>
            <a:r>
              <a:rPr sz="1400" b="0" i="0" u="none" strike="noStrike" baseline="0">
                <a:solidFill>
                  <a:srgbClr val="333333"/>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spPr>
        <a:noFill/>
        <a:ln>
          <a:noFill/>
        </a:ln>
        <a:effectLst/>
      </c:spPr>
    </c:title>
    <c:autoTitleDeleted val="false"/>
    <c:plotArea>
      <c:layout/>
      <c:pieChart>
        <c:varyColors val="true"/>
        <c:ser>
          <c:idx val="0"/>
          <c:order val="0"/>
          <c:tx>
            <c:strRef>
              <c:f>'[新建 XLS 工作表-2024年决算用表.xls]Sheet1'!$H$39:$H$40</c:f>
              <c:strCache>
                <c:ptCount val="1"/>
                <c:pt idx="0">
                  <c:v>2022年支出决算结构图 收支（万元）</c:v>
                </c:pt>
              </c:strCache>
            </c:strRef>
          </c:tx>
          <c:spPr>
            <a:solidFill>
              <a:srgbClr val="FFFF00"/>
            </a:solidFill>
          </c:spPr>
          <c:explosion val="0"/>
          <c:dPt>
            <c:idx val="0"/>
            <c:bubble3D val="false"/>
            <c:explosion val="0"/>
            <c:spPr>
              <a:solidFill>
                <a:schemeClr val="accent2">
                  <a:lumMod val="75000"/>
                </a:schemeClr>
              </a:solidFill>
              <a:ln w="19050">
                <a:solidFill>
                  <a:schemeClr val="lt1"/>
                </a:solidFill>
              </a:ln>
              <a:effectLst/>
            </c:spPr>
          </c:dPt>
          <c:dPt>
            <c:idx val="1"/>
            <c:bubble3D val="false"/>
            <c:explosion val="0"/>
            <c:spPr>
              <a:solidFill>
                <a:schemeClr val="accent1"/>
              </a:solidFill>
              <a:ln w="19050">
                <a:solidFill>
                  <a:schemeClr val="lt1"/>
                </a:solidFill>
              </a:ln>
              <a:effectLst/>
            </c:spPr>
          </c:dPt>
          <c:dLbls>
            <c:dLbl>
              <c:idx val="0"/>
              <c:layout>
                <c:manualLayout>
                  <c:x val="-0.0145853590776497"/>
                  <c:y val="-0.14126394052044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945.99    76.69%</a:t>
                    </a:r>
                    <a:endParaRPr lang="en-US" altLang="zh-CN"/>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287.</a:t>
                    </a:r>
                    <a:r>
                      <a:rPr lang="en-US" altLang="zh-CN"/>
                      <a:t>  23.31%</a:t>
                    </a:r>
                    <a:endParaRPr lang="en-US" altLang="zh-CN"/>
                  </a:p>
                </c:rich>
              </c:tx>
              <c:dLblPos val="bestFit"/>
              <c:showLegendKey val="false"/>
              <c:showVal val="true"/>
              <c:showCatName val="false"/>
              <c:showSerName val="false"/>
              <c:showPercent val="true"/>
              <c:showBubbleSize val="false"/>
              <c:extLst>
                <c:ext xmlns:c15="http://schemas.microsoft.com/office/drawing/2012/chart" uri="{CE6537A1-D6FC-4f65-9D91-7224C49458BB}"/>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969696">
                          <a:alpha val="100000"/>
                        </a:srgbClr>
                      </a:solidFill>
                      <a:prstDash val="solid"/>
                      <a:round/>
                    </a:ln>
                  </c:spPr>
                </c15:leaderLines>
              </c:ext>
            </c:extLst>
          </c:dLbls>
          <c:cat>
            <c:strRef>
              <c:f>'[新建 XLS 工作表-2024年决算用表.xls]Sheet1'!$G$41:$G$42</c:f>
              <c:strCache>
                <c:ptCount val="2"/>
                <c:pt idx="0">
                  <c:v>基本支出</c:v>
                </c:pt>
                <c:pt idx="1">
                  <c:v>项目支出</c:v>
                </c:pt>
              </c:strCache>
            </c:strRef>
          </c:cat>
          <c:val>
            <c:numRef>
              <c:f>'[新建 XLS 工作表-2024年决算用表.xls]Sheet1'!$H$41:$H$42</c:f>
              <c:numCache>
                <c:formatCode>General</c:formatCode>
                <c:ptCount val="2"/>
                <c:pt idx="0">
                  <c:v>945.99</c:v>
                </c:pt>
                <c:pt idx="1">
                  <c:v>287.6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 （万元）</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false"/>
      <c:spPr>
        <a:noFill/>
        <a:ln>
          <a:noFill/>
        </a:ln>
        <a:effectLst/>
      </c:spPr>
    </c:title>
    <c:autoTitleDeleted val="false"/>
    <c:plotArea>
      <c:layout>
        <c:manualLayout>
          <c:layoutTarget val="inner"/>
          <c:xMode val="edge"/>
          <c:yMode val="edge"/>
          <c:x val="0.0791111111111111"/>
          <c:y val="0.190972222222222"/>
          <c:w val="0.882"/>
          <c:h val="0.710972222222222"/>
        </c:manualLayout>
      </c:layout>
      <c:barChart>
        <c:barDir val="col"/>
        <c:grouping val="clustered"/>
        <c:varyColors val="false"/>
        <c:ser>
          <c:idx val="0"/>
          <c:order val="0"/>
          <c:tx>
            <c:strRef>
              <c:f>'[新建 XLS 工作表-2024年决算用表.xls]Sheet1'!$I$56:$I$57</c:f>
              <c:strCache>
                <c:ptCount val="1"/>
                <c:pt idx="0">
                  <c:v>财政拨款收、支决算总计变动情况 收支总计（万元）</c:v>
                </c:pt>
              </c:strCache>
            </c:strRef>
          </c:tx>
          <c:spPr>
            <a:solidFill>
              <a:schemeClr val="accent2">
                <a:lumMod val="60000"/>
                <a:lumOff val="40000"/>
              </a:schemeClr>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'[新建 XLS 工作表-2024年决算用表.xls]Sheet1'!$H$58:$H$59</c:f>
              <c:strCache>
                <c:ptCount val="2"/>
                <c:pt idx="0">
                  <c:v>2023年</c:v>
                </c:pt>
                <c:pt idx="1">
                  <c:v>2024年</c:v>
                </c:pt>
              </c:strCache>
            </c:strRef>
          </c:cat>
          <c:val>
            <c:numRef>
              <c:f>'[新建 XLS 工作表-2024年决算用表.xls]Sheet1'!$I$58:$I$59</c:f>
              <c:numCache>
                <c:formatCode>General</c:formatCode>
                <c:ptCount val="2"/>
                <c:pt idx="0">
                  <c:v>1336.8</c:v>
                </c:pt>
                <c:pt idx="1">
                  <c:v>1138.3</c:v>
                </c:pt>
              </c:numCache>
            </c:numRef>
          </c:val>
        </c:ser>
        <c:dLbls>
          <c:showLegendKey val="false"/>
          <c:showVal val="false"/>
          <c:showCatName val="false"/>
          <c:showSerName val="false"/>
          <c:showPercent val="false"/>
          <c:showBubbleSize val="false"/>
        </c:dLbls>
        <c:gapWidth val="219"/>
        <c:overlap val="-27"/>
        <c:axId val="973546139"/>
        <c:axId val="103574952"/>
      </c:barChart>
      <c:catAx>
        <c:axId val="973546139"/>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3574952"/>
        <c:crosses val="autoZero"/>
        <c:auto val="true"/>
        <c:lblAlgn val="ctr"/>
        <c:lblOffset val="100"/>
        <c:noMultiLvlLbl val="false"/>
      </c:catAx>
      <c:valAx>
        <c:axId val="103574952"/>
        <c:scaling>
          <c:orientation val="minMax"/>
          <c:min val="500"/>
        </c:scaling>
        <c:delete val="false"/>
        <c:axPos val="l"/>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3546139"/>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a:latin typeface="仿宋_GB2312" panose="02010609030101010101" charset="-122"/>
                <a:ea typeface="仿宋_GB2312" panose="02010609030101010101" charset="-122"/>
                <a:cs typeface="仿宋_GB2312" panose="02010609030101010101" charset="-122"/>
              </a:rPr>
              <a:t>一般公共预算财政拨款支出决算变动情况 金额（万元）</a:t>
            </a:r>
            <a:endParaRPr sz="1400" b="0" i="0" u="none" strike="noStrike" baseline="0">
              <a:solidFill>
                <a:srgbClr val="595959">
                  <a:alpha val="100000"/>
                </a:srgbClr>
              </a:solidFill>
              <a:latin typeface="仿宋_GB2312" panose="02010609030101010101" charset="-122"/>
              <a:ea typeface="仿宋_GB2312" panose="02010609030101010101" charset="-122"/>
              <a:cs typeface="仿宋_GB2312" panose="02010609030101010101" charset="-122"/>
            </a:endParaRPr>
          </a:p>
        </c:rich>
      </c:tx>
      <c:layout/>
      <c:overlay val="false"/>
      <c:spPr>
        <a:noFill/>
        <a:ln>
          <a:noFill/>
        </a:ln>
        <a:effectLst/>
      </c:spPr>
    </c:title>
    <c:autoTitleDeleted val="false"/>
    <c:plotArea>
      <c:layout/>
      <c:barChart>
        <c:barDir val="col"/>
        <c:grouping val="stacked"/>
        <c:varyColors val="false"/>
        <c:ser>
          <c:idx val="0"/>
          <c:order val="0"/>
          <c:tx>
            <c:strRef>
              <c:f>'[新建 XLS 工作表-2024年决算用表.xls]Sheet1'!$I$67:$I$68</c:f>
              <c:strCache>
                <c:ptCount val="1"/>
                <c:pt idx="0">
                  <c:v>一般公共预算财政拨款支出决算变动情况 金额（万元）</c:v>
                </c:pt>
              </c:strCache>
            </c:strRef>
          </c:tx>
          <c:spPr>
            <a:gradFill>
              <a:gsLst>
                <a:gs pos="50000">
                  <a:srgbClr val="F8E786"/>
                </a:gs>
                <a:gs pos="0">
                  <a:srgbClr val="FAEFAE"/>
                </a:gs>
                <a:gs pos="100000">
                  <a:srgbClr val="F5DE5D"/>
                </a:gs>
              </a:gsLst>
              <a:lin ang="5400000" scaled="true"/>
            </a:gra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'[新建 XLS 工作表-2024年决算用表.xls]Sheet1'!$H$69:$H$70</c:f>
              <c:strCache>
                <c:ptCount val="2"/>
                <c:pt idx="0">
                  <c:v>2023年</c:v>
                </c:pt>
                <c:pt idx="1">
                  <c:v>2024年</c:v>
                </c:pt>
              </c:strCache>
            </c:strRef>
          </c:cat>
          <c:val>
            <c:numRef>
              <c:f>'[新建 XLS 工作表-2024年决算用表.xls]Sheet1'!$I$69:$I$70</c:f>
              <c:numCache>
                <c:formatCode>General</c:formatCode>
                <c:ptCount val="2"/>
                <c:pt idx="0">
                  <c:v>1336.8</c:v>
                </c:pt>
                <c:pt idx="1">
                  <c:v>1138.3</c:v>
                </c:pt>
              </c:numCache>
            </c:numRef>
          </c:val>
        </c:ser>
        <c:dLbls>
          <c:showLegendKey val="false"/>
          <c:showVal val="false"/>
          <c:showCatName val="false"/>
          <c:showSerName val="false"/>
          <c:showPercent val="false"/>
          <c:showBubbleSize val="false"/>
        </c:dLbls>
        <c:gapWidth val="150"/>
        <c:overlap val="100"/>
        <c:axId val="982583694"/>
        <c:axId val="990454496"/>
      </c:barChart>
      <c:catAx>
        <c:axId val="982583694"/>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90454496"/>
        <c:crosses val="autoZero"/>
        <c:auto val="true"/>
        <c:lblAlgn val="ctr"/>
        <c:lblOffset val="100"/>
        <c:noMultiLvlLbl val="false"/>
      </c:catAx>
      <c:valAx>
        <c:axId val="990454496"/>
        <c:scaling>
          <c:orientation val="minMax"/>
          <c:max val="1500"/>
          <c:min val="0"/>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258369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'[新建 XLS 工作表-2024年决算用表.xls]Sheet1'!$H$96:$H$97</c:f>
              <c:strCache>
                <c:ptCount val="1"/>
                <c:pt idx="0">
                  <c:v>一般公共预算财政拨款支出决算结构 金额（万元）</c:v>
                </c:pt>
              </c:strCache>
            </c:strRef>
          </c:tx>
          <c:explosion val="0"/>
          <c:dPt>
            <c:idx val="0"/>
            <c:bubble3D val="false"/>
            <c:explosion val="0"/>
            <c:spPr>
              <a:solidFill>
                <a:schemeClr val="tx1"/>
              </a:solidFill>
              <a:ln w="19050">
                <a:solidFill>
                  <a:schemeClr val="lt1"/>
                </a:solidFill>
              </a:ln>
              <a:effectLst/>
            </c:spPr>
          </c:dPt>
          <c:dPt>
            <c:idx val="1"/>
            <c:bubble3D val="false"/>
            <c:explosion val="0"/>
            <c:spPr>
              <a:solidFill>
                <a:schemeClr val="accent2"/>
              </a:solidFill>
              <a:ln w="19050">
                <a:solidFill>
                  <a:schemeClr val="lt1"/>
                </a:solidFill>
              </a:ln>
              <a:effectLst/>
            </c:spPr>
          </c:dPt>
          <c:dPt>
            <c:idx val="2"/>
            <c:bubble3D val="false"/>
            <c:explosion val="0"/>
            <c:spPr>
              <a:solidFill>
                <a:schemeClr val="accent3"/>
              </a:solidFill>
              <a:ln w="19050">
                <a:solidFill>
                  <a:schemeClr val="lt1"/>
                </a:solidFill>
              </a:ln>
              <a:effectLst/>
            </c:spPr>
          </c:dPt>
          <c:dPt>
            <c:idx val="3"/>
            <c:bubble3D val="false"/>
            <c:explosion val="0"/>
            <c:spPr>
              <a:solidFill>
                <a:schemeClr val="accent4"/>
              </a:solidFill>
              <a:ln w="19050">
                <a:solidFill>
                  <a:schemeClr val="lt1"/>
                </a:solidFill>
              </a:ln>
              <a:effectLst/>
            </c:spPr>
          </c:dPt>
          <c:dPt>
            <c:idx val="4"/>
            <c:bubble3D val="false"/>
            <c:explosion val="0"/>
            <c:spPr>
              <a:solidFill>
                <a:schemeClr val="accent5"/>
              </a:solidFill>
              <a:ln w="19050">
                <a:solidFill>
                  <a:schemeClr val="lt1"/>
                </a:solidFill>
              </a:ln>
              <a:effectLst/>
            </c:spPr>
          </c:dPt>
          <c:dLbls>
            <c:dLbl>
              <c:idx val="0"/>
              <c:layout>
                <c:manualLayout>
                  <c:x val="0.169283232362309"/>
                  <c:y val="0.0087829026992843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0.5, 0</a:t>
                    </a:r>
                    <a:r>
                      <a:rPr lang="en-US" altLang="zh-CN"/>
                      <a:t>.04</a:t>
                    </a:r>
                    <a:r>
                      <a:t>%</a:t>
                    </a:r>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0384292227209363"/>
                  <c:y val="0.14307389815978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166.14, </a:t>
                    </a:r>
                    <a:r>
                      <a:rPr lang="en-US" altLang="zh-CN"/>
                      <a:t>  14.6</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864.22, </a:t>
                    </a:r>
                    <a:r>
                      <a:rPr lang="en-US" altLang="zh-CN"/>
                      <a:t> 75.92</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extLst>
            </c:dLbl>
            <c:dLbl>
              <c:idx val="3"/>
              <c:layout>
                <c:manualLayout>
                  <c:x val="-0.185054604493362"/>
                  <c:y val="0.12718607769665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51.97, </a:t>
                    </a:r>
                    <a:r>
                      <a:rPr lang="en-US" altLang="zh-CN"/>
                      <a:t>4.57</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4"/>
              <c:layout>
                <c:manualLayout>
                  <c:x val="-0.269576206255971"/>
                  <c:y val="0.0212344322153235"/>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55.47,</a:t>
                    </a:r>
                    <a:r>
                      <a:rPr lang="en-US" altLang="zh-CN"/>
                      <a:t>4.87</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969696">
                          <a:alpha val="100000"/>
                        </a:srgbClr>
                      </a:solidFill>
                      <a:prstDash val="solid"/>
                      <a:round/>
                    </a:ln>
                  </c:spPr>
                </c15:leaderLines>
              </c:ext>
            </c:extLst>
          </c:dLbls>
          <c:cat>
            <c:strRef>
              <c:f>'[新建 XLS 工作表-2024年决算用表.xls]Sheet1'!$G$98:$G$102</c:f>
              <c:strCache>
                <c:ptCount val="5"/>
                <c:pt idx="0">
                  <c:v>教育支出</c:v>
                </c:pt>
                <c:pt idx="1">
                  <c:v>社会保障和就业支出</c:v>
                </c:pt>
                <c:pt idx="2">
                  <c:v>资源勘探工业信息等支出</c:v>
                </c:pt>
                <c:pt idx="3">
                  <c:v>卫生健康支出</c:v>
                </c:pt>
                <c:pt idx="4">
                  <c:v>住房保障支出</c:v>
                </c:pt>
              </c:strCache>
            </c:strRef>
          </c:cat>
          <c:val>
            <c:numRef>
              <c:f>'[新建 XLS 工作表-2024年决算用表.xls]Sheet1'!$H$98:$H$102</c:f>
              <c:numCache>
                <c:formatCode>General</c:formatCode>
                <c:ptCount val="5"/>
                <c:pt idx="0">
                  <c:v>0.5</c:v>
                </c:pt>
                <c:pt idx="1">
                  <c:v>166.14</c:v>
                </c:pt>
                <c:pt idx="2">
                  <c:v>864.22</c:v>
                </c:pt>
                <c:pt idx="3">
                  <c:v>51.97</c:v>
                </c:pt>
                <c:pt idx="4">
                  <c:v>55.47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202</a:t>
            </a:r>
            <a:r>
              <a:rPr lang="en-US" altLang="zh-CN"/>
              <a:t>4</a:t>
            </a:r>
            <a:r>
              <a:t>年“三公”经费财政拨款支出结构 金额（万元）</a:t>
            </a:r>
          </a:p>
        </c:rich>
      </c:tx>
      <c:layout>
        <c:manualLayout>
          <c:xMode val="edge"/>
          <c:yMode val="edge"/>
          <c:x val="0.114525492175669"/>
          <c:y val="0.0124676546694895"/>
        </c:manualLayout>
      </c:layout>
      <c:overlay val="false"/>
      <c:spPr>
        <a:noFill/>
        <a:ln>
          <a:noFill/>
        </a:ln>
        <a:effectLst/>
      </c:spPr>
    </c:title>
    <c:autoTitleDeleted val="false"/>
    <c:plotArea>
      <c:layout/>
      <c:pieChart>
        <c:varyColors val="true"/>
        <c:ser>
          <c:idx val="0"/>
          <c:order val="0"/>
          <c:tx>
            <c:strRef>
              <c:f>'[新建 XLS 工作表-2024年决算用表.xls]Sheet1'!$H$118:$H$119</c:f>
              <c:strCache>
                <c:ptCount val="1"/>
                <c:pt idx="0">
                  <c:v>2022年“三公”经费财政拨款支出结构 金额（万元）</c:v>
                </c:pt>
              </c:strCache>
            </c:strRef>
          </c:tx>
          <c:explosion val="0"/>
          <c:dPt>
            <c:idx val="0"/>
            <c:bubble3D val="false"/>
            <c:explosion val="0"/>
            <c:spPr>
              <a:solidFill>
                <a:schemeClr val="accent1"/>
              </a:solidFill>
              <a:ln w="19050">
                <a:solidFill>
                  <a:schemeClr val="lt1"/>
                </a:solidFill>
              </a:ln>
              <a:effectLst/>
            </c:spPr>
          </c:dPt>
          <c:dPt>
            <c:idx val="1"/>
            <c:bubble3D val="false"/>
            <c:explosion val="0"/>
            <c:spPr>
              <a:solidFill>
                <a:schemeClr val="accent2"/>
              </a:solidFill>
              <a:ln w="19050">
                <a:solidFill>
                  <a:schemeClr val="lt1"/>
                </a:solidFill>
              </a:ln>
              <a:effectLst/>
            </c:spPr>
          </c:dPt>
          <c:dPt>
            <c:idx val="2"/>
            <c:bubble3D val="false"/>
            <c:explosion val="0"/>
            <c:spPr>
              <a:solidFill>
                <a:schemeClr val="accent3"/>
              </a:solidFill>
              <a:ln w="19050">
                <a:solidFill>
                  <a:schemeClr val="lt1"/>
                </a:solidFill>
              </a:ln>
              <a:effectLst/>
            </c:spPr>
          </c:dPt>
          <c:dLbls>
            <c:dLbl>
              <c:idx val="2"/>
              <c:layout>
                <c:manualLayout>
                  <c:x val="0.204635372334102"/>
                  <c:y val="0.011878053606306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969696">
                          <a:alpha val="100000"/>
                        </a:srgbClr>
                      </a:solidFill>
                      <a:prstDash val="solid"/>
                      <a:round/>
                    </a:ln>
                  </c:spPr>
                </c15:leaderLines>
              </c:ext>
            </c:extLst>
          </c:dLbls>
          <c:cat>
            <c:strRef>
              <c:f>'[新建 XLS 工作表-2024年决算用表.xls]Sheet1'!$G$120:$G$122</c:f>
              <c:strCache>
                <c:ptCount val="3"/>
                <c:pt idx="0">
                  <c:v>因公出国（境）费</c:v>
                </c:pt>
                <c:pt idx="1">
                  <c:v>公务用车购置及运行维护费</c:v>
                </c:pt>
                <c:pt idx="2">
                  <c:v>公务接待费</c:v>
                </c:pt>
              </c:strCache>
            </c:strRef>
          </c:cat>
          <c:val>
            <c:numRef>
              <c:f>'[新建 XLS 工作表-2024年决算用表.xls]Sheet1'!$H$120:$H$122</c:f>
              <c:numCache>
                <c:formatCode>General</c:formatCode>
                <c:ptCount val="3"/>
                <c:pt idx="0">
                  <c:v>0</c:v>
                </c:pt>
                <c:pt idx="1">
                  <c:v>13.27</c:v>
                </c:pt>
                <c:pt idx="2">
                  <c:v>0.45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29</Pages>
  <Words>6171</Words>
  <Characters>6752</Characters>
  <Lines>61</Lines>
  <Paragraphs>17</Paragraphs>
  <TotalTime>124</TotalTime>
  <ScaleCrop>false</ScaleCrop>
  <LinksUpToDate>false</LinksUpToDate>
  <CharactersWithSpaces>6833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2020-08-11T17:49:00Z</dcterms:created>
  <dc:creator>曹颖</dc:creator>
  <cp:lastModifiedBy>user</cp:lastModifiedBy>
  <cp:lastPrinted>2025-09-06T20:59:00Z</cp:lastPrinted>
  <dcterms:modified xsi:type="dcterms:W3CDTF">2025-09-16T14:21:30Z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3BF536824C220DA3E40E8B68BA118B1C_42</vt:lpwstr>
  </property>
  <property fmtid="{D5CDD505-2E9C-101B-9397-08002B2CF9AE}" pid="4" name="KSOTemplateDocerSaveRecord">
    <vt:lpwstr>eyJoZGlkIjoiMWNmZTQ1NmIzNDhmMmY1MDRkNmI1OWFmMmM0NzA1YTAiLCJ1c2VySWQiOiIzNzM0Nzk2MjMifQ==</vt:lpwstr>
  </property>
</Properties>
</file>