
<file path=[Content_Types].xml><?xml version="1.0" encoding="utf-8"?>
<Types xmlns="http://schemas.openxmlformats.org/package/2006/content-types">
  <Default Extension="xml" ContentType="application/xml"/>
  <Default Extension="xlsx" ContentType="application/vnd.openxmlformats-officedocument.spreadsheetml.sheet"/>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rPr>
          <w:rFonts w:hint="eastAsia" w:ascii="Times New Roman" w:hAnsi="Times New Roman" w:eastAsia="方正小标宋简体" w:cs="Times New Roman"/>
          <w:color w:val="auto"/>
          <w:kern w:val="2"/>
          <w:sz w:val="72"/>
          <w:szCs w:val="72"/>
          <w:highlight w:val="none"/>
          <w:lang w:val="en-US" w:eastAsia="zh-CN" w:bidi="ar-SA"/>
        </w:rPr>
      </w:pPr>
      <w:bookmarkStart w:id="0" w:name="_Toc15396475"/>
      <w:bookmarkStart w:id="1" w:name="_Toc15378441"/>
      <w:bookmarkStart w:id="2" w:name="_Toc15377425"/>
      <w:bookmarkStart w:id="3" w:name="_Toc15377193"/>
      <w:bookmarkStart w:id="4" w:name="_Toc15396597"/>
      <w:bookmarkStart w:id="5" w:name="_Toc15306267"/>
    </w:p>
    <w:p>
      <w:pPr>
        <w:rPr>
          <w:rFonts w:ascii="Times New Roman" w:hAnsi="Times New Roman"/>
          <w:highlight w:val="none"/>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p>
    <w:bookmarkEnd w:id="0"/>
    <w:bookmarkEnd w:id="1"/>
    <w:bookmarkEnd w:id="2"/>
    <w:bookmarkEnd w:id="3"/>
    <w:bookmarkEnd w:id="4"/>
    <w:p>
      <w:pPr>
        <w:pStyle w:val="8"/>
        <w:jc w:val="center"/>
        <w:rPr>
          <w:rFonts w:hint="eastAsia" w:ascii="Times New Roman" w:hAnsi="Times New Roman" w:eastAsia="方正小标宋简体" w:cs="Times New Roman"/>
          <w:color w:val="auto"/>
          <w:kern w:val="2"/>
          <w:sz w:val="44"/>
          <w:szCs w:val="44"/>
          <w:highlight w:val="none"/>
          <w:lang w:val="en-US" w:eastAsia="zh-CN" w:bidi="ar-SA"/>
        </w:rPr>
      </w:pPr>
      <w:bookmarkStart w:id="6" w:name="_Toc15377194"/>
      <w:bookmarkStart w:id="7" w:name="_Toc15378442"/>
      <w:bookmarkStart w:id="8" w:name="_Toc15396598"/>
      <w:bookmarkStart w:id="9" w:name="_Toc15396476"/>
      <w:bookmarkStart w:id="10" w:name="_Toc15377426"/>
      <w:r>
        <w:rPr>
          <w:rFonts w:hint="eastAsia" w:ascii="Times New Roman" w:hAnsi="Times New Roman" w:eastAsia="方正小标宋简体" w:cs="Times New Roman"/>
          <w:color w:val="auto"/>
          <w:kern w:val="2"/>
          <w:sz w:val="44"/>
          <w:szCs w:val="44"/>
          <w:highlight w:val="none"/>
          <w:lang w:val="en-US" w:eastAsia="zh-CN" w:bidi="ar-SA"/>
        </w:rPr>
        <w:t>2024年度四川省</w:t>
      </w:r>
      <w:bookmarkEnd w:id="5"/>
      <w:bookmarkStart w:id="11" w:name="_Toc15306268"/>
      <w:r>
        <w:rPr>
          <w:rFonts w:hint="eastAsia" w:ascii="Times New Roman" w:eastAsia="方正小标宋简体" w:cs="Times New Roman"/>
          <w:color w:val="auto"/>
          <w:kern w:val="2"/>
          <w:sz w:val="44"/>
          <w:szCs w:val="44"/>
          <w:highlight w:val="none"/>
          <w:lang w:val="en-US" w:eastAsia="zh-CN" w:bidi="ar-SA"/>
        </w:rPr>
        <w:t>轻工幼儿园单位</w:t>
      </w:r>
      <w:r>
        <w:rPr>
          <w:rFonts w:hint="eastAsia" w:ascii="Times New Roman" w:hAnsi="Times New Roman" w:eastAsia="方正小标宋简体" w:cs="Times New Roman"/>
          <w:color w:val="auto"/>
          <w:kern w:val="2"/>
          <w:sz w:val="44"/>
          <w:szCs w:val="44"/>
          <w:highlight w:val="none"/>
          <w:lang w:val="en-US" w:eastAsia="zh-CN" w:bidi="ar-SA"/>
        </w:rPr>
        <w:t>决算</w:t>
      </w:r>
      <w:bookmarkEnd w:id="6"/>
      <w:bookmarkEnd w:id="7"/>
      <w:bookmarkEnd w:id="8"/>
      <w:bookmarkEnd w:id="9"/>
      <w:bookmarkEnd w:id="10"/>
      <w:bookmarkEnd w:id="11"/>
    </w:p>
    <w:p>
      <w:pPr>
        <w:widowControl/>
        <w:jc w:val="center"/>
        <w:rPr>
          <w:rFonts w:ascii="Times New Roman" w:hAnsi="Times New Roman" w:eastAsia="方正小标宋简体"/>
          <w:color w:val="auto"/>
          <w:sz w:val="36"/>
          <w:szCs w:val="36"/>
          <w:highlight w:val="none"/>
        </w:rPr>
      </w:pPr>
    </w:p>
    <w:p>
      <w:pPr>
        <w:bidi w:val="0"/>
        <w:rPr>
          <w:rFonts w:ascii="Times New Roman" w:hAnsi="Times New Roman" w:eastAsia="方正小标宋简体"/>
          <w:color w:val="auto"/>
          <w:sz w:val="36"/>
          <w:szCs w:val="36"/>
          <w:highlight w:val="none"/>
        </w:rPr>
      </w:pPr>
    </w:p>
    <w:p>
      <w:pPr>
        <w:bidi w:val="0"/>
        <w:rPr>
          <w:rFonts w:ascii="Times New Roman" w:hAnsi="Times New Roman" w:eastAsia="方正小标宋简体"/>
          <w:color w:val="auto"/>
          <w:sz w:val="36"/>
          <w:szCs w:val="36"/>
          <w:highlight w:val="none"/>
        </w:rPr>
      </w:pPr>
    </w:p>
    <w:p>
      <w:pPr>
        <w:bidi w:val="0"/>
        <w:rPr>
          <w:rFonts w:ascii="Times New Roman" w:hAnsi="Times New Roman" w:eastAsia="方正小标宋简体"/>
          <w:color w:val="auto"/>
          <w:sz w:val="36"/>
          <w:szCs w:val="36"/>
          <w:highlight w:val="none"/>
        </w:rPr>
      </w:pPr>
    </w:p>
    <w:p>
      <w:pPr>
        <w:bidi w:val="0"/>
        <w:rPr>
          <w:rFonts w:ascii="Times New Roman" w:hAnsi="Times New Roman" w:eastAsia="方正小标宋简体"/>
          <w:color w:val="auto"/>
          <w:sz w:val="36"/>
          <w:szCs w:val="36"/>
          <w:highlight w:val="none"/>
        </w:rPr>
      </w:pPr>
    </w:p>
    <w:p>
      <w:pPr>
        <w:bidi w:val="0"/>
        <w:rPr>
          <w:rFonts w:ascii="Times New Roman" w:hAnsi="Times New Roman" w:eastAsia="方正小标宋简体"/>
          <w:color w:val="auto"/>
          <w:sz w:val="36"/>
          <w:szCs w:val="36"/>
          <w:highlight w:val="none"/>
        </w:rPr>
      </w:pPr>
    </w:p>
    <w:p>
      <w:pPr>
        <w:bidi w:val="0"/>
        <w:rPr>
          <w:rFonts w:ascii="Times New Roman" w:hAnsi="Times New Roman" w:eastAsia="方正小标宋简体"/>
          <w:color w:val="auto"/>
          <w:sz w:val="36"/>
          <w:szCs w:val="36"/>
          <w:highlight w:val="none"/>
        </w:rPr>
      </w:pPr>
    </w:p>
    <w:p>
      <w:pPr>
        <w:bidi w:val="0"/>
        <w:rPr>
          <w:rFonts w:ascii="Times New Roman" w:hAnsi="Times New Roman" w:eastAsia="方正小标宋简体"/>
          <w:color w:val="auto"/>
          <w:sz w:val="36"/>
          <w:szCs w:val="36"/>
          <w:highlight w:val="none"/>
        </w:rPr>
      </w:pPr>
    </w:p>
    <w:p>
      <w:pPr>
        <w:bidi w:val="0"/>
        <w:jc w:val="left"/>
        <w:rPr>
          <w:rFonts w:ascii="Times New Roman" w:hAnsi="Times New Roman" w:eastAsia="黑体"/>
          <w:color w:val="auto"/>
          <w:sz w:val="48"/>
          <w:szCs w:val="48"/>
          <w:highlight w:val="none"/>
        </w:rPr>
      </w:pPr>
      <w:r>
        <w:rPr>
          <w:rFonts w:ascii="Times New Roman" w:hAnsi="Times New Roman" w:eastAsia="方正小标宋简体"/>
          <w:color w:val="auto"/>
          <w:sz w:val="36"/>
          <w:szCs w:val="36"/>
          <w:highlight w:val="none"/>
        </w:rPr>
        <w:br w:type="page"/>
      </w:r>
      <w:r>
        <w:rPr>
          <w:rFonts w:hint="eastAsia" w:eastAsia="方正小标宋简体"/>
          <w:color w:val="auto"/>
          <w:sz w:val="36"/>
          <w:szCs w:val="36"/>
          <w:highlight w:val="none"/>
          <w:lang w:val="en-US" w:eastAsia="zh-CN"/>
        </w:rPr>
        <w:t xml:space="preserve">                     </w:t>
      </w:r>
      <w:r>
        <w:rPr>
          <w:rFonts w:hint="eastAsia" w:ascii="Times New Roman" w:hAnsi="Times New Roman" w:eastAsia="黑体"/>
          <w:color w:val="auto"/>
          <w:sz w:val="48"/>
          <w:szCs w:val="48"/>
          <w:highlight w:val="none"/>
        </w:rPr>
        <w:t>目录</w:t>
      </w:r>
    </w:p>
    <w:p>
      <w:pPr>
        <w:widowControl/>
        <w:jc w:val="center"/>
        <w:rPr>
          <w:rFonts w:ascii="Times New Roman" w:hAnsi="Times New Roman" w:eastAsia="黑体" w:cstheme="minorBidi"/>
          <w:color w:val="auto"/>
          <w:sz w:val="28"/>
          <w:szCs w:val="28"/>
          <w:highlight w:val="none"/>
        </w:rPr>
      </w:pPr>
    </w:p>
    <w:p>
      <w:pPr>
        <w:pStyle w:val="13"/>
        <w:rPr>
          <w:rFonts w:hint="eastAsia" w:ascii="Times New Roman" w:hAnsi="Times New Roman" w:eastAsia="仿宋_GB2312" w:cs="仿宋_GB2312"/>
          <w:color w:val="auto"/>
          <w:sz w:val="32"/>
          <w:szCs w:val="32"/>
          <w:highlight w:val="none"/>
        </w:rPr>
      </w:pPr>
      <w:r>
        <w:rPr>
          <w:rFonts w:hint="eastAsia" w:ascii="Times New Roman" w:hAnsi="Times New Roman" w:eastAsia="仿宋_GB2312" w:cs="仿宋_GB2312"/>
          <w:color w:val="auto"/>
          <w:sz w:val="32"/>
          <w:szCs w:val="32"/>
          <w:highlight w:val="none"/>
        </w:rPr>
        <w:t>公开时间：20</w:t>
      </w:r>
      <w:r>
        <w:rPr>
          <w:rFonts w:hint="eastAsia" w:ascii="Times New Roman" w:hAnsi="Times New Roman" w:eastAsia="仿宋_GB2312" w:cs="仿宋_GB2312"/>
          <w:color w:val="auto"/>
          <w:sz w:val="32"/>
          <w:szCs w:val="32"/>
          <w:highlight w:val="none"/>
          <w:lang w:val="en-US" w:eastAsia="zh-CN"/>
        </w:rPr>
        <w:t>25</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val="en-US" w:eastAsia="zh-CN"/>
        </w:rPr>
        <w:t>9</w:t>
      </w:r>
      <w:r>
        <w:rPr>
          <w:rFonts w:hint="eastAsia" w:ascii="Times New Roman" w:hAnsi="Times New Roman" w:eastAsia="仿宋_GB2312" w:cs="仿宋_GB2312"/>
          <w:color w:val="auto"/>
          <w:sz w:val="32"/>
          <w:szCs w:val="32"/>
          <w:highlight w:val="none"/>
        </w:rPr>
        <w:t>月</w:t>
      </w:r>
      <w:r>
        <w:rPr>
          <w:rFonts w:hint="eastAsia" w:ascii="Times New Roman" w:hAnsi="Times New Roman" w:eastAsia="仿宋_GB2312" w:cs="仿宋_GB2312"/>
          <w:color w:val="auto"/>
          <w:sz w:val="32"/>
          <w:szCs w:val="32"/>
          <w:highlight w:val="none"/>
          <w:lang w:val="en-US" w:eastAsia="zh-CN"/>
        </w:rPr>
        <w:t>12</w:t>
      </w:r>
      <w:r>
        <w:rPr>
          <w:rFonts w:hint="eastAsia" w:ascii="Times New Roman" w:hAnsi="Times New Roman" w:eastAsia="仿宋_GB2312" w:cs="仿宋_GB2312"/>
          <w:color w:val="auto"/>
          <w:sz w:val="32"/>
          <w:szCs w:val="32"/>
          <w:highlight w:val="none"/>
        </w:rPr>
        <w:t>日</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 xml:space="preserve">第一部分 </w:t>
      </w:r>
      <w:r>
        <w:rPr>
          <w:rFonts w:hint="eastAsia" w:ascii="Times New Roman" w:hAnsi="Times New Roman" w:eastAsia="黑体" w:cs="黑体"/>
          <w:color w:val="auto"/>
          <w:sz w:val="32"/>
          <w:szCs w:val="32"/>
          <w:highlight w:val="none"/>
          <w:lang w:eastAsia="zh-CN"/>
        </w:rPr>
        <w:t>单位</w:t>
      </w:r>
      <w:r>
        <w:rPr>
          <w:rFonts w:hint="eastAsia" w:ascii="Times New Roman" w:hAnsi="Times New Roman" w:eastAsia="黑体" w:cs="黑体"/>
          <w:color w:val="auto"/>
          <w:sz w:val="32"/>
          <w:szCs w:val="32"/>
          <w:highlight w:val="none"/>
        </w:rPr>
        <w:t>概</w:t>
      </w:r>
      <w:r>
        <w:rPr>
          <w:rFonts w:hint="eastAsia" w:ascii="Times New Roman" w:hAnsi="Times New Roman" w:eastAsia="黑体" w:cs="黑体"/>
          <w:color w:val="auto"/>
          <w:sz w:val="32"/>
          <w:szCs w:val="32"/>
          <w:highlight w:val="none"/>
          <w:lang w:eastAsia="zh-CN"/>
        </w:rPr>
        <w:t>况</w:t>
      </w:r>
      <w:r>
        <w:rPr>
          <w:rFonts w:hint="eastAsia" w:ascii="宋体" w:hAnsi="宋体"/>
          <w:sz w:val="24"/>
        </w:rPr>
        <w:t>·······················</w:t>
      </w:r>
      <w:r>
        <w:rPr>
          <w:rFonts w:hint="eastAsia" w:ascii="Times New Roman" w:hAnsi="Times New Roman" w:eastAsia="黑体" w:cs="黑体"/>
          <w:color w:val="auto"/>
          <w:sz w:val="32"/>
          <w:szCs w:val="32"/>
          <w:highlight w:val="none"/>
          <w:lang w:val="en-US" w:eastAsia="zh-CN"/>
        </w:rPr>
        <w:t>4</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一、</w:t>
      </w:r>
      <w:r>
        <w:rPr>
          <w:rFonts w:hint="eastAsia" w:eastAsia="仿宋_GB2312" w:cs="仿宋_GB2312"/>
          <w:color w:val="auto"/>
          <w:sz w:val="32"/>
          <w:szCs w:val="32"/>
          <w:highlight w:val="none"/>
          <w:lang w:eastAsia="zh-CN"/>
        </w:rPr>
        <w:t>单位</w:t>
      </w:r>
      <w:r>
        <w:rPr>
          <w:rFonts w:hint="eastAsia" w:ascii="Times New Roman" w:hAnsi="Times New Roman" w:eastAsia="仿宋_GB2312" w:cs="仿宋_GB2312"/>
          <w:color w:val="auto"/>
          <w:sz w:val="32"/>
          <w:szCs w:val="32"/>
          <w:highlight w:val="none"/>
          <w:lang w:eastAsia="zh-CN"/>
        </w:rPr>
        <w:t>职责</w:t>
      </w:r>
      <w:r>
        <w:rPr>
          <w:rFonts w:hint="eastAsia" w:ascii="宋体" w:hAnsi="宋体"/>
          <w:sz w:val="24"/>
        </w:rPr>
        <w:t>························</w:t>
      </w:r>
      <w:r>
        <w:rPr>
          <w:rFonts w:hint="eastAsia" w:eastAsia="仿宋_GB2312" w:cs="仿宋_GB2312"/>
          <w:color w:val="auto"/>
          <w:sz w:val="32"/>
          <w:szCs w:val="32"/>
          <w:highlight w:val="none"/>
          <w:lang w:val="en-US" w:eastAsia="zh-CN"/>
        </w:rPr>
        <w:t>4</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二、机构设置</w:t>
      </w:r>
      <w:r>
        <w:rPr>
          <w:rFonts w:hint="eastAsia" w:ascii="宋体" w:hAnsi="宋体"/>
          <w:sz w:val="24"/>
        </w:rPr>
        <w:t>························</w:t>
      </w:r>
      <w:r>
        <w:rPr>
          <w:rFonts w:hint="eastAsia" w:eastAsia="仿宋_GB2312" w:cs="仿宋_GB2312"/>
          <w:color w:val="auto"/>
          <w:sz w:val="32"/>
          <w:szCs w:val="32"/>
          <w:highlight w:val="none"/>
          <w:lang w:val="en-US" w:eastAsia="zh-CN"/>
        </w:rPr>
        <w:t>4</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第二部分</w:t>
      </w:r>
      <w:r>
        <w:rPr>
          <w:rFonts w:hint="eastAsia" w:ascii="Times New Roman" w:hAnsi="Times New Roman" w:eastAsia="黑体" w:cs="黑体"/>
          <w:color w:val="auto"/>
          <w:sz w:val="32"/>
          <w:szCs w:val="32"/>
          <w:highlight w:val="none"/>
          <w:lang w:val="en-US" w:eastAsia="zh-CN"/>
        </w:rPr>
        <w:t xml:space="preserve"> 2024年度</w:t>
      </w:r>
      <w:r>
        <w:rPr>
          <w:rFonts w:hint="eastAsia" w:ascii="Times New Roman" w:hAnsi="Times New Roman" w:eastAsia="黑体" w:cs="黑体"/>
          <w:color w:val="auto"/>
          <w:sz w:val="32"/>
          <w:szCs w:val="32"/>
          <w:highlight w:val="none"/>
          <w:lang w:eastAsia="zh-CN"/>
        </w:rPr>
        <w:t>单位</w:t>
      </w:r>
      <w:r>
        <w:rPr>
          <w:rFonts w:hint="eastAsia" w:ascii="Times New Roman" w:hAnsi="Times New Roman" w:eastAsia="黑体" w:cs="黑体"/>
          <w:color w:val="auto"/>
          <w:sz w:val="32"/>
          <w:szCs w:val="32"/>
          <w:highlight w:val="none"/>
        </w:rPr>
        <w:t>决算情况说明</w:t>
      </w:r>
      <w:r>
        <w:rPr>
          <w:rFonts w:hint="eastAsia" w:ascii="宋体" w:hAnsi="宋体"/>
          <w:sz w:val="24"/>
        </w:rPr>
        <w:t>············</w:t>
      </w:r>
      <w:r>
        <w:rPr>
          <w:rFonts w:hint="eastAsia" w:ascii="Times New Roman" w:hAnsi="Times New Roman" w:eastAsia="黑体" w:cs="黑体"/>
          <w:color w:val="auto"/>
          <w:sz w:val="32"/>
          <w:szCs w:val="32"/>
          <w:highlight w:val="none"/>
          <w:lang w:val="en-US" w:eastAsia="zh-CN"/>
        </w:rPr>
        <w:t>5</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一、收入支出决算总体情况说明</w:t>
      </w:r>
      <w:r>
        <w:rPr>
          <w:rFonts w:hint="eastAsia" w:ascii="宋体" w:hAnsi="宋体"/>
          <w:sz w:val="24"/>
        </w:rPr>
        <w:t>·············</w:t>
      </w:r>
      <w:r>
        <w:rPr>
          <w:rFonts w:hint="eastAsia" w:eastAsia="仿宋_GB2312" w:cs="仿宋_GB2312"/>
          <w:color w:val="auto"/>
          <w:sz w:val="32"/>
          <w:szCs w:val="32"/>
          <w:highlight w:val="none"/>
          <w:lang w:val="en-US" w:eastAsia="zh-CN"/>
        </w:rPr>
        <w:t>5</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二、收入决算情况说明</w:t>
      </w:r>
      <w:r>
        <w:rPr>
          <w:rFonts w:hint="eastAsia" w:ascii="宋体" w:hAnsi="宋体"/>
          <w:sz w:val="24"/>
        </w:rPr>
        <w:t>··················</w:t>
      </w:r>
      <w:r>
        <w:rPr>
          <w:rFonts w:hint="eastAsia" w:ascii="Times New Roman" w:hAnsi="Times New Roman" w:eastAsia="仿宋_GB2312" w:cs="仿宋_GB2312"/>
          <w:color w:val="auto"/>
          <w:sz w:val="32"/>
          <w:szCs w:val="32"/>
          <w:highlight w:val="none"/>
          <w:lang w:val="en-US" w:eastAsia="zh-CN"/>
        </w:rPr>
        <w:t>5</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三、支出决算情况说明</w:t>
      </w:r>
      <w:r>
        <w:rPr>
          <w:rFonts w:hint="eastAsia" w:ascii="宋体" w:hAnsi="宋体"/>
          <w:sz w:val="24"/>
        </w:rPr>
        <w:t>··················</w:t>
      </w:r>
      <w:r>
        <w:rPr>
          <w:rFonts w:hint="eastAsia" w:eastAsia="仿宋_GB2312" w:cs="仿宋_GB2312"/>
          <w:color w:val="auto"/>
          <w:sz w:val="32"/>
          <w:szCs w:val="32"/>
          <w:highlight w:val="none"/>
          <w:lang w:val="en-US" w:eastAsia="zh-CN"/>
        </w:rPr>
        <w:t>6</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四、财政拨款收入支出决算总体情况说明</w:t>
      </w:r>
      <w:r>
        <w:rPr>
          <w:rFonts w:hint="eastAsia" w:ascii="宋体" w:hAnsi="宋体"/>
          <w:sz w:val="24"/>
        </w:rPr>
        <w:t>········</w:t>
      </w:r>
      <w:r>
        <w:rPr>
          <w:rFonts w:hint="eastAsia" w:eastAsia="仿宋_GB2312" w:cs="仿宋_GB2312"/>
          <w:color w:val="auto"/>
          <w:sz w:val="32"/>
          <w:szCs w:val="32"/>
          <w:highlight w:val="none"/>
          <w:lang w:val="en-US" w:eastAsia="zh-CN"/>
        </w:rPr>
        <w:t>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五、一般公共预算财政拨款支出决算情况说明</w:t>
      </w:r>
      <w:r>
        <w:rPr>
          <w:rFonts w:hint="eastAsia" w:ascii="宋体" w:hAnsi="宋体"/>
          <w:sz w:val="24"/>
        </w:rPr>
        <w:t>·····</w:t>
      </w:r>
      <w:r>
        <w:rPr>
          <w:rFonts w:hint="eastAsia" w:eastAsia="仿宋_GB2312" w:cs="仿宋_GB2312"/>
          <w:color w:val="auto"/>
          <w:sz w:val="32"/>
          <w:szCs w:val="32"/>
          <w:highlight w:val="none"/>
          <w:lang w:val="en-US" w:eastAsia="zh-CN"/>
        </w:rPr>
        <w:t>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六、一般公共预算财政拨款基本支出决算情况说明</w:t>
      </w:r>
      <w:r>
        <w:rPr>
          <w:rFonts w:hint="eastAsia" w:ascii="宋体" w:hAnsi="宋体"/>
          <w:sz w:val="24"/>
        </w:rPr>
        <w:t>··</w:t>
      </w:r>
      <w:r>
        <w:rPr>
          <w:rFonts w:hint="eastAsia" w:eastAsia="仿宋_GB2312" w:cs="仿宋_GB2312"/>
          <w:color w:val="auto"/>
          <w:sz w:val="32"/>
          <w:szCs w:val="32"/>
          <w:highlight w:val="none"/>
          <w:lang w:val="en-US" w:eastAsia="zh-CN"/>
        </w:rPr>
        <w:t>9</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七、财政拨款</w:t>
      </w:r>
      <w:r>
        <w:rPr>
          <w:rFonts w:hint="eastAsia" w:ascii="Times New Roman" w:hAnsi="Times New Roman" w:eastAsia="仿宋_GB2312" w:cs="仿宋_GB2312"/>
          <w:color w:val="auto"/>
          <w:sz w:val="32"/>
          <w:szCs w:val="32"/>
          <w:highlight w:val="none"/>
          <w:lang w:eastAsia="zh-CN"/>
        </w:rPr>
        <w:t>“</w:t>
      </w:r>
      <w:r>
        <w:rPr>
          <w:rFonts w:hint="eastAsia" w:ascii="Times New Roman" w:hAnsi="Times New Roman" w:eastAsia="仿宋_GB2312" w:cs="仿宋_GB2312"/>
          <w:color w:val="auto"/>
          <w:sz w:val="32"/>
          <w:szCs w:val="32"/>
          <w:highlight w:val="none"/>
        </w:rPr>
        <w:t>三公”经费支出决算情况说明</w:t>
      </w:r>
      <w:r>
        <w:rPr>
          <w:rFonts w:hint="eastAsia" w:ascii="宋体" w:hAnsi="宋体"/>
          <w:sz w:val="24"/>
        </w:rPr>
        <w:t>·····</w:t>
      </w:r>
      <w:r>
        <w:rPr>
          <w:rFonts w:hint="eastAsia" w:eastAsia="仿宋_GB2312" w:cs="仿宋_GB2312"/>
          <w:color w:val="auto"/>
          <w:sz w:val="32"/>
          <w:szCs w:val="32"/>
          <w:highlight w:val="none"/>
          <w:lang w:val="en-US" w:eastAsia="zh-CN"/>
        </w:rPr>
        <w:t>10</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八、政府性基金预算支出决算情况说明</w:t>
      </w:r>
      <w:r>
        <w:rPr>
          <w:rFonts w:hint="eastAsia" w:ascii="宋体" w:hAnsi="宋体"/>
          <w:sz w:val="24"/>
        </w:rPr>
        <w:t>·········</w:t>
      </w:r>
      <w:r>
        <w:rPr>
          <w:rFonts w:hint="eastAsia" w:eastAsia="仿宋_GB2312" w:cs="仿宋_GB2312"/>
          <w:color w:val="auto"/>
          <w:sz w:val="32"/>
          <w:szCs w:val="32"/>
          <w:highlight w:val="none"/>
          <w:lang w:val="en-US" w:eastAsia="zh-CN"/>
        </w:rPr>
        <w:t>12</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w:t>
      </w:r>
      <w:r>
        <w:rPr>
          <w:rFonts w:hint="eastAsia" w:ascii="Times New Roman" w:hAnsi="Times New Roman" w:eastAsia="仿宋_GB2312" w:cs="仿宋_GB2312"/>
          <w:color w:val="auto"/>
          <w:sz w:val="32"/>
          <w:szCs w:val="32"/>
          <w:highlight w:val="none"/>
          <w:lang w:eastAsia="zh-CN"/>
        </w:rPr>
        <w:t>国</w:t>
      </w:r>
      <w:r>
        <w:rPr>
          <w:rFonts w:hint="eastAsia" w:ascii="Times New Roman" w:hAnsi="Times New Roman" w:eastAsia="仿宋_GB2312" w:cs="仿宋_GB2312"/>
          <w:color w:val="auto"/>
          <w:sz w:val="32"/>
          <w:szCs w:val="32"/>
          <w:highlight w:val="none"/>
        </w:rPr>
        <w:t>有资本经营预算支出决算情况说明</w:t>
      </w:r>
      <w:r>
        <w:rPr>
          <w:rFonts w:hint="eastAsia" w:ascii="宋体" w:hAnsi="宋体"/>
          <w:sz w:val="24"/>
        </w:rPr>
        <w:t>·······</w:t>
      </w:r>
      <w:r>
        <w:rPr>
          <w:rFonts w:hint="eastAsia" w:eastAsia="仿宋_GB2312" w:cs="仿宋_GB2312"/>
          <w:color w:val="auto"/>
          <w:sz w:val="32"/>
          <w:szCs w:val="32"/>
          <w:highlight w:val="none"/>
          <w:lang w:val="en-US" w:eastAsia="zh-CN"/>
        </w:rPr>
        <w:t>12</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eastAsia="zh-CN"/>
        </w:rPr>
        <w:t>十</w:t>
      </w:r>
      <w:r>
        <w:rPr>
          <w:rFonts w:hint="eastAsia" w:ascii="Times New Roman" w:hAnsi="Times New Roman" w:eastAsia="仿宋_GB2312" w:cs="仿宋_GB2312"/>
          <w:color w:val="auto"/>
          <w:sz w:val="32"/>
          <w:szCs w:val="32"/>
          <w:highlight w:val="none"/>
        </w:rPr>
        <w:t>、其他重要事项的情况说明</w:t>
      </w:r>
      <w:r>
        <w:rPr>
          <w:rFonts w:hint="eastAsia" w:ascii="宋体" w:hAnsi="宋体"/>
          <w:sz w:val="24"/>
        </w:rPr>
        <w:t>············</w:t>
      </w:r>
      <w:r>
        <w:rPr>
          <w:rFonts w:hint="eastAsia" w:eastAsia="仿宋_GB2312" w:cs="仿宋_GB2312"/>
          <w:color w:val="auto"/>
          <w:sz w:val="32"/>
          <w:szCs w:val="32"/>
          <w:highlight w:val="none"/>
          <w:lang w:val="en-US" w:eastAsia="zh-CN"/>
        </w:rPr>
        <w:t>12</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第三部分 名词解释</w:t>
      </w:r>
      <w:r>
        <w:rPr>
          <w:rFonts w:hint="eastAsia" w:ascii="宋体" w:hAnsi="宋体"/>
          <w:sz w:val="24"/>
        </w:rPr>
        <w:t>····················</w:t>
      </w:r>
      <w:r>
        <w:rPr>
          <w:rFonts w:hint="eastAsia" w:ascii="Times New Roman" w:hAnsi="Times New Roman" w:eastAsia="黑体" w:cs="黑体"/>
          <w:color w:val="auto"/>
          <w:sz w:val="32"/>
          <w:szCs w:val="32"/>
          <w:highlight w:val="none"/>
          <w:lang w:val="en-US" w:eastAsia="zh-CN"/>
        </w:rPr>
        <w:t>14</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第四部分 附件</w:t>
      </w:r>
      <w:r>
        <w:rPr>
          <w:rFonts w:hint="eastAsia" w:ascii="宋体" w:hAnsi="宋体"/>
          <w:sz w:val="24"/>
        </w:rPr>
        <w:t>······················</w:t>
      </w:r>
      <w:r>
        <w:rPr>
          <w:rFonts w:hint="eastAsia" w:ascii="Times New Roman" w:hAnsi="Times New Roman" w:eastAsia="黑体" w:cs="黑体"/>
          <w:color w:val="auto"/>
          <w:sz w:val="32"/>
          <w:szCs w:val="32"/>
          <w:highlight w:val="none"/>
          <w:lang w:val="en-US" w:eastAsia="zh-CN"/>
        </w:rPr>
        <w:t>16</w:t>
      </w:r>
    </w:p>
    <w:p>
      <w:pPr>
        <w:pStyle w:val="13"/>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hint="default" w:ascii="Times New Roman" w:hAnsi="Times New Roman" w:eastAsia="黑体" w:cs="黑体"/>
          <w:color w:val="auto"/>
          <w:sz w:val="32"/>
          <w:szCs w:val="32"/>
          <w:highlight w:val="none"/>
          <w:lang w:val="en-US" w:eastAsia="zh-CN"/>
        </w:rPr>
      </w:pPr>
      <w:r>
        <w:rPr>
          <w:rFonts w:hint="eastAsia" w:ascii="Times New Roman" w:hAnsi="Times New Roman" w:eastAsia="黑体" w:cs="黑体"/>
          <w:color w:val="auto"/>
          <w:sz w:val="32"/>
          <w:szCs w:val="32"/>
          <w:highlight w:val="none"/>
        </w:rPr>
        <w:t>第五部分 附表</w:t>
      </w:r>
      <w:r>
        <w:rPr>
          <w:rFonts w:hint="eastAsia" w:ascii="Times New Roman" w:hAnsi="Times New Roman" w:eastAsia="黑体" w:cs="黑体"/>
          <w:color w:val="auto"/>
          <w:sz w:val="32"/>
          <w:szCs w:val="32"/>
          <w:highlight w:val="none"/>
          <w:lang w:val="en-US" w:eastAsia="zh-CN"/>
        </w:rPr>
        <w:t xml:space="preserve"> </w:t>
      </w:r>
      <w:r>
        <w:rPr>
          <w:rFonts w:hint="eastAsia" w:ascii="宋体" w:hAnsi="宋体"/>
          <w:sz w:val="24"/>
        </w:rPr>
        <w:t>·····················</w:t>
      </w:r>
      <w:r>
        <w:rPr>
          <w:rFonts w:hint="eastAsia" w:ascii="Times New Roman" w:hAnsi="Times New Roman" w:eastAsia="黑体" w:cs="黑体"/>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一、收入支出决算总表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eastAsia"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二、收入决算表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三、支出决算表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四、财政拨款收入支出决算总表</w:t>
      </w:r>
      <w:r>
        <w:rPr>
          <w:rFonts w:hint="eastAsia" w:eastAsia="仿宋_GB2312" w:cs="仿宋_GB2312"/>
          <w:color w:val="auto"/>
          <w:sz w:val="32"/>
          <w:szCs w:val="32"/>
          <w:highlight w:val="none"/>
          <w:lang w:val="en-US" w:eastAsia="zh-CN"/>
        </w:rPr>
        <w:t xml:space="preserve"> </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五、财政拨款支出决算明细表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六、一般公共预算财政拨款支出决算表</w:t>
      </w:r>
      <w:r>
        <w:rPr>
          <w:rFonts w:hint="eastAsia" w:eastAsia="仿宋_GB2312" w:cs="仿宋_GB2312"/>
          <w:color w:val="auto"/>
          <w:sz w:val="32"/>
          <w:szCs w:val="32"/>
          <w:highlight w:val="none"/>
          <w:lang w:val="en-US" w:eastAsia="zh-CN"/>
        </w:rPr>
        <w:t xml:space="preserve"> </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七、一般公共预算财政拨款支出决算明细表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八、一般公共预算财政拨款基本支出决算</w:t>
      </w:r>
      <w:r>
        <w:rPr>
          <w:rFonts w:hint="eastAsia" w:ascii="Times New Roman" w:hAnsi="Times New Roman" w:eastAsia="仿宋_GB2312" w:cs="仿宋_GB2312"/>
          <w:color w:val="auto"/>
          <w:sz w:val="32"/>
          <w:szCs w:val="32"/>
          <w:highlight w:val="none"/>
          <w:lang w:eastAsia="zh-CN"/>
        </w:rPr>
        <w:t>明细</w:t>
      </w:r>
      <w:r>
        <w:rPr>
          <w:rFonts w:hint="eastAsia" w:ascii="Times New Roman" w:hAnsi="Times New Roman" w:eastAsia="仿宋_GB2312" w:cs="仿宋_GB2312"/>
          <w:color w:val="auto"/>
          <w:sz w:val="32"/>
          <w:szCs w:val="32"/>
          <w:highlight w:val="none"/>
        </w:rPr>
        <w:t>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九、一般公共预算财政拨款项目支出决算表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十、政府性基金预算财政拨款收入支出决算表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十一、国有资本经营预算财政拨款收入支出决算表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rPr>
      </w:pPr>
      <w:r>
        <w:rPr>
          <w:rFonts w:hint="eastAsia" w:ascii="Times New Roman" w:hAnsi="Times New Roman" w:eastAsia="仿宋_GB2312" w:cs="仿宋_GB2312"/>
          <w:color w:val="auto"/>
          <w:sz w:val="32"/>
          <w:szCs w:val="32"/>
          <w:highlight w:val="none"/>
        </w:rPr>
        <w:t>十二、</w:t>
      </w:r>
      <w:r>
        <w:rPr>
          <w:rFonts w:hint="eastAsia" w:ascii="Times New Roman" w:hAnsi="Times New Roman" w:eastAsia="仿宋_GB2312" w:cs="仿宋_GB2312"/>
          <w:color w:val="auto"/>
          <w:sz w:val="32"/>
          <w:szCs w:val="32"/>
          <w:highlight w:val="none"/>
          <w:lang w:val="en-US" w:eastAsia="zh-CN"/>
        </w:rPr>
        <w:t>国有资本经营预算财政拨款支出决算表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14"/>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rPr>
          <w:rFonts w:hint="default"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rPr>
        <w:t>十三、财政拨款“三公”经费支出决算表</w:t>
      </w:r>
      <w:r>
        <w:rPr>
          <w:rFonts w:hint="eastAsia" w:ascii="宋体" w:hAnsi="宋体"/>
          <w:sz w:val="24"/>
        </w:rPr>
        <w:t>·······</w:t>
      </w:r>
      <w:r>
        <w:rPr>
          <w:rFonts w:hint="eastAsia" w:eastAsia="仿宋_GB2312" w:cs="仿宋_GB2312"/>
          <w:color w:val="auto"/>
          <w:sz w:val="32"/>
          <w:szCs w:val="32"/>
          <w:highlight w:val="none"/>
          <w:lang w:val="en-US" w:eastAsia="zh-CN"/>
        </w:rPr>
        <w:t>17</w:t>
      </w:r>
    </w:p>
    <w:p>
      <w:pPr>
        <w:pStyle w:val="2"/>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p>
      <w:pPr>
        <w:pStyle w:val="3"/>
        <w:rPr>
          <w:rFonts w:hint="eastAsia" w:ascii="Times New Roman" w:hAnsi="Times New Roman" w:eastAsia="仿宋_GB2312" w:cs="仿宋_GB2312"/>
          <w:color w:val="auto"/>
          <w:sz w:val="32"/>
          <w:szCs w:val="32"/>
          <w:highlight w:val="none"/>
        </w:rPr>
      </w:pPr>
    </w:p>
    <w:sdt>
      <w:sdtPr>
        <w:rPr>
          <w:rFonts w:ascii="宋体" w:hAnsi="宋体" w:eastAsia="宋体" w:cs="Times New Roman"/>
          <w:kern w:val="2"/>
          <w:sz w:val="21"/>
          <w:szCs w:val="24"/>
          <w:lang w:val="en-US" w:eastAsia="zh-CN" w:bidi="ar-SA"/>
        </w:rPr>
        <w:id w:val="147479554"/>
        <w:showingPlcHdr/>
        <w15:color w:val="DBDBDB"/>
        <w:docPartObj>
          <w:docPartGallery w:val="Table of Contents"/>
          <w:docPartUnique/>
        </w:docPartObj>
      </w:sdtPr>
      <w:sdtEndPr>
        <w:rPr>
          <w:rFonts w:ascii="Times New Roman" w:hAnsi="Times New Roman" w:eastAsia="宋体" w:cs="Times New Roman"/>
          <w:color w:val="auto"/>
          <w:kern w:val="2"/>
          <w:sz w:val="21"/>
          <w:szCs w:val="24"/>
          <w:highlight w:val="none"/>
          <w:lang w:val="en-US" w:eastAsia="zh-CN" w:bidi="ar-SA"/>
        </w:rPr>
      </w:sdtEndPr>
      <w:sdtContent>
        <w:p>
          <w:pPr>
            <w:pStyle w:val="8"/>
            <w:rPr>
              <w:rFonts w:ascii="Times New Roman" w:hAnsi="Times New Roman"/>
              <w:color w:val="auto"/>
              <w:highlight w:val="none"/>
            </w:rPr>
          </w:pPr>
          <w:r>
            <w:rPr>
              <w:rFonts w:hint="eastAsia" w:ascii="宋体" w:hAnsi="宋体" w:eastAsia="宋体" w:cs="Times New Roman"/>
              <w:kern w:val="2"/>
              <w:sz w:val="21"/>
              <w:szCs w:val="24"/>
              <w:lang w:val="en-US" w:eastAsia="zh-CN" w:bidi="ar-SA"/>
            </w:rPr>
            <w:t xml:space="preserve">     </w:t>
          </w:r>
        </w:p>
      </w:sdtContent>
    </w:sdt>
    <w:p>
      <w:pPr>
        <w:pStyle w:val="5"/>
        <w:jc w:val="center"/>
        <w:rPr>
          <w:rStyle w:val="28"/>
          <w:rFonts w:hint="eastAsia" w:ascii="Times New Roman" w:hAnsi="Times New Roman" w:eastAsia="方正小标宋简体" w:cs="方正小标宋简体"/>
          <w:b/>
          <w:bCs w:val="0"/>
          <w:color w:val="auto"/>
          <w:highlight w:val="none"/>
        </w:rPr>
      </w:pPr>
      <w:bookmarkStart w:id="12" w:name="_Toc21493"/>
      <w:bookmarkStart w:id="13" w:name="_Toc15377196"/>
      <w:bookmarkStart w:id="14" w:name="_Toc15396599"/>
      <w:r>
        <w:rPr>
          <w:rFonts w:hint="eastAsia" w:ascii="Times New Roman" w:hAnsi="Times New Roman" w:eastAsia="方正小标宋简体" w:cs="方正小标宋简体"/>
          <w:b w:val="0"/>
          <w:color w:val="auto"/>
          <w:highlight w:val="none"/>
        </w:rPr>
        <w:t>第一部分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Style w:val="28"/>
          <w:rFonts w:hint="eastAsia" w:eastAsia="方正小标宋简体" w:cs="方正小标宋简体"/>
          <w:b w:val="0"/>
          <w:bCs w:val="0"/>
          <w:color w:val="auto"/>
          <w:highlight w:val="none"/>
          <w:lang w:val="en-US" w:eastAsia="zh-CN"/>
        </w:rPr>
        <w:t>单位</w:t>
      </w:r>
      <w:r>
        <w:rPr>
          <w:rStyle w:val="28"/>
          <w:rFonts w:hint="eastAsia" w:ascii="Times New Roman" w:hAnsi="Times New Roman" w:eastAsia="方正小标宋简体" w:cs="方正小标宋简体"/>
          <w:b w:val="0"/>
          <w:bCs w:val="0"/>
          <w:color w:val="auto"/>
          <w:highlight w:val="none"/>
        </w:rPr>
        <w:t>概况</w:t>
      </w:r>
      <w:bookmarkEnd w:id="12"/>
      <w:bookmarkEnd w:id="13"/>
      <w:bookmarkEnd w:id="14"/>
    </w:p>
    <w:p>
      <w:pPr>
        <w:pStyle w:val="6"/>
        <w:numPr>
          <w:ilvl w:val="0"/>
          <w:numId w:val="1"/>
        </w:numPr>
        <w:rPr>
          <w:rFonts w:hint="eastAsia" w:ascii="Times New Roman" w:hAnsi="Times New Roman" w:eastAsia="黑体"/>
          <w:b w:val="0"/>
          <w:color w:val="auto"/>
          <w:highlight w:val="none"/>
          <w:lang w:eastAsia="zh-CN"/>
        </w:rPr>
      </w:pPr>
      <w:bookmarkStart w:id="15" w:name="_Toc7621"/>
      <w:r>
        <w:rPr>
          <w:rFonts w:hint="eastAsia" w:ascii="Times New Roman" w:hAnsi="Times New Roman" w:eastAsia="黑体"/>
          <w:b w:val="0"/>
          <w:color w:val="auto"/>
          <w:highlight w:val="none"/>
          <w:lang w:val="en-US" w:eastAsia="zh-CN"/>
        </w:rPr>
        <w:t>主要</w:t>
      </w:r>
      <w:r>
        <w:rPr>
          <w:rFonts w:hint="eastAsia" w:ascii="Times New Roman" w:hAnsi="Times New Roman" w:eastAsia="黑体"/>
          <w:b w:val="0"/>
          <w:color w:val="auto"/>
          <w:highlight w:val="none"/>
          <w:lang w:eastAsia="zh-CN"/>
        </w:rPr>
        <w:t>职责</w:t>
      </w:r>
      <w:bookmarkEnd w:id="15"/>
    </w:p>
    <w:p>
      <w:pPr>
        <w:adjustRightInd w:val="0"/>
        <w:snapToGrid w:val="0"/>
        <w:spacing w:beforeLines="50" w:afterLines="50" w:line="360" w:lineRule="auto"/>
        <w:ind w:firstLine="640" w:firstLineChars="200"/>
        <w:jc w:val="left"/>
        <w:outlineLvl w:val="0"/>
        <w:rPr>
          <w:rFonts w:ascii="仿宋_GB2312" w:hAnsi="黑体" w:eastAsia="仿宋_GB2312"/>
          <w:sz w:val="32"/>
          <w:szCs w:val="32"/>
        </w:rPr>
      </w:pPr>
      <w:bookmarkStart w:id="16" w:name="_Toc13021"/>
      <w:bookmarkStart w:id="17" w:name="_Toc28893"/>
      <w:bookmarkStart w:id="18" w:name="_Toc18359"/>
      <w:r>
        <w:rPr>
          <w:rFonts w:hint="eastAsia" w:ascii="仿宋_GB2312" w:hAnsi="黑体" w:eastAsia="仿宋_GB2312"/>
          <w:sz w:val="32"/>
          <w:szCs w:val="32"/>
        </w:rPr>
        <w:t>四川省轻工幼儿园创办于1952年，位于成都市金牛区一环路北三段六号，省属事业单位，承担省级机关和直属单位职工的幼儿入托和教育工作。</w:t>
      </w:r>
      <w:bookmarkEnd w:id="16"/>
      <w:bookmarkEnd w:id="17"/>
      <w:bookmarkEnd w:id="18"/>
    </w:p>
    <w:p>
      <w:pPr>
        <w:pStyle w:val="6"/>
        <w:numPr>
          <w:ilvl w:val="0"/>
          <w:numId w:val="1"/>
        </w:numPr>
        <w:rPr>
          <w:rFonts w:hint="eastAsia" w:ascii="Times New Roman" w:hAnsi="Times New Roman" w:eastAsia="黑体"/>
          <w:b w:val="0"/>
          <w:color w:val="auto"/>
          <w:highlight w:val="none"/>
          <w:lang w:val="en-US" w:eastAsia="zh-CN"/>
        </w:rPr>
      </w:pPr>
      <w:bookmarkStart w:id="19" w:name="_Toc15377200"/>
      <w:bookmarkStart w:id="20" w:name="_Toc12265"/>
      <w:bookmarkStart w:id="21" w:name="_Toc15396601"/>
      <w:r>
        <w:rPr>
          <w:rFonts w:hint="eastAsia" w:ascii="Times New Roman" w:hAnsi="Times New Roman" w:eastAsia="黑体"/>
          <w:b w:val="0"/>
          <w:color w:val="auto"/>
          <w:highlight w:val="none"/>
          <w:lang w:val="en-US" w:eastAsia="zh-CN"/>
        </w:rPr>
        <w:t>机构设置</w:t>
      </w:r>
      <w:bookmarkEnd w:id="19"/>
      <w:bookmarkEnd w:id="20"/>
      <w:bookmarkEnd w:id="21"/>
    </w:p>
    <w:p>
      <w:pPr>
        <w:ind w:firstLine="640" w:firstLineChars="200"/>
        <w:rPr>
          <w:rFonts w:ascii="仿宋_GB2312" w:hAnsi="黑体" w:eastAsia="仿宋_GB2312"/>
          <w:sz w:val="32"/>
          <w:szCs w:val="32"/>
        </w:rPr>
      </w:pPr>
      <w:bookmarkStart w:id="22" w:name="_Toc15396602"/>
      <w:bookmarkStart w:id="23" w:name="_Toc15377204"/>
      <w:r>
        <w:rPr>
          <w:rFonts w:hint="eastAsia" w:ascii="仿宋_GB2312" w:hAnsi="黑体" w:eastAsia="仿宋_GB2312"/>
          <w:sz w:val="32"/>
          <w:szCs w:val="32"/>
        </w:rPr>
        <w:t>四川省轻工幼儿园因单位体量小，职工少，业务单一，所以只设置了四个职能办公室，分别是：教育教学室、办公室、财务室、后勤室。</w:t>
      </w:r>
    </w:p>
    <w:p>
      <w:pPr>
        <w:pStyle w:val="5"/>
        <w:jc w:val="center"/>
        <w:rPr>
          <w:rFonts w:hint="eastAsia" w:ascii="Times New Roman" w:hAnsi="Times New Roman" w:eastAsia="方正小标宋简体" w:cs="方正小标宋简体"/>
          <w:b w:val="0"/>
          <w:color w:val="auto"/>
          <w:highlight w:val="none"/>
        </w:rPr>
      </w:pPr>
    </w:p>
    <w:p>
      <w:pPr>
        <w:rPr>
          <w:rFonts w:hint="eastAsia" w:ascii="Times New Roman" w:hAnsi="Times New Roman" w:eastAsia="方正小标宋简体" w:cs="方正小标宋简体"/>
          <w:b w:val="0"/>
          <w:color w:val="auto"/>
          <w:highlight w:val="none"/>
        </w:rPr>
      </w:pPr>
    </w:p>
    <w:p>
      <w:pPr>
        <w:pStyle w:val="8"/>
        <w:rPr>
          <w:rFonts w:hint="eastAsia" w:ascii="Times New Roman" w:hAnsi="Times New Roman" w:eastAsia="方正小标宋简体" w:cs="方正小标宋简体"/>
          <w:b w:val="0"/>
          <w:color w:val="auto"/>
          <w:highlight w:val="none"/>
        </w:rPr>
      </w:pPr>
    </w:p>
    <w:p>
      <w:pPr>
        <w:pStyle w:val="8"/>
        <w:rPr>
          <w:rFonts w:hint="eastAsia" w:ascii="Times New Roman" w:hAnsi="Times New Roman" w:eastAsia="方正小标宋简体" w:cs="方正小标宋简体"/>
          <w:b w:val="0"/>
          <w:color w:val="auto"/>
          <w:highlight w:val="none"/>
        </w:rPr>
      </w:pPr>
    </w:p>
    <w:p>
      <w:pPr>
        <w:pStyle w:val="8"/>
        <w:rPr>
          <w:rFonts w:hint="eastAsia" w:ascii="Times New Roman" w:hAnsi="Times New Roman" w:eastAsia="方正小标宋简体" w:cs="方正小标宋简体"/>
          <w:b w:val="0"/>
          <w:color w:val="auto"/>
          <w:highlight w:val="none"/>
        </w:rPr>
      </w:pPr>
    </w:p>
    <w:p>
      <w:pPr>
        <w:pStyle w:val="8"/>
        <w:rPr>
          <w:rFonts w:hint="eastAsia" w:ascii="Times New Roman" w:hAnsi="Times New Roman" w:eastAsia="方正小标宋简体" w:cs="方正小标宋简体"/>
          <w:b w:val="0"/>
          <w:color w:val="auto"/>
          <w:highlight w:val="none"/>
        </w:rPr>
      </w:pPr>
    </w:p>
    <w:p>
      <w:pPr>
        <w:pStyle w:val="5"/>
        <w:jc w:val="center"/>
        <w:rPr>
          <w:rFonts w:ascii="Times New Roman" w:hAnsi="Times New Roman"/>
          <w:color w:val="auto"/>
          <w:highlight w:val="none"/>
        </w:rPr>
      </w:pPr>
      <w:bookmarkStart w:id="24" w:name="_Toc11260"/>
      <w:r>
        <w:rPr>
          <w:rFonts w:hint="eastAsia" w:ascii="Times New Roman" w:hAnsi="Times New Roman" w:eastAsia="方正小标宋简体" w:cs="方正小标宋简体"/>
          <w:b w:val="0"/>
          <w:color w:val="auto"/>
          <w:highlight w:val="none"/>
        </w:rPr>
        <w:t>第二部分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val="0"/>
          <w:color w:val="auto"/>
          <w:highlight w:val="none"/>
        </w:rPr>
        <w:t xml:space="preserve"> </w:t>
      </w:r>
      <w:r>
        <w:rPr>
          <w:rFonts w:hint="eastAsia" w:ascii="Times New Roman" w:hAnsi="Times New Roman" w:eastAsia="方正小标宋简体" w:cs="方正小标宋简体"/>
          <w:b w:val="0"/>
          <w:color w:val="auto"/>
          <w:highlight w:val="none"/>
          <w:lang w:val="en-US" w:eastAsia="zh-CN"/>
        </w:rPr>
        <w:t>2024年度单位</w:t>
      </w:r>
      <w:r>
        <w:rPr>
          <w:rFonts w:hint="eastAsia" w:ascii="Times New Roman" w:hAnsi="Times New Roman" w:eastAsia="方正小标宋简体" w:cs="方正小标宋简体"/>
          <w:b w:val="0"/>
          <w:color w:val="auto"/>
          <w:highlight w:val="none"/>
        </w:rPr>
        <w:t>决算情况说明</w:t>
      </w:r>
      <w:bookmarkEnd w:id="22"/>
      <w:bookmarkEnd w:id="23"/>
      <w:bookmarkEnd w:id="24"/>
    </w:p>
    <w:p>
      <w:pPr>
        <w:pStyle w:val="6"/>
        <w:numPr>
          <w:ilvl w:val="0"/>
          <w:numId w:val="2"/>
        </w:numPr>
        <w:rPr>
          <w:rFonts w:hint="eastAsia" w:ascii="Times New Roman" w:hAnsi="Times New Roman" w:eastAsia="黑体"/>
          <w:b w:val="0"/>
          <w:color w:val="auto"/>
          <w:highlight w:val="none"/>
          <w:lang w:val="en-US" w:eastAsia="zh-CN"/>
        </w:rPr>
      </w:pPr>
      <w:bookmarkStart w:id="25" w:name="_Toc15377205"/>
      <w:bookmarkStart w:id="26" w:name="_Toc9613"/>
      <w:bookmarkStart w:id="27" w:name="_Toc15396603"/>
      <w:r>
        <w:rPr>
          <w:rFonts w:hint="eastAsia" w:ascii="Times New Roman" w:hAnsi="Times New Roman" w:eastAsia="黑体"/>
          <w:b w:val="0"/>
          <w:color w:val="auto"/>
          <w:highlight w:val="none"/>
          <w:lang w:val="en-US" w:eastAsia="zh-CN"/>
        </w:rPr>
        <w:t>收入支出决算总体情况说明</w:t>
      </w:r>
      <w:bookmarkEnd w:id="25"/>
      <w:bookmarkEnd w:id="26"/>
      <w:bookmarkEnd w:id="27"/>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仿宋_GB2312"/>
          <w:color w:val="auto"/>
          <w:sz w:val="32"/>
          <w:szCs w:val="32"/>
          <w:highlight w:val="none"/>
          <w:lang w:val="en-US" w:eastAsia="zh-CN"/>
        </w:rPr>
      </w:pPr>
      <w:bookmarkStart w:id="28" w:name="_Toc9028"/>
      <w:bookmarkStart w:id="29" w:name="_Toc25390"/>
      <w:bookmarkStart w:id="30" w:name="_Toc6669"/>
      <w:r>
        <w:rPr>
          <w:rFonts w:hint="eastAsia" w:ascii="Times New Roman" w:hAnsi="Times New Roman" w:eastAsia="仿宋_GB2312" w:cs="仿宋_GB2312"/>
          <w:color w:val="auto"/>
          <w:sz w:val="32"/>
          <w:szCs w:val="32"/>
          <w:highlight w:val="none"/>
          <w:lang w:eastAsia="zh-CN"/>
        </w:rPr>
        <w:t>2024年度收入</w:t>
      </w:r>
      <w:r>
        <w:rPr>
          <w:rFonts w:hint="eastAsia" w:ascii="Times New Roman" w:hAnsi="Times New Roman" w:eastAsia="仿宋_GB2312" w:cs="仿宋_GB2312"/>
          <w:color w:val="auto"/>
          <w:sz w:val="32"/>
          <w:szCs w:val="32"/>
          <w:highlight w:val="none"/>
        </w:rPr>
        <w:t>、</w:t>
      </w:r>
      <w:r>
        <w:rPr>
          <w:rFonts w:hint="eastAsia" w:ascii="Times New Roman" w:hAnsi="Times New Roman" w:eastAsia="仿宋_GB2312" w:cs="仿宋_GB2312"/>
          <w:color w:val="auto"/>
          <w:sz w:val="32"/>
          <w:szCs w:val="32"/>
          <w:highlight w:val="none"/>
          <w:lang w:eastAsia="zh-CN"/>
        </w:rPr>
        <w:t>支出</w:t>
      </w:r>
      <w:r>
        <w:rPr>
          <w:rFonts w:hint="eastAsia" w:ascii="Times New Roman" w:hAnsi="Times New Roman" w:eastAsia="仿宋_GB2312" w:cs="仿宋_GB2312"/>
          <w:color w:val="auto"/>
          <w:sz w:val="32"/>
          <w:szCs w:val="32"/>
          <w:highlight w:val="none"/>
        </w:rPr>
        <w:t>总计</w:t>
      </w:r>
      <w:r>
        <w:rPr>
          <w:rFonts w:hint="eastAsia" w:eastAsia="仿宋_GB2312" w:cs="仿宋_GB2312"/>
          <w:color w:val="auto"/>
          <w:sz w:val="32"/>
          <w:szCs w:val="32"/>
          <w:highlight w:val="none"/>
          <w:lang w:val="en-US" w:eastAsia="zh-CN"/>
        </w:rPr>
        <w:t>分别</w:t>
      </w:r>
      <w:r>
        <w:rPr>
          <w:rFonts w:hint="eastAsia" w:ascii="Times New Roman" w:hAnsi="Times New Roman" w:eastAsia="仿宋_GB2312" w:cs="仿宋_GB2312"/>
          <w:color w:val="auto"/>
          <w:sz w:val="32"/>
          <w:szCs w:val="32"/>
          <w:highlight w:val="none"/>
          <w:lang w:eastAsia="zh-CN"/>
        </w:rPr>
        <w:t>为</w:t>
      </w:r>
      <w:r>
        <w:rPr>
          <w:rFonts w:hint="eastAsia" w:eastAsia="仿宋_GB2312" w:cs="仿宋_GB2312"/>
          <w:color w:val="auto"/>
          <w:sz w:val="32"/>
          <w:szCs w:val="32"/>
          <w:highlight w:val="none"/>
          <w:lang w:val="en-US" w:eastAsia="zh-CN"/>
        </w:rPr>
        <w:t>472.58</w:t>
      </w:r>
      <w:r>
        <w:rPr>
          <w:rFonts w:hint="eastAsia" w:ascii="Times New Roman" w:hAnsi="Times New Roman" w:eastAsia="仿宋_GB2312" w:cs="仿宋_GB2312"/>
          <w:color w:val="auto"/>
          <w:sz w:val="32"/>
          <w:szCs w:val="32"/>
          <w:highlight w:val="none"/>
        </w:rPr>
        <w:t>万元</w:t>
      </w:r>
      <w:r>
        <w:rPr>
          <w:rFonts w:hint="eastAsia" w:eastAsia="仿宋_GB2312" w:cs="仿宋_GB2312"/>
          <w:color w:val="auto"/>
          <w:sz w:val="32"/>
          <w:szCs w:val="32"/>
          <w:highlight w:val="none"/>
          <w:lang w:val="en-US" w:eastAsia="zh-CN"/>
        </w:rPr>
        <w:t>和384.70万元</w:t>
      </w:r>
      <w:r>
        <w:rPr>
          <w:rFonts w:hint="eastAsia" w:ascii="Times New Roman" w:hAnsi="Times New Roman" w:eastAsia="仿宋_GB2312" w:cs="仿宋_GB2312"/>
          <w:color w:val="auto"/>
          <w:sz w:val="32"/>
          <w:szCs w:val="32"/>
          <w:highlight w:val="none"/>
        </w:rPr>
        <w:t>。与</w:t>
      </w:r>
      <w:r>
        <w:rPr>
          <w:rFonts w:hint="eastAsia" w:ascii="Times New Roman" w:hAnsi="Times New Roman" w:eastAsia="仿宋_GB2312" w:cs="仿宋_GB2312"/>
          <w:color w:val="auto"/>
          <w:sz w:val="32"/>
          <w:szCs w:val="32"/>
          <w:highlight w:val="none"/>
          <w:lang w:eastAsia="zh-CN"/>
        </w:rPr>
        <w:t>202</w:t>
      </w:r>
      <w:r>
        <w:rPr>
          <w:rFonts w:hint="eastAsia" w:ascii="Times New Roman" w:hAnsi="Times New Roman" w:eastAsia="仿宋_GB2312" w:cs="仿宋_GB2312"/>
          <w:color w:val="auto"/>
          <w:sz w:val="32"/>
          <w:szCs w:val="32"/>
          <w:highlight w:val="none"/>
          <w:lang w:val="en-US" w:eastAsia="zh-CN"/>
        </w:rPr>
        <w:t>3</w:t>
      </w:r>
      <w:r>
        <w:rPr>
          <w:rFonts w:hint="eastAsia" w:ascii="Times New Roman" w:hAnsi="Times New Roman" w:eastAsia="仿宋_GB2312" w:cs="仿宋_GB2312"/>
          <w:color w:val="auto"/>
          <w:sz w:val="32"/>
          <w:szCs w:val="32"/>
          <w:highlight w:val="none"/>
        </w:rPr>
        <w:t>年</w:t>
      </w:r>
      <w:r>
        <w:rPr>
          <w:rFonts w:hint="eastAsia" w:ascii="Times New Roman" w:hAnsi="Times New Roman" w:eastAsia="仿宋_GB2312" w:cs="仿宋_GB2312"/>
          <w:color w:val="auto"/>
          <w:sz w:val="32"/>
          <w:szCs w:val="32"/>
          <w:highlight w:val="none"/>
          <w:lang w:eastAsia="zh-CN"/>
        </w:rPr>
        <w:t>度</w:t>
      </w:r>
      <w:r>
        <w:rPr>
          <w:rFonts w:hint="eastAsia" w:ascii="Times New Roman" w:hAnsi="Times New Roman" w:eastAsia="仿宋_GB2312" w:cs="仿宋_GB2312"/>
          <w:color w:val="auto"/>
          <w:sz w:val="32"/>
          <w:szCs w:val="32"/>
          <w:highlight w:val="none"/>
        </w:rPr>
        <w:t>相比，</w:t>
      </w:r>
      <w:r>
        <w:rPr>
          <w:rFonts w:hint="eastAsia" w:ascii="Times New Roman" w:hAnsi="Times New Roman" w:eastAsia="仿宋_GB2312" w:cs="仿宋_GB2312"/>
          <w:color w:val="auto"/>
          <w:sz w:val="32"/>
          <w:szCs w:val="32"/>
          <w:highlight w:val="none"/>
          <w:lang w:eastAsia="zh-CN"/>
        </w:rPr>
        <w:t>收入</w:t>
      </w:r>
      <w:r>
        <w:rPr>
          <w:rFonts w:hint="eastAsia" w:ascii="Times New Roman" w:hAnsi="Times New Roman" w:eastAsia="仿宋_GB2312" w:cs="仿宋_GB2312"/>
          <w:color w:val="auto"/>
          <w:sz w:val="32"/>
          <w:szCs w:val="32"/>
          <w:highlight w:val="none"/>
        </w:rPr>
        <w:t>增加</w:t>
      </w:r>
      <w:r>
        <w:rPr>
          <w:rFonts w:hint="eastAsia" w:eastAsia="仿宋_GB2312" w:cs="仿宋_GB2312"/>
          <w:color w:val="auto"/>
          <w:sz w:val="32"/>
          <w:szCs w:val="32"/>
          <w:highlight w:val="none"/>
          <w:lang w:val="en-US" w:eastAsia="zh-CN"/>
        </w:rPr>
        <w:t>106.31</w:t>
      </w:r>
      <w:r>
        <w:rPr>
          <w:rFonts w:hint="eastAsia" w:ascii="Times New Roman" w:hAnsi="Times New Roman" w:eastAsia="仿宋_GB2312" w:cs="仿宋_GB2312"/>
          <w:color w:val="auto"/>
          <w:sz w:val="32"/>
          <w:szCs w:val="32"/>
          <w:highlight w:val="none"/>
        </w:rPr>
        <w:t>万元</w:t>
      </w:r>
      <w:r>
        <w:rPr>
          <w:rFonts w:hint="eastAsia" w:eastAsia="仿宋_GB2312" w:cs="仿宋_GB2312"/>
          <w:color w:val="auto"/>
          <w:sz w:val="32"/>
          <w:szCs w:val="32"/>
          <w:highlight w:val="none"/>
          <w:lang w:eastAsia="zh-CN"/>
        </w:rPr>
        <w:t>，</w:t>
      </w:r>
      <w:r>
        <w:rPr>
          <w:rFonts w:hint="eastAsia" w:eastAsia="仿宋_GB2312" w:cs="仿宋_GB2312"/>
          <w:color w:val="auto"/>
          <w:sz w:val="32"/>
          <w:szCs w:val="32"/>
          <w:highlight w:val="none"/>
          <w:lang w:val="en-US" w:eastAsia="zh-CN"/>
        </w:rPr>
        <w:t>支出减少36.39万元</w:t>
      </w:r>
      <w:r>
        <w:rPr>
          <w:rFonts w:hint="eastAsia" w:ascii="Times New Roman" w:hAnsi="Times New Roman" w:eastAsia="仿宋_GB2312" w:cs="仿宋_GB2312"/>
          <w:color w:val="auto"/>
          <w:sz w:val="32"/>
          <w:szCs w:val="32"/>
          <w:highlight w:val="none"/>
        </w:rPr>
        <w:t>，</w:t>
      </w:r>
      <w:r>
        <w:rPr>
          <w:rFonts w:hint="eastAsia" w:eastAsia="仿宋_GB2312" w:cs="仿宋_GB2312"/>
          <w:color w:val="auto"/>
          <w:sz w:val="32"/>
          <w:szCs w:val="32"/>
          <w:highlight w:val="none"/>
          <w:lang w:val="en-US" w:eastAsia="zh-CN"/>
        </w:rPr>
        <w:t>收入</w:t>
      </w:r>
      <w:r>
        <w:rPr>
          <w:rFonts w:hint="eastAsia" w:ascii="Times New Roman" w:hAnsi="Times New Roman" w:eastAsia="仿宋_GB2312" w:cs="仿宋_GB2312"/>
          <w:color w:val="auto"/>
          <w:sz w:val="32"/>
          <w:szCs w:val="32"/>
          <w:highlight w:val="none"/>
        </w:rPr>
        <w:t>增长</w:t>
      </w:r>
      <w:r>
        <w:rPr>
          <w:rFonts w:hint="eastAsia" w:eastAsia="仿宋_GB2312" w:cs="仿宋_GB2312"/>
          <w:color w:val="auto"/>
          <w:sz w:val="32"/>
          <w:szCs w:val="32"/>
          <w:highlight w:val="none"/>
          <w:lang w:val="en-US" w:eastAsia="zh-CN"/>
        </w:rPr>
        <w:t>29%，支出</w:t>
      </w:r>
      <w:r>
        <w:rPr>
          <w:rFonts w:hint="eastAsia" w:ascii="Times New Roman" w:hAnsi="Times New Roman" w:eastAsia="仿宋_GB2312" w:cs="仿宋_GB2312"/>
          <w:color w:val="auto"/>
          <w:sz w:val="32"/>
          <w:szCs w:val="32"/>
          <w:highlight w:val="none"/>
        </w:rPr>
        <w:t>下降</w:t>
      </w:r>
      <w:r>
        <w:rPr>
          <w:rFonts w:hint="eastAsia" w:eastAsia="仿宋_GB2312" w:cs="仿宋_GB2312"/>
          <w:color w:val="auto"/>
          <w:sz w:val="32"/>
          <w:szCs w:val="32"/>
          <w:highlight w:val="none"/>
          <w:lang w:val="en-US" w:eastAsia="zh-CN"/>
        </w:rPr>
        <w:t>8.6</w:t>
      </w:r>
      <w:r>
        <w:rPr>
          <w:rFonts w:hint="eastAsia" w:ascii="Times New Roman" w:hAnsi="Times New Roman" w:eastAsia="仿宋_GB2312" w:cs="仿宋_GB2312"/>
          <w:color w:val="auto"/>
          <w:sz w:val="32"/>
          <w:szCs w:val="32"/>
          <w:highlight w:val="none"/>
        </w:rPr>
        <w:t>%。主要变动原因是</w:t>
      </w:r>
      <w:r>
        <w:rPr>
          <w:rFonts w:hint="eastAsia" w:eastAsia="仿宋_GB2312" w:cs="仿宋_GB2312"/>
          <w:color w:val="auto"/>
          <w:sz w:val="32"/>
          <w:szCs w:val="32"/>
          <w:highlight w:val="none"/>
          <w:lang w:val="en-US" w:eastAsia="zh-CN"/>
        </w:rPr>
        <w:t>2024年收入总额含结转结余金额。</w:t>
      </w:r>
      <w:bookmarkEnd w:id="28"/>
      <w:bookmarkEnd w:id="29"/>
      <w:bookmarkEnd w:id="30"/>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5256530" cy="2988310"/>
            <wp:effectExtent l="5080" t="4445" r="11430" b="9525"/>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6"/>
        <w:numPr>
          <w:ilvl w:val="0"/>
          <w:numId w:val="2"/>
        </w:numPr>
        <w:rPr>
          <w:rFonts w:hint="eastAsia" w:ascii="Times New Roman" w:hAnsi="Times New Roman" w:eastAsia="黑体"/>
          <w:b w:val="0"/>
          <w:color w:val="auto"/>
          <w:highlight w:val="none"/>
          <w:lang w:val="en-US" w:eastAsia="zh-CN"/>
        </w:rPr>
      </w:pPr>
      <w:bookmarkStart w:id="31" w:name="_Toc15396604"/>
      <w:bookmarkStart w:id="32" w:name="_Toc15377206"/>
      <w:bookmarkStart w:id="33" w:name="_Toc4158"/>
      <w:r>
        <w:rPr>
          <w:rFonts w:hint="eastAsia" w:ascii="Times New Roman" w:hAnsi="Times New Roman" w:eastAsia="黑体"/>
          <w:b w:val="0"/>
          <w:color w:val="auto"/>
          <w:highlight w:val="none"/>
          <w:lang w:val="en-US" w:eastAsia="zh-CN"/>
        </w:rPr>
        <w:t>收入决算情况说明</w:t>
      </w:r>
      <w:bookmarkEnd w:id="31"/>
      <w:bookmarkEnd w:id="32"/>
      <w:bookmarkEnd w:id="33"/>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eastAsia" w:ascii="Times New Roman" w:hAnsi="Times New Roman" w:eastAsia="仿宋_GB2312" w:cs="仿宋_GB2312"/>
          <w:b/>
          <w:bCs/>
          <w:color w:val="auto"/>
          <w:sz w:val="32"/>
          <w:szCs w:val="32"/>
          <w:highlight w:val="none"/>
          <w:lang w:eastAsia="zh-CN"/>
        </w:rPr>
      </w:pPr>
      <w:bookmarkStart w:id="34" w:name="_Toc14065"/>
      <w:bookmarkStart w:id="35" w:name="_Toc26592"/>
      <w:bookmarkStart w:id="36" w:name="_Toc26727"/>
      <w:r>
        <w:rPr>
          <w:rFonts w:hint="eastAsia" w:ascii="Times New Roman" w:hAnsi="Times New Roman" w:eastAsia="仿宋_GB2312" w:cs="仿宋_GB2312"/>
          <w:color w:val="auto"/>
          <w:sz w:val="32"/>
          <w:szCs w:val="32"/>
          <w:highlight w:val="none"/>
          <w:lang w:eastAsia="zh-CN"/>
        </w:rPr>
        <w:t>2024年度本年收入合计</w:t>
      </w:r>
      <w:r>
        <w:rPr>
          <w:rFonts w:hint="eastAsia" w:eastAsia="仿宋_GB2312" w:cs="仿宋_GB2312"/>
          <w:color w:val="auto"/>
          <w:sz w:val="32"/>
          <w:szCs w:val="32"/>
          <w:highlight w:val="none"/>
          <w:lang w:val="en-US" w:eastAsia="zh-CN"/>
        </w:rPr>
        <w:t>387.15</w:t>
      </w:r>
      <w:r>
        <w:rPr>
          <w:rFonts w:hint="eastAsia" w:ascii="Times New Roman" w:hAnsi="Times New Roman" w:eastAsia="仿宋_GB2312" w:cs="仿宋_GB2312"/>
          <w:color w:val="auto"/>
          <w:sz w:val="32"/>
          <w:szCs w:val="32"/>
          <w:highlight w:val="none"/>
          <w:lang w:eastAsia="zh-CN"/>
        </w:rPr>
        <w:t>万元，其中：一般公共预算财政拨款收入</w:t>
      </w:r>
      <w:r>
        <w:rPr>
          <w:rFonts w:hint="eastAsia" w:eastAsia="仿宋_GB2312" w:cs="仿宋_GB2312"/>
          <w:color w:val="auto"/>
          <w:sz w:val="32"/>
          <w:szCs w:val="32"/>
          <w:highlight w:val="none"/>
          <w:lang w:val="en-US" w:eastAsia="zh-CN"/>
        </w:rPr>
        <w:t>277.9</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71.8</w:t>
      </w:r>
      <w:r>
        <w:rPr>
          <w:rFonts w:hint="eastAsia" w:ascii="Times New Roman" w:hAnsi="Times New Roman" w:eastAsia="仿宋_GB2312" w:cs="仿宋_GB2312"/>
          <w:color w:val="auto"/>
          <w:sz w:val="32"/>
          <w:szCs w:val="32"/>
          <w:highlight w:val="none"/>
          <w:lang w:eastAsia="zh-CN"/>
        </w:rPr>
        <w:t>%；事业收入</w:t>
      </w:r>
      <w:r>
        <w:rPr>
          <w:rFonts w:hint="eastAsia" w:eastAsia="仿宋_GB2312" w:cs="仿宋_GB2312"/>
          <w:color w:val="auto"/>
          <w:sz w:val="32"/>
          <w:szCs w:val="32"/>
          <w:highlight w:val="none"/>
          <w:lang w:val="en-US" w:eastAsia="zh-CN"/>
        </w:rPr>
        <w:t>102.43</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26.5</w:t>
      </w:r>
      <w:r>
        <w:rPr>
          <w:rFonts w:hint="eastAsia" w:ascii="Times New Roman" w:hAnsi="Times New Roman" w:eastAsia="仿宋_GB2312" w:cs="仿宋_GB2312"/>
          <w:color w:val="auto"/>
          <w:sz w:val="32"/>
          <w:szCs w:val="32"/>
          <w:highlight w:val="none"/>
          <w:lang w:eastAsia="zh-CN"/>
        </w:rPr>
        <w:t>%；其他收入</w:t>
      </w:r>
      <w:r>
        <w:rPr>
          <w:rFonts w:hint="eastAsia" w:eastAsia="仿宋_GB2312" w:cs="仿宋_GB2312"/>
          <w:color w:val="auto"/>
          <w:sz w:val="32"/>
          <w:szCs w:val="32"/>
          <w:highlight w:val="none"/>
          <w:lang w:val="en-US" w:eastAsia="zh-CN"/>
        </w:rPr>
        <w:t>6.82</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1.8</w:t>
      </w:r>
      <w:r>
        <w:rPr>
          <w:rFonts w:hint="eastAsia" w:ascii="Times New Roman" w:hAnsi="Times New Roman" w:eastAsia="仿宋_GB2312" w:cs="仿宋_GB2312"/>
          <w:color w:val="auto"/>
          <w:sz w:val="32"/>
          <w:szCs w:val="32"/>
          <w:highlight w:val="none"/>
          <w:lang w:eastAsia="zh-CN"/>
        </w:rPr>
        <w:t>%。</w:t>
      </w:r>
      <w:bookmarkEnd w:id="34"/>
      <w:bookmarkEnd w:id="35"/>
      <w:bookmarkEnd w:id="36"/>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5256530" cy="2988310"/>
            <wp:effectExtent l="5080" t="4445" r="11430" b="952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pStyle w:val="6"/>
        <w:numPr>
          <w:ilvl w:val="0"/>
          <w:numId w:val="2"/>
        </w:numPr>
        <w:rPr>
          <w:rFonts w:hint="eastAsia" w:ascii="Times New Roman" w:hAnsi="Times New Roman" w:eastAsia="黑体"/>
          <w:b w:val="0"/>
          <w:color w:val="auto"/>
          <w:highlight w:val="none"/>
          <w:lang w:val="en-US" w:eastAsia="zh-CN"/>
        </w:rPr>
      </w:pPr>
      <w:bookmarkStart w:id="37" w:name="_Toc15377207"/>
      <w:bookmarkStart w:id="38" w:name="_Toc15396605"/>
      <w:bookmarkStart w:id="39" w:name="_Toc20051"/>
      <w:r>
        <w:rPr>
          <w:rFonts w:hint="eastAsia" w:ascii="Times New Roman" w:hAnsi="Times New Roman" w:eastAsia="黑体"/>
          <w:b w:val="0"/>
          <w:color w:val="auto"/>
          <w:highlight w:val="none"/>
          <w:lang w:val="en-US" w:eastAsia="zh-CN"/>
        </w:rPr>
        <w:t>支出决算情况说明</w:t>
      </w:r>
      <w:bookmarkEnd w:id="37"/>
      <w:bookmarkEnd w:id="38"/>
      <w:bookmarkEnd w:id="39"/>
    </w:p>
    <w:p>
      <w:pPr>
        <w:pStyle w:val="27"/>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textAlignment w:val="auto"/>
        <w:outlineLvl w:val="1"/>
        <w:rPr>
          <w:rFonts w:hint="default" w:ascii="Times New Roman" w:hAnsi="Times New Roman" w:eastAsia="仿宋_GB2312" w:cs="仿宋_GB2312"/>
          <w:color w:val="auto"/>
          <w:sz w:val="32"/>
          <w:szCs w:val="32"/>
          <w:highlight w:val="none"/>
          <w:lang w:val="en-US" w:eastAsia="zh-CN"/>
        </w:rPr>
      </w:pPr>
      <w:bookmarkStart w:id="40" w:name="_Toc18954"/>
      <w:bookmarkStart w:id="41" w:name="_Toc26418"/>
      <w:bookmarkStart w:id="42" w:name="_Toc27656"/>
      <w:r>
        <w:rPr>
          <w:rFonts w:hint="eastAsia" w:ascii="Times New Roman" w:hAnsi="Times New Roman" w:eastAsia="仿宋_GB2312" w:cs="仿宋_GB2312"/>
          <w:color w:val="auto"/>
          <w:sz w:val="32"/>
          <w:szCs w:val="32"/>
          <w:highlight w:val="none"/>
          <w:lang w:eastAsia="zh-CN"/>
        </w:rPr>
        <w:t>2024年度本年支出合计</w:t>
      </w:r>
      <w:r>
        <w:rPr>
          <w:rFonts w:hint="eastAsia" w:eastAsia="仿宋_GB2312" w:cs="仿宋_GB2312"/>
          <w:color w:val="auto"/>
          <w:sz w:val="32"/>
          <w:szCs w:val="32"/>
          <w:highlight w:val="none"/>
          <w:lang w:val="en-US" w:eastAsia="zh-CN"/>
        </w:rPr>
        <w:t>384.7</w:t>
      </w:r>
      <w:r>
        <w:rPr>
          <w:rFonts w:hint="eastAsia" w:ascii="Times New Roman" w:hAnsi="Times New Roman" w:eastAsia="仿宋_GB2312" w:cs="仿宋_GB2312"/>
          <w:color w:val="auto"/>
          <w:sz w:val="32"/>
          <w:szCs w:val="32"/>
          <w:highlight w:val="none"/>
          <w:lang w:eastAsia="zh-CN"/>
        </w:rPr>
        <w:t>万元，其中：基本支出</w:t>
      </w:r>
      <w:r>
        <w:rPr>
          <w:rFonts w:hint="eastAsia" w:eastAsia="仿宋_GB2312" w:cs="仿宋_GB2312"/>
          <w:color w:val="auto"/>
          <w:sz w:val="32"/>
          <w:szCs w:val="32"/>
          <w:highlight w:val="none"/>
          <w:lang w:val="en-US" w:eastAsia="zh-CN"/>
        </w:rPr>
        <w:t>384.7</w:t>
      </w:r>
      <w:r>
        <w:rPr>
          <w:rFonts w:hint="eastAsia" w:ascii="Times New Roman" w:hAnsi="Times New Roman" w:eastAsia="仿宋_GB2312" w:cs="仿宋_GB2312"/>
          <w:color w:val="auto"/>
          <w:sz w:val="32"/>
          <w:szCs w:val="32"/>
          <w:highlight w:val="none"/>
          <w:lang w:eastAsia="zh-CN"/>
        </w:rPr>
        <w:t>万元，占</w:t>
      </w:r>
      <w:r>
        <w:rPr>
          <w:rFonts w:hint="eastAsia" w:eastAsia="仿宋_GB2312" w:cs="仿宋_GB2312"/>
          <w:color w:val="auto"/>
          <w:sz w:val="32"/>
          <w:szCs w:val="32"/>
          <w:highlight w:val="none"/>
          <w:lang w:val="en-US" w:eastAsia="zh-CN"/>
        </w:rPr>
        <w:t>100</w:t>
      </w:r>
      <w:r>
        <w:rPr>
          <w:rFonts w:hint="eastAsia" w:ascii="Times New Roman" w:hAnsi="Times New Roman" w:eastAsia="仿宋_GB2312" w:cs="仿宋_GB2312"/>
          <w:color w:val="auto"/>
          <w:sz w:val="32"/>
          <w:szCs w:val="32"/>
          <w:highlight w:val="none"/>
          <w:lang w:eastAsia="zh-CN"/>
        </w:rPr>
        <w:t>%</w:t>
      </w:r>
      <w:r>
        <w:rPr>
          <w:rFonts w:hint="eastAsia" w:eastAsia="仿宋_GB2312" w:cs="仿宋_GB2312"/>
          <w:color w:val="auto"/>
          <w:sz w:val="32"/>
          <w:szCs w:val="32"/>
          <w:highlight w:val="none"/>
          <w:lang w:eastAsia="zh-CN"/>
        </w:rPr>
        <w:t>。</w:t>
      </w:r>
      <w:bookmarkEnd w:id="40"/>
      <w:bookmarkEnd w:id="41"/>
      <w:bookmarkEnd w:id="42"/>
    </w:p>
    <w:p>
      <w:pPr>
        <w:ind w:firstLine="800" w:firstLineChars="250"/>
        <w:rPr>
          <w:rFonts w:hint="eastAsia" w:ascii="Times New Roman" w:hAnsi="Times New Roman" w:eastAsia="仿宋_GB2312" w:cs="仿宋_GB2312"/>
          <w:color w:val="auto"/>
          <w:sz w:val="32"/>
          <w:szCs w:val="32"/>
          <w:highlight w:val="none"/>
          <w:lang w:eastAsia="zh-CN"/>
        </w:rPr>
      </w:pPr>
      <w:r>
        <w:rPr>
          <w:rFonts w:hint="eastAsia" w:ascii="Times New Roman" w:hAnsi="Times New Roman" w:eastAsia="仿宋_GB2312" w:cs="仿宋_GB2312"/>
          <w:color w:val="auto"/>
          <w:sz w:val="32"/>
          <w:szCs w:val="32"/>
          <w:highlight w:val="none"/>
          <w:lang w:eastAsia="zh-CN"/>
        </w:rPr>
        <w:drawing>
          <wp:inline distT="0" distB="0" distL="114300" distR="114300">
            <wp:extent cx="5256530" cy="2988310"/>
            <wp:effectExtent l="5080" t="4445" r="11430" b="95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ind w:firstLine="800" w:firstLineChars="250"/>
        <w:rPr>
          <w:rFonts w:hint="eastAsia" w:ascii="Times New Roman" w:hAnsi="Times New Roman" w:eastAsia="仿宋_GB2312" w:cs="仿宋_GB2312"/>
          <w:color w:val="auto"/>
          <w:sz w:val="32"/>
          <w:szCs w:val="32"/>
          <w:highlight w:val="none"/>
          <w:lang w:eastAsia="zh-CN"/>
        </w:rPr>
      </w:pPr>
    </w:p>
    <w:p>
      <w:pPr>
        <w:pStyle w:val="6"/>
        <w:numPr>
          <w:ilvl w:val="0"/>
          <w:numId w:val="2"/>
        </w:numPr>
        <w:rPr>
          <w:rFonts w:hint="eastAsia" w:ascii="Times New Roman" w:hAnsi="Times New Roman" w:eastAsia="黑体"/>
          <w:b w:val="0"/>
          <w:color w:val="auto"/>
          <w:highlight w:val="none"/>
          <w:lang w:val="en-US" w:eastAsia="zh-CN"/>
        </w:rPr>
      </w:pPr>
      <w:bookmarkStart w:id="43" w:name="_Toc15396606"/>
      <w:bookmarkStart w:id="44" w:name="_Toc5224"/>
      <w:bookmarkStart w:id="45" w:name="_Toc15377208"/>
      <w:r>
        <w:rPr>
          <w:rFonts w:hint="eastAsia" w:ascii="Times New Roman" w:hAnsi="Times New Roman" w:eastAsia="黑体"/>
          <w:b w:val="0"/>
          <w:color w:val="auto"/>
          <w:highlight w:val="none"/>
          <w:lang w:val="en-US" w:eastAsia="zh-CN"/>
        </w:rPr>
        <w:t>财政拨款收入支出决算总体情况说明</w:t>
      </w:r>
      <w:bookmarkEnd w:id="43"/>
      <w:bookmarkEnd w:id="44"/>
      <w:bookmarkEnd w:id="45"/>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2024年度财政拨款收入、支出总计均为</w:t>
      </w:r>
      <w:r>
        <w:rPr>
          <w:rFonts w:hint="eastAsia" w:eastAsia="仿宋_GB2312" w:cs="仿宋_GB2312"/>
          <w:color w:val="auto"/>
          <w:kern w:val="2"/>
          <w:sz w:val="32"/>
          <w:szCs w:val="32"/>
          <w:highlight w:val="none"/>
          <w:lang w:val="en-US" w:eastAsia="zh-CN" w:bidi="ar-SA"/>
        </w:rPr>
        <w:t>277.9</w:t>
      </w:r>
      <w:r>
        <w:rPr>
          <w:rFonts w:hint="eastAsia" w:ascii="Times New Roman" w:hAnsi="Times New Roman" w:eastAsia="仿宋_GB2312" w:cs="仿宋_GB2312"/>
          <w:color w:val="auto"/>
          <w:kern w:val="2"/>
          <w:sz w:val="32"/>
          <w:szCs w:val="32"/>
          <w:highlight w:val="none"/>
          <w:lang w:val="en-US" w:eastAsia="zh-CN" w:bidi="ar-SA"/>
        </w:rPr>
        <w:t>万元。与2023年度相比，财政拨款收入总计、支出总计各减少</w:t>
      </w:r>
      <w:r>
        <w:rPr>
          <w:rFonts w:hint="eastAsia" w:eastAsia="仿宋_GB2312" w:cs="仿宋_GB2312"/>
          <w:color w:val="auto"/>
          <w:kern w:val="2"/>
          <w:sz w:val="32"/>
          <w:szCs w:val="32"/>
          <w:highlight w:val="none"/>
          <w:lang w:val="en-US" w:eastAsia="zh-CN" w:bidi="ar-SA"/>
        </w:rPr>
        <w:t>35.57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11.3</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2023年绩效标准调整和退休人员一次性生活补贴标准调整，且2024年有2名在职职工退休。</w:t>
      </w:r>
    </w:p>
    <w:p>
      <w:pPr>
        <w:pStyle w:val="8"/>
        <w:rPr>
          <w:rFonts w:hint="eastAsia"/>
          <w:lang w:val="en-US" w:eastAsia="zh-CN"/>
        </w:rPr>
      </w:pPr>
      <w:r>
        <w:rPr>
          <w:rFonts w:hint="eastAsia" w:ascii="Times New Roman" w:hAnsi="Times New Roman" w:eastAsia="仿宋_GB2312" w:cs="仿宋_GB2312"/>
          <w:color w:val="auto"/>
          <w:kern w:val="2"/>
          <w:sz w:val="32"/>
          <w:szCs w:val="32"/>
          <w:highlight w:val="none"/>
          <w:lang w:val="en-US" w:eastAsia="zh-CN" w:bidi="ar-SA"/>
        </w:rPr>
        <w:drawing>
          <wp:inline distT="0" distB="0" distL="114300" distR="114300">
            <wp:extent cx="5256530" cy="2988310"/>
            <wp:effectExtent l="5080" t="4445" r="1143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pStyle w:val="6"/>
        <w:numPr>
          <w:ilvl w:val="0"/>
          <w:numId w:val="2"/>
        </w:numPr>
        <w:rPr>
          <w:rFonts w:hint="eastAsia" w:ascii="Times New Roman" w:hAnsi="Times New Roman" w:eastAsia="黑体"/>
          <w:b w:val="0"/>
          <w:color w:val="auto"/>
          <w:highlight w:val="none"/>
          <w:lang w:val="en-US" w:eastAsia="zh-CN"/>
        </w:rPr>
      </w:pPr>
      <w:bookmarkStart w:id="46" w:name="_Toc15377209"/>
      <w:bookmarkStart w:id="47" w:name="_Toc15396607"/>
      <w:bookmarkStart w:id="48" w:name="_Toc1790"/>
      <w:r>
        <w:rPr>
          <w:rFonts w:hint="eastAsia" w:ascii="Times New Roman" w:hAnsi="Times New Roman" w:eastAsia="黑体"/>
          <w:b w:val="0"/>
          <w:color w:val="auto"/>
          <w:highlight w:val="none"/>
          <w:lang w:val="en-US" w:eastAsia="zh-CN"/>
        </w:rPr>
        <w:t>一般公共预算财政拨款支出决算情况说明</w:t>
      </w:r>
      <w:bookmarkEnd w:id="46"/>
      <w:bookmarkEnd w:id="47"/>
      <w:bookmarkEnd w:id="48"/>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49" w:name="_Toc15377210"/>
      <w:r>
        <w:rPr>
          <w:rFonts w:hint="eastAsia" w:ascii="Times New Roman" w:hAnsi="Times New Roman" w:eastAsia="楷体_GB2312" w:cs="楷体_GB2312"/>
          <w:b/>
          <w:color w:val="auto"/>
          <w:sz w:val="32"/>
          <w:szCs w:val="32"/>
          <w:highlight w:val="none"/>
        </w:rPr>
        <w:t>（一）一般公共预算财政拨款支出决算总体情况</w:t>
      </w:r>
      <w:bookmarkEnd w:id="49"/>
    </w:p>
    <w:p>
      <w:pPr>
        <w:spacing w:line="600" w:lineRule="exact"/>
        <w:ind w:firstLine="640"/>
        <w:jc w:val="left"/>
        <w:rPr>
          <w:rFonts w:hint="eastAsia"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277.9</w:t>
      </w:r>
      <w:r>
        <w:rPr>
          <w:rFonts w:hint="eastAsia" w:ascii="Times New Roman" w:hAnsi="Times New Roman" w:eastAsia="仿宋_GB2312" w:cs="仿宋_GB2312"/>
          <w:color w:val="auto"/>
          <w:kern w:val="2"/>
          <w:sz w:val="32"/>
          <w:szCs w:val="32"/>
          <w:highlight w:val="none"/>
          <w:lang w:val="en-US" w:eastAsia="zh-CN" w:bidi="ar-SA"/>
        </w:rPr>
        <w:t>万元，占本年支出合计的</w:t>
      </w:r>
      <w:r>
        <w:rPr>
          <w:rFonts w:hint="eastAsia" w:eastAsia="仿宋_GB2312" w:cs="仿宋_GB2312"/>
          <w:color w:val="auto"/>
          <w:kern w:val="2"/>
          <w:sz w:val="32"/>
          <w:szCs w:val="32"/>
          <w:highlight w:val="none"/>
          <w:lang w:val="en-US" w:eastAsia="zh-CN" w:bidi="ar-SA"/>
        </w:rPr>
        <w:t>72.2</w:t>
      </w:r>
      <w:r>
        <w:rPr>
          <w:rFonts w:hint="eastAsia" w:ascii="Times New Roman" w:hAnsi="Times New Roman" w:eastAsia="仿宋_GB2312" w:cs="仿宋_GB2312"/>
          <w:color w:val="auto"/>
          <w:kern w:val="2"/>
          <w:sz w:val="32"/>
          <w:szCs w:val="32"/>
          <w:highlight w:val="none"/>
          <w:lang w:val="en-US" w:eastAsia="zh-CN" w:bidi="ar-SA"/>
        </w:rPr>
        <w:t>%。与2023年度相比，一般公共预算财政拨款支出减少</w:t>
      </w:r>
      <w:r>
        <w:rPr>
          <w:rFonts w:hint="eastAsia" w:eastAsia="仿宋_GB2312" w:cs="仿宋_GB2312"/>
          <w:color w:val="auto"/>
          <w:kern w:val="2"/>
          <w:sz w:val="32"/>
          <w:szCs w:val="32"/>
          <w:highlight w:val="none"/>
          <w:lang w:val="en-US" w:eastAsia="zh-CN" w:bidi="ar-SA"/>
        </w:rPr>
        <w:t>35.57</w:t>
      </w:r>
      <w:r>
        <w:rPr>
          <w:rFonts w:hint="eastAsia" w:ascii="Times New Roman" w:hAnsi="Times New Roman" w:eastAsia="仿宋_GB2312" w:cs="仿宋_GB2312"/>
          <w:color w:val="auto"/>
          <w:kern w:val="2"/>
          <w:sz w:val="32"/>
          <w:szCs w:val="32"/>
          <w:highlight w:val="none"/>
          <w:lang w:val="en-US" w:eastAsia="zh-CN" w:bidi="ar-SA"/>
        </w:rPr>
        <w:t>万元，下降</w:t>
      </w:r>
      <w:r>
        <w:rPr>
          <w:rFonts w:hint="eastAsia" w:eastAsia="仿宋_GB2312" w:cs="仿宋_GB2312"/>
          <w:color w:val="auto"/>
          <w:kern w:val="2"/>
          <w:sz w:val="32"/>
          <w:szCs w:val="32"/>
          <w:highlight w:val="none"/>
          <w:lang w:val="en-US" w:eastAsia="zh-CN" w:bidi="ar-SA"/>
        </w:rPr>
        <w:t>11.3</w:t>
      </w:r>
      <w:r>
        <w:rPr>
          <w:rFonts w:hint="eastAsia" w:ascii="Times New Roman" w:hAnsi="Times New Roman" w:eastAsia="仿宋_GB2312" w:cs="仿宋_GB2312"/>
          <w:color w:val="auto"/>
          <w:kern w:val="2"/>
          <w:sz w:val="32"/>
          <w:szCs w:val="32"/>
          <w:highlight w:val="none"/>
          <w:lang w:val="en-US" w:eastAsia="zh-CN" w:bidi="ar-SA"/>
        </w:rPr>
        <w:t>%。主要变动原因是</w:t>
      </w:r>
      <w:r>
        <w:rPr>
          <w:rFonts w:hint="eastAsia" w:eastAsia="仿宋_GB2312" w:cs="仿宋_GB2312"/>
          <w:color w:val="auto"/>
          <w:kern w:val="2"/>
          <w:sz w:val="32"/>
          <w:szCs w:val="32"/>
          <w:highlight w:val="none"/>
          <w:lang w:val="en-US" w:eastAsia="zh-CN" w:bidi="ar-SA"/>
        </w:rPr>
        <w:t>2023年绩效标准调整和退休人员一次性生活补贴标准调整，且2024年有2名在职职工退休。</w:t>
      </w:r>
    </w:p>
    <w:p>
      <w:pPr>
        <w:spacing w:line="600" w:lineRule="exact"/>
        <w:ind w:firstLine="640"/>
        <w:rPr>
          <w:rFonts w:hint="eastAsia" w:ascii="Times New Roman" w:hAnsi="Times New Roman" w:eastAsia="楷体_GB2312" w:cs="楷体_GB2312"/>
          <w:b/>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0288" behindDoc="0" locked="0" layoutInCell="1" allowOverlap="1">
            <wp:simplePos x="0" y="0"/>
            <wp:positionH relativeFrom="column">
              <wp:posOffset>295275</wp:posOffset>
            </wp:positionH>
            <wp:positionV relativeFrom="page">
              <wp:posOffset>888365</wp:posOffset>
            </wp:positionV>
            <wp:extent cx="4897755" cy="2543175"/>
            <wp:effectExtent l="4445" t="4445" r="12700" b="5080"/>
            <wp:wrapTopAndBottom/>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bookmarkStart w:id="50" w:name="_Toc15377211"/>
      <w:r>
        <w:rPr>
          <w:rFonts w:hint="eastAsia" w:ascii="Times New Roman" w:hAnsi="Times New Roman" w:eastAsia="楷体_GB2312" w:cs="楷体_GB2312"/>
          <w:b/>
          <w:color w:val="auto"/>
          <w:sz w:val="32"/>
          <w:szCs w:val="32"/>
          <w:highlight w:val="none"/>
        </w:rPr>
        <w:t>（二）一般公共预算财政拨款支出决算结构情况</w:t>
      </w:r>
      <w:bookmarkEnd w:id="50"/>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277.9</w:t>
      </w:r>
      <w:r>
        <w:rPr>
          <w:rFonts w:hint="eastAsia" w:ascii="Times New Roman" w:hAnsi="Times New Roman" w:eastAsia="仿宋_GB2312" w:cs="仿宋_GB2312"/>
          <w:color w:val="auto"/>
          <w:kern w:val="2"/>
          <w:sz w:val="32"/>
          <w:szCs w:val="32"/>
          <w:highlight w:val="none"/>
          <w:lang w:val="en-US" w:eastAsia="zh-CN" w:bidi="ar-SA"/>
        </w:rPr>
        <w:t>万元，主要用于以下方面</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教育支出</w:t>
      </w:r>
      <w:r>
        <w:rPr>
          <w:rFonts w:hint="eastAsia" w:eastAsia="仿宋_GB2312" w:cs="仿宋_GB2312"/>
          <w:color w:val="auto"/>
          <w:kern w:val="2"/>
          <w:sz w:val="32"/>
          <w:szCs w:val="32"/>
          <w:highlight w:val="none"/>
          <w:lang w:val="en-US" w:eastAsia="zh-CN" w:bidi="ar-SA"/>
        </w:rPr>
        <w:t>198.34</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71.4</w:t>
      </w:r>
      <w:r>
        <w:rPr>
          <w:rFonts w:hint="eastAsia" w:ascii="Times New Roman" w:hAnsi="Times New Roman" w:eastAsia="仿宋_GB2312" w:cs="仿宋_GB2312"/>
          <w:color w:val="auto"/>
          <w:kern w:val="2"/>
          <w:sz w:val="32"/>
          <w:szCs w:val="32"/>
          <w:highlight w:val="none"/>
          <w:lang w:val="en-US" w:eastAsia="zh-CN" w:bidi="ar-SA"/>
        </w:rPr>
        <w:t>%；社会保障和就业支出</w:t>
      </w:r>
      <w:r>
        <w:rPr>
          <w:rFonts w:hint="eastAsia" w:eastAsia="仿宋_GB2312" w:cs="仿宋_GB2312"/>
          <w:color w:val="auto"/>
          <w:kern w:val="2"/>
          <w:sz w:val="32"/>
          <w:szCs w:val="32"/>
          <w:highlight w:val="none"/>
          <w:lang w:val="en-US" w:eastAsia="zh-CN" w:bidi="ar-SA"/>
        </w:rPr>
        <w:t>39.25</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14</w:t>
      </w:r>
      <w:r>
        <w:rPr>
          <w:rFonts w:hint="eastAsia" w:ascii="Times New Roman" w:hAnsi="Times New Roman" w:eastAsia="仿宋_GB2312" w:cs="仿宋_GB2312"/>
          <w:color w:val="auto"/>
          <w:kern w:val="2"/>
          <w:sz w:val="32"/>
          <w:szCs w:val="32"/>
          <w:highlight w:val="none"/>
          <w:lang w:val="en-US" w:eastAsia="zh-CN" w:bidi="ar-SA"/>
        </w:rPr>
        <w:t>%；卫生健康支出</w:t>
      </w:r>
      <w:r>
        <w:rPr>
          <w:rFonts w:hint="eastAsia" w:eastAsia="仿宋_GB2312" w:cs="仿宋_GB2312"/>
          <w:color w:val="auto"/>
          <w:kern w:val="2"/>
          <w:sz w:val="32"/>
          <w:szCs w:val="32"/>
          <w:highlight w:val="none"/>
          <w:lang w:val="en-US" w:eastAsia="zh-CN" w:bidi="ar-SA"/>
        </w:rPr>
        <w:t>19.32</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7</w:t>
      </w:r>
      <w:r>
        <w:rPr>
          <w:rFonts w:hint="eastAsia" w:ascii="Times New Roman" w:hAnsi="Times New Roman" w:eastAsia="仿宋_GB2312" w:cs="仿宋_GB2312"/>
          <w:color w:val="auto"/>
          <w:kern w:val="2"/>
          <w:sz w:val="32"/>
          <w:szCs w:val="32"/>
          <w:highlight w:val="none"/>
          <w:lang w:val="en-US" w:eastAsia="zh-CN" w:bidi="ar-SA"/>
        </w:rPr>
        <w:t>%；住房保障支出</w:t>
      </w:r>
      <w:r>
        <w:rPr>
          <w:rFonts w:hint="eastAsia" w:eastAsia="仿宋_GB2312" w:cs="仿宋_GB2312"/>
          <w:color w:val="auto"/>
          <w:kern w:val="2"/>
          <w:sz w:val="32"/>
          <w:szCs w:val="32"/>
          <w:highlight w:val="none"/>
          <w:lang w:val="en-US" w:eastAsia="zh-CN" w:bidi="ar-SA"/>
        </w:rPr>
        <w:t>20.99</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7.6</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eastAsia" w:ascii="Times New Roman" w:hAnsi="Times New Roman" w:eastAsia="楷体_GB2312" w:cs="楷体_GB2312"/>
          <w:b/>
          <w:color w:val="auto"/>
          <w:sz w:val="32"/>
          <w:szCs w:val="32"/>
          <w:highlight w:val="none"/>
        </w:rPr>
      </w:pPr>
      <w:r>
        <w:rPr>
          <w:rFonts w:hint="eastAsia" w:ascii="Times New Roman" w:hAnsi="Times New Roman" w:eastAsia="仿宋_GB2312" w:cs="仿宋_GB2312"/>
          <w:color w:val="auto"/>
          <w:kern w:val="2"/>
          <w:sz w:val="32"/>
          <w:szCs w:val="32"/>
          <w:highlight w:val="none"/>
          <w:lang w:val="en-US" w:eastAsia="zh-CN" w:bidi="ar-SA"/>
        </w:rPr>
        <w:drawing>
          <wp:anchor distT="0" distB="0" distL="114300" distR="114300" simplePos="0" relativeHeight="251661312" behindDoc="0" locked="0" layoutInCell="1" allowOverlap="1">
            <wp:simplePos x="0" y="0"/>
            <wp:positionH relativeFrom="column">
              <wp:posOffset>335280</wp:posOffset>
            </wp:positionH>
            <wp:positionV relativeFrom="paragraph">
              <wp:posOffset>370205</wp:posOffset>
            </wp:positionV>
            <wp:extent cx="5256530" cy="2872105"/>
            <wp:effectExtent l="4445" t="4445" r="9525" b="6350"/>
            <wp:wrapTopAndBottom/>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bookmarkStart w:id="51" w:name="_Toc15377212"/>
      <w:r>
        <w:rPr>
          <w:rFonts w:hint="eastAsia" w:ascii="Times New Roman" w:hAnsi="Times New Roman" w:eastAsia="楷体_GB2312" w:cs="楷体_GB2312"/>
          <w:b/>
          <w:color w:val="auto"/>
          <w:sz w:val="32"/>
          <w:szCs w:val="32"/>
          <w:highlight w:val="none"/>
        </w:rPr>
        <w:t>（三）一般公共预算财政拨款支出决算具体情况</w:t>
      </w:r>
      <w:bookmarkEnd w:id="51"/>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52" w:name="_Toc15378460"/>
      <w:bookmarkStart w:id="53" w:name="_Toc15377213"/>
      <w:bookmarkStart w:id="54" w:name="_Toc15377444"/>
      <w:r>
        <w:rPr>
          <w:rFonts w:hint="eastAsia" w:ascii="Times New Roman" w:hAnsi="Times New Roman" w:eastAsia="仿宋_GB2312" w:cs="仿宋_GB2312"/>
          <w:color w:val="auto"/>
          <w:kern w:val="2"/>
          <w:sz w:val="32"/>
          <w:szCs w:val="32"/>
          <w:highlight w:val="none"/>
          <w:lang w:val="en-US" w:eastAsia="zh-CN" w:bidi="ar-SA"/>
        </w:rPr>
        <w:t>2024年度一般公共预算财政拨款支出</w:t>
      </w:r>
      <w:r>
        <w:rPr>
          <w:rFonts w:hint="eastAsia" w:eastAsia="仿宋_GB2312" w:cs="仿宋_GB2312"/>
          <w:color w:val="auto"/>
          <w:kern w:val="2"/>
          <w:sz w:val="32"/>
          <w:szCs w:val="32"/>
          <w:highlight w:val="none"/>
          <w:lang w:val="en-US" w:eastAsia="zh-CN" w:bidi="ar-SA"/>
        </w:rPr>
        <w:t>277.9</w:t>
      </w:r>
      <w:r>
        <w:rPr>
          <w:rFonts w:hint="eastAsia" w:ascii="Times New Roman" w:hAnsi="Times New Roman" w:eastAsia="仿宋_GB2312" w:cs="仿宋_GB2312"/>
          <w:color w:val="auto"/>
          <w:kern w:val="2"/>
          <w:sz w:val="32"/>
          <w:szCs w:val="32"/>
          <w:highlight w:val="none"/>
          <w:lang w:val="en-US" w:eastAsia="zh-CN" w:bidi="ar-SA"/>
        </w:rPr>
        <w:t>，完成预算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%。其中：</w:t>
      </w:r>
      <w:bookmarkEnd w:id="52"/>
      <w:bookmarkEnd w:id="53"/>
      <w:bookmarkEnd w:id="54"/>
    </w:p>
    <w:p>
      <w:pPr>
        <w:numPr>
          <w:ilvl w:val="0"/>
          <w:numId w:val="0"/>
        </w:numPr>
        <w:spacing w:line="600" w:lineRule="exact"/>
        <w:ind w:firstLine="642" w:firstLineChars="200"/>
        <w:rPr>
          <w:rFonts w:hint="eastAsia" w:ascii="Times New Roman" w:hAnsi="Times New Roman" w:eastAsia="仿宋_GB2312" w:cs="仿宋_GB2312"/>
          <w:color w:val="auto"/>
          <w:kern w:val="2"/>
          <w:sz w:val="32"/>
          <w:szCs w:val="32"/>
          <w:highlight w:val="none"/>
          <w:lang w:val="en-US" w:eastAsia="zh-CN" w:bidi="ar-SA"/>
        </w:rPr>
      </w:pPr>
      <w:r>
        <w:rPr>
          <w:rStyle w:val="17"/>
          <w:rFonts w:hint="eastAsia" w:eastAsia="仿宋" w:cs="Times New Roman"/>
          <w:bCs/>
          <w:color w:val="auto"/>
          <w:sz w:val="32"/>
          <w:szCs w:val="32"/>
          <w:highlight w:val="none"/>
          <w:lang w:val="en-US" w:eastAsia="zh-CN"/>
        </w:rPr>
        <w:t>1.</w:t>
      </w:r>
      <w:r>
        <w:rPr>
          <w:rStyle w:val="17"/>
          <w:rFonts w:hint="eastAsia" w:ascii="Times New Roman" w:hAnsi="Times New Roman" w:eastAsia="仿宋" w:cs="Times New Roman"/>
          <w:bCs/>
          <w:color w:val="auto"/>
          <w:sz w:val="32"/>
          <w:szCs w:val="32"/>
          <w:highlight w:val="none"/>
          <w:lang w:val="en-US" w:eastAsia="zh-CN"/>
        </w:rPr>
        <w:t>教育（类）普通教育（款）学前教育（项）</w:t>
      </w:r>
      <w:r>
        <w:rPr>
          <w:rFonts w:hint="eastAsia" w:ascii="Times New Roman" w:hAnsi="Times New Roman" w:eastAsia="仿宋_GB2312" w:cs="仿宋_GB2312"/>
          <w:color w:val="auto"/>
          <w:kern w:val="2"/>
          <w:sz w:val="32"/>
          <w:szCs w:val="32"/>
          <w:highlight w:val="none"/>
          <w:lang w:val="en-US" w:eastAsia="zh-CN" w:bidi="ar-SA"/>
        </w:rPr>
        <w:t>: 支出决算为</w:t>
      </w:r>
      <w:r>
        <w:rPr>
          <w:rFonts w:hint="eastAsia" w:eastAsia="仿宋_GB2312" w:cs="仿宋_GB2312"/>
          <w:color w:val="auto"/>
          <w:kern w:val="2"/>
          <w:sz w:val="32"/>
          <w:szCs w:val="32"/>
          <w:highlight w:val="none"/>
          <w:lang w:val="en-US" w:eastAsia="zh-CN" w:bidi="ar-SA"/>
        </w:rPr>
        <w:t>198.34</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numPr>
          <w:ilvl w:val="0"/>
          <w:numId w:val="0"/>
        </w:numPr>
        <w:spacing w:line="600" w:lineRule="exact"/>
        <w:ind w:firstLine="642" w:firstLineChars="200"/>
        <w:rPr>
          <w:rFonts w:hint="default" w:ascii="Times New Roman" w:hAnsi="Times New Roman" w:eastAsia="仿宋_GB2312" w:cs="仿宋_GB2312"/>
          <w:color w:val="auto"/>
          <w:kern w:val="2"/>
          <w:sz w:val="32"/>
          <w:szCs w:val="32"/>
          <w:highlight w:val="none"/>
          <w:lang w:val="en-US" w:eastAsia="zh-CN" w:bidi="ar-SA"/>
        </w:rPr>
      </w:pPr>
      <w:r>
        <w:rPr>
          <w:rStyle w:val="17"/>
          <w:rFonts w:hint="eastAsia" w:eastAsia="仿宋" w:cs="Times New Roman"/>
          <w:bCs/>
          <w:color w:val="auto"/>
          <w:sz w:val="32"/>
          <w:szCs w:val="32"/>
          <w:highlight w:val="none"/>
          <w:lang w:val="en-US" w:eastAsia="zh-CN"/>
        </w:rPr>
        <w:t>2.</w:t>
      </w:r>
      <w:r>
        <w:rPr>
          <w:rStyle w:val="17"/>
          <w:rFonts w:hint="eastAsia" w:ascii="Times New Roman" w:hAnsi="Times New Roman" w:eastAsia="仿宋" w:cs="Times New Roman"/>
          <w:bCs/>
          <w:color w:val="auto"/>
          <w:sz w:val="32"/>
          <w:szCs w:val="32"/>
          <w:highlight w:val="none"/>
          <w:lang w:val="en-US" w:eastAsia="zh-CN"/>
        </w:rPr>
        <w:t>社会保障和就业（类）行政事业单位养老支出（款）机关事业单位基本养老保险缴费支出（项）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27.98</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numPr>
          <w:ilvl w:val="0"/>
          <w:numId w:val="0"/>
        </w:numPr>
        <w:spacing w:line="600" w:lineRule="exact"/>
        <w:ind w:firstLine="642" w:firstLineChars="200"/>
        <w:rPr>
          <w:rFonts w:hint="default" w:ascii="Times New Roman" w:hAnsi="Times New Roman" w:eastAsia="仿宋_GB2312" w:cs="仿宋_GB2312"/>
          <w:color w:val="auto"/>
          <w:kern w:val="2"/>
          <w:sz w:val="32"/>
          <w:szCs w:val="32"/>
          <w:highlight w:val="none"/>
          <w:lang w:val="en-US" w:eastAsia="zh-CN" w:bidi="ar-SA"/>
        </w:rPr>
      </w:pPr>
      <w:r>
        <w:rPr>
          <w:rStyle w:val="17"/>
          <w:rFonts w:hint="eastAsia" w:eastAsia="仿宋" w:cs="Times New Roman"/>
          <w:bCs/>
          <w:color w:val="auto"/>
          <w:sz w:val="32"/>
          <w:szCs w:val="32"/>
          <w:highlight w:val="none"/>
          <w:lang w:val="en-US" w:eastAsia="zh-CN"/>
        </w:rPr>
        <w:t>3.</w:t>
      </w:r>
      <w:r>
        <w:rPr>
          <w:rStyle w:val="17"/>
          <w:rFonts w:hint="eastAsia" w:ascii="Times New Roman" w:hAnsi="Times New Roman" w:eastAsia="仿宋" w:cs="Times New Roman"/>
          <w:bCs/>
          <w:color w:val="auto"/>
          <w:sz w:val="32"/>
          <w:szCs w:val="32"/>
          <w:highlight w:val="none"/>
          <w:lang w:val="en-US" w:eastAsia="zh-CN"/>
        </w:rPr>
        <w:t>社会保障和就业（类）行政事业单位养老支出（款）机关事业单位职业年金缴费支出（项）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支出决算为</w:t>
      </w:r>
      <w:r>
        <w:rPr>
          <w:rFonts w:hint="eastAsia" w:eastAsia="仿宋_GB2312" w:cs="仿宋_GB2312"/>
          <w:color w:val="auto"/>
          <w:kern w:val="2"/>
          <w:sz w:val="32"/>
          <w:szCs w:val="32"/>
          <w:highlight w:val="none"/>
          <w:lang w:val="en-US" w:eastAsia="zh-CN" w:bidi="ar-SA"/>
        </w:rPr>
        <w:t>11.27</w:t>
      </w:r>
      <w:r>
        <w:rPr>
          <w:rFonts w:hint="eastAsia" w:ascii="Times New Roman" w:hAnsi="Times New Roman" w:eastAsia="仿宋_GB2312" w:cs="仿宋_GB2312"/>
          <w:color w:val="auto"/>
          <w:kern w:val="2"/>
          <w:sz w:val="32"/>
          <w:szCs w:val="32"/>
          <w:highlight w:val="none"/>
          <w:lang w:val="en-US" w:eastAsia="zh-CN" w:bidi="ar-SA"/>
        </w:rPr>
        <w:t>万元，完成预算</w:t>
      </w:r>
      <w:r>
        <w:rPr>
          <w:rFonts w:hint="eastAsia" w:eastAsia="仿宋_GB2312" w:cs="仿宋_GB2312"/>
          <w:color w:val="auto"/>
          <w:kern w:val="2"/>
          <w:sz w:val="32"/>
          <w:szCs w:val="32"/>
          <w:highlight w:val="none"/>
          <w:lang w:val="en-US" w:eastAsia="zh-CN" w:bidi="ar-SA"/>
        </w:rPr>
        <w:t>100</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w:t>
      </w:r>
    </w:p>
    <w:p>
      <w:pPr>
        <w:spacing w:line="600" w:lineRule="exact"/>
        <w:ind w:firstLine="642" w:firstLineChars="200"/>
        <w:rPr>
          <w:rFonts w:ascii="仿宋" w:hAnsi="仿宋" w:eastAsia="仿宋"/>
          <w:b/>
          <w:sz w:val="32"/>
          <w:szCs w:val="32"/>
        </w:rPr>
      </w:pPr>
      <w:r>
        <w:rPr>
          <w:rStyle w:val="17"/>
          <w:rFonts w:hint="eastAsia" w:ascii="Times New Roman" w:hAnsi="Times New Roman" w:eastAsia="仿宋" w:cs="Times New Roman"/>
          <w:bCs/>
          <w:color w:val="auto"/>
          <w:sz w:val="32"/>
          <w:szCs w:val="32"/>
          <w:highlight w:val="none"/>
        </w:rPr>
        <w:t>4</w:t>
      </w:r>
      <w:r>
        <w:rPr>
          <w:rStyle w:val="17"/>
          <w:rFonts w:hint="eastAsia" w:eastAsia="仿宋" w:cs="Times New Roman"/>
          <w:bCs/>
          <w:color w:val="auto"/>
          <w:sz w:val="32"/>
          <w:szCs w:val="32"/>
          <w:highlight w:val="none"/>
          <w:lang w:eastAsia="zh-CN"/>
        </w:rPr>
        <w:t>.</w:t>
      </w:r>
      <w:r>
        <w:rPr>
          <w:rStyle w:val="17"/>
          <w:rFonts w:hint="eastAsia" w:ascii="Times New Roman" w:hAnsi="Times New Roman" w:eastAsia="仿宋" w:cs="Times New Roman"/>
          <w:bCs/>
          <w:color w:val="auto"/>
          <w:sz w:val="32"/>
          <w:szCs w:val="32"/>
          <w:highlight w:val="none"/>
        </w:rPr>
        <w:t>卫生健康（类）行政事业单位医疗（款）事业单位医疗（项）:</w:t>
      </w:r>
      <w:r>
        <w:rPr>
          <w:rStyle w:val="17"/>
          <w:rFonts w:hint="eastAsia" w:ascii="Times New Roman" w:hAnsi="Times New Roman" w:eastAsia="仿宋" w:cs="Times New Roman"/>
          <w:b w:val="0"/>
          <w:bCs/>
          <w:color w:val="auto"/>
          <w:sz w:val="32"/>
          <w:szCs w:val="32"/>
          <w:highlight w:val="none"/>
        </w:rPr>
        <w:t>支出决算为</w:t>
      </w:r>
      <w:r>
        <w:rPr>
          <w:rStyle w:val="17"/>
          <w:rFonts w:hint="eastAsia" w:eastAsia="仿宋" w:cs="Times New Roman"/>
          <w:b w:val="0"/>
          <w:bCs/>
          <w:color w:val="auto"/>
          <w:sz w:val="32"/>
          <w:szCs w:val="32"/>
          <w:highlight w:val="none"/>
          <w:lang w:val="en-US" w:eastAsia="zh-CN"/>
        </w:rPr>
        <w:t>19.32</w:t>
      </w:r>
      <w:r>
        <w:rPr>
          <w:rStyle w:val="17"/>
          <w:rFonts w:hint="eastAsia" w:ascii="Times New Roman" w:hAnsi="Times New Roman" w:eastAsia="仿宋" w:cs="Times New Roman"/>
          <w:b w:val="0"/>
          <w:bCs/>
          <w:color w:val="auto"/>
          <w:sz w:val="32"/>
          <w:szCs w:val="32"/>
          <w:highlight w:val="none"/>
        </w:rPr>
        <w:t>万元，完成预算100%。</w:t>
      </w:r>
    </w:p>
    <w:p>
      <w:pPr>
        <w:spacing w:line="600" w:lineRule="exact"/>
        <w:ind w:firstLine="642" w:firstLineChars="200"/>
        <w:rPr>
          <w:rStyle w:val="17"/>
          <w:rFonts w:hint="eastAsia" w:ascii="Times New Roman" w:hAnsi="Times New Roman" w:eastAsia="仿宋" w:cs="Times New Roman"/>
          <w:b w:val="0"/>
          <w:bCs/>
          <w:color w:val="auto"/>
          <w:sz w:val="32"/>
          <w:szCs w:val="32"/>
          <w:highlight w:val="none"/>
        </w:rPr>
      </w:pPr>
      <w:r>
        <w:rPr>
          <w:rStyle w:val="17"/>
          <w:rFonts w:hint="eastAsia" w:eastAsia="仿宋" w:cs="Times New Roman"/>
          <w:bCs/>
          <w:color w:val="auto"/>
          <w:sz w:val="32"/>
          <w:szCs w:val="32"/>
          <w:highlight w:val="none"/>
          <w:lang w:val="en-US" w:eastAsia="zh-CN"/>
        </w:rPr>
        <w:t>5</w:t>
      </w:r>
      <w:r>
        <w:rPr>
          <w:rStyle w:val="17"/>
          <w:rFonts w:hint="eastAsia" w:ascii="Times New Roman" w:hAnsi="Times New Roman" w:eastAsia="仿宋" w:cs="Times New Roman"/>
          <w:bCs/>
          <w:color w:val="auto"/>
          <w:sz w:val="32"/>
          <w:szCs w:val="32"/>
          <w:highlight w:val="none"/>
        </w:rPr>
        <w:t>.住房保障（类）住房改革支出（款）住房公积金（项）:</w:t>
      </w:r>
      <w:r>
        <w:rPr>
          <w:rStyle w:val="17"/>
          <w:rFonts w:hint="eastAsia" w:ascii="Times New Roman" w:hAnsi="Times New Roman" w:eastAsia="仿宋" w:cs="Times New Roman"/>
          <w:b w:val="0"/>
          <w:bCs/>
          <w:color w:val="auto"/>
          <w:sz w:val="32"/>
          <w:szCs w:val="32"/>
          <w:highlight w:val="none"/>
        </w:rPr>
        <w:t>支出决算为</w:t>
      </w:r>
      <w:r>
        <w:rPr>
          <w:rStyle w:val="17"/>
          <w:rFonts w:hint="eastAsia" w:eastAsia="仿宋" w:cs="Times New Roman"/>
          <w:b w:val="0"/>
          <w:bCs/>
          <w:color w:val="auto"/>
          <w:sz w:val="32"/>
          <w:szCs w:val="32"/>
          <w:highlight w:val="none"/>
          <w:lang w:val="en-US" w:eastAsia="zh-CN"/>
        </w:rPr>
        <w:t>20.99</w:t>
      </w:r>
      <w:r>
        <w:rPr>
          <w:rStyle w:val="17"/>
          <w:rFonts w:hint="eastAsia" w:ascii="Times New Roman" w:hAnsi="Times New Roman" w:eastAsia="仿宋" w:cs="Times New Roman"/>
          <w:b w:val="0"/>
          <w:bCs/>
          <w:color w:val="auto"/>
          <w:sz w:val="32"/>
          <w:szCs w:val="32"/>
          <w:highlight w:val="none"/>
        </w:rPr>
        <w:t>万元，完成预算100%。</w:t>
      </w:r>
    </w:p>
    <w:p>
      <w:pPr>
        <w:pStyle w:val="6"/>
        <w:numPr>
          <w:ilvl w:val="0"/>
          <w:numId w:val="2"/>
        </w:numPr>
        <w:rPr>
          <w:rFonts w:hint="eastAsia" w:ascii="Times New Roman" w:hAnsi="Times New Roman" w:eastAsia="黑体"/>
          <w:b w:val="0"/>
          <w:color w:val="auto"/>
          <w:highlight w:val="none"/>
          <w:lang w:val="en-US" w:eastAsia="zh-CN"/>
        </w:rPr>
      </w:pPr>
      <w:bookmarkStart w:id="55" w:name="_Toc23437"/>
      <w:bookmarkStart w:id="56" w:name="_Toc15377214"/>
      <w:bookmarkStart w:id="57" w:name="_Toc15396608"/>
      <w:r>
        <w:rPr>
          <w:rFonts w:hint="eastAsia" w:ascii="Times New Roman" w:hAnsi="Times New Roman" w:eastAsia="黑体"/>
          <w:b w:val="0"/>
          <w:color w:val="auto"/>
          <w:highlight w:val="none"/>
          <w:lang w:val="en-US" w:eastAsia="zh-CN"/>
        </w:rPr>
        <w:t>一般公共预算财政拨款基本支出决算情况说明</w:t>
      </w:r>
      <w:bookmarkEnd w:id="55"/>
      <w:bookmarkEnd w:id="56"/>
      <w:bookmarkEnd w:id="57"/>
      <w:r>
        <w:rPr>
          <w:rFonts w:hint="eastAsia" w:ascii="Times New Roman" w:hAnsi="Times New Roman" w:eastAsia="黑体"/>
          <w:b w:val="0"/>
          <w:color w:val="auto"/>
          <w:highlight w:val="none"/>
          <w:lang w:val="en-US" w:eastAsia="zh-CN"/>
        </w:rPr>
        <w:tab/>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2024年度一般公共预算财政拨款基本支出</w:t>
      </w:r>
      <w:r>
        <w:rPr>
          <w:rFonts w:hint="eastAsia" w:eastAsia="仿宋_GB2312" w:cs="仿宋_GB2312"/>
          <w:color w:val="auto"/>
          <w:kern w:val="2"/>
          <w:sz w:val="32"/>
          <w:szCs w:val="32"/>
          <w:highlight w:val="none"/>
          <w:lang w:val="en-US" w:eastAsia="zh-CN" w:bidi="ar-SA"/>
        </w:rPr>
        <w:t>277.9</w:t>
      </w:r>
      <w:r>
        <w:rPr>
          <w:rFonts w:hint="eastAsia" w:ascii="Times New Roman" w:hAnsi="Times New Roman" w:eastAsia="仿宋_GB2312" w:cs="仿宋_GB2312"/>
          <w:color w:val="auto"/>
          <w:kern w:val="2"/>
          <w:sz w:val="32"/>
          <w:szCs w:val="32"/>
          <w:highlight w:val="none"/>
          <w:lang w:val="en-US" w:eastAsia="zh-CN" w:bidi="ar-SA"/>
        </w:rPr>
        <w:t>万元，其中：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人员经费</w:t>
      </w:r>
      <w:r>
        <w:rPr>
          <w:rFonts w:hint="eastAsia" w:eastAsia="仿宋_GB2312" w:cs="仿宋_GB2312"/>
          <w:color w:val="auto"/>
          <w:kern w:val="2"/>
          <w:sz w:val="32"/>
          <w:szCs w:val="32"/>
          <w:highlight w:val="none"/>
          <w:lang w:val="en-US" w:eastAsia="zh-CN" w:bidi="ar-SA"/>
        </w:rPr>
        <w:t>251.17</w:t>
      </w:r>
      <w:r>
        <w:rPr>
          <w:rFonts w:hint="eastAsia" w:ascii="Times New Roman" w:hAnsi="Times New Roman" w:eastAsia="仿宋_GB2312" w:cs="仿宋_GB2312"/>
          <w:color w:val="auto"/>
          <w:kern w:val="2"/>
          <w:sz w:val="32"/>
          <w:szCs w:val="32"/>
          <w:highlight w:val="none"/>
          <w:lang w:val="en-US" w:eastAsia="zh-CN" w:bidi="ar-SA"/>
        </w:rPr>
        <w:t>万元，主要包括：基本工资、津贴补贴、绩效工资、机关事业单位基本养老保险缴费、职业年金缴费、职工基本医疗保险缴费</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其他社会保障缴费、其他工资福利支出、住房公积金、其他对个人和家庭的补助支出等。</w:t>
      </w:r>
      <w:r>
        <w:rPr>
          <w:rFonts w:hint="eastAsia" w:ascii="Times New Roman" w:hAnsi="Times New Roman" w:eastAsia="仿宋_GB2312" w:cs="仿宋_GB2312"/>
          <w:color w:val="auto"/>
          <w:kern w:val="2"/>
          <w:sz w:val="32"/>
          <w:szCs w:val="32"/>
          <w:highlight w:val="none"/>
          <w:lang w:val="en-US" w:eastAsia="zh-CN" w:bidi="ar-SA"/>
        </w:rPr>
        <w:br w:type="textWrapping"/>
      </w:r>
      <w:r>
        <w:rPr>
          <w:rFonts w:hint="eastAsia" w:ascii="Times New Roman" w:hAnsi="Times New Roman" w:eastAsia="仿宋_GB2312" w:cs="仿宋_GB2312"/>
          <w:color w:val="auto"/>
          <w:kern w:val="2"/>
          <w:sz w:val="32"/>
          <w:szCs w:val="32"/>
          <w:highlight w:val="none"/>
          <w:lang w:val="en-US" w:eastAsia="zh-CN" w:bidi="ar-SA"/>
        </w:rPr>
        <w:t>　　公用经费</w:t>
      </w:r>
      <w:r>
        <w:rPr>
          <w:rFonts w:hint="eastAsia" w:eastAsia="仿宋_GB2312" w:cs="仿宋_GB2312"/>
          <w:color w:val="auto"/>
          <w:kern w:val="2"/>
          <w:sz w:val="32"/>
          <w:szCs w:val="32"/>
          <w:highlight w:val="none"/>
          <w:lang w:val="en-US" w:eastAsia="zh-CN" w:bidi="ar-SA"/>
        </w:rPr>
        <w:t>26.73</w:t>
      </w:r>
      <w:r>
        <w:rPr>
          <w:rFonts w:hint="eastAsia" w:ascii="Times New Roman" w:hAnsi="Times New Roman" w:eastAsia="仿宋_GB2312" w:cs="仿宋_GB2312"/>
          <w:color w:val="auto"/>
          <w:kern w:val="2"/>
          <w:sz w:val="32"/>
          <w:szCs w:val="32"/>
          <w:highlight w:val="none"/>
          <w:lang w:val="en-US" w:eastAsia="zh-CN" w:bidi="ar-SA"/>
        </w:rPr>
        <w:t>万元，主要包括：办公费、水费、电费、邮电费、差旅费、维修（护）费、租赁费、培训费、工会经费、福利费、其他商品和服务支出等。</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p>
    <w:p>
      <w:pPr>
        <w:pStyle w:val="6"/>
        <w:numPr>
          <w:ilvl w:val="0"/>
          <w:numId w:val="2"/>
        </w:numPr>
        <w:rPr>
          <w:rFonts w:hint="eastAsia" w:ascii="Times New Roman" w:hAnsi="Times New Roman" w:eastAsia="黑体"/>
          <w:b w:val="0"/>
          <w:color w:val="auto"/>
          <w:highlight w:val="none"/>
          <w:lang w:val="en-US" w:eastAsia="zh-CN"/>
        </w:rPr>
      </w:pPr>
      <w:bookmarkStart w:id="58" w:name="_Toc15377215"/>
      <w:bookmarkStart w:id="59" w:name="_Toc15396609"/>
      <w:bookmarkStart w:id="60" w:name="_Toc19100"/>
      <w:r>
        <w:rPr>
          <w:rFonts w:hint="eastAsia" w:ascii="Times New Roman" w:hAnsi="Times New Roman" w:eastAsia="黑体"/>
          <w:b w:val="0"/>
          <w:color w:val="auto"/>
          <w:highlight w:val="none"/>
          <w:lang w:val="en-US" w:eastAsia="zh-CN"/>
        </w:rPr>
        <w:t>财政拨款“三公”经费支出决算情况说明</w:t>
      </w:r>
      <w:bookmarkEnd w:id="58"/>
      <w:bookmarkEnd w:id="59"/>
      <w:bookmarkEnd w:id="60"/>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1" w:name="_Toc15377216"/>
      <w:r>
        <w:rPr>
          <w:rFonts w:hint="eastAsia" w:ascii="Times New Roman" w:hAnsi="Times New Roman" w:eastAsia="楷体_GB2312" w:cs="楷体_GB2312"/>
          <w:b/>
          <w:color w:val="auto"/>
          <w:sz w:val="32"/>
          <w:szCs w:val="32"/>
          <w:highlight w:val="none"/>
        </w:rPr>
        <w:t>（一）“三公”经费财政拨款支出决算总体情况说明</w:t>
      </w:r>
      <w:bookmarkEnd w:id="61"/>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与2023年度决算数持平</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决算数</w:t>
      </w:r>
      <w:r>
        <w:rPr>
          <w:rFonts w:hint="eastAsia" w:ascii="Times New Roman" w:hAnsi="Times New Roman" w:eastAsia="仿宋_GB2312" w:cs="仿宋_GB2312"/>
          <w:color w:val="auto"/>
          <w:kern w:val="2"/>
          <w:sz w:val="32"/>
          <w:szCs w:val="32"/>
          <w:highlight w:val="none"/>
          <w:lang w:val="en-US" w:eastAsia="zh-CN" w:bidi="ar-SA"/>
        </w:rPr>
        <w:t>与预算数持平</w:t>
      </w:r>
      <w:r>
        <w:rPr>
          <w:rFonts w:hint="eastAsia"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62" w:name="_Toc15377217"/>
      <w:r>
        <w:rPr>
          <w:rFonts w:hint="eastAsia" w:ascii="Times New Roman" w:hAnsi="Times New Roman" w:eastAsia="楷体_GB2312" w:cs="楷体_GB2312"/>
          <w:b/>
          <w:color w:val="auto"/>
          <w:sz w:val="32"/>
          <w:szCs w:val="32"/>
          <w:highlight w:val="none"/>
        </w:rPr>
        <w:t>（二）“三公”经费财政拨款支出决算具体情况说明</w:t>
      </w:r>
      <w:bookmarkEnd w:id="6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2024年度“三公”经费财政拨款支出决算中，因公出国（境）费支出决算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%；公务接待费支出决算</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元，占</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%。具体情况如下：</w:t>
      </w:r>
    </w:p>
    <w:p>
      <w:pPr>
        <w:pStyle w:val="8"/>
        <w:rPr>
          <w:rFonts w:hint="eastAsia"/>
          <w:lang w:val="en-US" w:eastAsia="zh-CN"/>
        </w:rPr>
      </w:pPr>
      <w:r>
        <mc:AlternateContent>
          <mc:Choice Requires="wps">
            <w:drawing>
              <wp:anchor distT="0" distB="0" distL="114300" distR="114300" simplePos="0" relativeHeight="251663360" behindDoc="0" locked="0" layoutInCell="1" allowOverlap="1">
                <wp:simplePos x="0" y="0"/>
                <wp:positionH relativeFrom="column">
                  <wp:posOffset>1708150</wp:posOffset>
                </wp:positionH>
                <wp:positionV relativeFrom="paragraph">
                  <wp:posOffset>-3208655</wp:posOffset>
                </wp:positionV>
                <wp:extent cx="1873885" cy="1696720"/>
                <wp:effectExtent l="4445" t="4445" r="13970" b="13335"/>
                <wp:wrapNone/>
                <wp:docPr id="11" name="椭圆 11"/>
                <wp:cNvGraphicFramePr/>
                <a:graphic xmlns:a="http://schemas.openxmlformats.org/drawingml/2006/main">
                  <a:graphicData uri="http://schemas.microsoft.com/office/word/2010/wordprocessingShape">
                    <wps:wsp>
                      <wps:cNvSpPr/>
                      <wps:spPr>
                        <a:xfrm>
                          <a:off x="0" y="0"/>
                          <a:ext cx="1873885" cy="1696720"/>
                        </a:xfrm>
                        <a:prstGeom prst="ellipse">
                          <a:avLst/>
                        </a:prstGeom>
                        <a:solidFill>
                          <a:srgbClr val="FFFFFF"/>
                        </a:solidFill>
                        <a:ln w="9525" cap="flat" cmpd="sng">
                          <a:solidFill>
                            <a:srgbClr val="000000"/>
                          </a:solidFill>
                          <a:prstDash val="solid"/>
                          <a:headEnd type="none" w="med" len="med"/>
                          <a:tailEnd type="none" w="med" len="med"/>
                        </a:ln>
                      </wps:spPr>
                      <wps:bodyPr upright="true"/>
                    </wps:wsp>
                  </a:graphicData>
                </a:graphic>
              </wp:anchor>
            </w:drawing>
          </mc:Choice>
          <mc:Fallback>
            <w:pict>
              <v:shape id="_x0000_s1026" o:spid="_x0000_s1026" o:spt="3" type="#_x0000_t3" style="position:absolute;left:0pt;margin-left:134.5pt;margin-top:-252.65pt;height:133.6pt;width:147.55pt;z-index:251663360;mso-width-relative:page;mso-height-relative:page;" fillcolor="#FFFFFF" filled="t" stroked="t" coordsize="21600,21600" o:gfxdata="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BYAAABkcnMv&#10;UEsBAhQAFAAAAAgAh07iQP2ZGLbbAAAADQEAAA8AAAAAAAAAAQAgAAAAOAAAAGRycy9kb3ducmV2&#10;LnhtbFBLAQIUABQAAAAIAIdO4kDDtoPf4wEAAM8DAAAOAAAAAAAAAAEAIAAAAEABAABkcnMvZTJv&#10;RG9jLnhtbFBLBQYAAAAABgAGAFkBAACVBQAAAAA=&#10;">
                <v:fill on="t" focussize="0,0"/>
                <v:stroke color="#000000" joinstyle="round"/>
                <v:imagedata o:title=""/>
                <o:lock v:ext="edit" aspectratio="f"/>
              </v:shape>
            </w:pict>
          </mc:Fallback>
        </mc:AlternateContent>
      </w:r>
      <w:r>
        <w:rPr>
          <w:rFonts w:hint="eastAsia"/>
        </w:rPr>
        <w:pict>
          <v:shape id="Object 1764772577" o:spid="_x0000_s1030" o:spt="75" type="#_x0000_t75" style="position:absolute;left:0pt;margin-left:-0.4pt;margin-top:-0.35pt;height:322.3pt;width:422.4pt;mso-wrap-distance-left:9pt;mso-wrap-distance-right:9pt;z-index:251662336;mso-width-relative:page;mso-height-relative:page;" o:ole="t" filled="f" o:preferrelative="t" stroked="f" coordsize="21600,21600" wrapcoords="21592 -2 0 0 0 21600 21592 21602 8 21602 21600 21600 21600 0 8 -2 21592 -2" o:gfxdata="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">
            <v:path/>
            <v:fill on="f" focussize="0,0"/>
            <v:stroke on="f"/>
            <v:imagedata r:id="rId14" o:title=""/>
            <o:lock v:ext="edit" aspectratio="f"/>
            <w10:wrap type="through"/>
          </v:shape>
          <o:OLEObject Type="Embed" ProgID="Excel.Sheet.8" ShapeID="Object 1764772577" DrawAspect="Content" ObjectID="_1468075725" r:id="rId13">
            <o:LockedField>false</o:LockedField>
          </o:OLEObject>
        </w:pic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b/>
          <w:bCs/>
          <w:color w:val="auto"/>
          <w:kern w:val="2"/>
          <w:sz w:val="32"/>
          <w:szCs w:val="32"/>
          <w:highlight w:val="none"/>
          <w:lang w:val="en-US" w:eastAsia="zh-CN" w:bidi="ar-SA"/>
        </w:rPr>
        <w:t>1.</w:t>
      </w:r>
      <w:r>
        <w:rPr>
          <w:rFonts w:hint="eastAsia" w:ascii="Times New Roman" w:hAnsi="Times New Roman" w:eastAsia="仿宋_GB2312" w:cs="仿宋_GB2312"/>
          <w:b/>
          <w:bCs/>
          <w:color w:val="auto"/>
          <w:kern w:val="2"/>
          <w:sz w:val="32"/>
          <w:szCs w:val="32"/>
          <w:highlight w:val="none"/>
          <w:lang w:val="en-US" w:eastAsia="zh-CN" w:bidi="ar-SA"/>
        </w:rPr>
        <w:t>因公出国（境）经费支出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全年安排因公出国（境）团组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次，出国（境）</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人。因公出国（境）支出决算</w:t>
      </w:r>
      <w:r>
        <w:rPr>
          <w:rFonts w:hint="eastAsia" w:eastAsia="仿宋_GB2312" w:cs="仿宋_GB2312"/>
          <w:color w:val="auto"/>
          <w:kern w:val="2"/>
          <w:sz w:val="32"/>
          <w:szCs w:val="32"/>
          <w:highlight w:val="none"/>
          <w:lang w:val="en-US" w:eastAsia="zh-CN" w:bidi="ar-SA"/>
        </w:rPr>
        <w:t>与2023年度决算数持平</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决算数</w:t>
      </w:r>
      <w:r>
        <w:rPr>
          <w:rFonts w:hint="eastAsia" w:ascii="Times New Roman" w:hAnsi="Times New Roman" w:eastAsia="仿宋_GB2312" w:cs="仿宋_GB2312"/>
          <w:color w:val="auto"/>
          <w:kern w:val="2"/>
          <w:sz w:val="32"/>
          <w:szCs w:val="32"/>
          <w:highlight w:val="none"/>
          <w:lang w:val="en-US" w:eastAsia="zh-CN" w:bidi="ar-SA"/>
        </w:rPr>
        <w:t>与预算数持平</w:t>
      </w:r>
      <w:r>
        <w:rPr>
          <w:rFonts w:hint="eastAsia" w:eastAsia="仿宋_GB2312" w:cs="仿宋_GB2312"/>
          <w:color w:val="auto"/>
          <w:kern w:val="2"/>
          <w:sz w:val="32"/>
          <w:szCs w:val="32"/>
          <w:highlight w:val="none"/>
          <w:lang w:val="en-US" w:eastAsia="zh-CN" w:bidi="ar-SA"/>
        </w:rPr>
        <w:t>。</w:t>
      </w:r>
    </w:p>
    <w:p>
      <w:pPr>
        <w:numPr>
          <w:ilvl w:val="0"/>
          <w:numId w:val="0"/>
        </w:numPr>
        <w:spacing w:line="600" w:lineRule="exact"/>
        <w:ind w:firstLine="642" w:firstLineChars="200"/>
        <w:rPr>
          <w:rFonts w:hint="eastAsia" w:eastAsia="仿宋_GB2312" w:cs="仿宋_GB2312"/>
          <w:color w:val="auto"/>
          <w:kern w:val="2"/>
          <w:sz w:val="32"/>
          <w:szCs w:val="32"/>
          <w:highlight w:val="none"/>
          <w:lang w:val="en-US" w:eastAsia="zh-CN" w:bidi="ar-SA"/>
        </w:rPr>
      </w:pPr>
      <w:r>
        <w:rPr>
          <w:rFonts w:hint="eastAsia" w:eastAsia="仿宋_GB2312" w:cs="仿宋_GB2312"/>
          <w:b/>
          <w:bCs/>
          <w:color w:val="auto"/>
          <w:kern w:val="2"/>
          <w:sz w:val="32"/>
          <w:szCs w:val="32"/>
          <w:highlight w:val="none"/>
          <w:lang w:val="en-US" w:eastAsia="zh-CN" w:bidi="ar-SA"/>
        </w:rPr>
        <w:t>2.</w:t>
      </w:r>
      <w:r>
        <w:rPr>
          <w:rFonts w:hint="eastAsia" w:ascii="Times New Roman" w:hAnsi="Times New Roman" w:eastAsia="仿宋_GB2312" w:cs="仿宋_GB2312"/>
          <w:b/>
          <w:bCs/>
          <w:color w:val="auto"/>
          <w:kern w:val="2"/>
          <w:sz w:val="32"/>
          <w:szCs w:val="32"/>
          <w:highlight w:val="none"/>
          <w:lang w:val="en-US" w:eastAsia="zh-CN" w:bidi="ar-SA"/>
        </w:rPr>
        <w:t>公务用车购置及运行维护费支出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公务用车购置及运行维护费支出决算</w:t>
      </w:r>
      <w:r>
        <w:rPr>
          <w:rFonts w:hint="eastAsia" w:eastAsia="仿宋_GB2312" w:cs="仿宋_GB2312"/>
          <w:color w:val="auto"/>
          <w:kern w:val="2"/>
          <w:sz w:val="32"/>
          <w:szCs w:val="32"/>
          <w:highlight w:val="none"/>
          <w:lang w:val="en-US" w:eastAsia="zh-CN" w:bidi="ar-SA"/>
        </w:rPr>
        <w:t>与2023年度决算数持平</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决算数</w:t>
      </w:r>
      <w:r>
        <w:rPr>
          <w:rFonts w:hint="eastAsia" w:ascii="Times New Roman" w:hAnsi="Times New Roman" w:eastAsia="仿宋_GB2312" w:cs="仿宋_GB2312"/>
          <w:color w:val="auto"/>
          <w:kern w:val="2"/>
          <w:sz w:val="32"/>
          <w:szCs w:val="32"/>
          <w:highlight w:val="none"/>
          <w:lang w:val="en-US" w:eastAsia="zh-CN" w:bidi="ar-SA"/>
        </w:rPr>
        <w:t>与预算数持平</w:t>
      </w:r>
      <w:r>
        <w:rPr>
          <w:rFonts w:hint="eastAsia" w:eastAsia="仿宋_GB2312" w:cs="仿宋_GB2312"/>
          <w:color w:val="auto"/>
          <w:kern w:val="2"/>
          <w:sz w:val="32"/>
          <w:szCs w:val="32"/>
          <w:highlight w:val="none"/>
          <w:lang w:val="en-US" w:eastAsia="zh-CN" w:bidi="ar-SA"/>
        </w:rPr>
        <w:t>。</w:t>
      </w:r>
    </w:p>
    <w:p>
      <w:pPr>
        <w:numPr>
          <w:ilvl w:val="0"/>
          <w:numId w:val="0"/>
        </w:numPr>
        <w:spacing w:line="60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其中：公务用车购置支出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万元。全年按规定更新购置公务用车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万元。截至2024年12月31日，单位共有公务用车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辆，其中：轿车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辆、越野车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辆、载客汽车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公务用车运行维护费支出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万元。公务用车燃料费、维修费、过路过桥费、保险费等支出</w:t>
      </w:r>
      <w:r>
        <w:rPr>
          <w:rFonts w:hint="eastAsia" w:eastAsia="仿宋_GB2312" w:cs="仿宋_GB2312"/>
          <w:color w:val="auto"/>
          <w:kern w:val="2"/>
          <w:sz w:val="32"/>
          <w:szCs w:val="32"/>
          <w:highlight w:val="none"/>
          <w:lang w:val="en-US" w:eastAsia="zh-CN" w:bidi="ar-SA"/>
        </w:rPr>
        <w:t>均为0万元</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3.公务接待费支出</w:t>
      </w:r>
      <w:r>
        <w:rPr>
          <w:rFonts w:hint="eastAsia" w:eastAsia="仿宋_GB2312" w:cs="仿宋_GB2312"/>
          <w:b/>
          <w:bCs/>
          <w:color w:val="auto"/>
          <w:kern w:val="2"/>
          <w:sz w:val="32"/>
          <w:szCs w:val="32"/>
          <w:highlight w:val="none"/>
          <w:lang w:val="en-US" w:eastAsia="zh-CN" w:bidi="ar-SA"/>
        </w:rPr>
        <w:t>0</w:t>
      </w:r>
      <w:r>
        <w:rPr>
          <w:rFonts w:hint="eastAsia" w:ascii="Times New Roman" w:hAnsi="Times New Roman" w:eastAsia="仿宋_GB2312" w:cs="仿宋_GB2312"/>
          <w:b/>
          <w:bCs/>
          <w:color w:val="auto"/>
          <w:kern w:val="2"/>
          <w:sz w:val="32"/>
          <w:szCs w:val="32"/>
          <w:highlight w:val="none"/>
          <w:lang w:val="en-US" w:eastAsia="zh-CN" w:bidi="ar-SA"/>
        </w:rPr>
        <w:t>万元。</w:t>
      </w:r>
      <w:r>
        <w:rPr>
          <w:rFonts w:hint="eastAsia" w:ascii="Times New Roman" w:hAnsi="Times New Roman" w:eastAsia="仿宋_GB2312" w:cs="仿宋_GB2312"/>
          <w:color w:val="auto"/>
          <w:kern w:val="2"/>
          <w:sz w:val="32"/>
          <w:szCs w:val="32"/>
          <w:highlight w:val="none"/>
          <w:lang w:val="en-US" w:eastAsia="zh-CN" w:bidi="ar-SA"/>
        </w:rPr>
        <w:t>公务接待费支出决算</w:t>
      </w:r>
      <w:r>
        <w:rPr>
          <w:rFonts w:hint="eastAsia" w:eastAsia="仿宋_GB2312" w:cs="仿宋_GB2312"/>
          <w:color w:val="auto"/>
          <w:kern w:val="2"/>
          <w:sz w:val="32"/>
          <w:szCs w:val="32"/>
          <w:highlight w:val="none"/>
          <w:lang w:val="en-US" w:eastAsia="zh-CN" w:bidi="ar-SA"/>
        </w:rPr>
        <w:t>与2023年度决算数持平</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决算数</w:t>
      </w:r>
      <w:r>
        <w:rPr>
          <w:rFonts w:hint="eastAsia" w:ascii="Times New Roman" w:hAnsi="Times New Roman" w:eastAsia="仿宋_GB2312" w:cs="仿宋_GB2312"/>
          <w:color w:val="auto"/>
          <w:kern w:val="2"/>
          <w:sz w:val="32"/>
          <w:szCs w:val="32"/>
          <w:highlight w:val="none"/>
          <w:lang w:val="en-US" w:eastAsia="zh-CN" w:bidi="ar-SA"/>
        </w:rPr>
        <w:t>与预算数持平</w:t>
      </w:r>
      <w:r>
        <w:rPr>
          <w:rFonts w:hint="eastAsia" w:eastAsia="仿宋_GB2312" w:cs="仿宋_GB2312"/>
          <w:color w:val="auto"/>
          <w:kern w:val="2"/>
          <w:sz w:val="32"/>
          <w:szCs w:val="32"/>
          <w:highlight w:val="none"/>
          <w:lang w:val="en-US" w:eastAsia="zh-CN" w:bidi="ar-SA"/>
        </w:rPr>
        <w:t>。其中：</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国内公务接待支出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万元，国内公务接待</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批次，</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b/>
          <w:bCs/>
          <w:color w:val="auto"/>
          <w:kern w:val="2"/>
          <w:sz w:val="32"/>
          <w:szCs w:val="32"/>
          <w:highlight w:val="none"/>
          <w:lang w:val="en-US" w:eastAsia="zh-CN" w:bidi="ar-SA"/>
        </w:rPr>
        <w:t>外事接待支出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万元。外事接待</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批次，</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人次（不包括陪同人员），共计支出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bookmarkStart w:id="63" w:name="_Toc15377218"/>
      <w:bookmarkStart w:id="64" w:name="_Toc15396610"/>
    </w:p>
    <w:p>
      <w:pPr>
        <w:pStyle w:val="8"/>
        <w:rPr>
          <w:rFonts w:hint="eastAsia" w:ascii="Times New Roman" w:hAnsi="Times New Roman" w:eastAsia="仿宋_GB2312" w:cs="仿宋_GB2312"/>
          <w:color w:val="auto"/>
          <w:kern w:val="2"/>
          <w:sz w:val="32"/>
          <w:szCs w:val="32"/>
          <w:highlight w:val="none"/>
          <w:lang w:val="en-US" w:eastAsia="zh-CN" w:bidi="ar-SA"/>
        </w:rPr>
      </w:pPr>
    </w:p>
    <w:p>
      <w:pPr>
        <w:pStyle w:val="8"/>
        <w:rPr>
          <w:rFonts w:hint="eastAsia" w:ascii="Times New Roman" w:hAnsi="Times New Roman" w:eastAsia="仿宋_GB2312" w:cs="仿宋_GB2312"/>
          <w:color w:val="auto"/>
          <w:kern w:val="2"/>
          <w:sz w:val="32"/>
          <w:szCs w:val="32"/>
          <w:highlight w:val="none"/>
          <w:lang w:val="en-US" w:eastAsia="zh-CN" w:bidi="ar-SA"/>
        </w:rPr>
      </w:pPr>
    </w:p>
    <w:p>
      <w:pPr>
        <w:pStyle w:val="6"/>
        <w:numPr>
          <w:ilvl w:val="0"/>
          <w:numId w:val="2"/>
        </w:numPr>
        <w:rPr>
          <w:rFonts w:hint="default" w:ascii="Times New Roman" w:hAnsi="Times New Roman" w:eastAsia="黑体"/>
          <w:b w:val="0"/>
          <w:color w:val="auto"/>
          <w:highlight w:val="none"/>
          <w:lang w:val="en-US" w:eastAsia="zh-CN"/>
        </w:rPr>
      </w:pPr>
      <w:bookmarkStart w:id="65" w:name="_Toc8742"/>
      <w:r>
        <w:rPr>
          <w:rFonts w:hint="eastAsia" w:ascii="Times New Roman" w:hAnsi="Times New Roman" w:eastAsia="黑体"/>
          <w:b w:val="0"/>
          <w:color w:val="auto"/>
          <w:highlight w:val="none"/>
          <w:lang w:val="en-US" w:eastAsia="zh-CN"/>
        </w:rPr>
        <w:t>政府性基金预算支出决算情况说明</w:t>
      </w:r>
      <w:bookmarkEnd w:id="63"/>
      <w:bookmarkEnd w:id="64"/>
      <w:bookmarkEnd w:id="65"/>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2024年度政府性基金预算财政拨款支出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万元，占本年支出合计</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%。支出数与2023年持平</w:t>
      </w:r>
      <w:r>
        <w:rPr>
          <w:rFonts w:hint="eastAsia" w:eastAsia="仿宋_GB2312" w:cs="仿宋_GB2312"/>
          <w:color w:val="auto"/>
          <w:kern w:val="2"/>
          <w:sz w:val="32"/>
          <w:szCs w:val="32"/>
          <w:highlight w:val="none"/>
          <w:lang w:val="en-US" w:eastAsia="zh-CN" w:bidi="ar-SA"/>
        </w:rPr>
        <w:t>。</w:t>
      </w:r>
    </w:p>
    <w:p>
      <w:pPr>
        <w:pStyle w:val="6"/>
        <w:numPr>
          <w:ilvl w:val="0"/>
          <w:numId w:val="2"/>
        </w:numPr>
        <w:rPr>
          <w:rFonts w:hint="eastAsia" w:ascii="Times New Roman" w:hAnsi="Times New Roman" w:eastAsia="黑体"/>
          <w:b w:val="0"/>
          <w:color w:val="auto"/>
          <w:highlight w:val="none"/>
          <w:lang w:val="en-US" w:eastAsia="zh-CN"/>
        </w:rPr>
      </w:pPr>
      <w:bookmarkStart w:id="66" w:name="_Toc15377219"/>
      <w:bookmarkStart w:id="67" w:name="_Toc11414"/>
      <w:bookmarkStart w:id="68" w:name="_Toc15396611"/>
      <w:r>
        <w:rPr>
          <w:rFonts w:hint="eastAsia" w:ascii="Times New Roman" w:hAnsi="Times New Roman" w:eastAsia="黑体"/>
          <w:b w:val="0"/>
          <w:color w:val="auto"/>
          <w:highlight w:val="none"/>
          <w:lang w:val="en-US" w:eastAsia="zh-CN"/>
        </w:rPr>
        <w:t>国有资本经营预算支出决算情况说明</w:t>
      </w:r>
      <w:bookmarkEnd w:id="66"/>
      <w:bookmarkEnd w:id="67"/>
      <w:bookmarkEnd w:id="68"/>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2024年度国有资本经营预算财政拨款支出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万元，占本年支出合计的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%。支出数与2023年持平</w:t>
      </w:r>
      <w:r>
        <w:rPr>
          <w:rFonts w:hint="eastAsia" w:eastAsia="仿宋_GB2312" w:cs="仿宋_GB2312"/>
          <w:color w:val="auto"/>
          <w:kern w:val="2"/>
          <w:sz w:val="32"/>
          <w:szCs w:val="32"/>
          <w:highlight w:val="none"/>
          <w:lang w:val="en-US" w:eastAsia="zh-CN" w:bidi="ar-SA"/>
        </w:rPr>
        <w:t>。</w:t>
      </w:r>
    </w:p>
    <w:p>
      <w:pPr>
        <w:pStyle w:val="6"/>
        <w:numPr>
          <w:ilvl w:val="0"/>
          <w:numId w:val="2"/>
        </w:numPr>
        <w:rPr>
          <w:rFonts w:hint="eastAsia" w:ascii="Times New Roman" w:hAnsi="Times New Roman" w:eastAsia="黑体"/>
          <w:b w:val="0"/>
          <w:color w:val="auto"/>
          <w:highlight w:val="none"/>
          <w:lang w:val="en-US" w:eastAsia="zh-CN"/>
        </w:rPr>
      </w:pPr>
      <w:bookmarkStart w:id="69" w:name="_Toc15396612"/>
      <w:bookmarkStart w:id="70" w:name="_Toc15377221"/>
      <w:bookmarkStart w:id="71" w:name="_Toc7308"/>
      <w:r>
        <w:rPr>
          <w:rFonts w:hint="eastAsia" w:ascii="Times New Roman" w:hAnsi="Times New Roman" w:eastAsia="黑体"/>
          <w:b w:val="0"/>
          <w:color w:val="auto"/>
          <w:highlight w:val="none"/>
          <w:lang w:val="en-US" w:eastAsia="zh-CN"/>
        </w:rPr>
        <w:t>其他重要事项的情况说明</w:t>
      </w:r>
      <w:bookmarkEnd w:id="69"/>
      <w:bookmarkEnd w:id="70"/>
      <w:bookmarkEnd w:id="71"/>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2" w:name="_Toc15377222"/>
      <w:r>
        <w:rPr>
          <w:rFonts w:hint="eastAsia" w:ascii="Times New Roman" w:hAnsi="Times New Roman" w:eastAsia="楷体_GB2312" w:cs="楷体_GB2312"/>
          <w:b/>
          <w:color w:val="auto"/>
          <w:sz w:val="32"/>
          <w:szCs w:val="32"/>
          <w:highlight w:val="none"/>
        </w:rPr>
        <w:t>（一）机关运行经费支出情况</w:t>
      </w:r>
      <w:bookmarkEnd w:id="72"/>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eastAsia="仿宋_GB2312" w:cs="仿宋_GB2312"/>
          <w:color w:val="auto"/>
          <w:kern w:val="2"/>
          <w:sz w:val="32"/>
          <w:szCs w:val="32"/>
          <w:highlight w:val="none"/>
          <w:lang w:val="en-US" w:eastAsia="zh-CN" w:bidi="ar-SA"/>
        </w:rPr>
        <w:t>四川省轻工幼儿园</w:t>
      </w:r>
      <w:r>
        <w:rPr>
          <w:rFonts w:hint="eastAsia" w:ascii="Times New Roman" w:hAnsi="Times New Roman" w:eastAsia="仿宋_GB2312" w:cs="仿宋_GB2312"/>
          <w:color w:val="auto"/>
          <w:kern w:val="2"/>
          <w:sz w:val="32"/>
          <w:szCs w:val="32"/>
          <w:highlight w:val="none"/>
          <w:lang w:val="en-US" w:eastAsia="zh-CN" w:bidi="ar-SA"/>
        </w:rPr>
        <w:t>机关运行经费支出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w:t>
      </w:r>
      <w:r>
        <w:rPr>
          <w:rFonts w:hint="eastAsia" w:eastAsia="仿宋_GB2312" w:cs="仿宋_GB2312"/>
          <w:color w:val="auto"/>
          <w:kern w:val="2"/>
          <w:sz w:val="32"/>
          <w:szCs w:val="32"/>
          <w:highlight w:val="none"/>
          <w:lang w:val="en-US" w:eastAsia="zh-CN" w:bidi="ar-SA"/>
        </w:rPr>
        <w:t>与2023年度决算数持平</w:t>
      </w:r>
      <w:r>
        <w:rPr>
          <w:rFonts w:hint="eastAsia" w:ascii="Times New Roman" w:hAnsi="Times New Roman" w:eastAsia="仿宋_GB2312" w:cs="仿宋_GB2312"/>
          <w:color w:val="auto"/>
          <w:kern w:val="2"/>
          <w:sz w:val="32"/>
          <w:szCs w:val="32"/>
          <w:highlight w:val="none"/>
          <w:lang w:val="en-US" w:eastAsia="zh-CN" w:bidi="ar-SA"/>
        </w:rPr>
        <w:t>。</w:t>
      </w:r>
      <w:r>
        <w:rPr>
          <w:rFonts w:hint="eastAsia" w:eastAsia="仿宋_GB2312" w:cs="仿宋_GB2312"/>
          <w:color w:val="auto"/>
          <w:kern w:val="2"/>
          <w:sz w:val="32"/>
          <w:szCs w:val="32"/>
          <w:highlight w:val="none"/>
          <w:lang w:val="en-US" w:eastAsia="zh-CN" w:bidi="ar-SA"/>
        </w:rPr>
        <w:t>决算数</w:t>
      </w:r>
      <w:r>
        <w:rPr>
          <w:rFonts w:hint="eastAsia" w:ascii="Times New Roman" w:hAnsi="Times New Roman" w:eastAsia="仿宋_GB2312" w:cs="仿宋_GB2312"/>
          <w:color w:val="auto"/>
          <w:kern w:val="2"/>
          <w:sz w:val="32"/>
          <w:szCs w:val="32"/>
          <w:highlight w:val="none"/>
          <w:lang w:val="en-US" w:eastAsia="zh-CN" w:bidi="ar-SA"/>
        </w:rPr>
        <w:t>与预算数持平。</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3" w:name="_Toc15377223"/>
      <w:r>
        <w:rPr>
          <w:rFonts w:hint="eastAsia" w:ascii="Times New Roman" w:hAnsi="Times New Roman" w:eastAsia="楷体_GB2312" w:cs="楷体_GB2312"/>
          <w:b/>
          <w:color w:val="auto"/>
          <w:sz w:val="32"/>
          <w:szCs w:val="32"/>
          <w:highlight w:val="none"/>
        </w:rPr>
        <w:t>（二）政府采购支出情况</w:t>
      </w:r>
      <w:bookmarkEnd w:id="73"/>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2024年度，</w:t>
      </w:r>
      <w:r>
        <w:rPr>
          <w:rFonts w:hint="eastAsia" w:eastAsia="仿宋_GB2312" w:cs="仿宋_GB2312"/>
          <w:color w:val="auto"/>
          <w:kern w:val="2"/>
          <w:sz w:val="32"/>
          <w:szCs w:val="32"/>
          <w:highlight w:val="none"/>
          <w:lang w:val="en-US" w:eastAsia="zh-CN" w:bidi="ar-SA"/>
        </w:rPr>
        <w:t>四川省轻工幼儿园</w:t>
      </w:r>
      <w:r>
        <w:rPr>
          <w:rFonts w:hint="eastAsia" w:ascii="Times New Roman" w:hAnsi="Times New Roman" w:eastAsia="仿宋_GB2312" w:cs="仿宋_GB2312"/>
          <w:color w:val="auto"/>
          <w:kern w:val="2"/>
          <w:sz w:val="32"/>
          <w:szCs w:val="32"/>
          <w:highlight w:val="none"/>
          <w:lang w:val="en-US" w:eastAsia="zh-CN" w:bidi="ar-SA"/>
        </w:rPr>
        <w:t>政府采购支出总额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万元，其中：政府采购货物支出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万元、政府采购工程支出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万元、政府采购服务支出</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万元。授予中小企业合同金额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万元，占政府采购支出总额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%，其中：授予小微企业合同金额</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万元，占政府采购支出总额的</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bookmarkStart w:id="74" w:name="_Toc15377224"/>
      <w:r>
        <w:rPr>
          <w:rFonts w:hint="eastAsia" w:ascii="Times New Roman" w:hAnsi="Times New Roman" w:eastAsia="楷体_GB2312" w:cs="楷体_GB2312"/>
          <w:b/>
          <w:color w:val="auto"/>
          <w:sz w:val="32"/>
          <w:szCs w:val="32"/>
          <w:highlight w:val="none"/>
        </w:rPr>
        <w:t>（三）国有资产占有使用情况</w:t>
      </w:r>
      <w:bookmarkEnd w:id="74"/>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截至202</w:t>
      </w: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年12月31日，</w:t>
      </w:r>
      <w:r>
        <w:rPr>
          <w:rFonts w:hint="eastAsia" w:eastAsia="仿宋_GB2312" w:cs="仿宋_GB2312"/>
          <w:color w:val="auto"/>
          <w:kern w:val="2"/>
          <w:sz w:val="32"/>
          <w:szCs w:val="32"/>
          <w:highlight w:val="none"/>
          <w:lang w:val="en-US" w:eastAsia="zh-CN" w:bidi="ar-SA"/>
        </w:rPr>
        <w:t>四川省轻工幼儿园</w:t>
      </w:r>
      <w:r>
        <w:rPr>
          <w:rFonts w:hint="eastAsia" w:ascii="Times New Roman" w:hAnsi="Times New Roman" w:eastAsia="仿宋_GB2312" w:cs="仿宋_GB2312"/>
          <w:color w:val="auto"/>
          <w:kern w:val="2"/>
          <w:sz w:val="32"/>
          <w:szCs w:val="32"/>
          <w:highlight w:val="none"/>
          <w:lang w:val="en-US" w:eastAsia="zh-CN" w:bidi="ar-SA"/>
        </w:rPr>
        <w:t>共有车辆</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辆，其中：主要</w:t>
      </w:r>
      <w:r>
        <w:rPr>
          <w:rFonts w:hint="eastAsia" w:eastAsia="仿宋_GB2312" w:cs="仿宋_GB2312"/>
          <w:color w:val="auto"/>
          <w:kern w:val="2"/>
          <w:sz w:val="32"/>
          <w:szCs w:val="32"/>
          <w:highlight w:val="none"/>
          <w:lang w:val="en-US" w:eastAsia="zh-CN" w:bidi="ar-SA"/>
        </w:rPr>
        <w:t>负责人</w:t>
      </w:r>
      <w:r>
        <w:rPr>
          <w:rFonts w:hint="eastAsia" w:ascii="Times New Roman" w:hAnsi="Times New Roman" w:eastAsia="仿宋_GB2312" w:cs="仿宋_GB2312"/>
          <w:color w:val="auto"/>
          <w:kern w:val="2"/>
          <w:sz w:val="32"/>
          <w:szCs w:val="32"/>
          <w:highlight w:val="none"/>
          <w:lang w:val="en-US" w:eastAsia="zh-CN" w:bidi="ar-SA"/>
        </w:rPr>
        <w:t>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辆、机要通信用车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辆、应急保障用车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辆、其他用车</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辆</w:t>
      </w:r>
      <w:r>
        <w:rPr>
          <w:rFonts w:hint="eastAsia"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highlight w:val="none"/>
          <w:lang w:val="en-US" w:eastAsia="zh-CN" w:bidi="ar-SA"/>
        </w:rPr>
        <w:t>单价100万元</w:t>
      </w:r>
      <w:r>
        <w:rPr>
          <w:rFonts w:hint="eastAsia" w:eastAsia="仿宋_GB2312" w:cs="仿宋_GB2312"/>
          <w:color w:val="auto"/>
          <w:kern w:val="2"/>
          <w:sz w:val="32"/>
          <w:szCs w:val="32"/>
          <w:highlight w:val="none"/>
          <w:lang w:val="en-US" w:eastAsia="zh-CN" w:bidi="ar-SA"/>
        </w:rPr>
        <w:t>（含）</w:t>
      </w:r>
      <w:r>
        <w:rPr>
          <w:rFonts w:hint="eastAsia" w:ascii="Times New Roman" w:hAnsi="Times New Roman" w:eastAsia="仿宋_GB2312" w:cs="仿宋_GB2312"/>
          <w:color w:val="auto"/>
          <w:kern w:val="2"/>
          <w:sz w:val="32"/>
          <w:szCs w:val="32"/>
          <w:highlight w:val="none"/>
          <w:lang w:val="en-US" w:eastAsia="zh-CN" w:bidi="ar-SA"/>
        </w:rPr>
        <w:t>以上设备（不含车辆）</w:t>
      </w:r>
      <w:r>
        <w:rPr>
          <w:rFonts w:hint="eastAsia" w:eastAsia="仿宋_GB2312" w:cs="仿宋_GB2312"/>
          <w:color w:val="auto"/>
          <w:kern w:val="2"/>
          <w:sz w:val="32"/>
          <w:szCs w:val="32"/>
          <w:highlight w:val="none"/>
          <w:lang w:val="en-US" w:eastAsia="zh-CN" w:bidi="ar-SA"/>
        </w:rPr>
        <w:t>0</w:t>
      </w:r>
      <w:r>
        <w:rPr>
          <w:rFonts w:hint="eastAsia" w:ascii="Times New Roman" w:hAnsi="Times New Roman" w:eastAsia="仿宋_GB2312" w:cs="仿宋_GB2312"/>
          <w:color w:val="auto"/>
          <w:kern w:val="2"/>
          <w:sz w:val="32"/>
          <w:szCs w:val="32"/>
          <w:highlight w:val="none"/>
          <w:lang w:val="en-US" w:eastAsia="zh-CN" w:bidi="ar-SA"/>
        </w:rPr>
        <w:t>台（套）。</w:t>
      </w:r>
    </w:p>
    <w:p>
      <w:pPr>
        <w:spacing w:line="600" w:lineRule="exact"/>
        <w:ind w:firstLine="642" w:firstLineChars="200"/>
        <w:outlineLvl w:val="2"/>
        <w:rPr>
          <w:rFonts w:hint="eastAsia" w:ascii="Times New Roman" w:hAnsi="Times New Roman" w:eastAsia="楷体_GB2312" w:cs="楷体_GB2312"/>
          <w:b/>
          <w:color w:val="auto"/>
          <w:sz w:val="32"/>
          <w:szCs w:val="32"/>
          <w:highlight w:val="none"/>
        </w:rPr>
      </w:pPr>
      <w:r>
        <w:rPr>
          <w:rFonts w:hint="eastAsia" w:ascii="Times New Roman" w:hAnsi="Times New Roman" w:eastAsia="楷体_GB2312" w:cs="楷体_GB2312"/>
          <w:b/>
          <w:color w:val="auto"/>
          <w:sz w:val="32"/>
          <w:szCs w:val="32"/>
          <w:highlight w:val="none"/>
        </w:rPr>
        <w:t>（四）预算绩效管理情况</w:t>
      </w:r>
    </w:p>
    <w:p>
      <w:pPr>
        <w:spacing w:line="600" w:lineRule="exact"/>
        <w:ind w:firstLine="640"/>
        <w:rPr>
          <w:rFonts w:hint="eastAsia" w:ascii="Times New Roman" w:hAnsi="Times New Roman" w:eastAsia="仿宋_GB2312" w:cs="仿宋_GB2312"/>
          <w:b/>
          <w:bCs/>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根据预算绩效管理要求，</w:t>
      </w:r>
      <w:r>
        <w:rPr>
          <w:rFonts w:hint="eastAsia" w:eastAsia="仿宋_GB2312" w:cs="仿宋_GB2312"/>
          <w:color w:val="auto"/>
          <w:kern w:val="2"/>
          <w:sz w:val="32"/>
          <w:szCs w:val="32"/>
          <w:highlight w:val="none"/>
          <w:lang w:val="en-US" w:eastAsia="zh-CN" w:bidi="ar-SA"/>
        </w:rPr>
        <w:t>四川省轻工幼儿园</w:t>
      </w:r>
      <w:r>
        <w:rPr>
          <w:rFonts w:hint="eastAsia" w:ascii="Times New Roman" w:hAnsi="Times New Roman" w:eastAsia="仿宋_GB2312" w:cs="仿宋_GB2312"/>
          <w:color w:val="auto"/>
          <w:kern w:val="2"/>
          <w:sz w:val="32"/>
          <w:szCs w:val="32"/>
          <w:highlight w:val="none"/>
          <w:lang w:val="en-US" w:eastAsia="zh-CN" w:bidi="ar-SA"/>
        </w:rPr>
        <w:t>在2024年度预算编制阶段，组织对</w:t>
      </w:r>
      <w:r>
        <w:rPr>
          <w:rFonts w:hint="eastAsia" w:eastAsia="仿宋_GB2312" w:cs="仿宋_GB2312"/>
          <w:color w:val="auto"/>
          <w:kern w:val="2"/>
          <w:sz w:val="32"/>
          <w:szCs w:val="32"/>
          <w:highlight w:val="none"/>
          <w:lang w:val="en-US" w:eastAsia="zh-CN" w:bidi="ar-SA"/>
        </w:rPr>
        <w:t>工资性支出、其他人员支出、单位缴费、聘用人员经费、其他补助支出、日常公用经费、体检费、福利费、工会经费等9</w:t>
      </w:r>
      <w:r>
        <w:rPr>
          <w:rFonts w:hint="eastAsia" w:ascii="Times New Roman" w:hAnsi="Times New Roman" w:eastAsia="仿宋_GB2312" w:cs="仿宋_GB2312"/>
          <w:color w:val="auto"/>
          <w:kern w:val="2"/>
          <w:sz w:val="32"/>
          <w:szCs w:val="32"/>
          <w:highlight w:val="none"/>
          <w:lang w:val="en-US" w:eastAsia="zh-CN" w:bidi="ar-SA"/>
        </w:rPr>
        <w:t>个项目开展了预算事前绩效评估，对</w:t>
      </w: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个项目编制了绩效目标，预算执行过程中，选取</w:t>
      </w:r>
      <w:r>
        <w:rPr>
          <w:rFonts w:hint="eastAsia" w:eastAsia="仿宋_GB2312" w:cs="仿宋_GB2312"/>
          <w:color w:val="auto"/>
          <w:kern w:val="2"/>
          <w:sz w:val="32"/>
          <w:szCs w:val="32"/>
          <w:highlight w:val="none"/>
          <w:lang w:val="en-US" w:eastAsia="zh-CN" w:bidi="ar-SA"/>
        </w:rPr>
        <w:t>9</w:t>
      </w:r>
      <w:r>
        <w:rPr>
          <w:rFonts w:hint="eastAsia" w:ascii="Times New Roman" w:hAnsi="Times New Roman" w:eastAsia="仿宋_GB2312" w:cs="仿宋_GB2312"/>
          <w:color w:val="auto"/>
          <w:kern w:val="2"/>
          <w:sz w:val="32"/>
          <w:szCs w:val="32"/>
          <w:highlight w:val="none"/>
          <w:lang w:val="en-US" w:eastAsia="zh-CN" w:bidi="ar-SA"/>
        </w:rPr>
        <w:t>个项目开展绩效监控。</w:t>
      </w:r>
      <w:r>
        <w:rPr>
          <w:rFonts w:hint="default" w:ascii="Times New Roman" w:hAnsi="Times New Roman" w:eastAsia="仿宋_GB2312" w:cs="Times New Roman"/>
          <w:color w:val="auto"/>
          <w:sz w:val="32"/>
          <w:szCs w:val="32"/>
          <w:highlight w:val="none"/>
          <w:lang w:eastAsia="zh-CN"/>
        </w:rPr>
        <w:t>组织对</w:t>
      </w:r>
      <w:r>
        <w:rPr>
          <w:rFonts w:hint="eastAsia" w:eastAsia="仿宋_GB2312" w:cs="Times New Roman"/>
          <w:color w:val="auto"/>
          <w:sz w:val="32"/>
          <w:szCs w:val="32"/>
          <w:highlight w:val="none"/>
          <w:lang w:val="en-US" w:eastAsia="zh-CN"/>
        </w:rPr>
        <w:t>9</w:t>
      </w:r>
      <w:r>
        <w:rPr>
          <w:rFonts w:hint="default" w:ascii="Times New Roman" w:hAnsi="Times New Roman" w:eastAsia="仿宋_GB2312" w:cs="Times New Roman"/>
          <w:color w:val="auto"/>
          <w:sz w:val="32"/>
          <w:szCs w:val="32"/>
          <w:highlight w:val="none"/>
          <w:lang w:val="en-US" w:eastAsia="zh-CN"/>
        </w:rPr>
        <w:t>个项目开展绩效自评</w:t>
      </w:r>
      <w:r>
        <w:rPr>
          <w:rFonts w:hint="eastAsia" w:eastAsia="仿宋_GB2312" w:cs="Times New Roman"/>
          <w:color w:val="auto"/>
          <w:sz w:val="32"/>
          <w:szCs w:val="32"/>
          <w:highlight w:val="none"/>
          <w:lang w:val="en-US" w:eastAsia="zh-CN"/>
        </w:rPr>
        <w:t>。</w:t>
      </w:r>
    </w:p>
    <w:p>
      <w:pPr>
        <w:pStyle w:val="8"/>
        <w:rPr>
          <w:rFonts w:hint="eastAsia" w:ascii="Times New Roman" w:hAnsi="Times New Roman" w:eastAsia="仿宋_GB2312" w:cs="仿宋_GB2312"/>
          <w:b/>
          <w:bCs/>
          <w:color w:val="auto"/>
          <w:kern w:val="2"/>
          <w:sz w:val="32"/>
          <w:szCs w:val="32"/>
          <w:highlight w:val="none"/>
          <w:lang w:val="en-US" w:eastAsia="zh-CN" w:bidi="ar-SA"/>
        </w:rPr>
      </w:pPr>
    </w:p>
    <w:p>
      <w:pPr>
        <w:pStyle w:val="8"/>
        <w:rPr>
          <w:rFonts w:hint="eastAsia" w:ascii="Times New Roman" w:hAnsi="Times New Roman" w:eastAsia="仿宋_GB2312" w:cs="仿宋_GB2312"/>
          <w:b/>
          <w:bCs/>
          <w:color w:val="auto"/>
          <w:kern w:val="2"/>
          <w:sz w:val="32"/>
          <w:szCs w:val="32"/>
          <w:highlight w:val="none"/>
          <w:lang w:val="en-US" w:eastAsia="zh-CN" w:bidi="ar-SA"/>
        </w:rPr>
      </w:pPr>
    </w:p>
    <w:p>
      <w:pPr>
        <w:pStyle w:val="8"/>
        <w:rPr>
          <w:rFonts w:hint="eastAsia" w:ascii="Times New Roman" w:hAnsi="Times New Roman" w:eastAsia="仿宋_GB2312" w:cs="仿宋_GB2312"/>
          <w:b/>
          <w:bCs/>
          <w:color w:val="auto"/>
          <w:kern w:val="2"/>
          <w:sz w:val="32"/>
          <w:szCs w:val="32"/>
          <w:highlight w:val="none"/>
          <w:lang w:val="en-US" w:eastAsia="zh-CN" w:bidi="ar-SA"/>
        </w:rPr>
      </w:pPr>
    </w:p>
    <w:p>
      <w:pPr>
        <w:pStyle w:val="8"/>
        <w:rPr>
          <w:rFonts w:hint="eastAsia" w:ascii="Times New Roman" w:hAnsi="Times New Roman" w:eastAsia="仿宋_GB2312" w:cs="仿宋_GB2312"/>
          <w:b/>
          <w:bCs/>
          <w:color w:val="auto"/>
          <w:kern w:val="2"/>
          <w:sz w:val="32"/>
          <w:szCs w:val="32"/>
          <w:highlight w:val="none"/>
          <w:lang w:val="en-US" w:eastAsia="zh-CN" w:bidi="ar-SA"/>
        </w:rPr>
      </w:pPr>
    </w:p>
    <w:p>
      <w:pPr>
        <w:pStyle w:val="8"/>
        <w:rPr>
          <w:rFonts w:hint="eastAsia" w:ascii="Times New Roman" w:hAnsi="Times New Roman" w:eastAsia="仿宋_GB2312" w:cs="仿宋_GB2312"/>
          <w:b/>
          <w:bCs/>
          <w:color w:val="auto"/>
          <w:kern w:val="2"/>
          <w:sz w:val="32"/>
          <w:szCs w:val="32"/>
          <w:highlight w:val="none"/>
          <w:lang w:val="en-US" w:eastAsia="zh-CN" w:bidi="ar-SA"/>
        </w:rPr>
      </w:pPr>
    </w:p>
    <w:p>
      <w:pPr>
        <w:pStyle w:val="5"/>
        <w:jc w:val="both"/>
        <w:rPr>
          <w:rFonts w:hint="eastAsia" w:ascii="Times New Roman" w:hAnsi="Times New Roman" w:eastAsia="方正小标宋简体" w:cs="方正小标宋简体"/>
          <w:b w:val="0"/>
          <w:color w:val="auto"/>
          <w:highlight w:val="none"/>
        </w:rPr>
      </w:pPr>
      <w:bookmarkStart w:id="75" w:name="_Toc15377225"/>
      <w:bookmarkStart w:id="76" w:name="_Toc15396613"/>
      <w:bookmarkStart w:id="77" w:name="_Toc6025"/>
    </w:p>
    <w:p>
      <w:pPr>
        <w:rPr>
          <w:rFonts w:hint="eastAsia"/>
        </w:rPr>
      </w:pPr>
    </w:p>
    <w:p>
      <w:pPr>
        <w:rPr>
          <w:rFonts w:hint="eastAsia" w:ascii="Times New Roman" w:hAnsi="Times New Roman" w:eastAsia="方正小标宋简体" w:cs="方正小标宋简体"/>
          <w:b w:val="0"/>
          <w:color w:val="auto"/>
          <w:highlight w:val="none"/>
        </w:rPr>
      </w:pPr>
    </w:p>
    <w:p>
      <w:pPr>
        <w:pStyle w:val="2"/>
        <w:rPr>
          <w:rFonts w:hint="eastAsia" w:ascii="Times New Roman" w:hAnsi="Times New Roman" w:eastAsia="方正小标宋简体" w:cs="方正小标宋简体"/>
          <w:b w:val="0"/>
          <w:color w:val="auto"/>
          <w:highlight w:val="none"/>
        </w:rPr>
      </w:pPr>
    </w:p>
    <w:p>
      <w:pPr>
        <w:pStyle w:val="3"/>
        <w:rPr>
          <w:rFonts w:hint="eastAsia" w:ascii="Times New Roman" w:hAnsi="Times New Roman" w:eastAsia="方正小标宋简体" w:cs="方正小标宋简体"/>
          <w:b w:val="0"/>
          <w:color w:val="auto"/>
          <w:highlight w:val="none"/>
        </w:rPr>
      </w:pPr>
    </w:p>
    <w:p>
      <w:pPr>
        <w:pStyle w:val="5"/>
        <w:jc w:val="both"/>
        <w:rPr>
          <w:rFonts w:hint="eastAsia" w:ascii="Times New Roman" w:hAnsi="Times New Roman" w:eastAsia="方正小标宋简体" w:cs="方正小标宋简体"/>
          <w:b w:val="0"/>
          <w:color w:val="auto"/>
          <w:highlight w:val="none"/>
        </w:rPr>
      </w:pPr>
    </w:p>
    <w:p>
      <w:pPr>
        <w:rPr>
          <w:rFonts w:hint="eastAsia"/>
        </w:rPr>
      </w:pPr>
      <w:bookmarkStart w:id="96" w:name="_GoBack"/>
      <w:bookmarkEnd w:id="96"/>
    </w:p>
    <w:p>
      <w:pPr>
        <w:pStyle w:val="5"/>
        <w:jc w:val="center"/>
        <w:rPr>
          <w:rFonts w:ascii="Times New Roman" w:hAnsi="Times New Roman"/>
          <w:b/>
          <w:color w:val="auto"/>
          <w:sz w:val="44"/>
          <w:szCs w:val="44"/>
          <w:highlight w:val="none"/>
        </w:rPr>
      </w:pPr>
      <w:r>
        <w:rPr>
          <w:rFonts w:hint="eastAsia" w:ascii="Times New Roman" w:hAnsi="Times New Roman" w:eastAsia="方正小标宋简体" w:cs="方正小标宋简体"/>
          <w:b w:val="0"/>
          <w:color w:val="auto"/>
          <w:highlight w:val="none"/>
        </w:rPr>
        <w:t>第</w:t>
      </w:r>
      <w:r>
        <w:rPr>
          <w:rFonts w:hint="eastAsia" w:ascii="Times New Roman" w:hAnsi="Times New Roman" w:eastAsia="方正小标宋简体" w:cs="方正小标宋简体"/>
          <w:b w:val="0"/>
          <w:color w:val="auto"/>
          <w:highlight w:val="none"/>
          <w:lang w:eastAsia="zh-CN"/>
        </w:rPr>
        <w:t>三</w:t>
      </w:r>
      <w:r>
        <w:rPr>
          <w:rFonts w:hint="eastAsia" w:ascii="Times New Roman" w:hAnsi="Times New Roman" w:eastAsia="方正小标宋简体" w:cs="方正小标宋简体"/>
          <w:b w:val="0"/>
          <w:color w:val="auto"/>
          <w:highlight w:val="none"/>
        </w:rPr>
        <w:t>部分</w:t>
      </w:r>
      <w:r>
        <w:rPr>
          <w:rFonts w:hint="eastAsia" w:ascii="Times New Roman" w:hAnsi="Times New Roman" w:eastAsia="方正小标宋简体" w:cs="方正小标宋简体"/>
          <w:b w:val="0"/>
          <w:color w:val="auto"/>
          <w:highlight w:val="none"/>
          <w:lang w:val="en-US" w:eastAsia="zh-CN"/>
        </w:rPr>
        <w:t xml:space="preserve"> </w:t>
      </w:r>
      <w:r>
        <w:rPr>
          <w:rFonts w:hint="eastAsia" w:ascii="Times New Roman" w:hAnsi="Times New Roman" w:eastAsia="方正小标宋简体" w:cs="方正小标宋简体"/>
          <w:b/>
          <w:bCs w:val="0"/>
          <w:color w:val="auto"/>
          <w:highlight w:val="none"/>
          <w:lang w:val="en-US" w:eastAsia="zh-CN"/>
        </w:rPr>
        <w:t xml:space="preserve"> </w:t>
      </w:r>
      <w:r>
        <w:rPr>
          <w:rFonts w:hint="eastAsia" w:ascii="Times New Roman" w:hAnsi="Times New Roman" w:eastAsia="方正小标宋简体" w:cs="方正小标宋简体"/>
          <w:b w:val="0"/>
          <w:bCs/>
          <w:color w:val="auto"/>
          <w:highlight w:val="none"/>
        </w:rPr>
        <w:t>名词解释</w:t>
      </w:r>
      <w:bookmarkEnd w:id="75"/>
      <w:bookmarkEnd w:id="76"/>
      <w:bookmarkEnd w:id="77"/>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1.财政拨款收入：指单位从同级财政部门取得的财政预算资金。</w:t>
      </w:r>
    </w:p>
    <w:p>
      <w:pPr>
        <w:spacing w:line="600" w:lineRule="exact"/>
        <w:ind w:firstLine="640"/>
        <w:rPr>
          <w:rFonts w:hint="default"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2.事业收入：指事业单位开展专业业务活动及辅助活动取得的收入。</w:t>
      </w:r>
      <w:r>
        <w:rPr>
          <w:rFonts w:hint="eastAsia" w:eastAsia="仿宋_GB2312" w:cs="仿宋_GB2312"/>
          <w:color w:val="auto"/>
          <w:kern w:val="2"/>
          <w:sz w:val="32"/>
          <w:szCs w:val="32"/>
          <w:highlight w:val="none"/>
          <w:lang w:val="en-US" w:eastAsia="zh-CN" w:bidi="ar-SA"/>
        </w:rPr>
        <w:t>如教育性收费。</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仿宋_GB2312"/>
          <w:color w:val="auto"/>
          <w:kern w:val="2"/>
          <w:sz w:val="32"/>
          <w:szCs w:val="32"/>
          <w:highlight w:val="none"/>
          <w:lang w:val="en-US" w:eastAsia="zh-CN" w:bidi="ar-SA"/>
        </w:rPr>
        <w:t>3.其他收入：指单位取得的除上述收入以外的各项收入。主要是</w:t>
      </w:r>
      <w:r>
        <w:rPr>
          <w:rFonts w:hint="eastAsia" w:eastAsia="仿宋_GB2312" w:cs="仿宋_GB2312"/>
          <w:color w:val="auto"/>
          <w:kern w:val="2"/>
          <w:sz w:val="32"/>
          <w:szCs w:val="32"/>
          <w:highlight w:val="none"/>
          <w:lang w:val="en-US" w:eastAsia="zh-CN" w:bidi="ar-SA"/>
        </w:rPr>
        <w:t>教育补助收入</w:t>
      </w:r>
      <w:r>
        <w:rPr>
          <w:rFonts w:hint="eastAsia" w:ascii="Times New Roman" w:hAnsi="Times New Roman" w:eastAsia="仿宋_GB2312" w:cs="仿宋_GB2312"/>
          <w:color w:val="auto"/>
          <w:kern w:val="2"/>
          <w:sz w:val="32"/>
          <w:szCs w:val="32"/>
          <w:highlight w:val="none"/>
          <w:lang w:val="en-US" w:eastAsia="zh-CN" w:bidi="ar-SA"/>
        </w:rPr>
        <w:t xml:space="preserve">。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4</w:t>
      </w:r>
      <w:r>
        <w:rPr>
          <w:rFonts w:hint="eastAsia" w:ascii="Times New Roman" w:hAnsi="Times New Roman" w:eastAsia="仿宋_GB2312" w:cs="仿宋_GB2312"/>
          <w:color w:val="auto"/>
          <w:kern w:val="2"/>
          <w:sz w:val="32"/>
          <w:szCs w:val="32"/>
          <w:highlight w:val="none"/>
          <w:lang w:val="en-US" w:eastAsia="zh-CN" w:bidi="ar-SA"/>
        </w:rPr>
        <w:t xml:space="preserve">.年初结转和结余：指以前年度尚未完成、结转到本年按有关规定继续使用的资金。 </w:t>
      </w:r>
    </w:p>
    <w:p>
      <w:pPr>
        <w:spacing w:line="600" w:lineRule="exact"/>
        <w:ind w:firstLine="640"/>
        <w:rPr>
          <w:rFonts w:hint="eastAsia" w:ascii="Times New Roman" w:hAnsi="Times New Roman" w:eastAsia="仿宋_GB2312" w:cs="仿宋_GB2312"/>
          <w:color w:val="auto"/>
          <w:kern w:val="2"/>
          <w:sz w:val="32"/>
          <w:szCs w:val="32"/>
          <w:highlight w:val="none"/>
          <w:lang w:val="en-US" w:eastAsia="zh-CN" w:bidi="ar-SA"/>
        </w:rPr>
      </w:pPr>
      <w:r>
        <w:rPr>
          <w:rFonts w:hint="eastAsia" w:eastAsia="仿宋_GB2312" w:cs="仿宋_GB2312"/>
          <w:color w:val="auto"/>
          <w:kern w:val="2"/>
          <w:sz w:val="32"/>
          <w:szCs w:val="32"/>
          <w:highlight w:val="none"/>
          <w:lang w:val="en-US" w:eastAsia="zh-CN" w:bidi="ar-SA"/>
        </w:rPr>
        <w:t>5</w:t>
      </w:r>
      <w:r>
        <w:rPr>
          <w:rFonts w:hint="eastAsia" w:ascii="Times New Roman" w:hAnsi="Times New Roman" w:eastAsia="仿宋_GB2312" w:cs="仿宋_GB2312"/>
          <w:color w:val="auto"/>
          <w:kern w:val="2"/>
          <w:sz w:val="32"/>
          <w:szCs w:val="32"/>
          <w:highlight w:val="none"/>
          <w:lang w:val="en-US" w:eastAsia="zh-CN" w:bidi="ar-SA"/>
        </w:rPr>
        <w:t>.年末结转和结余：指单位按有关规定结转到下年或以后年度继续使用的资金。</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6.</w:t>
      </w:r>
      <w:r>
        <w:rPr>
          <w:rFonts w:hint="eastAsia" w:ascii="Times New Roman" w:hAnsi="Times New Roman" w:eastAsia="仿宋_GB2312" w:cs="Times New Roman"/>
          <w:color w:val="auto"/>
          <w:sz w:val="32"/>
          <w:szCs w:val="32"/>
          <w:highlight w:val="none"/>
        </w:rPr>
        <w:t>教育（类）普通教育（款）学前教育（项）：指单位学前教育的各项支出。</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7</w:t>
      </w:r>
      <w:r>
        <w:rPr>
          <w:rFonts w:hint="eastAsia" w:ascii="Times New Roman" w:hAnsi="Times New Roman" w:eastAsia="仿宋_GB2312" w:cs="Times New Roman"/>
          <w:color w:val="auto"/>
          <w:sz w:val="32"/>
          <w:szCs w:val="32"/>
          <w:highlight w:val="none"/>
        </w:rPr>
        <w:t>.教育（类）进修及培训（款）培训支出（项）：指单位安排的用于培训的支出。</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8</w:t>
      </w:r>
      <w:r>
        <w:rPr>
          <w:rFonts w:hint="eastAsia" w:ascii="Times New Roman" w:hAnsi="Times New Roman" w:eastAsia="仿宋_GB2312" w:cs="Times New Roman"/>
          <w:color w:val="auto"/>
          <w:sz w:val="32"/>
          <w:szCs w:val="32"/>
          <w:highlight w:val="none"/>
        </w:rPr>
        <w:t>.社会保障和就业（类）行政事业单位离退休（款）事业单位离退休（项）：指单位开支的离退休经费。</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9</w:t>
      </w:r>
      <w:r>
        <w:rPr>
          <w:rFonts w:hint="eastAsia" w:ascii="Times New Roman" w:hAnsi="Times New Roman" w:eastAsia="仿宋_GB2312" w:cs="Times New Roman"/>
          <w:color w:val="auto"/>
          <w:sz w:val="32"/>
          <w:szCs w:val="32"/>
          <w:highlight w:val="none"/>
        </w:rPr>
        <w:t>.社会保障和就业（类）行政事业单位离退休（款）机关事业单位基本养老保险缴费支出（项）：指单位实施养老保险制度由单位缴纳的基本养老保险费支出。</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rPr>
        <w:t>.社会保障和就业（类）行政事业单位离退休（款）机关事业单位职业年金缴费支出（项）：指单位实施养老保险制度由单位实际缴纳的职业年金支出。</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ascii="Times New Roman" w:hAnsi="Times New Roman" w:eastAsia="仿宋_GB2312" w:cs="Times New Roman"/>
          <w:color w:val="auto"/>
          <w:sz w:val="32"/>
          <w:szCs w:val="32"/>
          <w:highlight w:val="none"/>
          <w:lang w:val="en-US" w:eastAsia="zh-CN"/>
        </w:rPr>
        <w:t>1</w:t>
      </w:r>
      <w:r>
        <w:rPr>
          <w:rFonts w:hint="eastAsia" w:ascii="Times New Roman" w:hAnsi="Times New Roman" w:eastAsia="仿宋_GB2312" w:cs="Times New Roman"/>
          <w:color w:val="auto"/>
          <w:sz w:val="32"/>
          <w:szCs w:val="32"/>
          <w:highlight w:val="none"/>
        </w:rPr>
        <w:t>.医疗卫生与计划生育支出（类）行政事业单位医疗（款）事业单位医疗（项）：指单位基本医疗保险经费。</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ascii="Times New Roman" w:hAnsi="Times New Roman"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rPr>
        <w:t>.住房保障支出（类）住房改革支出（款）住房公积金（项）：指单位按人力资源和社会保障部、财政部规定的基本工资和津贴补贴以及规定比例为职工缴纳的住房公积金。</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13</w:t>
      </w:r>
      <w:r>
        <w:rPr>
          <w:rFonts w:hint="eastAsia" w:ascii="Times New Roman" w:hAnsi="Times New Roman" w:eastAsia="仿宋_GB2312" w:cs="Times New Roman"/>
          <w:color w:val="auto"/>
          <w:sz w:val="32"/>
          <w:szCs w:val="32"/>
          <w:highlight w:val="none"/>
        </w:rPr>
        <w:t>.基本支出：指为保障机构正常运转、完成日常工作任务而发生的人员支出和公用支出。</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项目支出：指在基本支出之外为完成特定行政任务和事业发展目标所发生的支出。</w:t>
      </w:r>
      <w:r>
        <w:rPr>
          <w:rFonts w:hint="default" w:ascii="Times New Roman" w:hAnsi="Times New Roman" w:eastAsia="仿宋_GB2312" w:cs="Times New Roman"/>
          <w:color w:val="auto"/>
          <w:sz w:val="32"/>
          <w:szCs w:val="32"/>
          <w:highlight w:val="none"/>
        </w:rPr>
        <w:t xml:space="preserve"> </w:t>
      </w:r>
    </w:p>
    <w:p>
      <w:pPr>
        <w:pStyle w:val="26"/>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1</w:t>
      </w:r>
      <w:r>
        <w:rPr>
          <w:rFonts w:hint="eastAsia"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经营支出：指事业单位在专业业务活动及其辅助活动之外开展非独立核算经营活动发生的支出。</w:t>
      </w:r>
    </w:p>
    <w:p>
      <w:pPr>
        <w:pStyle w:val="26"/>
        <w:spacing w:line="560" w:lineRule="exact"/>
        <w:ind w:firstLine="640" w:firstLineChars="200"/>
        <w:rPr>
          <w:rFonts w:hint="eastAsia" w:ascii="Times New Roman" w:hAnsi="Times New Roman" w:eastAsia="仿宋_GB2312" w:cs="仿宋_GB2312"/>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lang w:val="en-US" w:eastAsia="zh-CN"/>
        </w:rPr>
        <w:t>16.</w:t>
      </w:r>
      <w:r>
        <w:rPr>
          <w:rFonts w:hint="eastAsia" w:ascii="Times New Roman" w:hAnsi="Times New Roman" w:eastAsia="仿宋_GB2312" w:cs="Times New Roman"/>
          <w:color w:val="auto"/>
          <w:sz w:val="32"/>
          <w:szCs w:val="32"/>
          <w:highlight w:val="none"/>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bookmarkStart w:id="78" w:name="_Toc15377226"/>
    </w:p>
    <w:p>
      <w:pPr>
        <w:spacing w:line="600" w:lineRule="exact"/>
        <w:jc w:val="center"/>
        <w:rPr>
          <w:rFonts w:hint="eastAsia" w:ascii="Times New Roman" w:hAnsi="Times New Roman" w:eastAsia="仿宋_GB2312" w:cs="仿宋_GB2312"/>
          <w:color w:val="auto"/>
          <w:kern w:val="2"/>
          <w:sz w:val="32"/>
          <w:szCs w:val="32"/>
          <w:highlight w:val="none"/>
          <w:lang w:val="en-US" w:eastAsia="zh-CN" w:bidi="ar-SA"/>
        </w:rPr>
      </w:pPr>
    </w:p>
    <w:p>
      <w:pPr>
        <w:pStyle w:val="5"/>
        <w:jc w:val="center"/>
        <w:rPr>
          <w:rStyle w:val="28"/>
          <w:rFonts w:hint="eastAsia" w:ascii="Times New Roman" w:hAnsi="Times New Roman" w:eastAsia="黑体"/>
          <w:b w:val="0"/>
          <w:bCs/>
          <w:color w:val="auto"/>
          <w:highlight w:val="yellow"/>
          <w:lang w:eastAsia="zh-CN"/>
        </w:rPr>
      </w:pPr>
      <w:r>
        <w:rPr>
          <w:rFonts w:hint="eastAsia" w:ascii="Times New Roman" w:hAnsi="Times New Roman" w:eastAsia="仿宋_GB2312" w:cs="仿宋_GB2312"/>
          <w:color w:val="auto"/>
          <w:kern w:val="2"/>
          <w:sz w:val="32"/>
          <w:szCs w:val="32"/>
          <w:highlight w:val="none"/>
          <w:lang w:val="en-US" w:eastAsia="zh-CN" w:bidi="ar-SA"/>
        </w:rPr>
        <w:br w:type="page"/>
      </w:r>
      <w:bookmarkStart w:id="79" w:name="_Toc7147"/>
      <w:bookmarkStart w:id="80" w:name="_Toc15396614"/>
      <w:r>
        <w:rPr>
          <w:rFonts w:hint="eastAsia" w:ascii="Times New Roman" w:hAnsi="Times New Roman" w:eastAsia="方正小标宋简体" w:cs="方正小标宋简体"/>
          <w:b w:val="0"/>
          <w:color w:val="auto"/>
          <w:highlight w:val="none"/>
        </w:rPr>
        <w:t>第四部</w:t>
      </w:r>
      <w:r>
        <w:rPr>
          <w:rFonts w:hint="eastAsia" w:ascii="Times New Roman" w:hAnsi="Times New Roman" w:eastAsia="方正小标宋简体" w:cs="方正小标宋简体"/>
          <w:b w:val="0"/>
          <w:bCs/>
          <w:color w:val="auto"/>
          <w:highlight w:val="none"/>
        </w:rPr>
        <w:t>分</w:t>
      </w:r>
      <w:r>
        <w:rPr>
          <w:rFonts w:hint="eastAsia" w:ascii="Times New Roman" w:hAnsi="Times New Roman" w:eastAsia="方正小标宋简体" w:cs="方正小标宋简体"/>
          <w:b/>
          <w:bCs w:val="0"/>
          <w:color w:val="auto"/>
          <w:highlight w:val="none"/>
          <w:lang w:val="en-US" w:eastAsia="zh-CN"/>
        </w:rPr>
        <w:t xml:space="preserve"> </w:t>
      </w:r>
      <w:r>
        <w:rPr>
          <w:rFonts w:hint="eastAsia" w:ascii="Times New Roman" w:hAnsi="Times New Roman" w:eastAsia="方正小标宋简体" w:cs="方正小标宋简体"/>
          <w:b/>
          <w:bCs w:val="0"/>
          <w:color w:val="auto"/>
          <w:highlight w:val="none"/>
        </w:rPr>
        <w:t xml:space="preserve"> </w:t>
      </w:r>
      <w:r>
        <w:rPr>
          <w:rFonts w:hint="eastAsia" w:ascii="Times New Roman" w:hAnsi="Times New Roman" w:eastAsia="方正小标宋简体" w:cs="方正小标宋简体"/>
          <w:b w:val="0"/>
          <w:bCs/>
          <w:color w:val="auto"/>
          <w:highlight w:val="none"/>
        </w:rPr>
        <w:t>附件</w:t>
      </w:r>
      <w:bookmarkEnd w:id="79"/>
      <w:bookmarkEnd w:id="80"/>
    </w:p>
    <w:p>
      <w:pPr>
        <w:numPr>
          <w:ilvl w:val="0"/>
          <w:numId w:val="0"/>
        </w:numPr>
        <w:ind w:firstLine="640" w:firstLineChars="200"/>
        <w:rPr>
          <w:rFonts w:hint="eastAsia" w:ascii="Times New Roman" w:hAnsi="Times New Roman" w:eastAsia="仿宋_GB2312" w:cs="Times New Roman"/>
          <w:color w:val="auto"/>
          <w:kern w:val="0"/>
          <w:sz w:val="32"/>
          <w:szCs w:val="32"/>
          <w:highlight w:val="none"/>
          <w:lang w:val="en-US" w:eastAsia="zh-CN" w:bidi="ar-SA"/>
        </w:rPr>
      </w:pPr>
      <w:bookmarkStart w:id="81" w:name="_Toc15396618"/>
      <w:r>
        <w:rPr>
          <w:rFonts w:hint="eastAsia" w:ascii="Times New Roman" w:hAnsi="Times New Roman" w:eastAsia="仿宋_GB2312" w:cs="Times New Roman"/>
          <w:color w:val="auto"/>
          <w:kern w:val="0"/>
          <w:sz w:val="32"/>
          <w:szCs w:val="32"/>
          <w:highlight w:val="none"/>
          <w:lang w:val="en-US" w:eastAsia="zh-CN" w:bidi="ar-SA"/>
        </w:rPr>
        <w:t>本单位2024年度无特定目标类项目支出</w:t>
      </w:r>
    </w:p>
    <w:p>
      <w:pPr>
        <w:widowControl/>
        <w:jc w:val="both"/>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pStyle w:val="8"/>
        <w:rPr>
          <w:rFonts w:hint="eastAsia" w:ascii="Times New Roman" w:hAnsi="Times New Roman" w:eastAsia="黑体"/>
          <w:color w:val="auto"/>
          <w:sz w:val="44"/>
          <w:szCs w:val="44"/>
          <w:highlight w:val="none"/>
        </w:rPr>
      </w:pPr>
    </w:p>
    <w:p>
      <w:pPr>
        <w:pStyle w:val="8"/>
        <w:rPr>
          <w:rFonts w:hint="eastAsia" w:ascii="Times New Roman" w:hAnsi="Times New Roman" w:eastAsia="黑体"/>
          <w:color w:val="auto"/>
          <w:sz w:val="44"/>
          <w:szCs w:val="44"/>
          <w:highlight w:val="none"/>
        </w:rPr>
      </w:pPr>
    </w:p>
    <w:p>
      <w:pPr>
        <w:pStyle w:val="8"/>
        <w:rPr>
          <w:rFonts w:hint="eastAsia" w:ascii="Times New Roman" w:hAnsi="Times New Roman" w:eastAsia="黑体"/>
          <w:color w:val="auto"/>
          <w:sz w:val="44"/>
          <w:szCs w:val="44"/>
          <w:highlight w:val="none"/>
        </w:rPr>
      </w:pPr>
    </w:p>
    <w:p>
      <w:pPr>
        <w:pStyle w:val="8"/>
        <w:rPr>
          <w:rFonts w:hint="eastAsia" w:ascii="Times New Roman" w:hAnsi="Times New Roman" w:eastAsia="黑体"/>
          <w:color w:val="auto"/>
          <w:sz w:val="44"/>
          <w:szCs w:val="44"/>
          <w:highlight w:val="none"/>
        </w:rPr>
      </w:pPr>
    </w:p>
    <w:p>
      <w:pPr>
        <w:pStyle w:val="8"/>
        <w:rPr>
          <w:rFonts w:hint="eastAsia" w:ascii="Times New Roman" w:hAnsi="Times New Roman" w:eastAsia="黑体"/>
          <w:color w:val="auto"/>
          <w:sz w:val="44"/>
          <w:szCs w:val="44"/>
          <w:highlight w:val="none"/>
        </w:rPr>
      </w:pPr>
    </w:p>
    <w:p>
      <w:pPr>
        <w:pStyle w:val="8"/>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widowControl/>
        <w:jc w:val="center"/>
        <w:rPr>
          <w:rFonts w:hint="eastAsia" w:ascii="Times New Roman" w:hAnsi="Times New Roman" w:eastAsia="黑体"/>
          <w:color w:val="auto"/>
          <w:sz w:val="44"/>
          <w:szCs w:val="44"/>
          <w:highlight w:val="none"/>
        </w:rPr>
      </w:pPr>
    </w:p>
    <w:p>
      <w:pPr>
        <w:pStyle w:val="5"/>
        <w:jc w:val="both"/>
        <w:rPr>
          <w:rFonts w:hint="eastAsia" w:ascii="Times New Roman" w:hAnsi="Times New Roman" w:eastAsia="方正小标宋简体" w:cs="方正小标宋简体"/>
          <w:b/>
          <w:bCs w:val="0"/>
          <w:color w:val="auto"/>
          <w:highlight w:val="none"/>
        </w:rPr>
      </w:pPr>
      <w:bookmarkStart w:id="82" w:name="_Toc27878"/>
    </w:p>
    <w:p>
      <w:pPr>
        <w:rPr>
          <w:rFonts w:hint="eastAsia"/>
        </w:rPr>
      </w:pPr>
    </w:p>
    <w:p>
      <w:pPr>
        <w:pStyle w:val="5"/>
        <w:jc w:val="center"/>
        <w:rPr>
          <w:rFonts w:hint="eastAsia" w:ascii="Times New Roman" w:hAnsi="Times New Roman" w:eastAsia="方正小标宋简体" w:cs="方正小标宋简体"/>
          <w:b/>
          <w:bCs w:val="0"/>
          <w:color w:val="auto"/>
          <w:highlight w:val="none"/>
        </w:rPr>
      </w:pPr>
      <w:r>
        <w:rPr>
          <w:rFonts w:hint="eastAsia" w:ascii="Times New Roman" w:hAnsi="Times New Roman" w:eastAsia="方正小标宋简体" w:cs="方正小标宋简体"/>
          <w:b w:val="0"/>
          <w:bCs/>
          <w:color w:val="auto"/>
          <w:highlight w:val="none"/>
        </w:rPr>
        <w:t>第五部分 附表</w:t>
      </w:r>
      <w:bookmarkEnd w:id="78"/>
      <w:bookmarkEnd w:id="81"/>
      <w:bookmarkEnd w:id="82"/>
      <w:bookmarkStart w:id="83" w:name="_Toc15396619"/>
    </w:p>
    <w:bookmarkEnd w:id="83"/>
    <w:p>
      <w:pP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一、收入支出决算总表</w:t>
      </w:r>
    </w:p>
    <w:p>
      <w:pPr>
        <w:rPr>
          <w:rFonts w:hint="eastAsia" w:ascii="仿宋_GB2312" w:hAnsi="仿宋_GB2312" w:eastAsia="仿宋_GB2312" w:cs="仿宋_GB2312"/>
          <w:sz w:val="32"/>
          <w:szCs w:val="32"/>
          <w:highlight w:val="none"/>
          <w:lang w:eastAsia="zh-CN"/>
        </w:rPr>
      </w:pPr>
      <w:bookmarkStart w:id="84" w:name="_Toc15396620"/>
      <w:r>
        <w:rPr>
          <w:rFonts w:hint="eastAsia" w:ascii="仿宋_GB2312" w:hAnsi="仿宋_GB2312" w:eastAsia="仿宋_GB2312" w:cs="仿宋_GB2312"/>
          <w:sz w:val="32"/>
          <w:szCs w:val="32"/>
          <w:highlight w:val="none"/>
          <w:lang w:eastAsia="zh-CN"/>
        </w:rPr>
        <w:t>二、收入决算表</w:t>
      </w:r>
      <w:bookmarkEnd w:id="84"/>
    </w:p>
    <w:p>
      <w:pPr>
        <w:rPr>
          <w:rFonts w:hint="eastAsia" w:ascii="仿宋_GB2312" w:hAnsi="仿宋_GB2312" w:eastAsia="仿宋_GB2312" w:cs="仿宋_GB2312"/>
          <w:sz w:val="32"/>
          <w:szCs w:val="32"/>
          <w:highlight w:val="none"/>
          <w:lang w:eastAsia="zh-CN"/>
        </w:rPr>
      </w:pPr>
      <w:bookmarkStart w:id="85" w:name="_Toc15396621"/>
      <w:r>
        <w:rPr>
          <w:rFonts w:hint="eastAsia" w:ascii="仿宋_GB2312" w:hAnsi="仿宋_GB2312" w:eastAsia="仿宋_GB2312" w:cs="仿宋_GB2312"/>
          <w:sz w:val="32"/>
          <w:szCs w:val="32"/>
          <w:highlight w:val="none"/>
          <w:lang w:eastAsia="zh-CN"/>
        </w:rPr>
        <w:t>三、支出决算表</w:t>
      </w:r>
      <w:bookmarkEnd w:id="85"/>
    </w:p>
    <w:p>
      <w:pPr>
        <w:rPr>
          <w:rFonts w:hint="eastAsia" w:ascii="仿宋_GB2312" w:hAnsi="仿宋_GB2312" w:eastAsia="仿宋_GB2312" w:cs="仿宋_GB2312"/>
          <w:sz w:val="32"/>
          <w:szCs w:val="32"/>
          <w:highlight w:val="none"/>
          <w:lang w:eastAsia="zh-CN"/>
        </w:rPr>
      </w:pPr>
      <w:bookmarkStart w:id="86" w:name="_Toc15396622"/>
      <w:r>
        <w:rPr>
          <w:rFonts w:hint="eastAsia" w:ascii="仿宋_GB2312" w:hAnsi="仿宋_GB2312" w:eastAsia="仿宋_GB2312" w:cs="仿宋_GB2312"/>
          <w:sz w:val="32"/>
          <w:szCs w:val="32"/>
          <w:highlight w:val="none"/>
          <w:lang w:eastAsia="zh-CN"/>
        </w:rPr>
        <w:t>四、财政拨款收入支出决算总表</w:t>
      </w:r>
      <w:bookmarkEnd w:id="86"/>
    </w:p>
    <w:p>
      <w:pPr>
        <w:rPr>
          <w:rFonts w:hint="eastAsia" w:ascii="仿宋_GB2312" w:hAnsi="仿宋_GB2312" w:eastAsia="仿宋_GB2312" w:cs="仿宋_GB2312"/>
          <w:sz w:val="32"/>
          <w:szCs w:val="32"/>
          <w:highlight w:val="none"/>
          <w:lang w:eastAsia="zh-CN"/>
        </w:rPr>
      </w:pPr>
      <w:bookmarkStart w:id="87" w:name="_Toc15396623"/>
      <w:r>
        <w:rPr>
          <w:rFonts w:hint="eastAsia" w:ascii="仿宋_GB2312" w:hAnsi="仿宋_GB2312" w:eastAsia="仿宋_GB2312" w:cs="仿宋_GB2312"/>
          <w:sz w:val="32"/>
          <w:szCs w:val="32"/>
          <w:highlight w:val="none"/>
          <w:lang w:eastAsia="zh-CN"/>
        </w:rPr>
        <w:t>五、财政拨款支出决算明细表</w:t>
      </w:r>
      <w:bookmarkEnd w:id="87"/>
      <w:bookmarkStart w:id="88" w:name="_Toc15396624"/>
    </w:p>
    <w:p>
      <w:pPr>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六、一般公共预算财政拨款支出决算表</w:t>
      </w:r>
      <w:bookmarkEnd w:id="88"/>
    </w:p>
    <w:p>
      <w:pPr>
        <w:rPr>
          <w:rFonts w:hint="eastAsia" w:ascii="仿宋_GB2312" w:hAnsi="仿宋_GB2312" w:eastAsia="仿宋_GB2312" w:cs="仿宋_GB2312"/>
          <w:sz w:val="32"/>
          <w:szCs w:val="32"/>
          <w:highlight w:val="none"/>
          <w:lang w:eastAsia="zh-CN"/>
        </w:rPr>
      </w:pPr>
      <w:bookmarkStart w:id="89" w:name="_Toc15396625"/>
      <w:r>
        <w:rPr>
          <w:rFonts w:hint="eastAsia" w:ascii="仿宋_GB2312" w:hAnsi="仿宋_GB2312" w:eastAsia="仿宋_GB2312" w:cs="仿宋_GB2312"/>
          <w:sz w:val="32"/>
          <w:szCs w:val="32"/>
          <w:highlight w:val="none"/>
          <w:lang w:eastAsia="zh-CN"/>
        </w:rPr>
        <w:t>七、一般公共预算财政拨款支出决算明细表</w:t>
      </w:r>
      <w:bookmarkEnd w:id="89"/>
    </w:p>
    <w:p>
      <w:pPr>
        <w:rPr>
          <w:rFonts w:hint="eastAsia" w:ascii="仿宋_GB2312" w:hAnsi="仿宋_GB2312" w:eastAsia="仿宋_GB2312" w:cs="仿宋_GB2312"/>
          <w:sz w:val="32"/>
          <w:szCs w:val="32"/>
          <w:highlight w:val="none"/>
          <w:lang w:eastAsia="zh-CN"/>
        </w:rPr>
      </w:pPr>
      <w:bookmarkStart w:id="90" w:name="_Toc15396626"/>
      <w:r>
        <w:rPr>
          <w:rFonts w:hint="eastAsia" w:ascii="仿宋_GB2312" w:hAnsi="仿宋_GB2312" w:eastAsia="仿宋_GB2312" w:cs="仿宋_GB2312"/>
          <w:sz w:val="32"/>
          <w:szCs w:val="32"/>
          <w:highlight w:val="none"/>
          <w:lang w:eastAsia="zh-CN"/>
        </w:rPr>
        <w:t>八、一般公共预算财政拨款基本支出决算表</w:t>
      </w:r>
      <w:bookmarkEnd w:id="90"/>
    </w:p>
    <w:p>
      <w:pPr>
        <w:rPr>
          <w:rFonts w:hint="eastAsia" w:ascii="仿宋_GB2312" w:hAnsi="仿宋_GB2312" w:eastAsia="仿宋_GB2312" w:cs="仿宋_GB2312"/>
          <w:sz w:val="32"/>
          <w:szCs w:val="32"/>
          <w:highlight w:val="none"/>
          <w:lang w:eastAsia="zh-CN"/>
        </w:rPr>
      </w:pPr>
      <w:bookmarkStart w:id="91" w:name="_Toc15396627"/>
      <w:r>
        <w:rPr>
          <w:rFonts w:hint="eastAsia" w:ascii="仿宋_GB2312" w:hAnsi="仿宋_GB2312" w:eastAsia="仿宋_GB2312" w:cs="仿宋_GB2312"/>
          <w:sz w:val="32"/>
          <w:szCs w:val="32"/>
          <w:highlight w:val="none"/>
          <w:lang w:eastAsia="zh-CN"/>
        </w:rPr>
        <w:t>九、一般公共预算财政拨款项目支出决算表</w:t>
      </w:r>
      <w:bookmarkEnd w:id="91"/>
    </w:p>
    <w:p>
      <w:pPr>
        <w:rPr>
          <w:rFonts w:hint="eastAsia" w:ascii="仿宋_GB2312" w:hAnsi="仿宋_GB2312" w:eastAsia="仿宋_GB2312" w:cs="仿宋_GB2312"/>
          <w:sz w:val="32"/>
          <w:szCs w:val="32"/>
          <w:highlight w:val="none"/>
          <w:lang w:eastAsia="zh-CN"/>
        </w:rPr>
      </w:pPr>
      <w:bookmarkStart w:id="92" w:name="_Toc15396628"/>
      <w:r>
        <w:rPr>
          <w:rFonts w:hint="eastAsia" w:ascii="仿宋_GB2312" w:hAnsi="仿宋_GB2312" w:eastAsia="仿宋_GB2312" w:cs="仿宋_GB2312"/>
          <w:sz w:val="32"/>
          <w:szCs w:val="32"/>
          <w:highlight w:val="none"/>
          <w:lang w:eastAsia="zh-CN"/>
        </w:rPr>
        <w:t>十、</w:t>
      </w:r>
      <w:bookmarkEnd w:id="92"/>
      <w:r>
        <w:rPr>
          <w:rFonts w:hint="eastAsia" w:ascii="仿宋_GB2312" w:hAnsi="仿宋_GB2312" w:eastAsia="仿宋_GB2312" w:cs="仿宋_GB2312"/>
          <w:sz w:val="32"/>
          <w:szCs w:val="32"/>
          <w:highlight w:val="none"/>
          <w:lang w:eastAsia="zh-CN"/>
        </w:rPr>
        <w:t>政府性基金预算财政拨款收入支出决算表</w:t>
      </w:r>
    </w:p>
    <w:p>
      <w:pPr>
        <w:rPr>
          <w:rFonts w:hint="eastAsia" w:ascii="仿宋_GB2312" w:hAnsi="仿宋_GB2312" w:eastAsia="仿宋_GB2312" w:cs="仿宋_GB2312"/>
          <w:sz w:val="32"/>
          <w:szCs w:val="32"/>
          <w:highlight w:val="none"/>
          <w:lang w:eastAsia="zh-CN"/>
        </w:rPr>
      </w:pPr>
      <w:bookmarkStart w:id="93" w:name="_Toc15396629"/>
      <w:r>
        <w:rPr>
          <w:rFonts w:hint="eastAsia" w:ascii="仿宋_GB2312" w:hAnsi="仿宋_GB2312" w:eastAsia="仿宋_GB2312" w:cs="仿宋_GB2312"/>
          <w:sz w:val="32"/>
          <w:szCs w:val="32"/>
          <w:highlight w:val="none"/>
          <w:lang w:eastAsia="zh-CN"/>
        </w:rPr>
        <w:t>十一、</w:t>
      </w:r>
      <w:bookmarkEnd w:id="93"/>
      <w:r>
        <w:rPr>
          <w:rFonts w:hint="eastAsia" w:ascii="仿宋_GB2312" w:hAnsi="仿宋_GB2312" w:eastAsia="仿宋_GB2312" w:cs="仿宋_GB2312"/>
          <w:sz w:val="32"/>
          <w:szCs w:val="32"/>
          <w:highlight w:val="none"/>
          <w:lang w:eastAsia="zh-CN"/>
        </w:rPr>
        <w:t>国有资本经营预算财政拨款收入支出决算表</w:t>
      </w:r>
    </w:p>
    <w:p>
      <w:pPr>
        <w:rPr>
          <w:rFonts w:hint="eastAsia" w:ascii="仿宋_GB2312" w:hAnsi="仿宋_GB2312" w:eastAsia="仿宋_GB2312" w:cs="仿宋_GB2312"/>
          <w:sz w:val="32"/>
          <w:szCs w:val="32"/>
          <w:highlight w:val="none"/>
          <w:lang w:eastAsia="zh-CN"/>
        </w:rPr>
      </w:pPr>
      <w:bookmarkStart w:id="94" w:name="_Toc15396630"/>
      <w:r>
        <w:rPr>
          <w:rFonts w:hint="eastAsia" w:ascii="仿宋_GB2312" w:hAnsi="仿宋_GB2312" w:eastAsia="仿宋_GB2312" w:cs="仿宋_GB2312"/>
          <w:sz w:val="32"/>
          <w:szCs w:val="32"/>
          <w:highlight w:val="none"/>
          <w:lang w:eastAsia="zh-CN"/>
        </w:rPr>
        <w:t>十二、</w:t>
      </w:r>
      <w:bookmarkEnd w:id="94"/>
      <w:r>
        <w:rPr>
          <w:rFonts w:hint="eastAsia" w:ascii="仿宋_GB2312" w:hAnsi="仿宋_GB2312" w:eastAsia="仿宋_GB2312" w:cs="仿宋_GB2312"/>
          <w:sz w:val="32"/>
          <w:szCs w:val="32"/>
          <w:highlight w:val="none"/>
          <w:lang w:eastAsia="zh-CN"/>
        </w:rPr>
        <w:t>国有资本经营预算财政拨款支出决算表</w:t>
      </w:r>
    </w:p>
    <w:p>
      <w:pPr>
        <w:rPr>
          <w:rFonts w:hint="eastAsia" w:ascii="仿宋_GB2312" w:hAnsi="仿宋_GB2312" w:eastAsia="仿宋_GB2312" w:cs="仿宋_GB2312"/>
          <w:sz w:val="32"/>
          <w:szCs w:val="32"/>
          <w:highlight w:val="none"/>
          <w:lang w:eastAsia="zh-CN"/>
        </w:rPr>
      </w:pPr>
      <w:bookmarkStart w:id="95" w:name="_Toc15396631"/>
      <w:r>
        <w:rPr>
          <w:rFonts w:hint="eastAsia" w:ascii="仿宋_GB2312" w:hAnsi="仿宋_GB2312" w:eastAsia="仿宋_GB2312" w:cs="仿宋_GB2312"/>
          <w:sz w:val="32"/>
          <w:szCs w:val="32"/>
          <w:highlight w:val="none"/>
          <w:lang w:eastAsia="zh-CN"/>
        </w:rPr>
        <w:t>十三、</w:t>
      </w:r>
      <w:bookmarkEnd w:id="95"/>
      <w:r>
        <w:rPr>
          <w:rFonts w:hint="eastAsia" w:ascii="仿宋_GB2312" w:hAnsi="仿宋_GB2312" w:eastAsia="仿宋_GB2312" w:cs="仿宋_GB2312"/>
          <w:sz w:val="32"/>
          <w:szCs w:val="32"/>
          <w:highlight w:val="none"/>
          <w:lang w:eastAsia="zh-CN"/>
        </w:rPr>
        <w:t>财政拨款“三公”经费支出决算表</w:t>
      </w:r>
    </w:p>
    <w:p>
      <w:pPr>
        <w:rPr>
          <w:rFonts w:hint="eastAsia" w:ascii="Times New Roman" w:hAnsi="Times New Roman"/>
          <w:sz w:val="32"/>
          <w:szCs w:val="32"/>
          <w:highlight w:val="none"/>
          <w:lang w:eastAsia="zh-CN"/>
        </w:rPr>
      </w:pPr>
    </w:p>
    <w:sectPr>
      <w:footerReference r:id="rId5" w:type="first"/>
      <w:headerReference r:id="rId3" w:type="default"/>
      <w:footerReference r:id="rId4" w:type="default"/>
      <w:pgSz w:w="11906" w:h="16838"/>
      <w:pgMar w:top="1440" w:right="1800" w:bottom="1213"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00007A87" w:usb1="80000000" w:usb2="00000008" w:usb3="00000000" w:csb0="400001FF" w:csb1="FFFF0000"/>
  </w:font>
  <w:font w:name="宋体">
    <w:panose1 w:val="02010600030101010101"/>
    <w:charset w:val="7A"/>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仿宋">
    <w:panose1 w:val="02010609060101010101"/>
    <w:charset w:val="86"/>
    <w:family w:val="modern"/>
    <w:pitch w:val="default"/>
    <w:sig w:usb0="800002BF" w:usb1="38CF7CFA" w:usb2="00000016" w:usb3="00000000" w:csb0="00040001" w:csb1="00000000"/>
  </w:font>
  <w:font w:name="??">
    <w:altName w:val="仿宋"/>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K8tgzBwCAAApBAAADgAAAAAAAAABACAAAAA1AQAAZHJzL2Uyb0RvYy54bWxQSwUG&#10;AAAAAAYABgBZAQAAwwUAAAAA&#10;">
              <v:fill on="f" focussize="0,0"/>
              <v:stroke on="f" weight="0.5pt"/>
              <v:imagedata o:title=""/>
              <o:lock v:ext="edit" aspectratio="f"/>
              <v:textbox inset="0mm,0mm,0mm,0mm" style="mso-fit-shape-to-text:t;">
                <w:txbxContent>
                  <w:p>
                    <w:pPr>
                      <w:pStyle w:val="11"/>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- 2 -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11"/>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3725A3"/>
    <w:multiLevelType w:val="singleLevel"/>
    <w:tmpl w:val="EF3725A3"/>
    <w:lvl w:ilvl="0" w:tentative="0">
      <w:start w:val="1"/>
      <w:numFmt w:val="chineseCounting"/>
      <w:suff w:val="nothing"/>
      <w:lvlText w:val="%1、"/>
      <w:lvlJc w:val="left"/>
      <w:rPr>
        <w:rFonts w:hint="eastAsia"/>
      </w:rPr>
    </w:lvl>
  </w:abstractNum>
  <w:abstractNum w:abstractNumId="1">
    <w:nsid w:val="411ADA47"/>
    <w:multiLevelType w:val="singleLevel"/>
    <w:tmpl w:val="411ADA47"/>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TrueTypeFonts/>
  <w:saveSubsetFonts/>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4633"/>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14755D2"/>
    <w:rsid w:val="015975B8"/>
    <w:rsid w:val="01CC726C"/>
    <w:rsid w:val="02FEBE30"/>
    <w:rsid w:val="05F56235"/>
    <w:rsid w:val="061E35DE"/>
    <w:rsid w:val="066E0107"/>
    <w:rsid w:val="07292F77"/>
    <w:rsid w:val="07996F6E"/>
    <w:rsid w:val="07DFD8BA"/>
    <w:rsid w:val="07E70680"/>
    <w:rsid w:val="08611584"/>
    <w:rsid w:val="09622C8A"/>
    <w:rsid w:val="09867E8F"/>
    <w:rsid w:val="09E5588B"/>
    <w:rsid w:val="0A2032A3"/>
    <w:rsid w:val="0CA8290A"/>
    <w:rsid w:val="0D35B1ED"/>
    <w:rsid w:val="0F98263C"/>
    <w:rsid w:val="101860EC"/>
    <w:rsid w:val="10C055FF"/>
    <w:rsid w:val="1107752F"/>
    <w:rsid w:val="11772AA4"/>
    <w:rsid w:val="118107EC"/>
    <w:rsid w:val="13D50BC4"/>
    <w:rsid w:val="165E0673"/>
    <w:rsid w:val="16BB723D"/>
    <w:rsid w:val="17EFF12D"/>
    <w:rsid w:val="186504BB"/>
    <w:rsid w:val="19A445FC"/>
    <w:rsid w:val="1A9FE8C6"/>
    <w:rsid w:val="1BC86256"/>
    <w:rsid w:val="1BE8440E"/>
    <w:rsid w:val="1D155CEE"/>
    <w:rsid w:val="1DB76765"/>
    <w:rsid w:val="1E740ACF"/>
    <w:rsid w:val="1EFD7E4D"/>
    <w:rsid w:val="1FED17F2"/>
    <w:rsid w:val="1FF2547E"/>
    <w:rsid w:val="1FF35744"/>
    <w:rsid w:val="1FF6BC77"/>
    <w:rsid w:val="21270DA3"/>
    <w:rsid w:val="23860B96"/>
    <w:rsid w:val="23DE6A77"/>
    <w:rsid w:val="24011A60"/>
    <w:rsid w:val="240371BF"/>
    <w:rsid w:val="260F557C"/>
    <w:rsid w:val="281408E2"/>
    <w:rsid w:val="29FD04D3"/>
    <w:rsid w:val="2B107731"/>
    <w:rsid w:val="2B6D747A"/>
    <w:rsid w:val="2BFF7BC6"/>
    <w:rsid w:val="2C8A61B5"/>
    <w:rsid w:val="2CB008E1"/>
    <w:rsid w:val="2DF04E50"/>
    <w:rsid w:val="2F040D46"/>
    <w:rsid w:val="2F9BF701"/>
    <w:rsid w:val="2FAE5751"/>
    <w:rsid w:val="2FB1A395"/>
    <w:rsid w:val="2FD9A7D8"/>
    <w:rsid w:val="2FDBF714"/>
    <w:rsid w:val="2FE94B27"/>
    <w:rsid w:val="309E48E1"/>
    <w:rsid w:val="30FF6D9E"/>
    <w:rsid w:val="319F7F4E"/>
    <w:rsid w:val="32BD1EF1"/>
    <w:rsid w:val="3304709D"/>
    <w:rsid w:val="344023F6"/>
    <w:rsid w:val="349D6851"/>
    <w:rsid w:val="36AA5135"/>
    <w:rsid w:val="36B617DA"/>
    <w:rsid w:val="36BE0DA7"/>
    <w:rsid w:val="376B6AA6"/>
    <w:rsid w:val="376D39B2"/>
    <w:rsid w:val="37E16F03"/>
    <w:rsid w:val="37F53A3B"/>
    <w:rsid w:val="389B6C89"/>
    <w:rsid w:val="38D469F0"/>
    <w:rsid w:val="39627CCD"/>
    <w:rsid w:val="397BAF1F"/>
    <w:rsid w:val="39AB2A00"/>
    <w:rsid w:val="39C16CD3"/>
    <w:rsid w:val="3AB79AF3"/>
    <w:rsid w:val="3B7EF35A"/>
    <w:rsid w:val="3B9FDB6C"/>
    <w:rsid w:val="3BC73326"/>
    <w:rsid w:val="3BF5BC2F"/>
    <w:rsid w:val="3C4E69AC"/>
    <w:rsid w:val="3CEBA265"/>
    <w:rsid w:val="3D98207C"/>
    <w:rsid w:val="3DEE7CF3"/>
    <w:rsid w:val="3E78745D"/>
    <w:rsid w:val="3F55381A"/>
    <w:rsid w:val="3F7F7599"/>
    <w:rsid w:val="3FF4CAE0"/>
    <w:rsid w:val="3FF7B227"/>
    <w:rsid w:val="41B03827"/>
    <w:rsid w:val="44E268DA"/>
    <w:rsid w:val="476F3292"/>
    <w:rsid w:val="486A6C7A"/>
    <w:rsid w:val="4A627F82"/>
    <w:rsid w:val="4A8F4BCB"/>
    <w:rsid w:val="4B0E749A"/>
    <w:rsid w:val="4B4F25DA"/>
    <w:rsid w:val="4BE068DB"/>
    <w:rsid w:val="4C654783"/>
    <w:rsid w:val="4CBA325D"/>
    <w:rsid w:val="4D577224"/>
    <w:rsid w:val="4DBF1CEB"/>
    <w:rsid w:val="4DFEF27A"/>
    <w:rsid w:val="4EAB630A"/>
    <w:rsid w:val="4ECE2238"/>
    <w:rsid w:val="4F833267"/>
    <w:rsid w:val="4FE9BD67"/>
    <w:rsid w:val="4FFB052F"/>
    <w:rsid w:val="537E6D0A"/>
    <w:rsid w:val="53F74C96"/>
    <w:rsid w:val="54671025"/>
    <w:rsid w:val="55871D12"/>
    <w:rsid w:val="56500E50"/>
    <w:rsid w:val="56E47B74"/>
    <w:rsid w:val="57A90A3C"/>
    <w:rsid w:val="57BD3DD4"/>
    <w:rsid w:val="58003A3B"/>
    <w:rsid w:val="5AF92295"/>
    <w:rsid w:val="5BDD79E6"/>
    <w:rsid w:val="5BF561CA"/>
    <w:rsid w:val="5BFF5DFC"/>
    <w:rsid w:val="5CD71FC4"/>
    <w:rsid w:val="5D1F11B5"/>
    <w:rsid w:val="5DAE1B18"/>
    <w:rsid w:val="5DE7D9E5"/>
    <w:rsid w:val="5ECEC941"/>
    <w:rsid w:val="5EEF9F1A"/>
    <w:rsid w:val="5EF8317D"/>
    <w:rsid w:val="5FBF7493"/>
    <w:rsid w:val="5FBF9FF3"/>
    <w:rsid w:val="5FCD4E2C"/>
    <w:rsid w:val="5FEF394A"/>
    <w:rsid w:val="5FF67715"/>
    <w:rsid w:val="61FDEE7E"/>
    <w:rsid w:val="62BF3928"/>
    <w:rsid w:val="647F5392"/>
    <w:rsid w:val="664B1D71"/>
    <w:rsid w:val="67AA3209"/>
    <w:rsid w:val="698D0931"/>
    <w:rsid w:val="6A761DC8"/>
    <w:rsid w:val="6A7FE5F3"/>
    <w:rsid w:val="6AE40972"/>
    <w:rsid w:val="6B053271"/>
    <w:rsid w:val="6BFF3206"/>
    <w:rsid w:val="6C4A05C8"/>
    <w:rsid w:val="6C8742B8"/>
    <w:rsid w:val="6CD4374F"/>
    <w:rsid w:val="6DBF5E93"/>
    <w:rsid w:val="6DFF077E"/>
    <w:rsid w:val="6E7E3605"/>
    <w:rsid w:val="6E7FDCC7"/>
    <w:rsid w:val="6ED6A62E"/>
    <w:rsid w:val="6EE00B15"/>
    <w:rsid w:val="6F6FB3EB"/>
    <w:rsid w:val="6F8731EA"/>
    <w:rsid w:val="6FCE6052"/>
    <w:rsid w:val="6FD57C00"/>
    <w:rsid w:val="6FEFFFD8"/>
    <w:rsid w:val="6FF5CC65"/>
    <w:rsid w:val="6FF751B5"/>
    <w:rsid w:val="6FFB47EC"/>
    <w:rsid w:val="6FFF034A"/>
    <w:rsid w:val="712A28F1"/>
    <w:rsid w:val="715C0E4B"/>
    <w:rsid w:val="72233669"/>
    <w:rsid w:val="72734D90"/>
    <w:rsid w:val="72E900DA"/>
    <w:rsid w:val="7332FE48"/>
    <w:rsid w:val="73AB61DA"/>
    <w:rsid w:val="73AD73D5"/>
    <w:rsid w:val="73B6EB34"/>
    <w:rsid w:val="73FA497D"/>
    <w:rsid w:val="744731E5"/>
    <w:rsid w:val="74BBD01D"/>
    <w:rsid w:val="74ED5379"/>
    <w:rsid w:val="75DEEEC2"/>
    <w:rsid w:val="75DF8ADB"/>
    <w:rsid w:val="76A54728"/>
    <w:rsid w:val="76E3355F"/>
    <w:rsid w:val="76FF5125"/>
    <w:rsid w:val="776A0384"/>
    <w:rsid w:val="776DD0FE"/>
    <w:rsid w:val="776F6FFA"/>
    <w:rsid w:val="778769C8"/>
    <w:rsid w:val="77B7F060"/>
    <w:rsid w:val="77B99B64"/>
    <w:rsid w:val="77DC22F5"/>
    <w:rsid w:val="79086DAD"/>
    <w:rsid w:val="790A60EF"/>
    <w:rsid w:val="79D7FD79"/>
    <w:rsid w:val="79EE5BA4"/>
    <w:rsid w:val="7A894339"/>
    <w:rsid w:val="7AD284E8"/>
    <w:rsid w:val="7AFF7572"/>
    <w:rsid w:val="7B520A0B"/>
    <w:rsid w:val="7B6C7DFB"/>
    <w:rsid w:val="7BBFBED0"/>
    <w:rsid w:val="7BC3E394"/>
    <w:rsid w:val="7C1F3737"/>
    <w:rsid w:val="7CBFC87B"/>
    <w:rsid w:val="7CFE0F48"/>
    <w:rsid w:val="7D12583B"/>
    <w:rsid w:val="7D7EC23E"/>
    <w:rsid w:val="7DC43EE0"/>
    <w:rsid w:val="7E39C3CE"/>
    <w:rsid w:val="7E8ADEBF"/>
    <w:rsid w:val="7EBFA07C"/>
    <w:rsid w:val="7EEF11D3"/>
    <w:rsid w:val="7EFE4840"/>
    <w:rsid w:val="7F0971A6"/>
    <w:rsid w:val="7F3F679B"/>
    <w:rsid w:val="7F4FC4EF"/>
    <w:rsid w:val="7F5E4D54"/>
    <w:rsid w:val="7F6E0135"/>
    <w:rsid w:val="7F79F205"/>
    <w:rsid w:val="7FA30C79"/>
    <w:rsid w:val="7FA79C44"/>
    <w:rsid w:val="7FAA54BB"/>
    <w:rsid w:val="7FAF8ABF"/>
    <w:rsid w:val="7FB7269E"/>
    <w:rsid w:val="7FBF9453"/>
    <w:rsid w:val="7FC96657"/>
    <w:rsid w:val="7FDA9588"/>
    <w:rsid w:val="7FDF220F"/>
    <w:rsid w:val="7FEDC5F7"/>
    <w:rsid w:val="7FEDD9DE"/>
    <w:rsid w:val="7FF5890D"/>
    <w:rsid w:val="7FF93490"/>
    <w:rsid w:val="99FF2014"/>
    <w:rsid w:val="9F7F2B8E"/>
    <w:rsid w:val="9FDCFF3B"/>
    <w:rsid w:val="A6DD0D7F"/>
    <w:rsid w:val="AC7B2C8F"/>
    <w:rsid w:val="ACFF4FBB"/>
    <w:rsid w:val="ADC6F725"/>
    <w:rsid w:val="B7CF06AB"/>
    <w:rsid w:val="B7CFA926"/>
    <w:rsid w:val="B7F8786B"/>
    <w:rsid w:val="BABB6AA1"/>
    <w:rsid w:val="BB2F4199"/>
    <w:rsid w:val="BCFFB442"/>
    <w:rsid w:val="BD079C78"/>
    <w:rsid w:val="BD733540"/>
    <w:rsid w:val="BF3735D5"/>
    <w:rsid w:val="BF7B1381"/>
    <w:rsid w:val="BF7F09AC"/>
    <w:rsid w:val="BFD475C3"/>
    <w:rsid w:val="BFDE5EA6"/>
    <w:rsid w:val="BFFDC6CC"/>
    <w:rsid w:val="CF6FC6F3"/>
    <w:rsid w:val="CFD3D3D7"/>
    <w:rsid w:val="CFDF1009"/>
    <w:rsid w:val="D7D7B16A"/>
    <w:rsid w:val="D8D6DB89"/>
    <w:rsid w:val="DB4FBEBB"/>
    <w:rsid w:val="DB6F4CAB"/>
    <w:rsid w:val="DB777682"/>
    <w:rsid w:val="DD1FB521"/>
    <w:rsid w:val="DD3687CA"/>
    <w:rsid w:val="DEFBFEAE"/>
    <w:rsid w:val="DF1F3B80"/>
    <w:rsid w:val="DF6F9789"/>
    <w:rsid w:val="DFE9BE81"/>
    <w:rsid w:val="DFFFA9E8"/>
    <w:rsid w:val="E5B3834D"/>
    <w:rsid w:val="E5F4E9DC"/>
    <w:rsid w:val="E70FE695"/>
    <w:rsid w:val="EB2E368B"/>
    <w:rsid w:val="ECFED1BC"/>
    <w:rsid w:val="ED1D69BB"/>
    <w:rsid w:val="ED7FD312"/>
    <w:rsid w:val="EEDF2F66"/>
    <w:rsid w:val="EF2E1AC6"/>
    <w:rsid w:val="EF53993F"/>
    <w:rsid w:val="EF6FD633"/>
    <w:rsid w:val="EFB50C79"/>
    <w:rsid w:val="EFBFB2F4"/>
    <w:rsid w:val="EFBFFA21"/>
    <w:rsid w:val="F2BEBCB8"/>
    <w:rsid w:val="F36FB518"/>
    <w:rsid w:val="F3DE1A04"/>
    <w:rsid w:val="F3F722E5"/>
    <w:rsid w:val="F4FBCD07"/>
    <w:rsid w:val="F6BA92A2"/>
    <w:rsid w:val="FA5F1E70"/>
    <w:rsid w:val="FA5FDB97"/>
    <w:rsid w:val="FB7D9FCB"/>
    <w:rsid w:val="FB7F486A"/>
    <w:rsid w:val="FBF6A771"/>
    <w:rsid w:val="FBFF5B2E"/>
    <w:rsid w:val="FD7FFE2B"/>
    <w:rsid w:val="FDEE196B"/>
    <w:rsid w:val="FDFE6575"/>
    <w:rsid w:val="FEDFDDC2"/>
    <w:rsid w:val="FEED32F6"/>
    <w:rsid w:val="FEF781DD"/>
    <w:rsid w:val="FF3F7E3F"/>
    <w:rsid w:val="FF714DEB"/>
    <w:rsid w:val="FF7DAB09"/>
    <w:rsid w:val="FF7FBD3E"/>
    <w:rsid w:val="FF9F1C07"/>
    <w:rsid w:val="FFBA12D7"/>
    <w:rsid w:val="FFCBD314"/>
    <w:rsid w:val="FFD76D89"/>
    <w:rsid w:val="FFDFF91C"/>
    <w:rsid w:val="FFDFFAEE"/>
    <w:rsid w:val="FFEF6777"/>
    <w:rsid w:val="FFF9B57B"/>
    <w:rsid w:val="FFFD61D9"/>
    <w:rsid w:val="FFFD8F59"/>
    <w:rsid w:val="FFFDFAF6"/>
    <w:rsid w:val="FFFF2BB1"/>
    <w:rsid w:val="FFFFB04D"/>
    <w:rsid w:val="FFFFBF3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2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link w:val="32"/>
    <w:unhideWhenUsed/>
    <w:qFormat/>
    <w:uiPriority w:val="9"/>
    <w:pPr>
      <w:keepNext/>
      <w:keepLines/>
      <w:spacing w:before="260" w:after="260" w:line="416" w:lineRule="auto"/>
      <w:outlineLvl w:val="2"/>
    </w:pPr>
    <w:rPr>
      <w:b/>
      <w:bCs/>
      <w:sz w:val="32"/>
      <w:szCs w:val="32"/>
    </w:rPr>
  </w:style>
  <w:style w:type="character" w:default="1" w:styleId="16">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Chars="200"/>
    </w:pPr>
    <w:rPr>
      <w:rFonts w:ascii="仿宋_GB2312"/>
      <w:szCs w:val="32"/>
    </w:rPr>
  </w:style>
  <w:style w:type="paragraph" w:styleId="8">
    <w:name w:val="Body Text"/>
    <w:basedOn w:val="1"/>
    <w:link w:val="25"/>
    <w:qFormat/>
    <w:uiPriority w:val="99"/>
    <w:pPr>
      <w:spacing w:beforeLines="30"/>
    </w:pPr>
    <w:rPr>
      <w:rFonts w:ascii="仿宋_GB2312" w:eastAsia="仿宋_GB2312"/>
      <w:kern w:val="0"/>
      <w:sz w:val="30"/>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1"/>
    <w:semiHidden/>
    <w:unhideWhenUsed/>
    <w:qFormat/>
    <w:uiPriority w:val="99"/>
    <w:rPr>
      <w:sz w:val="18"/>
      <w:szCs w:val="18"/>
    </w:rPr>
  </w:style>
  <w:style w:type="paragraph" w:styleId="11">
    <w:name w:val="footer"/>
    <w:basedOn w:val="1"/>
    <w:link w:val="23"/>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1"/>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character" w:styleId="17">
    <w:name w:val="Strong"/>
    <w:basedOn w:val="16"/>
    <w:qFormat/>
    <w:uiPriority w:val="99"/>
    <w:rPr>
      <w:b/>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paragraph" w:customStyle="1" w:styleId="19">
    <w:name w:val="标题 5（有编号）（绿盟科技）"/>
    <w:next w:val="1"/>
    <w:qFormat/>
    <w:uiPriority w:val="99"/>
    <w:pPr>
      <w:keepNext/>
      <w:keepLines/>
      <w:widowControl w:val="0"/>
      <w:spacing w:before="280" w:after="156" w:line="377" w:lineRule="auto"/>
      <w:jc w:val="left"/>
      <w:outlineLvl w:val="4"/>
    </w:pPr>
    <w:rPr>
      <w:rFonts w:ascii="Arial" w:hAnsi="Arial" w:eastAsia="黑体" w:cs="Times New Roman"/>
      <w:b/>
      <w:kern w:val="2"/>
      <w:sz w:val="24"/>
      <w:szCs w:val="28"/>
      <w:lang w:val="en-US" w:eastAsia="zh-CN" w:bidi="ar-SA"/>
    </w:rPr>
  </w:style>
  <w:style w:type="character" w:customStyle="1" w:styleId="20">
    <w:name w:val="Header Char"/>
    <w:basedOn w:val="16"/>
    <w:semiHidden/>
    <w:qFormat/>
    <w:uiPriority w:val="99"/>
    <w:rPr>
      <w:rFonts w:ascii="Times New Roman" w:hAnsi="Times New Roman"/>
      <w:sz w:val="18"/>
      <w:szCs w:val="18"/>
    </w:rPr>
  </w:style>
  <w:style w:type="character" w:customStyle="1" w:styleId="21">
    <w:name w:val="页眉 Char"/>
    <w:link w:val="12"/>
    <w:semiHidden/>
    <w:qFormat/>
    <w:locked/>
    <w:uiPriority w:val="99"/>
    <w:rPr>
      <w:sz w:val="18"/>
    </w:rPr>
  </w:style>
  <w:style w:type="character" w:customStyle="1" w:styleId="22">
    <w:name w:val="Footer Char"/>
    <w:basedOn w:val="16"/>
    <w:semiHidden/>
    <w:qFormat/>
    <w:uiPriority w:val="99"/>
    <w:rPr>
      <w:rFonts w:ascii="Times New Roman" w:hAnsi="Times New Roman"/>
      <w:sz w:val="18"/>
      <w:szCs w:val="18"/>
    </w:rPr>
  </w:style>
  <w:style w:type="character" w:customStyle="1" w:styleId="23">
    <w:name w:val="页脚 Char"/>
    <w:link w:val="11"/>
    <w:qFormat/>
    <w:locked/>
    <w:uiPriority w:val="99"/>
    <w:rPr>
      <w:sz w:val="18"/>
    </w:rPr>
  </w:style>
  <w:style w:type="character" w:customStyle="1" w:styleId="24">
    <w:name w:val="Body Text Char"/>
    <w:basedOn w:val="16"/>
    <w:semiHidden/>
    <w:qFormat/>
    <w:uiPriority w:val="99"/>
    <w:rPr>
      <w:rFonts w:ascii="Times New Roman" w:hAnsi="Times New Roman"/>
      <w:szCs w:val="24"/>
    </w:rPr>
  </w:style>
  <w:style w:type="character" w:customStyle="1" w:styleId="25">
    <w:name w:val="正文文本 Char"/>
    <w:link w:val="8"/>
    <w:qFormat/>
    <w:locked/>
    <w:uiPriority w:val="99"/>
    <w:rPr>
      <w:rFonts w:ascii="仿宋_GB2312" w:hAnsi="Times New Roman" w:eastAsia="仿宋_GB2312"/>
      <w:sz w:val="24"/>
    </w:rPr>
  </w:style>
  <w:style w:type="paragraph" w:customStyle="1" w:styleId="26">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7">
    <w:name w:val="List Paragraph"/>
    <w:basedOn w:val="1"/>
    <w:qFormat/>
    <w:uiPriority w:val="34"/>
    <w:pPr>
      <w:ind w:firstLine="420" w:firstLineChars="200"/>
    </w:pPr>
  </w:style>
  <w:style w:type="character" w:customStyle="1" w:styleId="28">
    <w:name w:val="标题 1 Char"/>
    <w:basedOn w:val="16"/>
    <w:link w:val="5"/>
    <w:qFormat/>
    <w:uiPriority w:val="9"/>
    <w:rPr>
      <w:rFonts w:ascii="Times New Roman" w:hAnsi="Times New Roman"/>
      <w:b/>
      <w:bCs/>
      <w:kern w:val="44"/>
      <w:sz w:val="44"/>
      <w:szCs w:val="44"/>
    </w:rPr>
  </w:style>
  <w:style w:type="character" w:customStyle="1" w:styleId="29">
    <w:name w:val="标题 2 Char"/>
    <w:basedOn w:val="16"/>
    <w:link w:val="6"/>
    <w:qFormat/>
    <w:uiPriority w:val="9"/>
    <w:rPr>
      <w:rFonts w:asciiTheme="majorHAnsi" w:hAnsiTheme="majorHAnsi" w:eastAsiaTheme="majorEastAsia" w:cstheme="majorBidi"/>
      <w:b/>
      <w:bCs/>
      <w:kern w:val="2"/>
      <w:sz w:val="32"/>
      <w:szCs w:val="32"/>
    </w:rPr>
  </w:style>
  <w:style w:type="paragraph" w:customStyle="1" w:styleId="30">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1">
    <w:name w:val="批注框文本 Char"/>
    <w:basedOn w:val="16"/>
    <w:link w:val="10"/>
    <w:semiHidden/>
    <w:qFormat/>
    <w:uiPriority w:val="99"/>
    <w:rPr>
      <w:rFonts w:ascii="Times New Roman" w:hAnsi="Times New Roman"/>
      <w:kern w:val="2"/>
      <w:sz w:val="18"/>
      <w:szCs w:val="18"/>
    </w:rPr>
  </w:style>
  <w:style w:type="character" w:customStyle="1" w:styleId="32">
    <w:name w:val="标题 3 Char"/>
    <w:basedOn w:val="16"/>
    <w:link w:val="7"/>
    <w:qFormat/>
    <w:uiPriority w:val="9"/>
    <w:rPr>
      <w:rFonts w:ascii="Times New Roman" w:hAnsi="Times New Roman"/>
      <w:b/>
      <w:bCs/>
      <w:kern w:val="2"/>
      <w:sz w:val="32"/>
      <w:szCs w:val="32"/>
    </w:rPr>
  </w:style>
  <w:style w:type="paragraph" w:customStyle="1" w:styleId="33">
    <w:name w:val="TOC Heading"/>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4">
    <w:name w:val="四号正文"/>
    <w:basedOn w:val="1"/>
    <w:qFormat/>
    <w:uiPriority w:val="0"/>
    <w:pPr>
      <w:spacing w:line="360" w:lineRule="auto"/>
    </w:pPr>
    <w:rPr>
      <w:rFonts w:ascii="??" w:hAnsi="??" w:eastAsia="宋体"/>
      <w:color w:val="000000"/>
      <w:kern w:val="0"/>
      <w:sz w:val="28"/>
      <w:szCs w:val="21"/>
      <w:lang w:val="zh-CN" w:eastAsia="zh-CN"/>
    </w:rPr>
  </w:style>
</w:styles>
</file>

<file path=word/_rels/document.xml.rels><?xml version="1.0" encoding="UTF-8" standalone="yes"?>
<Relationships xmlns="http://schemas.openxmlformats.org/package/2006/relationships"><Relationship Id="rId9" Type="http://schemas.openxmlformats.org/officeDocument/2006/relationships/chart" Target="charts/chart3.xml"/><Relationship Id="rId8" Type="http://schemas.openxmlformats.org/officeDocument/2006/relationships/chart" Target="charts/chart2.xml"/><Relationship Id="rId7" Type="http://schemas.openxmlformats.org/officeDocument/2006/relationships/chart" Target="charts/chart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emf"/><Relationship Id="rId13" Type="http://schemas.openxmlformats.org/officeDocument/2006/relationships/oleObject" Target="embeddings/oleObject1.bin"/><Relationship Id="rId12" Type="http://schemas.openxmlformats.org/officeDocument/2006/relationships/chart" Target="charts/chart6.xml"/><Relationship Id="rId11" Type="http://schemas.openxmlformats.org/officeDocument/2006/relationships/chart" Target="charts/chart5.xml"/><Relationship Id="rId10" Type="http://schemas.openxmlformats.org/officeDocument/2006/relationships/chart" Target="charts/chart4.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chart1.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收入、支出决算总计变动情况图</a:t>
            </a:r>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2023年</c:v>
                </c:pt>
              </c:strCache>
            </c:strRef>
          </c:tx>
          <c:spPr>
            <a:solidFill>
              <a:schemeClr val="accent1"/>
            </a:solidFill>
            <a:ln>
              <a:noFill/>
            </a:ln>
            <a:effectLst/>
          </c:spPr>
          <c:invertIfNegative val="false"/>
          <c:dLbls>
            <c:delete val="true"/>
          </c:dLbls>
          <c:cat>
            <c:strRef>
              <c:f>Sheet1!$A$2:$A$3</c:f>
              <c:strCache>
                <c:ptCount val="2"/>
                <c:pt idx="0">
                  <c:v>收入</c:v>
                </c:pt>
                <c:pt idx="1">
                  <c:v>支出</c:v>
                </c:pt>
              </c:strCache>
            </c:strRef>
          </c:cat>
          <c:val>
            <c:numRef>
              <c:f>Sheet1!$B$2:$B$3</c:f>
              <c:numCache>
                <c:formatCode>General</c:formatCode>
                <c:ptCount val="2"/>
                <c:pt idx="0">
                  <c:v>366.26</c:v>
                </c:pt>
                <c:pt idx="1">
                  <c:v>421.09</c:v>
                </c:pt>
              </c:numCache>
            </c:numRef>
          </c:val>
        </c:ser>
        <c:ser>
          <c:idx val="1"/>
          <c:order val="1"/>
          <c:tx>
            <c:strRef>
              <c:f>Sheet1!$C$1</c:f>
              <c:strCache>
                <c:ptCount val="1"/>
                <c:pt idx="0">
                  <c:v>2024年</c:v>
                </c:pt>
              </c:strCache>
            </c:strRef>
          </c:tx>
          <c:spPr>
            <a:solidFill>
              <a:schemeClr val="accent2"/>
            </a:solidFill>
            <a:ln>
              <a:noFill/>
            </a:ln>
            <a:effectLst/>
          </c:spPr>
          <c:invertIfNegative val="false"/>
          <c:dLbls>
            <c:delete val="true"/>
          </c:dLbls>
          <c:cat>
            <c:strRef>
              <c:f>Sheet1!$A$2:$A$3</c:f>
              <c:strCache>
                <c:ptCount val="2"/>
                <c:pt idx="0">
                  <c:v>收入</c:v>
                </c:pt>
                <c:pt idx="1">
                  <c:v>支出</c:v>
                </c:pt>
              </c:strCache>
            </c:strRef>
          </c:cat>
          <c:val>
            <c:numRef>
              <c:f>Sheet1!$C$2:$C$3</c:f>
              <c:numCache>
                <c:formatCode>General</c:formatCode>
                <c:ptCount val="2"/>
                <c:pt idx="0">
                  <c:v>472.58</c:v>
                </c:pt>
                <c:pt idx="1">
                  <c:v>384.7</c:v>
                </c:pt>
              </c:numCache>
            </c:numRef>
          </c:val>
        </c:ser>
        <c:dLbls>
          <c:showLegendKey val="false"/>
          <c:showVal val="false"/>
          <c:showCatName val="false"/>
          <c:showSerName val="false"/>
          <c:showPercent val="false"/>
          <c:showBubbleSize val="false"/>
        </c:dLbls>
        <c:gapWidth val="246"/>
        <c:overlap val="-28"/>
        <c:axId val="78983226"/>
        <c:axId val="392181665"/>
      </c:barChart>
      <c:catAx>
        <c:axId val="78983226"/>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92181665"/>
        <c:crosses val="autoZero"/>
        <c:auto val="true"/>
        <c:lblAlgn val="ctr"/>
        <c:lblOffset val="100"/>
        <c:noMultiLvlLbl val="false"/>
      </c:catAx>
      <c:valAx>
        <c:axId val="392181665"/>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78983226"/>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2024</a:t>
            </a:r>
            <a:r>
              <a:rPr altLang="en-US"/>
              <a:t>年</a:t>
            </a:r>
            <a:r>
              <a:t>收入决算结构图</a:t>
            </a:r>
          </a:p>
        </c:rich>
      </c:tx>
      <c:layout/>
      <c:overlay val="false"/>
      <c:spPr>
        <a:noFill/>
        <a:ln>
          <a:noFill/>
        </a:ln>
        <a:effectLst/>
      </c:spPr>
    </c:title>
    <c:autoTitleDeleted val="false"/>
    <c:plotArea>
      <c:layout/>
      <c:pieChart>
        <c:varyColors val="true"/>
        <c:ser>
          <c:idx val="0"/>
          <c:order val="0"/>
          <c:tx>
            <c:strRef>
              <c:f>Sheet1!$B$1</c:f>
              <c:strCache>
                <c:ptCount val="1"/>
                <c:pt idx="0">
                  <c:v>收入决算结构图</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Lbls>
            <c:delete val="true"/>
          </c:dLbls>
          <c:cat>
            <c:strRef>
              <c:f>Sheet1!$A$2:$A$4</c:f>
              <c:strCache>
                <c:ptCount val="3"/>
                <c:pt idx="0">
                  <c:v>一般公共预算财政拨款收入</c:v>
                </c:pt>
                <c:pt idx="1">
                  <c:v>事业收入</c:v>
                </c:pt>
                <c:pt idx="2">
                  <c:v>其他收入</c:v>
                </c:pt>
              </c:strCache>
            </c:strRef>
          </c:cat>
          <c:val>
            <c:numRef>
              <c:f>Sheet1!$B$2:$B$4</c:f>
              <c:numCache>
                <c:formatCode>0.00%</c:formatCode>
                <c:ptCount val="3"/>
                <c:pt idx="0">
                  <c:v>0.7178</c:v>
                </c:pt>
                <c:pt idx="1">
                  <c:v>0.2646</c:v>
                </c:pt>
                <c:pt idx="2">
                  <c:v>0.0176</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layout/>
      <c:overlay val="false"/>
      <c:spPr>
        <a:noFill/>
        <a:ln>
          <a:noFill/>
        </a:ln>
        <a:effectLst/>
      </c:spPr>
      <c:txPr>
        <a:bodyPr rot="0" spcFirstLastPara="0" vertOverflow="ellipsis" vert="horz" wrap="square" anchor="ctr" anchorCtr="true"/>
        <a:lstStyle/>
        <a:p>
          <a:pPr>
            <a:defRPr lang="zh-CN" sz="1400" b="1" i="0" u="none" strike="noStrike" kern="1200" baseline="0">
              <a:solidFill>
                <a:schemeClr val="tx1">
                  <a:lumMod val="75000"/>
                  <a:lumOff val="25000"/>
                </a:schemeClr>
              </a:solidFill>
              <a:latin typeface="+mn-lt"/>
              <a:ea typeface="+mn-ea"/>
              <a:cs typeface="+mn-cs"/>
            </a:defRPr>
          </a:pPr>
        </a:p>
      </c:txPr>
    </c:title>
    <c:autoTitleDeleted val="false"/>
    <c:plotArea>
      <c:layout/>
      <c:pieChart>
        <c:varyColors val="true"/>
        <c:ser>
          <c:idx val="0"/>
          <c:order val="0"/>
          <c:tx>
            <c:strRef>
              <c:f>Sheet1!$B$1</c:f>
              <c:strCache>
                <c:ptCount val="1"/>
                <c:pt idx="0">
                  <c:v>支出决算结构图</c:v>
                </c:pt>
              </c:strCache>
            </c:strRef>
          </c:tx>
          <c:spPr/>
          <c:explosion val="0"/>
          <c:dPt>
            <c:idx val="0"/>
            <c:bubble3D val="false"/>
            <c:spPr>
              <a:solidFill>
                <a:schemeClr val="accent1"/>
              </a:solidFill>
              <a:ln>
                <a:solidFill>
                  <a:schemeClr val="bg1"/>
                </a:solidFill>
              </a:ln>
              <a:effectLst/>
            </c:spPr>
          </c:dPt>
          <c:dLbls>
            <c:delete val="true"/>
          </c:dLbls>
          <c:cat>
            <c:strRef>
              <c:f>Sheet1!$A$2</c:f>
              <c:strCache>
                <c:ptCount val="1"/>
                <c:pt idx="0">
                  <c:v>基本支出</c:v>
                </c:pt>
              </c:strCache>
            </c:strRef>
          </c:cat>
          <c:val>
            <c:numRef>
              <c:f>Sheet1!$B$2</c:f>
              <c:numCache>
                <c:formatCode>0%</c:formatCode>
                <c:ptCount val="1"/>
                <c:pt idx="0">
                  <c:v>1</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rPr lang="en-US" altLang="zh-CN"/>
              <a:t>2024</a:t>
            </a:r>
            <a:r>
              <a:rPr altLang="en-US"/>
              <a:t>年财政拨款收、支决算总计变动情况</a:t>
            </a:r>
            <a:endParaRPr lang="en-US" altLang="zh-CN"/>
          </a:p>
        </c:rich>
      </c:tx>
      <c:layout/>
      <c:overlay val="false"/>
      <c:spPr>
        <a:noFill/>
        <a:ln>
          <a:noFill/>
        </a:ln>
        <a:effectLst/>
      </c:spPr>
    </c:title>
    <c:autoTitleDeleted val="false"/>
    <c:plotArea>
      <c:layout/>
      <c:barChart>
        <c:barDir val="col"/>
        <c:grouping val="clustered"/>
        <c:varyColors val="false"/>
        <c:ser>
          <c:idx val="0"/>
          <c:order val="0"/>
          <c:tx>
            <c:strRef>
              <c:f>Sheet1!$B$1</c:f>
              <c:strCache>
                <c:ptCount val="1"/>
                <c:pt idx="0">
                  <c:v>2023年</c:v>
                </c:pt>
              </c:strCache>
            </c:strRef>
          </c:tx>
          <c:spPr>
            <a:solidFill>
              <a:schemeClr val="accent1"/>
            </a:solidFill>
            <a:ln>
              <a:noFill/>
            </a:ln>
            <a:effectLst/>
          </c:spPr>
          <c:invertIfNegative val="false"/>
          <c:dLbls>
            <c:delete val="true"/>
          </c:dLbls>
          <c:cat>
            <c:strRef>
              <c:f>Sheet1!$A$2:$A$3</c:f>
              <c:strCache>
                <c:ptCount val="2"/>
                <c:pt idx="0">
                  <c:v>财政拨款收入</c:v>
                </c:pt>
                <c:pt idx="1">
                  <c:v>财政拨款支出</c:v>
                </c:pt>
              </c:strCache>
            </c:strRef>
          </c:cat>
          <c:val>
            <c:numRef>
              <c:f>Sheet1!$B$2:$B$3</c:f>
              <c:numCache>
                <c:formatCode>General</c:formatCode>
                <c:ptCount val="2"/>
                <c:pt idx="0">
                  <c:v>313.47</c:v>
                </c:pt>
                <c:pt idx="1">
                  <c:v>313.47</c:v>
                </c:pt>
              </c:numCache>
            </c:numRef>
          </c:val>
        </c:ser>
        <c:ser>
          <c:idx val="1"/>
          <c:order val="1"/>
          <c:tx>
            <c:strRef>
              <c:f>Sheet1!$C$1</c:f>
              <c:strCache>
                <c:ptCount val="1"/>
                <c:pt idx="0">
                  <c:v>2024年</c:v>
                </c:pt>
              </c:strCache>
            </c:strRef>
          </c:tx>
          <c:spPr>
            <a:solidFill>
              <a:schemeClr val="accent2"/>
            </a:solidFill>
            <a:ln>
              <a:noFill/>
            </a:ln>
            <a:effectLst/>
          </c:spPr>
          <c:invertIfNegative val="false"/>
          <c:dLbls>
            <c:delete val="true"/>
          </c:dLbls>
          <c:cat>
            <c:strRef>
              <c:f>Sheet1!$A$2:$A$3</c:f>
              <c:strCache>
                <c:ptCount val="2"/>
                <c:pt idx="0">
                  <c:v>财政拨款收入</c:v>
                </c:pt>
                <c:pt idx="1">
                  <c:v>财政拨款支出</c:v>
                </c:pt>
              </c:strCache>
            </c:strRef>
          </c:cat>
          <c:val>
            <c:numRef>
              <c:f>Sheet1!$C$2:$C$3</c:f>
              <c:numCache>
                <c:formatCode>General</c:formatCode>
                <c:ptCount val="2"/>
                <c:pt idx="0">
                  <c:v>277.9</c:v>
                </c:pt>
                <c:pt idx="1">
                  <c:v>277.9</c:v>
                </c:pt>
              </c:numCache>
            </c:numRef>
          </c:val>
        </c:ser>
        <c:dLbls>
          <c:showLegendKey val="false"/>
          <c:showVal val="false"/>
          <c:showCatName val="false"/>
          <c:showSerName val="false"/>
          <c:showPercent val="false"/>
          <c:showBubbleSize val="false"/>
        </c:dLbls>
        <c:gapWidth val="246"/>
        <c:overlap val="-28"/>
        <c:axId val="352175214"/>
        <c:axId val="297981380"/>
      </c:barChart>
      <c:catAx>
        <c:axId val="35217521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297981380"/>
        <c:crosses val="autoZero"/>
        <c:auto val="true"/>
        <c:lblAlgn val="ctr"/>
        <c:lblOffset val="100"/>
        <c:noMultiLvlLbl val="false"/>
      </c:catAx>
      <c:valAx>
        <c:axId val="297981380"/>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35217521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一般公共预算财政拨款支出决算变动情况</a:t>
            </a:r>
          </a:p>
        </c:rich>
      </c:tx>
      <c:layout/>
      <c:overlay val="false"/>
      <c:spPr>
        <a:noFill/>
        <a:ln>
          <a:noFill/>
        </a:ln>
        <a:effectLst/>
      </c:spPr>
    </c:title>
    <c:autoTitleDeleted val="false"/>
    <c:plotArea>
      <c:layout>
        <c:manualLayout>
          <c:layoutTarget val="inner"/>
          <c:xMode val="edge"/>
          <c:yMode val="edge"/>
          <c:x val="0.0607545702061455"/>
          <c:y val="0.121052631578947"/>
          <c:w val="0.908359507127325"/>
          <c:h val="0.63905652358691"/>
        </c:manualLayout>
      </c:layout>
      <c:barChart>
        <c:barDir val="col"/>
        <c:grouping val="clustered"/>
        <c:varyColors val="false"/>
        <c:ser>
          <c:idx val="0"/>
          <c:order val="0"/>
          <c:tx>
            <c:strRef>
              <c:f>Sheet1!$B$1</c:f>
              <c:strCache>
                <c:ptCount val="1"/>
                <c:pt idx="0">
                  <c:v>一般公共预算财政拨款支出</c:v>
                </c:pt>
              </c:strCache>
            </c:strRef>
          </c:tx>
          <c:spPr>
            <a:solidFill>
              <a:schemeClr val="accent1"/>
            </a:solidFill>
            <a:ln>
              <a:noFill/>
            </a:ln>
            <a:effectLst/>
          </c:spPr>
          <c:invertIfNegative val="false"/>
          <c:dLbls>
            <c:delete val="true"/>
          </c:dLbls>
          <c:cat>
            <c:strRef>
              <c:f>Sheet1!$A$2:$A$3</c:f>
              <c:strCache>
                <c:ptCount val="2"/>
                <c:pt idx="0">
                  <c:v>2023年</c:v>
                </c:pt>
                <c:pt idx="1">
                  <c:v>2024年</c:v>
                </c:pt>
              </c:strCache>
            </c:strRef>
          </c:cat>
          <c:val>
            <c:numRef>
              <c:f>Sheet1!$B$2:$B$3</c:f>
              <c:numCache>
                <c:formatCode>General</c:formatCode>
                <c:ptCount val="2"/>
                <c:pt idx="0">
                  <c:v>313.47</c:v>
                </c:pt>
                <c:pt idx="1">
                  <c:v>277.9</c:v>
                </c:pt>
              </c:numCache>
            </c:numRef>
          </c:val>
        </c:ser>
        <c:dLbls>
          <c:showLegendKey val="false"/>
          <c:showVal val="false"/>
          <c:showCatName val="false"/>
          <c:showSerName val="false"/>
          <c:showPercent val="false"/>
          <c:showBubbleSize val="false"/>
        </c:dLbls>
        <c:gapWidth val="246"/>
        <c:overlap val="-28"/>
        <c:axId val="636125694"/>
        <c:axId val="928498508"/>
      </c:barChart>
      <c:catAx>
        <c:axId val="636125694"/>
        <c:scaling>
          <c:orientation val="minMax"/>
        </c:scaling>
        <c:delete val="false"/>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928498508"/>
        <c:crosses val="autoZero"/>
        <c:auto val="true"/>
        <c:lblAlgn val="ctr"/>
        <c:lblOffset val="100"/>
        <c:noMultiLvlLbl val="false"/>
      </c:catAx>
      <c:valAx>
        <c:axId val="928498508"/>
        <c:scaling>
          <c:orientation val="minMax"/>
        </c:scaling>
        <c:delete val="false"/>
        <c:axPos val="l"/>
        <c:majorGridlines>
          <c:spPr>
            <a:ln w="9525" cap="flat" cmpd="sng" algn="ctr">
              <a:solidFill>
                <a:schemeClr val="lt1">
                  <a:lumMod val="90200"/>
                </a:schemeClr>
              </a:solidFill>
              <a:round/>
            </a:ln>
            <a:effectLst/>
          </c:spPr>
        </c:majorGridlines>
        <c:numFmt formatCode="General" sourceLinked="true"/>
        <c:majorTickMark val="none"/>
        <c:minorTickMark val="none"/>
        <c:tickLblPos val="nextTo"/>
        <c:spPr>
          <a:noFill/>
          <a:ln>
            <a:noFill/>
          </a:ln>
          <a:effectLst/>
        </c:spPr>
        <c:txPr>
          <a:bodyPr rot="-6000000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crossAx val="636125694"/>
        <c:crosses val="autoZero"/>
        <c:crossBetween val="between"/>
      </c:valAx>
      <c:spPr>
        <a:noFill/>
        <a:ln>
          <a:noFill/>
        </a:ln>
        <a:effectLst/>
      </c:spPr>
    </c:plotArea>
    <c:legend>
      <c:legendPos val="b"/>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false"/>
  <c:lang val="zh-CN"/>
  <c:roundedCorners val="false"/>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true"/>
          <a:lstStyle/>
          <a:p>
            <a:pPr defTabSz="914400">
              <a:defRPr lang="zh-CN" sz="1400" b="1" i="0" u="none" strike="noStrike" kern="1200" baseline="0">
                <a:solidFill>
                  <a:schemeClr val="tx1">
                    <a:lumMod val="75000"/>
                    <a:lumOff val="25000"/>
                  </a:schemeClr>
                </a:solidFill>
                <a:latin typeface="+mn-lt"/>
                <a:ea typeface="+mn-ea"/>
                <a:cs typeface="+mn-cs"/>
              </a:defRPr>
            </a:pPr>
            <a:r>
              <a:t>一般公共预算财政拨款支出决算结构</a:t>
            </a:r>
          </a:p>
        </c:rich>
      </c:tx>
      <c:layout/>
      <c:overlay val="false"/>
      <c:spPr>
        <a:noFill/>
        <a:ln>
          <a:noFill/>
        </a:ln>
        <a:effectLst/>
      </c:spPr>
    </c:title>
    <c:autoTitleDeleted val="false"/>
    <c:plotArea>
      <c:layout/>
      <c:pieChart>
        <c:varyColors val="true"/>
        <c:ser>
          <c:idx val="0"/>
          <c:order val="0"/>
          <c:tx>
            <c:strRef>
              <c:f>Sheet1!$B$1</c:f>
              <c:strCache>
                <c:ptCount val="1"/>
                <c:pt idx="0">
                  <c:v>销售额</c:v>
                </c:pt>
              </c:strCache>
            </c:strRef>
          </c:tx>
          <c:spPr/>
          <c:explosion val="0"/>
          <c:dPt>
            <c:idx val="0"/>
            <c:bubble3D val="false"/>
            <c:spPr>
              <a:solidFill>
                <a:schemeClr val="accent1"/>
              </a:solidFill>
              <a:ln>
                <a:solidFill>
                  <a:schemeClr val="bg1"/>
                </a:solidFill>
              </a:ln>
              <a:effectLst/>
            </c:spPr>
          </c:dPt>
          <c:dPt>
            <c:idx val="1"/>
            <c:bubble3D val="false"/>
            <c:spPr>
              <a:solidFill>
                <a:schemeClr val="accent2"/>
              </a:solidFill>
              <a:ln>
                <a:solidFill>
                  <a:schemeClr val="bg1"/>
                </a:solidFill>
              </a:ln>
              <a:effectLst/>
            </c:spPr>
          </c:dPt>
          <c:dPt>
            <c:idx val="2"/>
            <c:bubble3D val="false"/>
            <c:spPr>
              <a:solidFill>
                <a:schemeClr val="accent3"/>
              </a:solidFill>
              <a:ln>
                <a:solidFill>
                  <a:schemeClr val="bg1"/>
                </a:solidFill>
              </a:ln>
              <a:effectLst/>
            </c:spPr>
          </c:dPt>
          <c:dPt>
            <c:idx val="3"/>
            <c:bubble3D val="false"/>
            <c:spPr>
              <a:solidFill>
                <a:schemeClr val="accent4"/>
              </a:solidFill>
              <a:ln>
                <a:solidFill>
                  <a:schemeClr val="bg1"/>
                </a:solidFill>
              </a:ln>
              <a:effectLst/>
            </c:spPr>
          </c:dPt>
          <c:dLbls>
            <c:delete val="true"/>
          </c:dLbls>
          <c:cat>
            <c:strRef>
              <c:f>Sheet1!$A$2:$A$5</c:f>
              <c:strCache>
                <c:ptCount val="4"/>
                <c:pt idx="0">
                  <c:v>教育支出</c:v>
                </c:pt>
                <c:pt idx="1">
                  <c:v>社会保障和就业支出</c:v>
                </c:pt>
                <c:pt idx="2">
                  <c:v>卫生健康支出</c:v>
                </c:pt>
                <c:pt idx="3">
                  <c:v>住房保障支出</c:v>
                </c:pt>
              </c:strCache>
            </c:strRef>
          </c:cat>
          <c:val>
            <c:numRef>
              <c:f>Sheet1!$B$2:$B$5</c:f>
              <c:numCache>
                <c:formatCode>General</c:formatCode>
                <c:ptCount val="4"/>
                <c:pt idx="0">
                  <c:v>198.34</c:v>
                </c:pt>
                <c:pt idx="1">
                  <c:v>39.25</c:v>
                </c:pt>
                <c:pt idx="2">
                  <c:v>19.32</c:v>
                </c:pt>
                <c:pt idx="3">
                  <c:v>20.99</c:v>
                </c:pt>
              </c:numCache>
            </c:numRef>
          </c:val>
        </c:ser>
        <c:dLbls>
          <c:showLegendKey val="false"/>
          <c:showVal val="false"/>
          <c:showCatName val="false"/>
          <c:showSerName val="false"/>
          <c:showPercent val="false"/>
          <c:showBubbleSize val="false"/>
          <c:showLeaderLines val="true"/>
        </c:dLbls>
        <c:firstSliceAng val="0"/>
      </c:pieChart>
      <c:spPr>
        <a:noFill/>
        <a:ln>
          <a:noFill/>
        </a:ln>
        <a:effectLst/>
      </c:spPr>
    </c:plotArea>
    <c:legend>
      <c:legendPos val="t"/>
      <c:layout/>
      <c:overlay val="false"/>
      <c:spPr>
        <a:noFill/>
        <a:ln>
          <a:noFill/>
        </a:ln>
        <a:effectLst/>
      </c:spPr>
      <c:txPr>
        <a:bodyPr rot="0" spcFirstLastPara="0" vertOverflow="ellipsis" vert="horz" wrap="square" anchor="ctr" anchorCtr="true"/>
        <a:lstStyle/>
        <a:p>
          <a:pPr>
            <a:defRPr lang="zh-CN" sz="900" b="0" i="0" u="none" strike="noStrike" kern="1200" baseline="0">
              <a:solidFill>
                <a:schemeClr val="tx1">
                  <a:lumMod val="65000"/>
                  <a:lumOff val="35000"/>
                </a:schemeClr>
              </a:solidFill>
              <a:latin typeface="+mn-lt"/>
              <a:ea typeface="+mn-ea"/>
              <a:cs typeface="+mn-cs"/>
            </a:defRPr>
          </a:pPr>
        </a:p>
      </c:txPr>
    </c:legend>
    <c:plotVisOnly val="true"/>
    <c:dispBlanksAs val="gap"/>
    <c:showDLblsOverMax val="false"/>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false"/>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true">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3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四川省财政厅</Company>
  <Pages>17</Pages>
  <Words>4299</Words>
  <Characters>4656</Characters>
  <Lines>61</Lines>
  <Paragraphs>17</Paragraphs>
  <TotalTime>11</TotalTime>
  <ScaleCrop>false</ScaleCrop>
  <LinksUpToDate>false</LinksUpToDate>
  <CharactersWithSpaces>4706</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2020-08-10T17:49:00Z</dcterms:created>
  <dc:creator>曹颖</dc:creator>
  <cp:lastModifiedBy>user</cp:lastModifiedBy>
  <cp:lastPrinted>2025-09-06T01:17:00Z</cp:lastPrinted>
  <dcterms:modified xsi:type="dcterms:W3CDTF">2025-09-10T09:08:01Z</dcterms:modified>
  <dc:title>四川省***</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A6331169C2714EA2AD9EDA5D027E9430_13</vt:lpwstr>
  </property>
  <property fmtid="{D5CDD505-2E9C-101B-9397-08002B2CF9AE}" pid="4" name="KSOTemplateDocerSaveRecord">
    <vt:lpwstr>eyJoZGlkIjoiYmJlYWRkYmE1YzM0MTQ4ODE4NzVhZmI0NGU1MzBmYTIifQ==</vt:lpwstr>
  </property>
</Properties>
</file>