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Times New Roman" w:hAnsi="Times New Roman"/>
        </w:rPr>
      </w:pPr>
      <w:bookmarkStart w:id="0" w:name="_Toc15377193"/>
      <w:bookmarkStart w:id="1" w:name="_Toc15396475"/>
      <w:bookmarkStart w:id="2" w:name="_Toc15377425"/>
      <w:bookmarkStart w:id="3" w:name="_Toc15378441"/>
      <w:bookmarkStart w:id="4" w:name="_Toc15396597"/>
      <w:bookmarkStart w:id="5" w:name="_Toc15306267"/>
    </w:p>
    <w:p>
      <w:pPr>
        <w:pStyle w:val="5"/>
        <w:jc w:val="center"/>
        <w:rPr>
          <w:rFonts w:hint="eastAsia" w:ascii="Times New Roman" w:hAnsi="Times New Roman" w:eastAsia="方正小标宋简体" w:cs="Times New Roman"/>
          <w:color w:val="auto"/>
          <w:kern w:val="2"/>
          <w:sz w:val="44"/>
          <w:szCs w:val="44"/>
          <w:highlight w:val="none"/>
          <w:lang w:val="en-US" w:eastAsia="zh-CN" w:bidi="ar-SA"/>
        </w:rPr>
      </w:pPr>
    </w:p>
    <w:p>
      <w:pPr>
        <w:pStyle w:val="5"/>
        <w:jc w:val="center"/>
        <w:rPr>
          <w:rFonts w:hint="eastAsia" w:ascii="Times New Roman" w:hAnsi="Times New Roman" w:eastAsia="方正小标宋简体" w:cs="Times New Roman"/>
          <w:color w:val="auto"/>
          <w:kern w:val="2"/>
          <w:sz w:val="44"/>
          <w:szCs w:val="44"/>
          <w:highlight w:val="none"/>
          <w:lang w:val="en-US" w:eastAsia="zh-CN" w:bidi="ar-SA"/>
        </w:rPr>
      </w:pPr>
    </w:p>
    <w:p>
      <w:pPr>
        <w:pStyle w:val="5"/>
        <w:jc w:val="center"/>
        <w:rPr>
          <w:rFonts w:hint="eastAsia" w:ascii="Times New Roman" w:hAnsi="Times New Roman" w:eastAsia="方正小标宋简体" w:cs="Times New Roman"/>
          <w:color w:val="auto"/>
          <w:kern w:val="2"/>
          <w:sz w:val="44"/>
          <w:szCs w:val="44"/>
          <w:highlight w:val="none"/>
          <w:lang w:val="en-US" w:eastAsia="zh-CN" w:bidi="ar-SA"/>
        </w:rPr>
      </w:pPr>
    </w:p>
    <w:p>
      <w:pPr>
        <w:pStyle w:val="5"/>
        <w:jc w:val="center"/>
        <w:rPr>
          <w:rFonts w:hint="eastAsia" w:ascii="Times New Roman" w:hAnsi="Times New Roman" w:eastAsia="方正小标宋简体" w:cs="Times New Roman"/>
          <w:color w:val="auto"/>
          <w:kern w:val="2"/>
          <w:sz w:val="44"/>
          <w:szCs w:val="44"/>
          <w:highlight w:val="none"/>
          <w:lang w:val="en-US" w:eastAsia="zh-CN" w:bidi="ar-SA"/>
        </w:rPr>
      </w:pPr>
    </w:p>
    <w:bookmarkEnd w:id="0"/>
    <w:bookmarkEnd w:id="1"/>
    <w:bookmarkEnd w:id="2"/>
    <w:bookmarkEnd w:id="3"/>
    <w:bookmarkEnd w:id="4"/>
    <w:p>
      <w:pPr>
        <w:pStyle w:val="5"/>
        <w:jc w:val="center"/>
        <w:rPr>
          <w:rFonts w:hint="eastAsia" w:ascii="Times New Roman" w:eastAsia="方正小标宋简体" w:cs="Times New Roman"/>
          <w:color w:val="auto"/>
          <w:kern w:val="2"/>
          <w:sz w:val="44"/>
          <w:szCs w:val="44"/>
          <w:highlight w:val="none"/>
          <w:lang w:val="en-US" w:eastAsia="zh-CN" w:bidi="ar-SA"/>
        </w:rPr>
      </w:pPr>
      <w:bookmarkStart w:id="6" w:name="_Toc15377426"/>
      <w:bookmarkStart w:id="7" w:name="_Toc15396598"/>
      <w:bookmarkStart w:id="8" w:name="_Toc15396476"/>
      <w:bookmarkStart w:id="9" w:name="_Toc15377194"/>
      <w:bookmarkStart w:id="10" w:name="_Toc15378442"/>
      <w:r>
        <w:rPr>
          <w:rFonts w:hint="eastAsia" w:ascii="Times New Roman" w:hAnsi="Times New Roman" w:eastAsia="方正小标宋简体" w:cs="Times New Roman"/>
          <w:color w:val="auto"/>
          <w:kern w:val="2"/>
          <w:sz w:val="44"/>
          <w:szCs w:val="44"/>
          <w:highlight w:val="none"/>
          <w:lang w:val="en-US" w:eastAsia="zh-CN" w:bidi="ar-SA"/>
        </w:rPr>
        <w:t>2024年度四川省</w:t>
      </w:r>
      <w:bookmarkEnd w:id="5"/>
      <w:bookmarkStart w:id="11" w:name="_Toc15306268"/>
      <w:r>
        <w:rPr>
          <w:rFonts w:hint="eastAsia" w:ascii="Times New Roman" w:eastAsia="方正小标宋简体" w:cs="Times New Roman"/>
          <w:color w:val="auto"/>
          <w:kern w:val="2"/>
          <w:sz w:val="44"/>
          <w:szCs w:val="44"/>
          <w:highlight w:val="none"/>
          <w:lang w:val="en-US" w:eastAsia="zh-CN" w:bidi="ar-SA"/>
        </w:rPr>
        <w:t>酒业研究和发展中心</w:t>
      </w:r>
    </w:p>
    <w:p>
      <w:pPr>
        <w:pStyle w:val="5"/>
        <w:jc w:val="center"/>
        <w:rPr>
          <w:rFonts w:hint="eastAsia" w:ascii="Times New Roman" w:hAnsi="Times New Roman" w:eastAsia="方正小标宋简体" w:cs="Times New Roman"/>
          <w:color w:val="auto"/>
          <w:kern w:val="2"/>
          <w:sz w:val="44"/>
          <w:szCs w:val="44"/>
          <w:highlight w:val="none"/>
          <w:lang w:val="en-US" w:eastAsia="zh-CN" w:bidi="ar-SA"/>
        </w:rPr>
      </w:pPr>
      <w:r>
        <w:rPr>
          <w:rFonts w:hint="eastAsia" w:ascii="Times New Roman" w:eastAsia="方正小标宋简体" w:cs="Times New Roman"/>
          <w:color w:val="auto"/>
          <w:kern w:val="2"/>
          <w:sz w:val="44"/>
          <w:szCs w:val="44"/>
          <w:highlight w:val="none"/>
          <w:lang w:val="en-US" w:eastAsia="zh-CN" w:bidi="ar-SA"/>
        </w:rPr>
        <w:t>单位</w:t>
      </w:r>
      <w:r>
        <w:rPr>
          <w:rFonts w:hint="eastAsia" w:ascii="Times New Roman" w:hAnsi="Times New Roman" w:eastAsia="方正小标宋简体" w:cs="Times New Roman"/>
          <w:color w:val="auto"/>
          <w:kern w:val="2"/>
          <w:sz w:val="44"/>
          <w:szCs w:val="44"/>
          <w:highlight w:val="none"/>
          <w:lang w:val="en-US" w:eastAsia="zh-CN" w:bidi="ar-SA"/>
        </w:rPr>
        <w:t>决算</w:t>
      </w:r>
      <w:bookmarkEnd w:id="6"/>
      <w:bookmarkEnd w:id="7"/>
      <w:bookmarkEnd w:id="8"/>
      <w:bookmarkEnd w:id="9"/>
      <w:bookmarkEnd w:id="10"/>
      <w:bookmarkEnd w:id="11"/>
    </w:p>
    <w:p>
      <w:pPr>
        <w:widowControl/>
        <w:jc w:val="center"/>
        <w:rPr>
          <w:rFonts w:ascii="Times New Roman" w:hAnsi="Times New Roman" w:eastAsia="黑体"/>
          <w:color w:val="auto"/>
          <w:sz w:val="48"/>
          <w:szCs w:val="48"/>
          <w:highlight w:val="none"/>
        </w:rPr>
      </w:pPr>
      <w:r>
        <w:rPr>
          <w:rFonts w:ascii="Times New Roman" w:hAnsi="Times New Roman" w:eastAsia="方正小标宋简体"/>
          <w:color w:val="auto"/>
          <w:sz w:val="36"/>
          <w:szCs w:val="36"/>
          <w:highlight w:val="none"/>
        </w:rPr>
        <w:br w:type="page"/>
      </w:r>
      <w:r>
        <w:rPr>
          <w:rFonts w:hint="eastAsia" w:ascii="方正小标宋_GBK" w:hAnsi="方正小标宋_GBK" w:eastAsia="方正小标宋_GBK" w:cs="方正小标宋_GBK"/>
          <w:color w:val="auto"/>
          <w:sz w:val="48"/>
          <w:szCs w:val="48"/>
          <w:highlight w:val="none"/>
        </w:rPr>
        <w:t>目</w:t>
      </w:r>
      <w:r>
        <w:rPr>
          <w:rFonts w:hint="eastAsia" w:ascii="方正小标宋_GBK" w:hAnsi="方正小标宋_GBK" w:eastAsia="方正小标宋_GBK" w:cs="方正小标宋_GBK"/>
          <w:color w:val="auto"/>
          <w:sz w:val="48"/>
          <w:szCs w:val="48"/>
          <w:highlight w:val="none"/>
          <w:lang w:val="en-US" w:eastAsia="zh-CN"/>
        </w:rPr>
        <w:t xml:space="preserve">  </w:t>
      </w:r>
      <w:r>
        <w:rPr>
          <w:rFonts w:hint="eastAsia" w:ascii="方正小标宋_GBK" w:hAnsi="方正小标宋_GBK" w:eastAsia="方正小标宋_GBK" w:cs="方正小标宋_GBK"/>
          <w:color w:val="auto"/>
          <w:sz w:val="48"/>
          <w:szCs w:val="48"/>
          <w:highlight w:val="none"/>
        </w:rPr>
        <w:t>录</w:t>
      </w:r>
    </w:p>
    <w:p>
      <w:pPr>
        <w:pStyle w:val="12"/>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公开时间：20</w:t>
      </w:r>
      <w:r>
        <w:rPr>
          <w:rFonts w:hint="eastAsia" w:ascii="Times New Roman" w:hAnsi="Times New Roman" w:eastAsia="仿宋_GB2312" w:cs="仿宋_GB2312"/>
          <w:color w:val="auto"/>
          <w:sz w:val="32"/>
          <w:szCs w:val="32"/>
          <w:highlight w:val="none"/>
          <w:lang w:val="en-US" w:eastAsia="zh-CN"/>
        </w:rPr>
        <w:t>25</w:t>
      </w:r>
      <w:r>
        <w:rPr>
          <w:rFonts w:hint="eastAsia" w:ascii="Times New Roman" w:hAnsi="Times New Roman" w:eastAsia="仿宋_GB2312" w:cs="仿宋_GB2312"/>
          <w:color w:val="auto"/>
          <w:sz w:val="32"/>
          <w:szCs w:val="32"/>
          <w:highlight w:val="none"/>
        </w:rPr>
        <w:t>年</w:t>
      </w:r>
      <w:r>
        <w:rPr>
          <w:rFonts w:hint="eastAsia" w:ascii="Times New Roman" w:hAnsi="Times New Roman" w:eastAsia="仿宋_GB2312" w:cs="仿宋_GB2312"/>
          <w:color w:val="auto"/>
          <w:sz w:val="32"/>
          <w:szCs w:val="32"/>
          <w:highlight w:val="none"/>
          <w:lang w:val="en-US" w:eastAsia="zh-CN"/>
        </w:rPr>
        <w:t>9</w:t>
      </w:r>
      <w:r>
        <w:rPr>
          <w:rFonts w:hint="eastAsia" w:ascii="Times New Roman" w:hAnsi="Times New Roman" w:eastAsia="仿宋_GB2312" w:cs="仿宋_GB2312"/>
          <w:color w:val="auto"/>
          <w:sz w:val="32"/>
          <w:szCs w:val="32"/>
          <w:highlight w:val="none"/>
        </w:rPr>
        <w:t>月</w:t>
      </w:r>
      <w:r>
        <w:rPr>
          <w:rFonts w:hint="eastAsia" w:ascii="Times New Roman" w:hAnsi="Times New Roman" w:eastAsia="仿宋_GB2312" w:cs="仿宋_GB2312"/>
          <w:color w:val="auto"/>
          <w:sz w:val="32"/>
          <w:szCs w:val="32"/>
          <w:highlight w:val="none"/>
          <w:lang w:val="en-US" w:eastAsia="zh-CN"/>
        </w:rPr>
        <w:t>12</w:t>
      </w:r>
      <w:r>
        <w:rPr>
          <w:rFonts w:hint="eastAsia" w:ascii="Times New Roman" w:hAnsi="Times New Roman" w:eastAsia="仿宋_GB2312" w:cs="仿宋_GB2312"/>
          <w:color w:val="auto"/>
          <w:sz w:val="32"/>
          <w:szCs w:val="32"/>
          <w:highlight w:val="none"/>
        </w:rPr>
        <w:t>日</w:t>
      </w:r>
    </w:p>
    <w:sdt>
      <w:sdtPr>
        <w:rPr>
          <w:rFonts w:ascii="宋体" w:hAnsi="宋体" w:eastAsia="宋体" w:cs="Times New Roman"/>
          <w:kern w:val="2"/>
          <w:sz w:val="21"/>
          <w:szCs w:val="24"/>
          <w:lang w:val="en-US" w:eastAsia="zh-CN" w:bidi="ar-SA"/>
        </w:rPr>
        <w:id w:val="102607743"/>
        <w15:color w:val="DBDBDB"/>
        <w:docPartObj>
          <w:docPartGallery w:val="Table of Contents"/>
          <w:docPartUnique/>
        </w:docPartObj>
      </w:sdtPr>
      <w:sdtEndPr>
        <w:rPr>
          <w:rFonts w:ascii="宋体" w:hAnsi="宋体" w:eastAsia="宋体" w:cs="Times New Roman"/>
          <w:b/>
          <w:kern w:val="2"/>
          <w:sz w:val="21"/>
          <w:szCs w:val="24"/>
          <w:lang w:val="en-US" w:eastAsia="zh-CN" w:bidi="ar-SA"/>
        </w:rPr>
      </w:sdtEndPr>
      <w:sdtContent>
        <w:p>
          <w:pPr>
            <w:spacing w:before="0" w:beforeLines="0" w:after="0" w:afterLines="0" w:line="240" w:lineRule="auto"/>
            <w:ind w:left="0" w:leftChars="0" w:right="0" w:rightChars="0" w:firstLine="0" w:firstLineChars="0"/>
            <w:jc w:val="center"/>
          </w:pPr>
          <w:bookmarkStart w:id="84" w:name="_GoBack"/>
          <w:bookmarkEnd w:id="84"/>
        </w:p>
        <w:p>
          <w:pPr>
            <w:pStyle w:val="12"/>
            <w:tabs>
              <w:tab w:val="right" w:leader="dot" w:pos="8306"/>
              <w:tab w:val="clear" w:pos="8296"/>
            </w:tabs>
            <w:rPr>
              <w:rFonts w:hint="default" w:ascii="Times New Roman" w:hAnsi="Times New Roman" w:eastAsia="黑体" w:cs="Times New Roman"/>
              <w:sz w:val="28"/>
              <w:szCs w:val="28"/>
            </w:rPr>
          </w:pPr>
          <w:r>
            <w:rPr>
              <w:highlight w:val="none"/>
            </w:rPr>
            <w:fldChar w:fldCharType="begin"/>
          </w:r>
          <w:r>
            <w:rPr>
              <w:highlight w:val="none"/>
            </w:rPr>
            <w:instrText xml:space="preserve">TOC \o "1-2" \h \u </w:instrText>
          </w:r>
          <w:r>
            <w:rPr>
              <w:highlight w:val="none"/>
            </w:rPr>
            <w:fldChar w:fldCharType="separate"/>
          </w:r>
          <w:r>
            <w:rPr>
              <w:rFonts w:hint="default" w:ascii="Times New Roman" w:hAnsi="Times New Roman" w:eastAsia="黑体" w:cs="Times New Roman"/>
              <w:sz w:val="28"/>
              <w:szCs w:val="28"/>
              <w:highlight w:val="none"/>
            </w:rPr>
            <w:fldChar w:fldCharType="begin"/>
          </w:r>
          <w:r>
            <w:rPr>
              <w:rFonts w:hint="default" w:ascii="Times New Roman" w:hAnsi="Times New Roman" w:eastAsia="黑体" w:cs="Times New Roman"/>
              <w:sz w:val="28"/>
              <w:szCs w:val="28"/>
              <w:highlight w:val="none"/>
            </w:rPr>
            <w:instrText xml:space="preserve"> HYPERLINK \l _Toc1204306971 </w:instrText>
          </w:r>
          <w:r>
            <w:rPr>
              <w:rFonts w:hint="default" w:ascii="Times New Roman" w:hAnsi="Times New Roman" w:eastAsia="黑体" w:cs="Times New Roman"/>
              <w:sz w:val="28"/>
              <w:szCs w:val="28"/>
              <w:highlight w:val="none"/>
            </w:rPr>
            <w:fldChar w:fldCharType="separate"/>
          </w:r>
          <w:r>
            <w:rPr>
              <w:rFonts w:hint="default" w:ascii="Times New Roman" w:hAnsi="Times New Roman" w:eastAsia="黑体" w:cs="Times New Roman"/>
              <w:sz w:val="28"/>
              <w:szCs w:val="28"/>
            </w:rPr>
            <w:t>第一部分 部门概况</w:t>
          </w:r>
          <w:r>
            <w:rPr>
              <w:rFonts w:hint="default" w:ascii="Times New Roman" w:hAnsi="Times New Roman" w:eastAsia="黑体" w:cs="Times New Roman"/>
              <w:sz w:val="28"/>
              <w:szCs w:val="28"/>
            </w:rPr>
            <w:tab/>
          </w:r>
          <w:r>
            <w:rPr>
              <w:rFonts w:hint="default" w:ascii="Times New Roman" w:hAnsi="Times New Roman" w:eastAsia="黑体" w:cs="Times New Roman"/>
              <w:sz w:val="28"/>
              <w:szCs w:val="28"/>
            </w:rPr>
            <w:fldChar w:fldCharType="begin"/>
          </w:r>
          <w:r>
            <w:rPr>
              <w:rFonts w:hint="default" w:ascii="Times New Roman" w:hAnsi="Times New Roman" w:eastAsia="黑体" w:cs="Times New Roman"/>
              <w:sz w:val="28"/>
              <w:szCs w:val="28"/>
            </w:rPr>
            <w:instrText xml:space="preserve"> PAGEREF _Toc1204306971 \h </w:instrText>
          </w:r>
          <w:r>
            <w:rPr>
              <w:rFonts w:hint="default" w:ascii="Times New Roman" w:hAnsi="Times New Roman" w:eastAsia="黑体" w:cs="Times New Roman"/>
              <w:sz w:val="28"/>
              <w:szCs w:val="28"/>
            </w:rPr>
            <w:fldChar w:fldCharType="separate"/>
          </w:r>
          <w:r>
            <w:rPr>
              <w:rFonts w:hint="default" w:ascii="Times New Roman" w:hAnsi="Times New Roman" w:eastAsia="黑体" w:cs="Times New Roman"/>
              <w:sz w:val="28"/>
              <w:szCs w:val="28"/>
            </w:rPr>
            <w:t>1</w:t>
          </w:r>
          <w:r>
            <w:rPr>
              <w:rFonts w:hint="default" w:ascii="Times New Roman" w:hAnsi="Times New Roman" w:eastAsia="黑体" w:cs="Times New Roman"/>
              <w:sz w:val="28"/>
              <w:szCs w:val="28"/>
            </w:rPr>
            <w:fldChar w:fldCharType="end"/>
          </w:r>
          <w:r>
            <w:rPr>
              <w:rFonts w:hint="default" w:ascii="Times New Roman" w:hAnsi="Times New Roman" w:eastAsia="黑体" w:cs="Times New Roman"/>
              <w:sz w:val="28"/>
              <w:szCs w:val="28"/>
              <w:highlight w:val="none"/>
            </w:rPr>
            <w:fldChar w:fldCharType="end"/>
          </w:r>
        </w:p>
        <w:p>
          <w:pPr>
            <w:pStyle w:val="14"/>
            <w:tabs>
              <w:tab w:val="right" w:leader="dot" w:pos="8306"/>
              <w:tab w:val="clear" w:pos="8296"/>
            </w:tabs>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highlight w:val="none"/>
            </w:rPr>
            <w:fldChar w:fldCharType="begin"/>
          </w:r>
          <w:r>
            <w:rPr>
              <w:rFonts w:hint="default" w:ascii="Times New Roman" w:hAnsi="Times New Roman" w:eastAsia="方正仿宋_GBK" w:cs="Times New Roman"/>
              <w:sz w:val="28"/>
              <w:szCs w:val="28"/>
              <w:highlight w:val="none"/>
            </w:rPr>
            <w:instrText xml:space="preserve"> HYPERLINK \l _Toc925041050 </w:instrText>
          </w:r>
          <w:r>
            <w:rPr>
              <w:rFonts w:hint="default" w:ascii="Times New Roman" w:hAnsi="Times New Roman" w:eastAsia="方正仿宋_GBK" w:cs="Times New Roman"/>
              <w:sz w:val="28"/>
              <w:szCs w:val="28"/>
              <w:highlight w:val="none"/>
            </w:rPr>
            <w:fldChar w:fldCharType="separate"/>
          </w:r>
          <w:r>
            <w:rPr>
              <w:rFonts w:hint="default" w:ascii="Times New Roman" w:hAnsi="Times New Roman" w:eastAsia="方正仿宋_GBK" w:cs="Times New Roman"/>
              <w:sz w:val="28"/>
              <w:szCs w:val="28"/>
              <w:lang w:eastAsia="zh-CN"/>
            </w:rPr>
            <w:t>一、部门职责</w:t>
          </w:r>
          <w:r>
            <w:rPr>
              <w:rFonts w:hint="default" w:ascii="Times New Roman" w:hAnsi="Times New Roman" w:eastAsia="方正仿宋_GBK" w:cs="Times New Roman"/>
              <w:sz w:val="28"/>
              <w:szCs w:val="28"/>
            </w:rPr>
            <w:tab/>
          </w:r>
          <w:r>
            <w:rPr>
              <w:rFonts w:hint="default" w:ascii="Times New Roman" w:hAnsi="Times New Roman" w:eastAsia="方正仿宋_GBK" w:cs="Times New Roman"/>
              <w:sz w:val="28"/>
              <w:szCs w:val="28"/>
            </w:rPr>
            <w:fldChar w:fldCharType="begin"/>
          </w:r>
          <w:r>
            <w:rPr>
              <w:rFonts w:hint="default" w:ascii="Times New Roman" w:hAnsi="Times New Roman" w:eastAsia="方正仿宋_GBK" w:cs="Times New Roman"/>
              <w:sz w:val="28"/>
              <w:szCs w:val="28"/>
            </w:rPr>
            <w:instrText xml:space="preserve"> PAGEREF _Toc925041050 \h </w:instrText>
          </w:r>
          <w:r>
            <w:rPr>
              <w:rFonts w:hint="default" w:ascii="Times New Roman" w:hAnsi="Times New Roman" w:eastAsia="方正仿宋_GBK" w:cs="Times New Roman"/>
              <w:sz w:val="28"/>
              <w:szCs w:val="28"/>
            </w:rPr>
            <w:fldChar w:fldCharType="separate"/>
          </w:r>
          <w:r>
            <w:rPr>
              <w:rFonts w:hint="default" w:ascii="Times New Roman" w:hAnsi="Times New Roman" w:eastAsia="方正仿宋_GBK" w:cs="Times New Roman"/>
              <w:sz w:val="28"/>
              <w:szCs w:val="28"/>
            </w:rPr>
            <w:t>1</w:t>
          </w:r>
          <w:r>
            <w:rPr>
              <w:rFonts w:hint="default" w:ascii="Times New Roman" w:hAnsi="Times New Roman" w:eastAsia="方正仿宋_GBK" w:cs="Times New Roman"/>
              <w:sz w:val="28"/>
              <w:szCs w:val="28"/>
            </w:rPr>
            <w:fldChar w:fldCharType="end"/>
          </w:r>
          <w:r>
            <w:rPr>
              <w:rFonts w:hint="default" w:ascii="Times New Roman" w:hAnsi="Times New Roman" w:eastAsia="方正仿宋_GBK" w:cs="Times New Roman"/>
              <w:sz w:val="28"/>
              <w:szCs w:val="28"/>
              <w:highlight w:val="none"/>
            </w:rPr>
            <w:fldChar w:fldCharType="end"/>
          </w:r>
        </w:p>
        <w:p>
          <w:pPr>
            <w:pStyle w:val="14"/>
            <w:tabs>
              <w:tab w:val="right" w:leader="dot" w:pos="8306"/>
              <w:tab w:val="clear" w:pos="8296"/>
            </w:tabs>
            <w:rPr>
              <w:rFonts w:hint="default" w:ascii="Times New Roman" w:hAnsi="Times New Roman" w:eastAsia="黑体" w:cs="Times New Roman"/>
              <w:sz w:val="28"/>
              <w:szCs w:val="28"/>
            </w:rPr>
          </w:pPr>
          <w:r>
            <w:rPr>
              <w:rFonts w:hint="default" w:ascii="Times New Roman" w:hAnsi="Times New Roman" w:eastAsia="方正仿宋_GBK" w:cs="Times New Roman"/>
              <w:sz w:val="28"/>
              <w:szCs w:val="28"/>
              <w:highlight w:val="none"/>
            </w:rPr>
            <w:fldChar w:fldCharType="begin"/>
          </w:r>
          <w:r>
            <w:rPr>
              <w:rFonts w:hint="default" w:ascii="Times New Roman" w:hAnsi="Times New Roman" w:eastAsia="方正仿宋_GBK" w:cs="Times New Roman"/>
              <w:sz w:val="28"/>
              <w:szCs w:val="28"/>
              <w:highlight w:val="none"/>
            </w:rPr>
            <w:instrText xml:space="preserve"> HYPERLINK \l _Toc1892848908 </w:instrText>
          </w:r>
          <w:r>
            <w:rPr>
              <w:rFonts w:hint="default" w:ascii="Times New Roman" w:hAnsi="Times New Roman" w:eastAsia="方正仿宋_GBK" w:cs="Times New Roman"/>
              <w:sz w:val="28"/>
              <w:szCs w:val="28"/>
              <w:highlight w:val="none"/>
            </w:rPr>
            <w:fldChar w:fldCharType="separate"/>
          </w:r>
          <w:r>
            <w:rPr>
              <w:rFonts w:hint="default" w:ascii="Times New Roman" w:hAnsi="Times New Roman" w:eastAsia="方正仿宋_GBK" w:cs="Times New Roman"/>
              <w:sz w:val="28"/>
              <w:szCs w:val="28"/>
              <w:lang w:eastAsia="zh-CN"/>
            </w:rPr>
            <w:t>二、机构设置</w:t>
          </w:r>
          <w:r>
            <w:rPr>
              <w:rFonts w:hint="default" w:ascii="Times New Roman" w:hAnsi="Times New Roman" w:eastAsia="方正仿宋_GBK" w:cs="Times New Roman"/>
              <w:sz w:val="28"/>
              <w:szCs w:val="28"/>
            </w:rPr>
            <w:tab/>
          </w:r>
          <w:r>
            <w:rPr>
              <w:rFonts w:hint="default" w:ascii="Times New Roman" w:hAnsi="Times New Roman" w:eastAsia="方正仿宋_GBK" w:cs="Times New Roman"/>
              <w:sz w:val="28"/>
              <w:szCs w:val="28"/>
            </w:rPr>
            <w:fldChar w:fldCharType="begin"/>
          </w:r>
          <w:r>
            <w:rPr>
              <w:rFonts w:hint="default" w:ascii="Times New Roman" w:hAnsi="Times New Roman" w:eastAsia="方正仿宋_GBK" w:cs="Times New Roman"/>
              <w:sz w:val="28"/>
              <w:szCs w:val="28"/>
            </w:rPr>
            <w:instrText xml:space="preserve"> PAGEREF _Toc1892848908 \h </w:instrText>
          </w:r>
          <w:r>
            <w:rPr>
              <w:rFonts w:hint="default" w:ascii="Times New Roman" w:hAnsi="Times New Roman" w:eastAsia="方正仿宋_GBK" w:cs="Times New Roman"/>
              <w:sz w:val="28"/>
              <w:szCs w:val="28"/>
            </w:rPr>
            <w:fldChar w:fldCharType="separate"/>
          </w:r>
          <w:r>
            <w:rPr>
              <w:rFonts w:hint="default" w:ascii="Times New Roman" w:hAnsi="Times New Roman" w:eastAsia="方正仿宋_GBK" w:cs="Times New Roman"/>
              <w:sz w:val="28"/>
              <w:szCs w:val="28"/>
            </w:rPr>
            <w:t>2</w:t>
          </w:r>
          <w:r>
            <w:rPr>
              <w:rFonts w:hint="default" w:ascii="Times New Roman" w:hAnsi="Times New Roman" w:eastAsia="方正仿宋_GBK" w:cs="Times New Roman"/>
              <w:sz w:val="28"/>
              <w:szCs w:val="28"/>
            </w:rPr>
            <w:fldChar w:fldCharType="end"/>
          </w:r>
          <w:r>
            <w:rPr>
              <w:rFonts w:hint="default" w:ascii="Times New Roman" w:hAnsi="Times New Roman" w:eastAsia="方正仿宋_GBK" w:cs="Times New Roman"/>
              <w:sz w:val="28"/>
              <w:szCs w:val="28"/>
              <w:highlight w:val="none"/>
            </w:rPr>
            <w:fldChar w:fldCharType="end"/>
          </w:r>
        </w:p>
        <w:p>
          <w:pPr>
            <w:pStyle w:val="12"/>
            <w:tabs>
              <w:tab w:val="right" w:leader="dot" w:pos="8306"/>
              <w:tab w:val="clear" w:pos="8296"/>
            </w:tabs>
            <w:rPr>
              <w:rFonts w:hint="default" w:ascii="Times New Roman" w:hAnsi="Times New Roman" w:eastAsia="黑体" w:cs="Times New Roman"/>
              <w:sz w:val="28"/>
              <w:szCs w:val="28"/>
            </w:rPr>
          </w:pPr>
          <w:r>
            <w:rPr>
              <w:rFonts w:hint="default" w:ascii="Times New Roman" w:hAnsi="Times New Roman" w:eastAsia="黑体" w:cs="Times New Roman"/>
              <w:sz w:val="28"/>
              <w:szCs w:val="28"/>
              <w:highlight w:val="none"/>
            </w:rPr>
            <w:fldChar w:fldCharType="begin"/>
          </w:r>
          <w:r>
            <w:rPr>
              <w:rFonts w:hint="default" w:ascii="Times New Roman" w:hAnsi="Times New Roman" w:eastAsia="黑体" w:cs="Times New Roman"/>
              <w:sz w:val="28"/>
              <w:szCs w:val="28"/>
              <w:highlight w:val="none"/>
            </w:rPr>
            <w:instrText xml:space="preserve"> HYPERLINK \l _Toc1281399994 </w:instrText>
          </w:r>
          <w:r>
            <w:rPr>
              <w:rFonts w:hint="default" w:ascii="Times New Roman" w:hAnsi="Times New Roman" w:eastAsia="黑体" w:cs="Times New Roman"/>
              <w:sz w:val="28"/>
              <w:szCs w:val="28"/>
              <w:highlight w:val="none"/>
            </w:rPr>
            <w:fldChar w:fldCharType="separate"/>
          </w:r>
          <w:r>
            <w:rPr>
              <w:rFonts w:hint="default" w:ascii="Times New Roman" w:hAnsi="Times New Roman" w:eastAsia="黑体" w:cs="Times New Roman"/>
              <w:sz w:val="28"/>
              <w:szCs w:val="28"/>
            </w:rPr>
            <w:t>第二部分</w:t>
          </w:r>
          <w:r>
            <w:rPr>
              <w:rFonts w:hint="default" w:ascii="Times New Roman" w:hAnsi="Times New Roman" w:eastAsia="黑体" w:cs="Times New Roman"/>
              <w:sz w:val="28"/>
              <w:szCs w:val="28"/>
              <w:lang w:val="en-US" w:eastAsia="zh-CN"/>
            </w:rPr>
            <w:t xml:space="preserve"> </w:t>
          </w:r>
          <w:r>
            <w:rPr>
              <w:rFonts w:hint="default" w:ascii="Times New Roman" w:hAnsi="Times New Roman" w:eastAsia="黑体" w:cs="Times New Roman"/>
              <w:sz w:val="28"/>
              <w:szCs w:val="28"/>
            </w:rPr>
            <w:t xml:space="preserve"> </w:t>
          </w:r>
          <w:r>
            <w:rPr>
              <w:rFonts w:hint="default" w:ascii="Times New Roman" w:hAnsi="Times New Roman" w:eastAsia="黑体" w:cs="Times New Roman"/>
              <w:sz w:val="28"/>
              <w:szCs w:val="28"/>
              <w:lang w:val="en-US" w:eastAsia="zh-CN"/>
            </w:rPr>
            <w:t>2024年度</w:t>
          </w:r>
          <w:r>
            <w:rPr>
              <w:rFonts w:hint="default" w:ascii="Times New Roman" w:hAnsi="Times New Roman" w:eastAsia="黑体" w:cs="Times New Roman"/>
              <w:sz w:val="28"/>
              <w:szCs w:val="28"/>
            </w:rPr>
            <w:t>部门决算情况说明</w:t>
          </w:r>
          <w:r>
            <w:rPr>
              <w:rFonts w:hint="default" w:ascii="Times New Roman" w:hAnsi="Times New Roman" w:eastAsia="黑体" w:cs="Times New Roman"/>
              <w:sz w:val="28"/>
              <w:szCs w:val="28"/>
            </w:rPr>
            <w:tab/>
          </w:r>
          <w:r>
            <w:rPr>
              <w:rFonts w:hint="default" w:ascii="Times New Roman" w:hAnsi="Times New Roman" w:eastAsia="黑体" w:cs="Times New Roman"/>
              <w:sz w:val="28"/>
              <w:szCs w:val="28"/>
            </w:rPr>
            <w:fldChar w:fldCharType="begin"/>
          </w:r>
          <w:r>
            <w:rPr>
              <w:rFonts w:hint="default" w:ascii="Times New Roman" w:hAnsi="Times New Roman" w:eastAsia="黑体" w:cs="Times New Roman"/>
              <w:sz w:val="28"/>
              <w:szCs w:val="28"/>
            </w:rPr>
            <w:instrText xml:space="preserve"> PAGEREF _Toc1281399994 \h </w:instrText>
          </w:r>
          <w:r>
            <w:rPr>
              <w:rFonts w:hint="default" w:ascii="Times New Roman" w:hAnsi="Times New Roman" w:eastAsia="黑体" w:cs="Times New Roman"/>
              <w:sz w:val="28"/>
              <w:szCs w:val="28"/>
            </w:rPr>
            <w:fldChar w:fldCharType="separate"/>
          </w:r>
          <w:r>
            <w:rPr>
              <w:rFonts w:hint="default" w:ascii="Times New Roman" w:hAnsi="Times New Roman" w:eastAsia="黑体" w:cs="Times New Roman"/>
              <w:sz w:val="28"/>
              <w:szCs w:val="28"/>
            </w:rPr>
            <w:t>3</w:t>
          </w:r>
          <w:r>
            <w:rPr>
              <w:rFonts w:hint="default" w:ascii="Times New Roman" w:hAnsi="Times New Roman" w:eastAsia="黑体" w:cs="Times New Roman"/>
              <w:sz w:val="28"/>
              <w:szCs w:val="28"/>
            </w:rPr>
            <w:fldChar w:fldCharType="end"/>
          </w:r>
          <w:r>
            <w:rPr>
              <w:rFonts w:hint="default" w:ascii="Times New Roman" w:hAnsi="Times New Roman" w:eastAsia="黑体" w:cs="Times New Roman"/>
              <w:sz w:val="28"/>
              <w:szCs w:val="28"/>
              <w:highlight w:val="none"/>
            </w:rPr>
            <w:fldChar w:fldCharType="end"/>
          </w:r>
        </w:p>
        <w:p>
          <w:pPr>
            <w:pStyle w:val="14"/>
            <w:tabs>
              <w:tab w:val="right" w:leader="dot" w:pos="8306"/>
              <w:tab w:val="clear" w:pos="8296"/>
            </w:tabs>
            <w:rPr>
              <w:rFonts w:hint="default" w:ascii="Times New Roman" w:hAnsi="Times New Roman" w:eastAsia="方正仿宋_GBK" w:cs="Times New Roman"/>
              <w:sz w:val="28"/>
              <w:szCs w:val="28"/>
              <w:highlight w:val="none"/>
            </w:rPr>
          </w:pPr>
          <w:r>
            <w:rPr>
              <w:rFonts w:hint="default" w:ascii="Times New Roman" w:hAnsi="Times New Roman" w:eastAsia="方正仿宋_GBK" w:cs="Times New Roman"/>
              <w:sz w:val="28"/>
              <w:szCs w:val="28"/>
              <w:highlight w:val="none"/>
            </w:rPr>
            <w:fldChar w:fldCharType="begin"/>
          </w:r>
          <w:r>
            <w:rPr>
              <w:rFonts w:hint="default" w:ascii="Times New Roman" w:hAnsi="Times New Roman" w:eastAsia="方正仿宋_GBK" w:cs="Times New Roman"/>
              <w:sz w:val="28"/>
              <w:szCs w:val="28"/>
              <w:highlight w:val="none"/>
            </w:rPr>
            <w:instrText xml:space="preserve"> HYPERLINK \l _Toc1506040511 </w:instrText>
          </w:r>
          <w:r>
            <w:rPr>
              <w:rFonts w:hint="default" w:ascii="Times New Roman" w:hAnsi="Times New Roman" w:eastAsia="方正仿宋_GBK" w:cs="Times New Roman"/>
              <w:sz w:val="28"/>
              <w:szCs w:val="28"/>
              <w:highlight w:val="none"/>
            </w:rPr>
            <w:fldChar w:fldCharType="separate"/>
          </w:r>
          <w:r>
            <w:rPr>
              <w:rFonts w:hint="default" w:ascii="Times New Roman" w:hAnsi="Times New Roman" w:eastAsia="方正仿宋_GBK" w:cs="Times New Roman"/>
              <w:sz w:val="28"/>
              <w:szCs w:val="28"/>
              <w:highlight w:val="none"/>
              <w:lang w:eastAsia="zh-CN"/>
            </w:rPr>
            <w:t>一、</w:t>
          </w:r>
          <w:r>
            <w:rPr>
              <w:rFonts w:hint="default" w:ascii="Times New Roman" w:hAnsi="Times New Roman" w:eastAsia="方正仿宋_GBK" w:cs="Times New Roman"/>
              <w:sz w:val="28"/>
              <w:szCs w:val="28"/>
              <w:highlight w:val="none"/>
            </w:rPr>
            <w:t>收入支出决算总体情况说明</w:t>
          </w:r>
          <w:r>
            <w:rPr>
              <w:rFonts w:hint="default" w:ascii="Times New Roman" w:hAnsi="Times New Roman" w:eastAsia="方正仿宋_GBK" w:cs="Times New Roman"/>
              <w:sz w:val="28"/>
              <w:szCs w:val="28"/>
              <w:highlight w:val="none"/>
            </w:rPr>
            <w:tab/>
          </w:r>
          <w:r>
            <w:rPr>
              <w:rFonts w:hint="default" w:ascii="Times New Roman" w:hAnsi="Times New Roman" w:eastAsia="方正仿宋_GBK" w:cs="Times New Roman"/>
              <w:sz w:val="28"/>
              <w:szCs w:val="28"/>
              <w:highlight w:val="none"/>
            </w:rPr>
            <w:fldChar w:fldCharType="begin"/>
          </w:r>
          <w:r>
            <w:rPr>
              <w:rFonts w:hint="default" w:ascii="Times New Roman" w:hAnsi="Times New Roman" w:eastAsia="方正仿宋_GBK" w:cs="Times New Roman"/>
              <w:sz w:val="28"/>
              <w:szCs w:val="28"/>
              <w:highlight w:val="none"/>
            </w:rPr>
            <w:instrText xml:space="preserve"> PAGEREF _Toc1506040511 \h </w:instrText>
          </w:r>
          <w:r>
            <w:rPr>
              <w:rFonts w:hint="default" w:ascii="Times New Roman" w:hAnsi="Times New Roman" w:eastAsia="方正仿宋_GBK" w:cs="Times New Roman"/>
              <w:sz w:val="28"/>
              <w:szCs w:val="28"/>
              <w:highlight w:val="none"/>
            </w:rPr>
            <w:fldChar w:fldCharType="separate"/>
          </w:r>
          <w:r>
            <w:rPr>
              <w:rFonts w:hint="default" w:ascii="Times New Roman" w:hAnsi="Times New Roman" w:eastAsia="方正仿宋_GBK" w:cs="Times New Roman"/>
              <w:sz w:val="28"/>
              <w:szCs w:val="28"/>
              <w:highlight w:val="none"/>
            </w:rPr>
            <w:t>3</w:t>
          </w:r>
          <w:r>
            <w:rPr>
              <w:rFonts w:hint="default" w:ascii="Times New Roman" w:hAnsi="Times New Roman" w:eastAsia="方正仿宋_GBK" w:cs="Times New Roman"/>
              <w:sz w:val="28"/>
              <w:szCs w:val="28"/>
              <w:highlight w:val="none"/>
            </w:rPr>
            <w:fldChar w:fldCharType="end"/>
          </w:r>
          <w:r>
            <w:rPr>
              <w:rFonts w:hint="default" w:ascii="Times New Roman" w:hAnsi="Times New Roman" w:eastAsia="方正仿宋_GBK" w:cs="Times New Roman"/>
              <w:sz w:val="28"/>
              <w:szCs w:val="28"/>
              <w:highlight w:val="none"/>
            </w:rPr>
            <w:fldChar w:fldCharType="end"/>
          </w:r>
        </w:p>
        <w:p>
          <w:pPr>
            <w:pStyle w:val="14"/>
            <w:tabs>
              <w:tab w:val="right" w:leader="dot" w:pos="8306"/>
              <w:tab w:val="clear" w:pos="8296"/>
            </w:tabs>
            <w:rPr>
              <w:rFonts w:hint="default" w:ascii="Times New Roman" w:hAnsi="Times New Roman" w:eastAsia="方正仿宋_GBK" w:cs="Times New Roman"/>
              <w:sz w:val="28"/>
              <w:szCs w:val="28"/>
              <w:highlight w:val="none"/>
            </w:rPr>
          </w:pPr>
          <w:r>
            <w:rPr>
              <w:rFonts w:hint="default" w:ascii="Times New Roman" w:hAnsi="Times New Roman" w:eastAsia="方正仿宋_GBK" w:cs="Times New Roman"/>
              <w:sz w:val="28"/>
              <w:szCs w:val="28"/>
              <w:highlight w:val="none"/>
            </w:rPr>
            <w:fldChar w:fldCharType="begin"/>
          </w:r>
          <w:r>
            <w:rPr>
              <w:rFonts w:hint="default" w:ascii="Times New Roman" w:hAnsi="Times New Roman" w:eastAsia="方正仿宋_GBK" w:cs="Times New Roman"/>
              <w:sz w:val="28"/>
              <w:szCs w:val="28"/>
              <w:highlight w:val="none"/>
            </w:rPr>
            <w:instrText xml:space="preserve"> HYPERLINK \l _Toc1240623420 </w:instrText>
          </w:r>
          <w:r>
            <w:rPr>
              <w:rFonts w:hint="default" w:ascii="Times New Roman" w:hAnsi="Times New Roman" w:eastAsia="方正仿宋_GBK" w:cs="Times New Roman"/>
              <w:sz w:val="28"/>
              <w:szCs w:val="28"/>
              <w:highlight w:val="none"/>
            </w:rPr>
            <w:fldChar w:fldCharType="separate"/>
          </w:r>
          <w:r>
            <w:rPr>
              <w:rFonts w:hint="default" w:ascii="Times New Roman" w:hAnsi="Times New Roman" w:eastAsia="方正仿宋_GBK" w:cs="Times New Roman"/>
              <w:sz w:val="28"/>
              <w:szCs w:val="28"/>
              <w:highlight w:val="none"/>
              <w:lang w:eastAsia="zh-CN"/>
            </w:rPr>
            <w:t>二、收入决算情况说明</w:t>
          </w:r>
          <w:r>
            <w:rPr>
              <w:rFonts w:hint="default" w:ascii="Times New Roman" w:hAnsi="Times New Roman" w:eastAsia="方正仿宋_GBK" w:cs="Times New Roman"/>
              <w:sz w:val="28"/>
              <w:szCs w:val="28"/>
              <w:highlight w:val="none"/>
            </w:rPr>
            <w:tab/>
          </w:r>
          <w:r>
            <w:rPr>
              <w:rFonts w:hint="default" w:ascii="Times New Roman" w:hAnsi="Times New Roman" w:eastAsia="方正仿宋_GBK" w:cs="Times New Roman"/>
              <w:sz w:val="28"/>
              <w:szCs w:val="28"/>
              <w:highlight w:val="none"/>
            </w:rPr>
            <w:fldChar w:fldCharType="begin"/>
          </w:r>
          <w:r>
            <w:rPr>
              <w:rFonts w:hint="default" w:ascii="Times New Roman" w:hAnsi="Times New Roman" w:eastAsia="方正仿宋_GBK" w:cs="Times New Roman"/>
              <w:sz w:val="28"/>
              <w:szCs w:val="28"/>
              <w:highlight w:val="none"/>
            </w:rPr>
            <w:instrText xml:space="preserve"> PAGEREF _Toc1240623420 \h </w:instrText>
          </w:r>
          <w:r>
            <w:rPr>
              <w:rFonts w:hint="default" w:ascii="Times New Roman" w:hAnsi="Times New Roman" w:eastAsia="方正仿宋_GBK" w:cs="Times New Roman"/>
              <w:sz w:val="28"/>
              <w:szCs w:val="28"/>
              <w:highlight w:val="none"/>
            </w:rPr>
            <w:fldChar w:fldCharType="separate"/>
          </w:r>
          <w:r>
            <w:rPr>
              <w:rFonts w:hint="default" w:ascii="Times New Roman" w:hAnsi="Times New Roman" w:eastAsia="方正仿宋_GBK" w:cs="Times New Roman"/>
              <w:sz w:val="28"/>
              <w:szCs w:val="28"/>
              <w:highlight w:val="none"/>
            </w:rPr>
            <w:t>3</w:t>
          </w:r>
          <w:r>
            <w:rPr>
              <w:rFonts w:hint="default" w:ascii="Times New Roman" w:hAnsi="Times New Roman" w:eastAsia="方正仿宋_GBK" w:cs="Times New Roman"/>
              <w:sz w:val="28"/>
              <w:szCs w:val="28"/>
              <w:highlight w:val="none"/>
            </w:rPr>
            <w:fldChar w:fldCharType="end"/>
          </w:r>
          <w:r>
            <w:rPr>
              <w:rFonts w:hint="default" w:ascii="Times New Roman" w:hAnsi="Times New Roman" w:eastAsia="方正仿宋_GBK" w:cs="Times New Roman"/>
              <w:sz w:val="28"/>
              <w:szCs w:val="28"/>
              <w:highlight w:val="none"/>
            </w:rPr>
            <w:fldChar w:fldCharType="end"/>
          </w:r>
        </w:p>
        <w:p>
          <w:pPr>
            <w:pStyle w:val="14"/>
            <w:tabs>
              <w:tab w:val="right" w:leader="dot" w:pos="8306"/>
              <w:tab w:val="clear" w:pos="8296"/>
            </w:tabs>
            <w:rPr>
              <w:rFonts w:hint="default" w:ascii="Times New Roman" w:hAnsi="Times New Roman" w:eastAsia="方正仿宋_GBK" w:cs="Times New Roman"/>
              <w:sz w:val="28"/>
              <w:szCs w:val="28"/>
              <w:highlight w:val="none"/>
            </w:rPr>
          </w:pPr>
          <w:r>
            <w:rPr>
              <w:rFonts w:hint="default" w:ascii="Times New Roman" w:hAnsi="Times New Roman" w:eastAsia="方正仿宋_GBK" w:cs="Times New Roman"/>
              <w:sz w:val="28"/>
              <w:szCs w:val="28"/>
              <w:highlight w:val="none"/>
            </w:rPr>
            <w:fldChar w:fldCharType="begin"/>
          </w:r>
          <w:r>
            <w:rPr>
              <w:rFonts w:hint="default" w:ascii="Times New Roman" w:hAnsi="Times New Roman" w:eastAsia="方正仿宋_GBK" w:cs="Times New Roman"/>
              <w:sz w:val="28"/>
              <w:szCs w:val="28"/>
              <w:highlight w:val="none"/>
            </w:rPr>
            <w:instrText xml:space="preserve"> HYPERLINK \l _Toc2082589254 </w:instrText>
          </w:r>
          <w:r>
            <w:rPr>
              <w:rFonts w:hint="default" w:ascii="Times New Roman" w:hAnsi="Times New Roman" w:eastAsia="方正仿宋_GBK" w:cs="Times New Roman"/>
              <w:sz w:val="28"/>
              <w:szCs w:val="28"/>
              <w:highlight w:val="none"/>
            </w:rPr>
            <w:fldChar w:fldCharType="separate"/>
          </w:r>
          <w:r>
            <w:rPr>
              <w:rFonts w:hint="default" w:ascii="Times New Roman" w:hAnsi="Times New Roman" w:eastAsia="方正仿宋_GBK" w:cs="Times New Roman"/>
              <w:sz w:val="28"/>
              <w:szCs w:val="28"/>
              <w:highlight w:val="none"/>
              <w:lang w:eastAsia="zh-CN"/>
            </w:rPr>
            <w:t>三、</w:t>
          </w:r>
          <w:r>
            <w:rPr>
              <w:rFonts w:hint="default" w:ascii="Times New Roman" w:hAnsi="Times New Roman" w:eastAsia="方正仿宋_GBK" w:cs="Times New Roman"/>
              <w:sz w:val="28"/>
              <w:szCs w:val="28"/>
              <w:highlight w:val="none"/>
            </w:rPr>
            <w:t>支出决算情况说明</w:t>
          </w:r>
          <w:r>
            <w:rPr>
              <w:rFonts w:hint="default" w:ascii="Times New Roman" w:hAnsi="Times New Roman" w:eastAsia="方正仿宋_GBK" w:cs="Times New Roman"/>
              <w:sz w:val="28"/>
              <w:szCs w:val="28"/>
              <w:highlight w:val="none"/>
            </w:rPr>
            <w:tab/>
          </w:r>
          <w:r>
            <w:rPr>
              <w:rFonts w:hint="default" w:ascii="Times New Roman" w:hAnsi="Times New Roman" w:eastAsia="方正仿宋_GBK" w:cs="Times New Roman"/>
              <w:sz w:val="28"/>
              <w:szCs w:val="28"/>
              <w:highlight w:val="none"/>
            </w:rPr>
            <w:fldChar w:fldCharType="begin"/>
          </w:r>
          <w:r>
            <w:rPr>
              <w:rFonts w:hint="default" w:ascii="Times New Roman" w:hAnsi="Times New Roman" w:eastAsia="方正仿宋_GBK" w:cs="Times New Roman"/>
              <w:sz w:val="28"/>
              <w:szCs w:val="28"/>
              <w:highlight w:val="none"/>
            </w:rPr>
            <w:instrText xml:space="preserve"> PAGEREF _Toc2082589254 \h </w:instrText>
          </w:r>
          <w:r>
            <w:rPr>
              <w:rFonts w:hint="default" w:ascii="Times New Roman" w:hAnsi="Times New Roman" w:eastAsia="方正仿宋_GBK" w:cs="Times New Roman"/>
              <w:sz w:val="28"/>
              <w:szCs w:val="28"/>
              <w:highlight w:val="none"/>
            </w:rPr>
            <w:fldChar w:fldCharType="separate"/>
          </w:r>
          <w:r>
            <w:rPr>
              <w:rFonts w:hint="default" w:ascii="Times New Roman" w:hAnsi="Times New Roman" w:eastAsia="方正仿宋_GBK" w:cs="Times New Roman"/>
              <w:sz w:val="28"/>
              <w:szCs w:val="28"/>
              <w:highlight w:val="none"/>
            </w:rPr>
            <w:t>4</w:t>
          </w:r>
          <w:r>
            <w:rPr>
              <w:rFonts w:hint="default" w:ascii="Times New Roman" w:hAnsi="Times New Roman" w:eastAsia="方正仿宋_GBK" w:cs="Times New Roman"/>
              <w:sz w:val="28"/>
              <w:szCs w:val="28"/>
              <w:highlight w:val="none"/>
            </w:rPr>
            <w:fldChar w:fldCharType="end"/>
          </w:r>
          <w:r>
            <w:rPr>
              <w:rFonts w:hint="default" w:ascii="Times New Roman" w:hAnsi="Times New Roman" w:eastAsia="方正仿宋_GBK" w:cs="Times New Roman"/>
              <w:sz w:val="28"/>
              <w:szCs w:val="28"/>
              <w:highlight w:val="none"/>
            </w:rPr>
            <w:fldChar w:fldCharType="end"/>
          </w:r>
        </w:p>
        <w:p>
          <w:pPr>
            <w:pStyle w:val="14"/>
            <w:tabs>
              <w:tab w:val="right" w:leader="dot" w:pos="8306"/>
              <w:tab w:val="clear" w:pos="8296"/>
            </w:tabs>
            <w:rPr>
              <w:rFonts w:hint="default" w:ascii="Times New Roman" w:hAnsi="Times New Roman" w:eastAsia="方正仿宋_GBK" w:cs="Times New Roman"/>
              <w:sz w:val="28"/>
              <w:szCs w:val="28"/>
              <w:highlight w:val="none"/>
            </w:rPr>
          </w:pPr>
          <w:r>
            <w:rPr>
              <w:rFonts w:hint="default" w:ascii="Times New Roman" w:hAnsi="Times New Roman" w:eastAsia="方正仿宋_GBK" w:cs="Times New Roman"/>
              <w:sz w:val="28"/>
              <w:szCs w:val="28"/>
              <w:highlight w:val="none"/>
            </w:rPr>
            <w:fldChar w:fldCharType="begin"/>
          </w:r>
          <w:r>
            <w:rPr>
              <w:rFonts w:hint="default" w:ascii="Times New Roman" w:hAnsi="Times New Roman" w:eastAsia="方正仿宋_GBK" w:cs="Times New Roman"/>
              <w:sz w:val="28"/>
              <w:szCs w:val="28"/>
              <w:highlight w:val="none"/>
            </w:rPr>
            <w:instrText xml:space="preserve"> HYPERLINK \l _Toc1383488222 </w:instrText>
          </w:r>
          <w:r>
            <w:rPr>
              <w:rFonts w:hint="default" w:ascii="Times New Roman" w:hAnsi="Times New Roman" w:eastAsia="方正仿宋_GBK" w:cs="Times New Roman"/>
              <w:sz w:val="28"/>
              <w:szCs w:val="28"/>
              <w:highlight w:val="none"/>
            </w:rPr>
            <w:fldChar w:fldCharType="separate"/>
          </w:r>
          <w:r>
            <w:rPr>
              <w:rFonts w:hint="default" w:ascii="Times New Roman" w:hAnsi="Times New Roman" w:eastAsia="方正仿宋_GBK" w:cs="Times New Roman"/>
              <w:sz w:val="28"/>
              <w:szCs w:val="28"/>
              <w:highlight w:val="none"/>
            </w:rPr>
            <w:t>四、财政拨款收入支出决算总体情况说明</w:t>
          </w:r>
          <w:r>
            <w:rPr>
              <w:rFonts w:hint="default" w:ascii="Times New Roman" w:hAnsi="Times New Roman" w:eastAsia="方正仿宋_GBK" w:cs="Times New Roman"/>
              <w:sz w:val="28"/>
              <w:szCs w:val="28"/>
              <w:highlight w:val="none"/>
            </w:rPr>
            <w:tab/>
          </w:r>
          <w:r>
            <w:rPr>
              <w:rFonts w:hint="default" w:ascii="Times New Roman" w:hAnsi="Times New Roman" w:eastAsia="方正仿宋_GBK" w:cs="Times New Roman"/>
              <w:sz w:val="28"/>
              <w:szCs w:val="28"/>
              <w:highlight w:val="none"/>
            </w:rPr>
            <w:fldChar w:fldCharType="begin"/>
          </w:r>
          <w:r>
            <w:rPr>
              <w:rFonts w:hint="default" w:ascii="Times New Roman" w:hAnsi="Times New Roman" w:eastAsia="方正仿宋_GBK" w:cs="Times New Roman"/>
              <w:sz w:val="28"/>
              <w:szCs w:val="28"/>
              <w:highlight w:val="none"/>
            </w:rPr>
            <w:instrText xml:space="preserve"> PAGEREF _Toc1383488222 \h </w:instrText>
          </w:r>
          <w:r>
            <w:rPr>
              <w:rFonts w:hint="default" w:ascii="Times New Roman" w:hAnsi="Times New Roman" w:eastAsia="方正仿宋_GBK" w:cs="Times New Roman"/>
              <w:sz w:val="28"/>
              <w:szCs w:val="28"/>
              <w:highlight w:val="none"/>
            </w:rPr>
            <w:fldChar w:fldCharType="separate"/>
          </w:r>
          <w:r>
            <w:rPr>
              <w:rFonts w:hint="default" w:ascii="Times New Roman" w:hAnsi="Times New Roman" w:eastAsia="方正仿宋_GBK" w:cs="Times New Roman"/>
              <w:sz w:val="28"/>
              <w:szCs w:val="28"/>
              <w:highlight w:val="none"/>
            </w:rPr>
            <w:t>5</w:t>
          </w:r>
          <w:r>
            <w:rPr>
              <w:rFonts w:hint="default" w:ascii="Times New Roman" w:hAnsi="Times New Roman" w:eastAsia="方正仿宋_GBK" w:cs="Times New Roman"/>
              <w:sz w:val="28"/>
              <w:szCs w:val="28"/>
              <w:highlight w:val="none"/>
            </w:rPr>
            <w:fldChar w:fldCharType="end"/>
          </w:r>
          <w:r>
            <w:rPr>
              <w:rFonts w:hint="default" w:ascii="Times New Roman" w:hAnsi="Times New Roman" w:eastAsia="方正仿宋_GBK" w:cs="Times New Roman"/>
              <w:sz w:val="28"/>
              <w:szCs w:val="28"/>
              <w:highlight w:val="none"/>
            </w:rPr>
            <w:fldChar w:fldCharType="end"/>
          </w:r>
        </w:p>
        <w:p>
          <w:pPr>
            <w:pStyle w:val="14"/>
            <w:tabs>
              <w:tab w:val="right" w:leader="dot" w:pos="8306"/>
              <w:tab w:val="clear" w:pos="8296"/>
            </w:tabs>
            <w:rPr>
              <w:rFonts w:hint="default" w:ascii="Times New Roman" w:hAnsi="Times New Roman" w:eastAsia="方正仿宋_GBK" w:cs="Times New Roman"/>
              <w:sz w:val="28"/>
              <w:szCs w:val="28"/>
              <w:highlight w:val="none"/>
            </w:rPr>
          </w:pPr>
          <w:r>
            <w:rPr>
              <w:rFonts w:hint="default" w:ascii="Times New Roman" w:hAnsi="Times New Roman" w:eastAsia="方正仿宋_GBK" w:cs="Times New Roman"/>
              <w:sz w:val="28"/>
              <w:szCs w:val="28"/>
              <w:highlight w:val="none"/>
            </w:rPr>
            <w:fldChar w:fldCharType="begin"/>
          </w:r>
          <w:r>
            <w:rPr>
              <w:rFonts w:hint="default" w:ascii="Times New Roman" w:hAnsi="Times New Roman" w:eastAsia="方正仿宋_GBK" w:cs="Times New Roman"/>
              <w:sz w:val="28"/>
              <w:szCs w:val="28"/>
              <w:highlight w:val="none"/>
            </w:rPr>
            <w:instrText xml:space="preserve"> HYPERLINK \l _Toc783825924 </w:instrText>
          </w:r>
          <w:r>
            <w:rPr>
              <w:rFonts w:hint="default" w:ascii="Times New Roman" w:hAnsi="Times New Roman" w:eastAsia="方正仿宋_GBK" w:cs="Times New Roman"/>
              <w:sz w:val="28"/>
              <w:szCs w:val="28"/>
              <w:highlight w:val="none"/>
            </w:rPr>
            <w:fldChar w:fldCharType="separate"/>
          </w:r>
          <w:r>
            <w:rPr>
              <w:rFonts w:hint="default" w:ascii="Times New Roman" w:hAnsi="Times New Roman" w:eastAsia="方正仿宋_GBK" w:cs="Times New Roman"/>
              <w:sz w:val="28"/>
              <w:szCs w:val="28"/>
              <w:highlight w:val="none"/>
            </w:rPr>
            <w:t>五、一般公共预算财政拨款支出决算情况说明</w:t>
          </w:r>
          <w:r>
            <w:rPr>
              <w:rFonts w:hint="default" w:ascii="Times New Roman" w:hAnsi="Times New Roman" w:eastAsia="方正仿宋_GBK" w:cs="Times New Roman"/>
              <w:sz w:val="28"/>
              <w:szCs w:val="28"/>
              <w:highlight w:val="none"/>
            </w:rPr>
            <w:tab/>
          </w:r>
          <w:r>
            <w:rPr>
              <w:rFonts w:hint="eastAsia" w:eastAsia="方正仿宋_GBK" w:cs="Times New Roman"/>
              <w:sz w:val="28"/>
              <w:szCs w:val="28"/>
              <w:highlight w:val="none"/>
              <w:lang w:val="en-US" w:eastAsia="zh-CN"/>
            </w:rPr>
            <w:t>5</w:t>
          </w:r>
          <w:r>
            <w:rPr>
              <w:rFonts w:hint="default" w:ascii="Times New Roman" w:hAnsi="Times New Roman" w:eastAsia="方正仿宋_GBK" w:cs="Times New Roman"/>
              <w:sz w:val="28"/>
              <w:szCs w:val="28"/>
              <w:highlight w:val="none"/>
            </w:rPr>
            <w:fldChar w:fldCharType="end"/>
          </w:r>
        </w:p>
        <w:p>
          <w:pPr>
            <w:pStyle w:val="14"/>
            <w:tabs>
              <w:tab w:val="right" w:leader="dot" w:pos="8306"/>
              <w:tab w:val="clear" w:pos="8296"/>
            </w:tabs>
            <w:rPr>
              <w:rFonts w:hint="default" w:ascii="Times New Roman" w:hAnsi="Times New Roman" w:eastAsia="方正仿宋_GBK" w:cs="Times New Roman"/>
              <w:sz w:val="28"/>
              <w:szCs w:val="28"/>
              <w:highlight w:val="none"/>
            </w:rPr>
          </w:pPr>
          <w:r>
            <w:rPr>
              <w:rFonts w:hint="default" w:ascii="Times New Roman" w:hAnsi="Times New Roman" w:eastAsia="方正仿宋_GBK" w:cs="Times New Roman"/>
              <w:sz w:val="28"/>
              <w:szCs w:val="28"/>
              <w:highlight w:val="none"/>
            </w:rPr>
            <w:fldChar w:fldCharType="begin"/>
          </w:r>
          <w:r>
            <w:rPr>
              <w:rFonts w:hint="default" w:ascii="Times New Roman" w:hAnsi="Times New Roman" w:eastAsia="方正仿宋_GBK" w:cs="Times New Roman"/>
              <w:sz w:val="28"/>
              <w:szCs w:val="28"/>
              <w:highlight w:val="none"/>
            </w:rPr>
            <w:instrText xml:space="preserve"> HYPERLINK \l _Toc1126656789 </w:instrText>
          </w:r>
          <w:r>
            <w:rPr>
              <w:rFonts w:hint="default" w:ascii="Times New Roman" w:hAnsi="Times New Roman" w:eastAsia="方正仿宋_GBK" w:cs="Times New Roman"/>
              <w:sz w:val="28"/>
              <w:szCs w:val="28"/>
              <w:highlight w:val="none"/>
            </w:rPr>
            <w:fldChar w:fldCharType="separate"/>
          </w:r>
          <w:r>
            <w:rPr>
              <w:rFonts w:hint="default" w:ascii="Times New Roman" w:hAnsi="Times New Roman" w:eastAsia="方正仿宋_GBK" w:cs="Times New Roman"/>
              <w:sz w:val="28"/>
              <w:szCs w:val="28"/>
              <w:highlight w:val="none"/>
            </w:rPr>
            <w:t>六、一般公共预算财政拨款基本支出决算情况说明</w:t>
          </w:r>
          <w:r>
            <w:rPr>
              <w:rFonts w:hint="default" w:ascii="Times New Roman" w:hAnsi="Times New Roman" w:eastAsia="方正仿宋_GBK" w:cs="Times New Roman"/>
              <w:sz w:val="28"/>
              <w:szCs w:val="28"/>
              <w:highlight w:val="none"/>
            </w:rPr>
            <w:tab/>
          </w:r>
          <w:r>
            <w:rPr>
              <w:rFonts w:hint="eastAsia" w:eastAsia="方正仿宋_GBK" w:cs="Times New Roman"/>
              <w:sz w:val="28"/>
              <w:szCs w:val="28"/>
              <w:highlight w:val="none"/>
              <w:lang w:val="en-US" w:eastAsia="zh-CN"/>
            </w:rPr>
            <w:t>7</w:t>
          </w:r>
          <w:r>
            <w:rPr>
              <w:rFonts w:hint="default" w:ascii="Times New Roman" w:hAnsi="Times New Roman" w:eastAsia="方正仿宋_GBK" w:cs="Times New Roman"/>
              <w:sz w:val="28"/>
              <w:szCs w:val="28"/>
              <w:highlight w:val="none"/>
            </w:rPr>
            <w:fldChar w:fldCharType="end"/>
          </w:r>
        </w:p>
        <w:p>
          <w:pPr>
            <w:pStyle w:val="14"/>
            <w:tabs>
              <w:tab w:val="right" w:leader="dot" w:pos="8306"/>
              <w:tab w:val="clear" w:pos="8296"/>
            </w:tabs>
            <w:rPr>
              <w:rFonts w:hint="default" w:ascii="Times New Roman" w:hAnsi="Times New Roman" w:eastAsia="方正仿宋_GBK" w:cs="Times New Roman"/>
              <w:sz w:val="28"/>
              <w:szCs w:val="28"/>
              <w:highlight w:val="none"/>
            </w:rPr>
          </w:pPr>
          <w:r>
            <w:rPr>
              <w:rFonts w:hint="default" w:ascii="Times New Roman" w:hAnsi="Times New Roman" w:eastAsia="方正仿宋_GBK" w:cs="Times New Roman"/>
              <w:sz w:val="28"/>
              <w:szCs w:val="28"/>
              <w:highlight w:val="none"/>
            </w:rPr>
            <w:fldChar w:fldCharType="begin"/>
          </w:r>
          <w:r>
            <w:rPr>
              <w:rFonts w:hint="default" w:ascii="Times New Roman" w:hAnsi="Times New Roman" w:eastAsia="方正仿宋_GBK" w:cs="Times New Roman"/>
              <w:sz w:val="28"/>
              <w:szCs w:val="28"/>
              <w:highlight w:val="none"/>
            </w:rPr>
            <w:instrText xml:space="preserve"> HYPERLINK \l _Toc332014841 </w:instrText>
          </w:r>
          <w:r>
            <w:rPr>
              <w:rFonts w:hint="default" w:ascii="Times New Roman" w:hAnsi="Times New Roman" w:eastAsia="方正仿宋_GBK" w:cs="Times New Roman"/>
              <w:sz w:val="28"/>
              <w:szCs w:val="28"/>
              <w:highlight w:val="none"/>
            </w:rPr>
            <w:fldChar w:fldCharType="separate"/>
          </w:r>
          <w:r>
            <w:rPr>
              <w:rFonts w:hint="default" w:ascii="Times New Roman" w:hAnsi="Times New Roman" w:eastAsia="方正仿宋_GBK" w:cs="Times New Roman"/>
              <w:sz w:val="28"/>
              <w:szCs w:val="28"/>
              <w:highlight w:val="none"/>
            </w:rPr>
            <w:t>七、财政拨款“三公”经费支出决算情况说明</w:t>
          </w:r>
          <w:r>
            <w:rPr>
              <w:rFonts w:hint="default" w:ascii="Times New Roman" w:hAnsi="Times New Roman" w:eastAsia="方正仿宋_GBK" w:cs="Times New Roman"/>
              <w:sz w:val="28"/>
              <w:szCs w:val="28"/>
              <w:highlight w:val="none"/>
            </w:rPr>
            <w:tab/>
          </w:r>
          <w:r>
            <w:rPr>
              <w:rFonts w:hint="eastAsia" w:eastAsia="方正仿宋_GBK" w:cs="Times New Roman"/>
              <w:sz w:val="28"/>
              <w:szCs w:val="28"/>
              <w:highlight w:val="none"/>
              <w:lang w:val="en-US" w:eastAsia="zh-CN"/>
            </w:rPr>
            <w:t>8</w:t>
          </w:r>
          <w:r>
            <w:rPr>
              <w:rFonts w:hint="default" w:ascii="Times New Roman" w:hAnsi="Times New Roman" w:eastAsia="方正仿宋_GBK" w:cs="Times New Roman"/>
              <w:sz w:val="28"/>
              <w:szCs w:val="28"/>
              <w:highlight w:val="none"/>
            </w:rPr>
            <w:fldChar w:fldCharType="end"/>
          </w:r>
        </w:p>
        <w:p>
          <w:pPr>
            <w:pStyle w:val="14"/>
            <w:tabs>
              <w:tab w:val="right" w:leader="dot" w:pos="8306"/>
              <w:tab w:val="clear" w:pos="8296"/>
            </w:tabs>
            <w:rPr>
              <w:rFonts w:hint="default" w:ascii="Times New Roman" w:hAnsi="Times New Roman" w:eastAsia="方正仿宋_GBK" w:cs="Times New Roman"/>
              <w:sz w:val="28"/>
              <w:szCs w:val="28"/>
              <w:highlight w:val="none"/>
            </w:rPr>
          </w:pPr>
          <w:r>
            <w:rPr>
              <w:rFonts w:hint="default" w:ascii="Times New Roman" w:hAnsi="Times New Roman" w:eastAsia="方正仿宋_GBK" w:cs="Times New Roman"/>
              <w:sz w:val="28"/>
              <w:szCs w:val="28"/>
              <w:highlight w:val="none"/>
            </w:rPr>
            <w:fldChar w:fldCharType="begin"/>
          </w:r>
          <w:r>
            <w:rPr>
              <w:rFonts w:hint="default" w:ascii="Times New Roman" w:hAnsi="Times New Roman" w:eastAsia="方正仿宋_GBK" w:cs="Times New Roman"/>
              <w:sz w:val="28"/>
              <w:szCs w:val="28"/>
              <w:highlight w:val="none"/>
            </w:rPr>
            <w:instrText xml:space="preserve"> HYPERLINK \l _Toc4907426 </w:instrText>
          </w:r>
          <w:r>
            <w:rPr>
              <w:rFonts w:hint="default" w:ascii="Times New Roman" w:hAnsi="Times New Roman" w:eastAsia="方正仿宋_GBK" w:cs="Times New Roman"/>
              <w:sz w:val="28"/>
              <w:szCs w:val="28"/>
              <w:highlight w:val="none"/>
            </w:rPr>
            <w:fldChar w:fldCharType="separate"/>
          </w:r>
          <w:r>
            <w:rPr>
              <w:rFonts w:hint="default" w:ascii="Times New Roman" w:hAnsi="Times New Roman" w:eastAsia="方正仿宋_GBK" w:cs="Times New Roman"/>
              <w:sz w:val="28"/>
              <w:szCs w:val="28"/>
              <w:highlight w:val="none"/>
            </w:rPr>
            <w:t>八、政府性基金预算支出决算情况说明</w:t>
          </w:r>
          <w:r>
            <w:rPr>
              <w:rFonts w:hint="default" w:ascii="Times New Roman" w:hAnsi="Times New Roman" w:eastAsia="方正仿宋_GBK" w:cs="Times New Roman"/>
              <w:sz w:val="28"/>
              <w:szCs w:val="28"/>
              <w:highlight w:val="none"/>
            </w:rPr>
            <w:tab/>
          </w:r>
          <w:r>
            <w:rPr>
              <w:rFonts w:hint="eastAsia" w:eastAsia="方正仿宋_GBK" w:cs="Times New Roman"/>
              <w:sz w:val="28"/>
              <w:szCs w:val="28"/>
              <w:highlight w:val="none"/>
              <w:lang w:val="en-US" w:eastAsia="zh-CN"/>
            </w:rPr>
            <w:t>9</w:t>
          </w:r>
          <w:r>
            <w:rPr>
              <w:rFonts w:hint="default" w:ascii="Times New Roman" w:hAnsi="Times New Roman" w:eastAsia="方正仿宋_GBK" w:cs="Times New Roman"/>
              <w:sz w:val="28"/>
              <w:szCs w:val="28"/>
              <w:highlight w:val="none"/>
            </w:rPr>
            <w:fldChar w:fldCharType="end"/>
          </w:r>
        </w:p>
        <w:p>
          <w:pPr>
            <w:pStyle w:val="14"/>
            <w:tabs>
              <w:tab w:val="right" w:leader="dot" w:pos="8306"/>
              <w:tab w:val="clear" w:pos="8296"/>
            </w:tabs>
            <w:rPr>
              <w:rFonts w:hint="default" w:ascii="Times New Roman" w:hAnsi="Times New Roman" w:eastAsia="方正仿宋_GBK" w:cs="Times New Roman"/>
              <w:sz w:val="28"/>
              <w:szCs w:val="28"/>
              <w:highlight w:val="none"/>
            </w:rPr>
          </w:pPr>
          <w:r>
            <w:rPr>
              <w:rFonts w:hint="default" w:ascii="Times New Roman" w:hAnsi="Times New Roman" w:eastAsia="方正仿宋_GBK" w:cs="Times New Roman"/>
              <w:sz w:val="28"/>
              <w:szCs w:val="28"/>
              <w:highlight w:val="none"/>
            </w:rPr>
            <w:fldChar w:fldCharType="begin"/>
          </w:r>
          <w:r>
            <w:rPr>
              <w:rFonts w:hint="default" w:ascii="Times New Roman" w:hAnsi="Times New Roman" w:eastAsia="方正仿宋_GBK" w:cs="Times New Roman"/>
              <w:sz w:val="28"/>
              <w:szCs w:val="28"/>
              <w:highlight w:val="none"/>
            </w:rPr>
            <w:instrText xml:space="preserve"> HYPERLINK \l _Toc2057433064 </w:instrText>
          </w:r>
          <w:r>
            <w:rPr>
              <w:rFonts w:hint="default" w:ascii="Times New Roman" w:hAnsi="Times New Roman" w:eastAsia="方正仿宋_GBK" w:cs="Times New Roman"/>
              <w:sz w:val="28"/>
              <w:szCs w:val="28"/>
              <w:highlight w:val="none"/>
            </w:rPr>
            <w:fldChar w:fldCharType="separate"/>
          </w:r>
          <w:r>
            <w:rPr>
              <w:rFonts w:hint="default" w:ascii="Times New Roman" w:hAnsi="Times New Roman" w:eastAsia="方正仿宋_GBK" w:cs="Times New Roman"/>
              <w:sz w:val="28"/>
              <w:szCs w:val="28"/>
              <w:highlight w:val="none"/>
              <w:lang w:eastAsia="zh-CN"/>
            </w:rPr>
            <w:t>九、</w:t>
          </w:r>
          <w:r>
            <w:rPr>
              <w:rFonts w:hint="default" w:ascii="Times New Roman" w:hAnsi="Times New Roman" w:eastAsia="方正仿宋_GBK" w:cs="Times New Roman"/>
              <w:sz w:val="28"/>
              <w:szCs w:val="28"/>
              <w:highlight w:val="none"/>
            </w:rPr>
            <w:t>国有资本经营预算支出决算情况说明</w:t>
          </w:r>
          <w:r>
            <w:rPr>
              <w:rFonts w:hint="default" w:ascii="Times New Roman" w:hAnsi="Times New Roman" w:eastAsia="方正仿宋_GBK" w:cs="Times New Roman"/>
              <w:sz w:val="28"/>
              <w:szCs w:val="28"/>
              <w:highlight w:val="none"/>
            </w:rPr>
            <w:tab/>
          </w:r>
          <w:r>
            <w:rPr>
              <w:rFonts w:hint="default" w:ascii="Times New Roman" w:hAnsi="Times New Roman" w:eastAsia="方正仿宋_GBK" w:cs="Times New Roman"/>
              <w:sz w:val="28"/>
              <w:szCs w:val="28"/>
              <w:highlight w:val="none"/>
            </w:rPr>
            <w:fldChar w:fldCharType="begin"/>
          </w:r>
          <w:r>
            <w:rPr>
              <w:rFonts w:hint="default" w:ascii="Times New Roman" w:hAnsi="Times New Roman" w:eastAsia="方正仿宋_GBK" w:cs="Times New Roman"/>
              <w:sz w:val="28"/>
              <w:szCs w:val="28"/>
              <w:highlight w:val="none"/>
            </w:rPr>
            <w:instrText xml:space="preserve"> PAGEREF _Toc2057433064 \h </w:instrText>
          </w:r>
          <w:r>
            <w:rPr>
              <w:rFonts w:hint="default" w:ascii="Times New Roman" w:hAnsi="Times New Roman" w:eastAsia="方正仿宋_GBK" w:cs="Times New Roman"/>
              <w:sz w:val="28"/>
              <w:szCs w:val="28"/>
              <w:highlight w:val="none"/>
            </w:rPr>
            <w:fldChar w:fldCharType="separate"/>
          </w:r>
          <w:r>
            <w:rPr>
              <w:rFonts w:hint="default" w:ascii="Times New Roman" w:hAnsi="Times New Roman" w:eastAsia="方正仿宋_GBK" w:cs="Times New Roman"/>
              <w:sz w:val="28"/>
              <w:szCs w:val="28"/>
              <w:highlight w:val="none"/>
            </w:rPr>
            <w:t>10</w:t>
          </w:r>
          <w:r>
            <w:rPr>
              <w:rFonts w:hint="default" w:ascii="Times New Roman" w:hAnsi="Times New Roman" w:eastAsia="方正仿宋_GBK" w:cs="Times New Roman"/>
              <w:sz w:val="28"/>
              <w:szCs w:val="28"/>
              <w:highlight w:val="none"/>
            </w:rPr>
            <w:fldChar w:fldCharType="end"/>
          </w:r>
          <w:r>
            <w:rPr>
              <w:rFonts w:hint="default" w:ascii="Times New Roman" w:hAnsi="Times New Roman" w:eastAsia="方正仿宋_GBK" w:cs="Times New Roman"/>
              <w:sz w:val="28"/>
              <w:szCs w:val="28"/>
              <w:highlight w:val="none"/>
            </w:rPr>
            <w:fldChar w:fldCharType="end"/>
          </w:r>
        </w:p>
        <w:p>
          <w:pPr>
            <w:pStyle w:val="14"/>
            <w:tabs>
              <w:tab w:val="right" w:leader="dot" w:pos="8306"/>
              <w:tab w:val="clear" w:pos="8296"/>
            </w:tabs>
            <w:rPr>
              <w:rFonts w:hint="default" w:ascii="Times New Roman" w:hAnsi="Times New Roman" w:eastAsia="黑体" w:cs="Times New Roman"/>
              <w:sz w:val="28"/>
              <w:szCs w:val="28"/>
            </w:rPr>
          </w:pPr>
          <w:r>
            <w:rPr>
              <w:rFonts w:hint="default" w:ascii="Times New Roman" w:hAnsi="Times New Roman" w:eastAsia="方正仿宋_GBK" w:cs="Times New Roman"/>
              <w:sz w:val="28"/>
              <w:szCs w:val="28"/>
              <w:highlight w:val="none"/>
            </w:rPr>
            <w:fldChar w:fldCharType="begin"/>
          </w:r>
          <w:r>
            <w:rPr>
              <w:rFonts w:hint="default" w:ascii="Times New Roman" w:hAnsi="Times New Roman" w:eastAsia="方正仿宋_GBK" w:cs="Times New Roman"/>
              <w:sz w:val="28"/>
              <w:szCs w:val="28"/>
              <w:highlight w:val="none"/>
            </w:rPr>
            <w:instrText xml:space="preserve"> HYPERLINK \l _Toc867011759 </w:instrText>
          </w:r>
          <w:r>
            <w:rPr>
              <w:rFonts w:hint="default" w:ascii="Times New Roman" w:hAnsi="Times New Roman" w:eastAsia="方正仿宋_GBK" w:cs="Times New Roman"/>
              <w:sz w:val="28"/>
              <w:szCs w:val="28"/>
              <w:highlight w:val="none"/>
            </w:rPr>
            <w:fldChar w:fldCharType="separate"/>
          </w:r>
          <w:r>
            <w:rPr>
              <w:rFonts w:hint="default" w:ascii="Times New Roman" w:hAnsi="Times New Roman" w:eastAsia="方正仿宋_GBK" w:cs="Times New Roman"/>
              <w:sz w:val="28"/>
              <w:szCs w:val="28"/>
              <w:highlight w:val="none"/>
              <w:lang w:eastAsia="zh-CN"/>
            </w:rPr>
            <w:t>十、</w:t>
          </w:r>
          <w:r>
            <w:rPr>
              <w:rFonts w:hint="default" w:ascii="Times New Roman" w:hAnsi="Times New Roman" w:eastAsia="方正仿宋_GBK" w:cs="Times New Roman"/>
              <w:sz w:val="28"/>
              <w:szCs w:val="28"/>
              <w:highlight w:val="none"/>
            </w:rPr>
            <w:t>其他重要事项的情况说明</w:t>
          </w:r>
          <w:r>
            <w:rPr>
              <w:rFonts w:hint="default" w:ascii="Times New Roman" w:hAnsi="Times New Roman" w:eastAsia="方正仿宋_GBK" w:cs="Times New Roman"/>
              <w:sz w:val="28"/>
              <w:szCs w:val="28"/>
              <w:highlight w:val="none"/>
            </w:rPr>
            <w:tab/>
          </w:r>
          <w:r>
            <w:rPr>
              <w:rFonts w:hint="default" w:ascii="Times New Roman" w:hAnsi="Times New Roman" w:eastAsia="方正仿宋_GBK" w:cs="Times New Roman"/>
              <w:sz w:val="28"/>
              <w:szCs w:val="28"/>
              <w:highlight w:val="none"/>
            </w:rPr>
            <w:fldChar w:fldCharType="begin"/>
          </w:r>
          <w:r>
            <w:rPr>
              <w:rFonts w:hint="default" w:ascii="Times New Roman" w:hAnsi="Times New Roman" w:eastAsia="方正仿宋_GBK" w:cs="Times New Roman"/>
              <w:sz w:val="28"/>
              <w:szCs w:val="28"/>
              <w:highlight w:val="none"/>
            </w:rPr>
            <w:instrText xml:space="preserve"> PAGEREF _Toc867011759 \h </w:instrText>
          </w:r>
          <w:r>
            <w:rPr>
              <w:rFonts w:hint="default" w:ascii="Times New Roman" w:hAnsi="Times New Roman" w:eastAsia="方正仿宋_GBK" w:cs="Times New Roman"/>
              <w:sz w:val="28"/>
              <w:szCs w:val="28"/>
              <w:highlight w:val="none"/>
            </w:rPr>
            <w:fldChar w:fldCharType="separate"/>
          </w:r>
          <w:r>
            <w:rPr>
              <w:rFonts w:hint="default" w:ascii="Times New Roman" w:hAnsi="Times New Roman" w:eastAsia="方正仿宋_GBK" w:cs="Times New Roman"/>
              <w:sz w:val="28"/>
              <w:szCs w:val="28"/>
              <w:highlight w:val="none"/>
            </w:rPr>
            <w:t>10</w:t>
          </w:r>
          <w:r>
            <w:rPr>
              <w:rFonts w:hint="default" w:ascii="Times New Roman" w:hAnsi="Times New Roman" w:eastAsia="方正仿宋_GBK" w:cs="Times New Roman"/>
              <w:sz w:val="28"/>
              <w:szCs w:val="28"/>
              <w:highlight w:val="none"/>
            </w:rPr>
            <w:fldChar w:fldCharType="end"/>
          </w:r>
          <w:r>
            <w:rPr>
              <w:rFonts w:hint="default" w:ascii="Times New Roman" w:hAnsi="Times New Roman" w:eastAsia="方正仿宋_GBK" w:cs="Times New Roman"/>
              <w:sz w:val="28"/>
              <w:szCs w:val="28"/>
              <w:highlight w:val="none"/>
            </w:rPr>
            <w:fldChar w:fldCharType="end"/>
          </w:r>
        </w:p>
        <w:p>
          <w:pPr>
            <w:pStyle w:val="12"/>
            <w:tabs>
              <w:tab w:val="right" w:leader="dot" w:pos="8306"/>
              <w:tab w:val="clear" w:pos="8296"/>
            </w:tabs>
            <w:rPr>
              <w:rFonts w:hint="default" w:ascii="Times New Roman" w:hAnsi="Times New Roman" w:eastAsia="黑体" w:cs="Times New Roman"/>
              <w:sz w:val="28"/>
              <w:szCs w:val="28"/>
            </w:rPr>
          </w:pPr>
          <w:r>
            <w:rPr>
              <w:rFonts w:hint="default" w:ascii="Times New Roman" w:hAnsi="Times New Roman" w:eastAsia="黑体" w:cs="Times New Roman"/>
              <w:sz w:val="28"/>
              <w:szCs w:val="28"/>
              <w:highlight w:val="none"/>
            </w:rPr>
            <w:fldChar w:fldCharType="begin"/>
          </w:r>
          <w:r>
            <w:rPr>
              <w:rFonts w:hint="default" w:ascii="Times New Roman" w:hAnsi="Times New Roman" w:eastAsia="黑体" w:cs="Times New Roman"/>
              <w:sz w:val="28"/>
              <w:szCs w:val="28"/>
              <w:highlight w:val="none"/>
            </w:rPr>
            <w:instrText xml:space="preserve"> HYPERLINK \l _Toc1647670321 </w:instrText>
          </w:r>
          <w:r>
            <w:rPr>
              <w:rFonts w:hint="default" w:ascii="Times New Roman" w:hAnsi="Times New Roman" w:eastAsia="黑体" w:cs="Times New Roman"/>
              <w:sz w:val="28"/>
              <w:szCs w:val="28"/>
              <w:highlight w:val="none"/>
            </w:rPr>
            <w:fldChar w:fldCharType="separate"/>
          </w:r>
          <w:r>
            <w:rPr>
              <w:rFonts w:hint="default" w:ascii="Times New Roman" w:hAnsi="Times New Roman" w:eastAsia="黑体" w:cs="Times New Roman"/>
              <w:sz w:val="28"/>
              <w:szCs w:val="28"/>
            </w:rPr>
            <w:t>第</w:t>
          </w:r>
          <w:r>
            <w:rPr>
              <w:rFonts w:hint="default" w:ascii="Times New Roman" w:hAnsi="Times New Roman" w:eastAsia="黑体" w:cs="Times New Roman"/>
              <w:sz w:val="28"/>
              <w:szCs w:val="28"/>
              <w:lang w:eastAsia="zh-CN"/>
            </w:rPr>
            <w:t>三</w:t>
          </w:r>
          <w:r>
            <w:rPr>
              <w:rFonts w:hint="default" w:ascii="Times New Roman" w:hAnsi="Times New Roman" w:eastAsia="黑体" w:cs="Times New Roman"/>
              <w:sz w:val="28"/>
              <w:szCs w:val="28"/>
            </w:rPr>
            <w:t>部分</w:t>
          </w:r>
          <w:r>
            <w:rPr>
              <w:rFonts w:hint="default" w:ascii="Times New Roman" w:hAnsi="Times New Roman" w:eastAsia="黑体" w:cs="Times New Roman"/>
              <w:sz w:val="28"/>
              <w:szCs w:val="28"/>
              <w:lang w:val="en-US" w:eastAsia="zh-CN"/>
            </w:rPr>
            <w:t xml:space="preserve">  </w:t>
          </w:r>
          <w:r>
            <w:rPr>
              <w:rFonts w:hint="default" w:ascii="Times New Roman" w:hAnsi="Times New Roman" w:eastAsia="黑体" w:cs="Times New Roman"/>
              <w:sz w:val="28"/>
              <w:szCs w:val="28"/>
            </w:rPr>
            <w:t>名词解释</w:t>
          </w:r>
          <w:r>
            <w:rPr>
              <w:rFonts w:hint="default" w:ascii="Times New Roman" w:hAnsi="Times New Roman" w:eastAsia="黑体" w:cs="Times New Roman"/>
              <w:sz w:val="28"/>
              <w:szCs w:val="28"/>
            </w:rPr>
            <w:tab/>
          </w:r>
          <w:r>
            <w:rPr>
              <w:rFonts w:hint="default" w:ascii="Times New Roman" w:hAnsi="Times New Roman" w:eastAsia="黑体" w:cs="Times New Roman"/>
              <w:sz w:val="28"/>
              <w:szCs w:val="28"/>
            </w:rPr>
            <w:fldChar w:fldCharType="begin"/>
          </w:r>
          <w:r>
            <w:rPr>
              <w:rFonts w:hint="default" w:ascii="Times New Roman" w:hAnsi="Times New Roman" w:eastAsia="黑体" w:cs="Times New Roman"/>
              <w:sz w:val="28"/>
              <w:szCs w:val="28"/>
            </w:rPr>
            <w:instrText xml:space="preserve"> PAGEREF _Toc1647670321 \h </w:instrText>
          </w:r>
          <w:r>
            <w:rPr>
              <w:rFonts w:hint="default" w:ascii="Times New Roman" w:hAnsi="Times New Roman" w:eastAsia="黑体" w:cs="Times New Roman"/>
              <w:sz w:val="28"/>
              <w:szCs w:val="28"/>
            </w:rPr>
            <w:fldChar w:fldCharType="separate"/>
          </w:r>
          <w:r>
            <w:rPr>
              <w:rFonts w:hint="default" w:ascii="Times New Roman" w:hAnsi="Times New Roman" w:eastAsia="黑体" w:cs="Times New Roman"/>
              <w:sz w:val="28"/>
              <w:szCs w:val="28"/>
            </w:rPr>
            <w:t>12</w:t>
          </w:r>
          <w:r>
            <w:rPr>
              <w:rFonts w:hint="default" w:ascii="Times New Roman" w:hAnsi="Times New Roman" w:eastAsia="黑体" w:cs="Times New Roman"/>
              <w:sz w:val="28"/>
              <w:szCs w:val="28"/>
            </w:rPr>
            <w:fldChar w:fldCharType="end"/>
          </w:r>
          <w:r>
            <w:rPr>
              <w:rFonts w:hint="default" w:ascii="Times New Roman" w:hAnsi="Times New Roman" w:eastAsia="黑体" w:cs="Times New Roman"/>
              <w:sz w:val="28"/>
              <w:szCs w:val="28"/>
              <w:highlight w:val="none"/>
            </w:rPr>
            <w:fldChar w:fldCharType="end"/>
          </w:r>
        </w:p>
        <w:p>
          <w:pPr>
            <w:pStyle w:val="12"/>
            <w:tabs>
              <w:tab w:val="right" w:leader="dot" w:pos="8306"/>
              <w:tab w:val="clear" w:pos="8296"/>
            </w:tabs>
            <w:rPr>
              <w:rFonts w:hint="default" w:ascii="Times New Roman" w:hAnsi="Times New Roman" w:eastAsia="黑体" w:cs="Times New Roman"/>
              <w:sz w:val="28"/>
              <w:szCs w:val="28"/>
            </w:rPr>
          </w:pPr>
          <w:r>
            <w:rPr>
              <w:rFonts w:hint="default" w:ascii="Times New Roman" w:hAnsi="Times New Roman" w:eastAsia="黑体" w:cs="Times New Roman"/>
              <w:sz w:val="28"/>
              <w:szCs w:val="28"/>
              <w:highlight w:val="none"/>
            </w:rPr>
            <w:fldChar w:fldCharType="begin"/>
          </w:r>
          <w:r>
            <w:rPr>
              <w:rFonts w:hint="default" w:ascii="Times New Roman" w:hAnsi="Times New Roman" w:eastAsia="黑体" w:cs="Times New Roman"/>
              <w:sz w:val="28"/>
              <w:szCs w:val="28"/>
              <w:highlight w:val="none"/>
            </w:rPr>
            <w:instrText xml:space="preserve"> HYPERLINK \l _Toc690490578 </w:instrText>
          </w:r>
          <w:r>
            <w:rPr>
              <w:rFonts w:hint="default" w:ascii="Times New Roman" w:hAnsi="Times New Roman" w:eastAsia="黑体" w:cs="Times New Roman"/>
              <w:sz w:val="28"/>
              <w:szCs w:val="28"/>
              <w:highlight w:val="none"/>
            </w:rPr>
            <w:fldChar w:fldCharType="separate"/>
          </w:r>
          <w:r>
            <w:rPr>
              <w:rFonts w:hint="default" w:ascii="Times New Roman" w:hAnsi="Times New Roman" w:eastAsia="黑体" w:cs="Times New Roman"/>
              <w:sz w:val="28"/>
              <w:szCs w:val="28"/>
            </w:rPr>
            <w:t>第四部分</w:t>
          </w:r>
          <w:r>
            <w:rPr>
              <w:rFonts w:hint="default" w:ascii="Times New Roman" w:hAnsi="Times New Roman" w:eastAsia="黑体" w:cs="Times New Roman"/>
              <w:sz w:val="28"/>
              <w:szCs w:val="28"/>
              <w:lang w:val="en-US" w:eastAsia="zh-CN"/>
            </w:rPr>
            <w:t xml:space="preserve"> </w:t>
          </w:r>
          <w:r>
            <w:rPr>
              <w:rFonts w:hint="default" w:ascii="Times New Roman" w:hAnsi="Times New Roman" w:eastAsia="黑体" w:cs="Times New Roman"/>
              <w:sz w:val="28"/>
              <w:szCs w:val="28"/>
            </w:rPr>
            <w:t xml:space="preserve"> </w:t>
          </w:r>
          <w:r>
            <w:rPr>
              <w:rFonts w:hint="default" w:ascii="Times New Roman" w:hAnsi="Times New Roman" w:eastAsia="黑体" w:cs="Times New Roman"/>
              <w:sz w:val="28"/>
              <w:szCs w:val="28"/>
              <w:highlight w:val="none"/>
            </w:rPr>
            <w:t>附件</w:t>
          </w:r>
          <w:r>
            <w:rPr>
              <w:rFonts w:hint="default" w:ascii="Times New Roman" w:hAnsi="Times New Roman" w:eastAsia="黑体" w:cs="Times New Roman"/>
              <w:sz w:val="28"/>
              <w:szCs w:val="28"/>
            </w:rPr>
            <w:tab/>
          </w:r>
          <w:r>
            <w:rPr>
              <w:rFonts w:hint="default" w:ascii="Times New Roman" w:hAnsi="Times New Roman" w:eastAsia="黑体" w:cs="Times New Roman"/>
              <w:sz w:val="28"/>
              <w:szCs w:val="28"/>
            </w:rPr>
            <w:fldChar w:fldCharType="begin"/>
          </w:r>
          <w:r>
            <w:rPr>
              <w:rFonts w:hint="default" w:ascii="Times New Roman" w:hAnsi="Times New Roman" w:eastAsia="黑体" w:cs="Times New Roman"/>
              <w:sz w:val="28"/>
              <w:szCs w:val="28"/>
            </w:rPr>
            <w:instrText xml:space="preserve"> PAGEREF _Toc690490578 \h </w:instrText>
          </w:r>
          <w:r>
            <w:rPr>
              <w:rFonts w:hint="default" w:ascii="Times New Roman" w:hAnsi="Times New Roman" w:eastAsia="黑体" w:cs="Times New Roman"/>
              <w:sz w:val="28"/>
              <w:szCs w:val="28"/>
            </w:rPr>
            <w:fldChar w:fldCharType="separate"/>
          </w:r>
          <w:r>
            <w:rPr>
              <w:rFonts w:hint="default" w:ascii="Times New Roman" w:hAnsi="Times New Roman" w:eastAsia="黑体" w:cs="Times New Roman"/>
              <w:sz w:val="28"/>
              <w:szCs w:val="28"/>
            </w:rPr>
            <w:t>14</w:t>
          </w:r>
          <w:r>
            <w:rPr>
              <w:rFonts w:hint="default" w:ascii="Times New Roman" w:hAnsi="Times New Roman" w:eastAsia="黑体" w:cs="Times New Roman"/>
              <w:sz w:val="28"/>
              <w:szCs w:val="28"/>
            </w:rPr>
            <w:fldChar w:fldCharType="end"/>
          </w:r>
          <w:r>
            <w:rPr>
              <w:rFonts w:hint="default" w:ascii="Times New Roman" w:hAnsi="Times New Roman" w:eastAsia="黑体" w:cs="Times New Roman"/>
              <w:sz w:val="28"/>
              <w:szCs w:val="28"/>
              <w:highlight w:val="none"/>
            </w:rPr>
            <w:fldChar w:fldCharType="end"/>
          </w:r>
        </w:p>
        <w:p>
          <w:pPr>
            <w:pStyle w:val="12"/>
            <w:tabs>
              <w:tab w:val="right" w:leader="dot" w:pos="8306"/>
              <w:tab w:val="clear" w:pos="8296"/>
            </w:tabs>
          </w:pPr>
          <w:r>
            <w:rPr>
              <w:rFonts w:hint="default" w:ascii="Times New Roman" w:hAnsi="Times New Roman" w:eastAsia="黑体" w:cs="Times New Roman"/>
              <w:sz w:val="28"/>
              <w:szCs w:val="28"/>
              <w:highlight w:val="none"/>
            </w:rPr>
            <w:fldChar w:fldCharType="begin"/>
          </w:r>
          <w:r>
            <w:rPr>
              <w:rFonts w:hint="default" w:ascii="Times New Roman" w:hAnsi="Times New Roman" w:eastAsia="黑体" w:cs="Times New Roman"/>
              <w:sz w:val="28"/>
              <w:szCs w:val="28"/>
              <w:highlight w:val="none"/>
            </w:rPr>
            <w:instrText xml:space="preserve"> HYPERLINK \l _Toc374754187 </w:instrText>
          </w:r>
          <w:r>
            <w:rPr>
              <w:rFonts w:hint="default" w:ascii="Times New Roman" w:hAnsi="Times New Roman" w:eastAsia="黑体" w:cs="Times New Roman"/>
              <w:sz w:val="28"/>
              <w:szCs w:val="28"/>
              <w:highlight w:val="none"/>
            </w:rPr>
            <w:fldChar w:fldCharType="separate"/>
          </w:r>
          <w:r>
            <w:rPr>
              <w:rFonts w:hint="default" w:ascii="Times New Roman" w:hAnsi="Times New Roman" w:eastAsia="黑体" w:cs="Times New Roman"/>
              <w:sz w:val="28"/>
              <w:szCs w:val="28"/>
            </w:rPr>
            <w:t>第五部分 附表</w:t>
          </w:r>
          <w:r>
            <w:rPr>
              <w:rFonts w:hint="default" w:ascii="Times New Roman" w:hAnsi="Times New Roman" w:eastAsia="黑体" w:cs="Times New Roman"/>
              <w:sz w:val="28"/>
              <w:szCs w:val="28"/>
            </w:rPr>
            <w:tab/>
          </w:r>
          <w:r>
            <w:rPr>
              <w:rFonts w:hint="default" w:ascii="Times New Roman" w:hAnsi="Times New Roman" w:eastAsia="黑体" w:cs="Times New Roman"/>
              <w:sz w:val="28"/>
              <w:szCs w:val="28"/>
            </w:rPr>
            <w:fldChar w:fldCharType="begin"/>
          </w:r>
          <w:r>
            <w:rPr>
              <w:rFonts w:hint="default" w:ascii="Times New Roman" w:hAnsi="Times New Roman" w:eastAsia="黑体" w:cs="Times New Roman"/>
              <w:sz w:val="28"/>
              <w:szCs w:val="28"/>
            </w:rPr>
            <w:instrText xml:space="preserve"> PAGEREF _Toc374754187 \h </w:instrText>
          </w:r>
          <w:r>
            <w:rPr>
              <w:rFonts w:hint="default" w:ascii="Times New Roman" w:hAnsi="Times New Roman" w:eastAsia="黑体" w:cs="Times New Roman"/>
              <w:sz w:val="28"/>
              <w:szCs w:val="28"/>
            </w:rPr>
            <w:fldChar w:fldCharType="separate"/>
          </w:r>
          <w:r>
            <w:rPr>
              <w:rFonts w:hint="default" w:ascii="Times New Roman" w:hAnsi="Times New Roman" w:eastAsia="黑体" w:cs="Times New Roman"/>
              <w:sz w:val="28"/>
              <w:szCs w:val="28"/>
            </w:rPr>
            <w:t>20</w:t>
          </w:r>
          <w:r>
            <w:rPr>
              <w:rFonts w:hint="default" w:ascii="Times New Roman" w:hAnsi="Times New Roman" w:eastAsia="黑体" w:cs="Times New Roman"/>
              <w:sz w:val="28"/>
              <w:szCs w:val="28"/>
            </w:rPr>
            <w:fldChar w:fldCharType="end"/>
          </w:r>
          <w:r>
            <w:rPr>
              <w:rFonts w:hint="default" w:ascii="Times New Roman" w:hAnsi="Times New Roman" w:eastAsia="黑体" w:cs="Times New Roman"/>
              <w:sz w:val="28"/>
              <w:szCs w:val="28"/>
              <w:highlight w:val="none"/>
            </w:rPr>
            <w:fldChar w:fldCharType="end"/>
          </w:r>
        </w:p>
        <w:p>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方正仿宋_GBK" w:hAnsi="方正仿宋_GBK" w:eastAsia="方正仿宋_GBK" w:cs="方正仿宋_GBK"/>
              <w:color w:val="auto"/>
              <w:sz w:val="28"/>
              <w:szCs w:val="28"/>
              <w:highlight w:val="none"/>
            </w:rPr>
          </w:pPr>
          <w:r>
            <w:rPr>
              <w:highlight w:val="none"/>
            </w:rPr>
            <w:fldChar w:fldCharType="end"/>
          </w:r>
          <w:r>
            <w:rPr>
              <w:rFonts w:hint="eastAsia" w:ascii="方正仿宋_GBK" w:hAnsi="方正仿宋_GBK" w:eastAsia="方正仿宋_GBK" w:cs="方正仿宋_GBK"/>
              <w:color w:val="auto"/>
              <w:sz w:val="28"/>
              <w:szCs w:val="28"/>
              <w:highlight w:val="none"/>
            </w:rPr>
            <w:t>一、收入支出决算总表</w:t>
          </w:r>
        </w:p>
        <w:p>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方正仿宋_GBK" w:hAnsi="方正仿宋_GBK" w:eastAsia="方正仿宋_GBK" w:cs="方正仿宋_GBK"/>
              <w:color w:val="auto"/>
              <w:sz w:val="28"/>
              <w:szCs w:val="28"/>
              <w:highlight w:val="none"/>
            </w:rPr>
          </w:pPr>
          <w:r>
            <w:rPr>
              <w:rFonts w:hint="eastAsia" w:ascii="方正仿宋_GBK" w:hAnsi="方正仿宋_GBK" w:eastAsia="方正仿宋_GBK" w:cs="方正仿宋_GBK"/>
              <w:color w:val="auto"/>
              <w:sz w:val="28"/>
              <w:szCs w:val="28"/>
              <w:highlight w:val="none"/>
            </w:rPr>
            <w:t>二、收入决算表</w:t>
          </w:r>
        </w:p>
        <w:p>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方正仿宋_GBK" w:hAnsi="方正仿宋_GBK" w:eastAsia="方正仿宋_GBK" w:cs="方正仿宋_GBK"/>
              <w:color w:val="auto"/>
              <w:sz w:val="28"/>
              <w:szCs w:val="28"/>
              <w:highlight w:val="none"/>
            </w:rPr>
          </w:pPr>
          <w:r>
            <w:rPr>
              <w:rFonts w:hint="eastAsia" w:ascii="方正仿宋_GBK" w:hAnsi="方正仿宋_GBK" w:eastAsia="方正仿宋_GBK" w:cs="方正仿宋_GBK"/>
              <w:color w:val="auto"/>
              <w:sz w:val="28"/>
              <w:szCs w:val="28"/>
              <w:highlight w:val="none"/>
            </w:rPr>
            <w:t>三、支出决算表</w:t>
          </w:r>
        </w:p>
        <w:p>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方正仿宋_GBK" w:hAnsi="方正仿宋_GBK" w:eastAsia="方正仿宋_GBK" w:cs="方正仿宋_GBK"/>
              <w:color w:val="auto"/>
              <w:sz w:val="28"/>
              <w:szCs w:val="28"/>
              <w:highlight w:val="none"/>
            </w:rPr>
          </w:pPr>
          <w:r>
            <w:rPr>
              <w:rFonts w:hint="eastAsia" w:ascii="方正仿宋_GBK" w:hAnsi="方正仿宋_GBK" w:eastAsia="方正仿宋_GBK" w:cs="方正仿宋_GBK"/>
              <w:color w:val="auto"/>
              <w:sz w:val="28"/>
              <w:szCs w:val="28"/>
              <w:highlight w:val="none"/>
            </w:rPr>
            <w:t>四、财政拨款收入支出决算总表</w:t>
          </w:r>
        </w:p>
        <w:p>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方正仿宋_GBK" w:hAnsi="方正仿宋_GBK" w:eastAsia="方正仿宋_GBK" w:cs="方正仿宋_GBK"/>
              <w:color w:val="auto"/>
              <w:sz w:val="28"/>
              <w:szCs w:val="28"/>
              <w:highlight w:val="none"/>
            </w:rPr>
          </w:pPr>
          <w:r>
            <w:rPr>
              <w:rFonts w:hint="eastAsia" w:ascii="方正仿宋_GBK" w:hAnsi="方正仿宋_GBK" w:eastAsia="方正仿宋_GBK" w:cs="方正仿宋_GBK"/>
              <w:color w:val="auto"/>
              <w:sz w:val="28"/>
              <w:szCs w:val="28"/>
              <w:highlight w:val="none"/>
            </w:rPr>
            <w:t>五、财政拨款支出决算明细表</w:t>
          </w:r>
        </w:p>
        <w:p>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方正仿宋_GBK" w:hAnsi="方正仿宋_GBK" w:eastAsia="方正仿宋_GBK" w:cs="方正仿宋_GBK"/>
              <w:color w:val="auto"/>
              <w:sz w:val="28"/>
              <w:szCs w:val="28"/>
              <w:highlight w:val="none"/>
            </w:rPr>
          </w:pPr>
          <w:r>
            <w:rPr>
              <w:rFonts w:hint="eastAsia" w:ascii="方正仿宋_GBK" w:hAnsi="方正仿宋_GBK" w:eastAsia="方正仿宋_GBK" w:cs="方正仿宋_GBK"/>
              <w:color w:val="auto"/>
              <w:sz w:val="28"/>
              <w:szCs w:val="28"/>
              <w:highlight w:val="none"/>
            </w:rPr>
            <w:t>六、一般公共预算财政拨款支出决算表</w:t>
          </w:r>
        </w:p>
        <w:p>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方正仿宋_GBK" w:hAnsi="方正仿宋_GBK" w:eastAsia="方正仿宋_GBK" w:cs="方正仿宋_GBK"/>
              <w:color w:val="auto"/>
              <w:sz w:val="28"/>
              <w:szCs w:val="28"/>
              <w:highlight w:val="none"/>
            </w:rPr>
          </w:pPr>
          <w:r>
            <w:rPr>
              <w:rFonts w:hint="eastAsia" w:ascii="方正仿宋_GBK" w:hAnsi="方正仿宋_GBK" w:eastAsia="方正仿宋_GBK" w:cs="方正仿宋_GBK"/>
              <w:color w:val="auto"/>
              <w:sz w:val="28"/>
              <w:szCs w:val="28"/>
              <w:highlight w:val="none"/>
            </w:rPr>
            <w:t>七、一般公共预算财政拨款支出决算明细表</w:t>
          </w:r>
        </w:p>
        <w:p>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方正仿宋_GBK" w:hAnsi="方正仿宋_GBK" w:eastAsia="方正仿宋_GBK" w:cs="方正仿宋_GBK"/>
              <w:color w:val="auto"/>
              <w:sz w:val="28"/>
              <w:szCs w:val="28"/>
              <w:highlight w:val="none"/>
            </w:rPr>
          </w:pPr>
          <w:r>
            <w:rPr>
              <w:rFonts w:hint="eastAsia" w:ascii="方正仿宋_GBK" w:hAnsi="方正仿宋_GBK" w:eastAsia="方正仿宋_GBK" w:cs="方正仿宋_GBK"/>
              <w:color w:val="auto"/>
              <w:sz w:val="28"/>
              <w:szCs w:val="28"/>
              <w:highlight w:val="none"/>
            </w:rPr>
            <w:t>八、一般公共预算财政拨款基本支出决算表</w:t>
          </w:r>
        </w:p>
        <w:p>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方正仿宋_GBK" w:hAnsi="方正仿宋_GBK" w:eastAsia="方正仿宋_GBK" w:cs="方正仿宋_GBK"/>
              <w:color w:val="auto"/>
              <w:sz w:val="28"/>
              <w:szCs w:val="28"/>
              <w:highlight w:val="none"/>
            </w:rPr>
          </w:pPr>
          <w:r>
            <w:rPr>
              <w:rFonts w:hint="eastAsia" w:ascii="方正仿宋_GBK" w:hAnsi="方正仿宋_GBK" w:eastAsia="方正仿宋_GBK" w:cs="方正仿宋_GBK"/>
              <w:color w:val="auto"/>
              <w:sz w:val="28"/>
              <w:szCs w:val="28"/>
              <w:highlight w:val="none"/>
            </w:rPr>
            <w:t>九、一般公共预算财政拨款项目支出决算表</w:t>
          </w:r>
        </w:p>
        <w:p>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方正仿宋_GBK" w:hAnsi="方正仿宋_GBK" w:eastAsia="方正仿宋_GBK" w:cs="方正仿宋_GBK"/>
              <w:color w:val="auto"/>
              <w:sz w:val="28"/>
              <w:szCs w:val="28"/>
              <w:highlight w:val="none"/>
            </w:rPr>
          </w:pPr>
          <w:r>
            <w:rPr>
              <w:rFonts w:hint="eastAsia" w:ascii="方正仿宋_GBK" w:hAnsi="方正仿宋_GBK" w:eastAsia="方正仿宋_GBK" w:cs="方正仿宋_GBK"/>
              <w:color w:val="auto"/>
              <w:sz w:val="28"/>
              <w:szCs w:val="28"/>
              <w:highlight w:val="none"/>
            </w:rPr>
            <w:t>十、政府性基金预算财政拨款收入支出决算表</w:t>
          </w:r>
        </w:p>
        <w:p>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方正仿宋_GBK" w:hAnsi="方正仿宋_GBK" w:eastAsia="方正仿宋_GBK" w:cs="方正仿宋_GBK"/>
              <w:color w:val="auto"/>
              <w:sz w:val="28"/>
              <w:szCs w:val="28"/>
              <w:highlight w:val="none"/>
            </w:rPr>
          </w:pPr>
          <w:r>
            <w:rPr>
              <w:rFonts w:hint="eastAsia" w:ascii="方正仿宋_GBK" w:hAnsi="方正仿宋_GBK" w:eastAsia="方正仿宋_GBK" w:cs="方正仿宋_GBK"/>
              <w:color w:val="auto"/>
              <w:sz w:val="28"/>
              <w:szCs w:val="28"/>
              <w:highlight w:val="none"/>
            </w:rPr>
            <w:t>十一、国有资本经营预算</w:t>
          </w:r>
          <w:r>
            <w:rPr>
              <w:rFonts w:hint="eastAsia" w:ascii="方正仿宋_GBK" w:hAnsi="方正仿宋_GBK" w:eastAsia="方正仿宋_GBK" w:cs="方正仿宋_GBK"/>
              <w:color w:val="auto"/>
              <w:sz w:val="28"/>
              <w:szCs w:val="28"/>
              <w:highlight w:val="none"/>
              <w:lang w:eastAsia="zh-CN"/>
            </w:rPr>
            <w:t>财政拨款收入</w:t>
          </w:r>
          <w:r>
            <w:rPr>
              <w:rFonts w:hint="eastAsia" w:ascii="方正仿宋_GBK" w:hAnsi="方正仿宋_GBK" w:eastAsia="方正仿宋_GBK" w:cs="方正仿宋_GBK"/>
              <w:color w:val="auto"/>
              <w:sz w:val="28"/>
              <w:szCs w:val="28"/>
              <w:highlight w:val="none"/>
            </w:rPr>
            <w:t>支出决算表</w:t>
          </w:r>
        </w:p>
        <w:p>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方正仿宋_GBK" w:hAnsi="方正仿宋_GBK" w:eastAsia="方正仿宋_GBK" w:cs="方正仿宋_GBK"/>
              <w:color w:val="auto"/>
              <w:sz w:val="28"/>
              <w:szCs w:val="28"/>
              <w:highlight w:val="none"/>
            </w:rPr>
          </w:pPr>
          <w:r>
            <w:rPr>
              <w:rFonts w:hint="eastAsia" w:ascii="方正仿宋_GBK" w:hAnsi="方正仿宋_GBK" w:eastAsia="方正仿宋_GBK" w:cs="方正仿宋_GBK"/>
              <w:color w:val="auto"/>
              <w:sz w:val="28"/>
              <w:szCs w:val="28"/>
              <w:highlight w:val="none"/>
            </w:rPr>
            <w:t>十二、</w:t>
          </w:r>
          <w:r>
            <w:rPr>
              <w:rFonts w:hint="eastAsia" w:ascii="方正仿宋_GBK" w:hAnsi="方正仿宋_GBK" w:eastAsia="方正仿宋_GBK" w:cs="方正仿宋_GBK"/>
              <w:color w:val="auto"/>
              <w:sz w:val="28"/>
              <w:szCs w:val="28"/>
              <w:highlight w:val="none"/>
              <w:lang w:eastAsia="zh-CN"/>
            </w:rPr>
            <w:t>国有资本经营预算财政拨款支出决算表</w:t>
          </w:r>
        </w:p>
        <w:p>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方正仿宋_GBK" w:hAnsi="方正仿宋_GBK" w:eastAsia="方正仿宋_GBK" w:cs="方正仿宋_GBK"/>
              <w:color w:val="auto"/>
              <w:sz w:val="28"/>
              <w:szCs w:val="28"/>
              <w:highlight w:val="none"/>
              <w:lang w:eastAsia="zh-CN"/>
            </w:rPr>
          </w:pPr>
          <w:r>
            <w:rPr>
              <w:rFonts w:hint="eastAsia" w:ascii="方正仿宋_GBK" w:hAnsi="方正仿宋_GBK" w:eastAsia="方正仿宋_GBK" w:cs="方正仿宋_GBK"/>
              <w:color w:val="auto"/>
              <w:sz w:val="28"/>
              <w:szCs w:val="28"/>
              <w:highlight w:val="none"/>
            </w:rPr>
            <w:t>十三、</w:t>
          </w:r>
          <w:r>
            <w:rPr>
              <w:rFonts w:hint="eastAsia" w:ascii="方正仿宋_GBK" w:hAnsi="方正仿宋_GBK" w:eastAsia="方正仿宋_GBK" w:cs="方正仿宋_GBK"/>
              <w:color w:val="auto"/>
              <w:sz w:val="28"/>
              <w:szCs w:val="28"/>
              <w:highlight w:val="none"/>
              <w:lang w:eastAsia="zh-CN"/>
            </w:rPr>
            <w:t>财政拨款“三公”经费支出决算表</w:t>
          </w:r>
        </w:p>
        <w:p>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方正仿宋_GBK" w:hAnsi="方正仿宋_GBK" w:eastAsia="方正仿宋_GBK" w:cs="方正仿宋_GBK"/>
              <w:color w:val="auto"/>
              <w:sz w:val="28"/>
              <w:szCs w:val="28"/>
              <w:highlight w:val="none"/>
              <w:lang w:eastAsia="zh-CN"/>
            </w:rPr>
          </w:pPr>
        </w:p>
        <w:p>
          <w:pPr>
            <w:rPr>
              <w:b/>
            </w:rPr>
          </w:pPr>
        </w:p>
      </w:sdtContent>
    </w:sdt>
    <w:p>
      <w:pPr>
        <w:rPr>
          <w:b/>
        </w:rPr>
      </w:pP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880" w:firstLineChars="200"/>
        <w:jc w:val="left"/>
        <w:textAlignment w:val="auto"/>
        <w:outlineLvl w:val="0"/>
        <w:rPr>
          <w:rFonts w:hint="eastAsia" w:ascii="方正小标宋_GBK" w:hAnsi="方正小标宋_GBK" w:eastAsia="方正小标宋_GBK" w:cs="方正小标宋_GBK"/>
          <w:sz w:val="44"/>
          <w:szCs w:val="44"/>
        </w:rPr>
        <w:sectPr>
          <w:headerReference r:id="rId3" w:type="default"/>
          <w:footerReference r:id="rId4" w:type="default"/>
          <w:pgSz w:w="11906" w:h="16838"/>
          <w:pgMar w:top="1440" w:right="1800" w:bottom="1440" w:left="1800" w:header="851" w:footer="992" w:gutter="0"/>
          <w:pgNumType w:fmt="decimal" w:start="1"/>
          <w:cols w:space="425" w:num="1"/>
          <w:titlePg/>
          <w:docGrid w:type="lines" w:linePitch="312" w:charSpace="0"/>
        </w:sectPr>
      </w:pPr>
      <w:bookmarkStart w:id="12" w:name="_Toc15377196"/>
      <w:bookmarkStart w:id="13" w:name="_Toc15396599"/>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jc w:val="center"/>
        <w:textAlignment w:val="auto"/>
        <w:outlineLvl w:val="0"/>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 xml:space="preserve"> </w:t>
      </w:r>
      <w:bookmarkStart w:id="14" w:name="_Toc1204306971"/>
      <w:r>
        <w:rPr>
          <w:rFonts w:hint="eastAsia" w:ascii="方正小标宋_GBK" w:hAnsi="方正小标宋_GBK" w:eastAsia="方正小标宋_GBK" w:cs="方正小标宋_GBK"/>
          <w:sz w:val="44"/>
          <w:szCs w:val="44"/>
        </w:rPr>
        <w:t>部门概况</w:t>
      </w:r>
      <w:bookmarkEnd w:id="12"/>
      <w:bookmarkEnd w:id="13"/>
      <w:bookmarkEnd w:id="14"/>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both"/>
        <w:textAlignment w:val="auto"/>
        <w:outlineLvl w:val="0"/>
        <w:rPr>
          <w:rFonts w:hint="eastAsia" w:ascii="方正小标宋_GBK" w:hAnsi="方正小标宋_GBK" w:eastAsia="方正小标宋_GBK" w:cs="方正小标宋_GBK"/>
          <w:sz w:val="44"/>
          <w:szCs w:val="44"/>
        </w:rPr>
      </w:pPr>
    </w:p>
    <w:p>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left="0"/>
        <w:textAlignment w:val="auto"/>
        <w:outlineLvl w:val="1"/>
        <w:rPr>
          <w:rFonts w:hint="eastAsia" w:ascii="黑体" w:hAnsi="黑体" w:eastAsia="黑体" w:cs="黑体"/>
          <w:sz w:val="32"/>
          <w:szCs w:val="32"/>
          <w:lang w:eastAsia="zh-CN"/>
        </w:rPr>
      </w:pPr>
      <w:bookmarkStart w:id="15" w:name="_Toc925041050"/>
      <w:r>
        <w:rPr>
          <w:rFonts w:hint="eastAsia" w:ascii="黑体" w:hAnsi="黑体" w:eastAsia="黑体" w:cs="黑体"/>
          <w:sz w:val="32"/>
          <w:szCs w:val="32"/>
          <w:lang w:eastAsia="zh-CN"/>
        </w:rPr>
        <w:t>部门职责</w:t>
      </w:r>
      <w:bookmarkEnd w:id="15"/>
    </w:p>
    <w:p>
      <w:pPr>
        <w:pStyle w:val="27"/>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firstLine="640" w:firstLineChars="200"/>
        <w:textAlignment w:val="auto"/>
        <w:outlineLvl w:val="9"/>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四川省酒业研究和发展中心（以下简称“川酒中心”）</w:t>
      </w:r>
      <w:r>
        <w:rPr>
          <w:rFonts w:hint="default" w:ascii="Times New Roman" w:hAnsi="Times New Roman" w:eastAsia="仿宋_GB2312" w:cs="Times New Roman"/>
          <w:color w:val="auto"/>
          <w:sz w:val="32"/>
          <w:szCs w:val="32"/>
          <w:highlight w:val="none"/>
          <w:lang w:eastAsia="zh-CN"/>
        </w:rPr>
        <w:t>成立于2024年3月经四川省委编办批复同意由原四川省酿酒研究所更名成立，</w:t>
      </w:r>
      <w:r>
        <w:rPr>
          <w:rFonts w:hint="default" w:ascii="Times New Roman" w:hAnsi="Times New Roman" w:eastAsia="仿宋_GB2312" w:cs="Times New Roman"/>
          <w:color w:val="auto"/>
          <w:sz w:val="32"/>
          <w:szCs w:val="32"/>
          <w:highlight w:val="none"/>
          <w:lang w:val="en-US" w:eastAsia="zh-CN"/>
        </w:rPr>
        <w:t>是四川省经济和信息化厅下属公益二级事业单位，机构规格为正处级</w:t>
      </w:r>
      <w:r>
        <w:rPr>
          <w:rFonts w:hint="default" w:ascii="Times New Roman" w:hAnsi="Times New Roman" w:eastAsia="仿宋_GB2312" w:cs="Times New Roman"/>
          <w:color w:val="auto"/>
          <w:sz w:val="32"/>
          <w:szCs w:val="32"/>
          <w:highlight w:val="none"/>
          <w:lang w:eastAsia="zh-CN"/>
        </w:rPr>
        <w:t>。</w:t>
      </w:r>
    </w:p>
    <w:p>
      <w:pPr>
        <w:keepNext w:val="0"/>
        <w:keepLines w:val="0"/>
        <w:pageBreakBefore w:val="0"/>
        <w:widowControl w:val="0"/>
        <w:numPr>
          <w:ilvl w:val="0"/>
          <w:numId w:val="3"/>
        </w:numPr>
        <w:kinsoku/>
        <w:wordWrap/>
        <w:overflowPunct/>
        <w:topLinePunct w:val="0"/>
        <w:autoSpaceDE/>
        <w:autoSpaceDN/>
        <w:bidi w:val="0"/>
        <w:adjustRightInd/>
        <w:snapToGrid/>
        <w:spacing w:line="600" w:lineRule="exact"/>
        <w:ind w:left="0" w:firstLine="640" w:firstLineChars="200"/>
        <w:textAlignment w:val="auto"/>
        <w:outlineLvl w:val="9"/>
        <w:rPr>
          <w:rFonts w:hint="eastAsia" w:ascii="方正楷体_GBK" w:hAnsi="方正楷体_GBK" w:eastAsia="方正楷体_GBK" w:cs="方正楷体_GBK"/>
          <w:sz w:val="32"/>
          <w:szCs w:val="32"/>
          <w:lang w:val="en-US" w:eastAsia="zh-CN"/>
        </w:rPr>
      </w:pPr>
      <w:r>
        <w:rPr>
          <w:rFonts w:hint="eastAsia" w:ascii="方正楷体_GBK" w:hAnsi="方正楷体_GBK" w:eastAsia="方正楷体_GBK" w:cs="方正楷体_GBK"/>
          <w:sz w:val="32"/>
          <w:szCs w:val="32"/>
          <w:lang w:val="en-US" w:eastAsia="zh-CN"/>
        </w:rPr>
        <w:t>承担酿酒技术研究、创新应用</w:t>
      </w:r>
    </w:p>
    <w:p>
      <w:pPr>
        <w:pStyle w:val="27"/>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firstLine="640" w:firstLineChars="200"/>
        <w:textAlignment w:val="auto"/>
        <w:outlineLvl w:val="9"/>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聚焦前瞻性技术洞察、发酵基础研究、工艺和装备创新、风味设计和感官科学、技术成果转化等重点领域，着力酿酒技术和应用研究与开发。</w:t>
      </w:r>
    </w:p>
    <w:p>
      <w:pPr>
        <w:keepNext w:val="0"/>
        <w:keepLines w:val="0"/>
        <w:pageBreakBefore w:val="0"/>
        <w:widowControl w:val="0"/>
        <w:numPr>
          <w:ilvl w:val="0"/>
          <w:numId w:val="3"/>
        </w:numPr>
        <w:kinsoku/>
        <w:wordWrap/>
        <w:overflowPunct/>
        <w:topLinePunct w:val="0"/>
        <w:autoSpaceDE/>
        <w:autoSpaceDN/>
        <w:bidi w:val="0"/>
        <w:adjustRightInd/>
        <w:snapToGrid/>
        <w:spacing w:line="600" w:lineRule="exact"/>
        <w:ind w:left="0" w:firstLine="640" w:firstLineChars="200"/>
        <w:textAlignment w:val="auto"/>
        <w:outlineLvl w:val="9"/>
        <w:rPr>
          <w:rFonts w:hint="eastAsia" w:ascii="方正楷体_GBK" w:hAnsi="方正楷体_GBK" w:eastAsia="方正楷体_GBK" w:cs="方正楷体_GBK"/>
          <w:sz w:val="32"/>
          <w:szCs w:val="32"/>
          <w:lang w:val="en-US" w:eastAsia="zh-CN"/>
        </w:rPr>
      </w:pPr>
      <w:r>
        <w:rPr>
          <w:rFonts w:hint="eastAsia" w:ascii="方正楷体_GBK" w:hAnsi="方正楷体_GBK" w:eastAsia="方正楷体_GBK" w:cs="方正楷体_GBK"/>
          <w:sz w:val="32"/>
          <w:szCs w:val="32"/>
          <w:lang w:val="en-US" w:eastAsia="zh-CN"/>
        </w:rPr>
        <w:t>开展酒类行业品牌培育服务</w:t>
      </w:r>
    </w:p>
    <w:p>
      <w:pPr>
        <w:pStyle w:val="27"/>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firstLine="640" w:firstLineChars="200"/>
        <w:textAlignment w:val="auto"/>
        <w:outlineLvl w:val="9"/>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致力于凝聚政府、协会、企业和行业各界的强大合力，推动“川酒”整体品牌打造，制定“川酒”标识，负责“川酒”品牌管理应用，开展“川酒”企业认证，发布“川酒”企业名录。</w:t>
      </w:r>
      <w:r>
        <w:rPr>
          <w:rFonts w:hint="eastAsia" w:ascii="Times New Roman" w:hAnsi="Times New Roman" w:eastAsia="仿宋_GB2312" w:cs="Times New Roman"/>
          <w:color w:val="auto"/>
          <w:sz w:val="32"/>
          <w:szCs w:val="32"/>
          <w:highlight w:val="none"/>
          <w:lang w:val="en-US" w:eastAsia="zh-CN"/>
        </w:rPr>
        <w:t>举办川酒全国行、川酒全球行等川酒品牌推广活动，致力于</w:t>
      </w:r>
      <w:r>
        <w:rPr>
          <w:rFonts w:hint="eastAsia" w:ascii="Times New Roman" w:hAnsi="Times New Roman" w:eastAsia="仿宋_GB2312" w:cs="Times New Roman"/>
          <w:color w:val="auto"/>
          <w:sz w:val="32"/>
          <w:szCs w:val="32"/>
          <w:highlight w:val="none"/>
          <w:lang w:eastAsia="zh-CN"/>
        </w:rPr>
        <w:t>把“川酒”打造成为世界烈酒产区的标志性品牌。</w:t>
      </w:r>
    </w:p>
    <w:p>
      <w:pPr>
        <w:keepNext w:val="0"/>
        <w:keepLines w:val="0"/>
        <w:pageBreakBefore w:val="0"/>
        <w:widowControl w:val="0"/>
        <w:numPr>
          <w:ilvl w:val="0"/>
          <w:numId w:val="3"/>
        </w:numPr>
        <w:kinsoku/>
        <w:wordWrap/>
        <w:overflowPunct/>
        <w:topLinePunct w:val="0"/>
        <w:autoSpaceDE/>
        <w:autoSpaceDN/>
        <w:bidi w:val="0"/>
        <w:adjustRightInd/>
        <w:snapToGrid/>
        <w:spacing w:line="600" w:lineRule="exact"/>
        <w:ind w:left="0" w:firstLine="640" w:firstLineChars="200"/>
        <w:textAlignment w:val="auto"/>
        <w:outlineLvl w:val="9"/>
        <w:rPr>
          <w:rFonts w:hint="eastAsia" w:ascii="方正楷体_GBK" w:hAnsi="方正楷体_GBK" w:eastAsia="方正楷体_GBK" w:cs="方正楷体_GBK"/>
          <w:sz w:val="32"/>
          <w:szCs w:val="32"/>
          <w:lang w:val="en-US" w:eastAsia="zh-CN"/>
        </w:rPr>
      </w:pPr>
      <w:r>
        <w:rPr>
          <w:rFonts w:hint="eastAsia" w:ascii="方正楷体_GBK" w:hAnsi="方正楷体_GBK" w:eastAsia="方正楷体_GBK" w:cs="方正楷体_GBK"/>
          <w:sz w:val="32"/>
          <w:szCs w:val="32"/>
          <w:lang w:val="en-US" w:eastAsia="zh-CN"/>
        </w:rPr>
        <w:t>酒类产业发展促进</w:t>
      </w:r>
    </w:p>
    <w:p>
      <w:pPr>
        <w:pStyle w:val="27"/>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firstLine="640" w:firstLineChars="200"/>
        <w:textAlignment w:val="auto"/>
        <w:outlineLvl w:val="9"/>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贯彻落实国家、省有关酒类产业发展、监督管理的政策法规和决策部署，促进全省酒类产业发展。牵头编制全省酒类产业发展规划并推动实施。</w:t>
      </w:r>
    </w:p>
    <w:p>
      <w:pPr>
        <w:keepNext w:val="0"/>
        <w:keepLines w:val="0"/>
        <w:pageBreakBefore w:val="0"/>
        <w:widowControl w:val="0"/>
        <w:numPr>
          <w:ilvl w:val="0"/>
          <w:numId w:val="3"/>
        </w:numPr>
        <w:kinsoku/>
        <w:wordWrap/>
        <w:overflowPunct/>
        <w:topLinePunct w:val="0"/>
        <w:autoSpaceDE/>
        <w:autoSpaceDN/>
        <w:bidi w:val="0"/>
        <w:adjustRightInd/>
        <w:snapToGrid/>
        <w:spacing w:line="600" w:lineRule="exact"/>
        <w:ind w:left="0" w:firstLine="640" w:firstLineChars="200"/>
        <w:textAlignment w:val="auto"/>
        <w:outlineLvl w:val="9"/>
        <w:rPr>
          <w:rFonts w:hint="eastAsia" w:ascii="方正楷体_GBK" w:hAnsi="方正楷体_GBK" w:eastAsia="方正楷体_GBK" w:cs="方正楷体_GBK"/>
          <w:sz w:val="32"/>
          <w:szCs w:val="32"/>
          <w:lang w:val="en-US" w:eastAsia="zh-CN"/>
        </w:rPr>
      </w:pPr>
      <w:r>
        <w:rPr>
          <w:rFonts w:hint="eastAsia" w:ascii="方正楷体_GBK" w:hAnsi="方正楷体_GBK" w:eastAsia="方正楷体_GBK" w:cs="方正楷体_GBK"/>
          <w:sz w:val="32"/>
          <w:szCs w:val="32"/>
          <w:lang w:val="en-US" w:eastAsia="zh-CN"/>
        </w:rPr>
        <w:t>实施培训合作等工作</w:t>
      </w:r>
    </w:p>
    <w:p>
      <w:pPr>
        <w:pStyle w:val="27"/>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firstLine="640" w:firstLineChars="200"/>
        <w:textAlignment w:val="auto"/>
        <w:outlineLvl w:val="9"/>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eastAsia="zh-CN"/>
        </w:rPr>
        <w:t>围绕白酒产业高质量发展，加大基础科学、产业品类创新及成果推广应用，组织开展人才服务、技术服务、职业培训等工作，开展国家级、省级高层次技能大师，行业领军人才、行业专家培育等工作。</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textAlignment w:val="auto"/>
        <w:outlineLvl w:val="9"/>
        <w:rPr>
          <w:rFonts w:hint="eastAsia"/>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textAlignment w:val="auto"/>
        <w:outlineLvl w:val="1"/>
        <w:rPr>
          <w:rFonts w:hint="eastAsia" w:ascii="黑体" w:hAnsi="黑体" w:eastAsia="黑体" w:cs="黑体"/>
          <w:sz w:val="32"/>
          <w:szCs w:val="32"/>
          <w:lang w:eastAsia="zh-CN"/>
        </w:rPr>
      </w:pPr>
      <w:bookmarkStart w:id="16" w:name="_Toc15377200"/>
      <w:bookmarkStart w:id="17" w:name="_Toc1892848908"/>
      <w:bookmarkStart w:id="18" w:name="_Toc15396601"/>
      <w:r>
        <w:rPr>
          <w:rFonts w:hint="eastAsia" w:ascii="黑体" w:hAnsi="黑体" w:eastAsia="黑体" w:cs="黑体"/>
          <w:sz w:val="32"/>
          <w:szCs w:val="32"/>
          <w:lang w:eastAsia="zh-CN"/>
        </w:rPr>
        <w:t>二、机构设置</w:t>
      </w:r>
      <w:bookmarkEnd w:id="16"/>
      <w:bookmarkEnd w:id="17"/>
      <w:bookmarkEnd w:id="18"/>
    </w:p>
    <w:p>
      <w:pPr>
        <w:pStyle w:val="27"/>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firstLine="640" w:firstLineChars="200"/>
        <w:textAlignment w:val="auto"/>
        <w:outlineLvl w:val="9"/>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四川省酒业研究和发展中心下属二级预算单位</w:t>
      </w:r>
      <w:r>
        <w:rPr>
          <w:rFonts w:hint="eastAsia" w:ascii="Times New Roman" w:hAnsi="Times New Roman" w:eastAsia="仿宋_GB2312" w:cs="Times New Roman"/>
          <w:color w:val="auto"/>
          <w:sz w:val="32"/>
          <w:szCs w:val="32"/>
          <w:highlight w:val="none"/>
          <w:lang w:val="en-US" w:eastAsia="zh-CN"/>
        </w:rPr>
        <w:t>0</w:t>
      </w:r>
      <w:r>
        <w:rPr>
          <w:rFonts w:hint="eastAsia" w:ascii="Times New Roman" w:hAnsi="Times New Roman" w:eastAsia="仿宋_GB2312" w:cs="Times New Roman"/>
          <w:color w:val="auto"/>
          <w:sz w:val="32"/>
          <w:szCs w:val="32"/>
          <w:highlight w:val="none"/>
          <w:lang w:eastAsia="zh-CN"/>
        </w:rPr>
        <w:t>个，其中行政单位</w:t>
      </w:r>
      <w:r>
        <w:rPr>
          <w:rFonts w:hint="eastAsia" w:ascii="Times New Roman" w:hAnsi="Times New Roman" w:eastAsia="仿宋_GB2312" w:cs="Times New Roman"/>
          <w:color w:val="auto"/>
          <w:sz w:val="32"/>
          <w:szCs w:val="32"/>
          <w:highlight w:val="none"/>
          <w:lang w:val="en-US" w:eastAsia="zh-CN"/>
        </w:rPr>
        <w:t>0</w:t>
      </w:r>
      <w:r>
        <w:rPr>
          <w:rFonts w:hint="eastAsia" w:ascii="Times New Roman" w:hAnsi="Times New Roman" w:eastAsia="仿宋_GB2312" w:cs="Times New Roman"/>
          <w:color w:val="auto"/>
          <w:sz w:val="32"/>
          <w:szCs w:val="32"/>
          <w:highlight w:val="none"/>
          <w:lang w:eastAsia="zh-CN"/>
        </w:rPr>
        <w:t>个，参照公务员法管理的事业单位</w:t>
      </w:r>
      <w:r>
        <w:rPr>
          <w:rFonts w:hint="eastAsia" w:ascii="Times New Roman" w:hAnsi="Times New Roman" w:eastAsia="仿宋_GB2312" w:cs="Times New Roman"/>
          <w:color w:val="auto"/>
          <w:sz w:val="32"/>
          <w:szCs w:val="32"/>
          <w:highlight w:val="none"/>
          <w:lang w:val="en-US" w:eastAsia="zh-CN"/>
        </w:rPr>
        <w:t>0</w:t>
      </w:r>
      <w:r>
        <w:rPr>
          <w:rFonts w:hint="eastAsia" w:ascii="Times New Roman" w:hAnsi="Times New Roman" w:eastAsia="仿宋_GB2312" w:cs="Times New Roman"/>
          <w:color w:val="auto"/>
          <w:sz w:val="32"/>
          <w:szCs w:val="32"/>
          <w:highlight w:val="none"/>
          <w:lang w:eastAsia="zh-CN"/>
        </w:rPr>
        <w:t>个，其他事业单位</w:t>
      </w:r>
      <w:r>
        <w:rPr>
          <w:rFonts w:hint="eastAsia" w:ascii="Times New Roman" w:hAnsi="Times New Roman" w:eastAsia="仿宋_GB2312" w:cs="Times New Roman"/>
          <w:color w:val="auto"/>
          <w:sz w:val="32"/>
          <w:szCs w:val="32"/>
          <w:highlight w:val="none"/>
          <w:lang w:val="en-US" w:eastAsia="zh-CN"/>
        </w:rPr>
        <w:t>0</w:t>
      </w:r>
      <w:r>
        <w:rPr>
          <w:rFonts w:hint="eastAsia" w:ascii="Times New Roman" w:hAnsi="Times New Roman" w:eastAsia="仿宋_GB2312" w:cs="Times New Roman"/>
          <w:color w:val="auto"/>
          <w:sz w:val="32"/>
          <w:szCs w:val="32"/>
          <w:highlight w:val="none"/>
          <w:lang w:eastAsia="zh-CN"/>
        </w:rPr>
        <w:t>个。</w:t>
      </w:r>
    </w:p>
    <w:p>
      <w:pPr>
        <w:pStyle w:val="27"/>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firstLine="640" w:firstLineChars="200"/>
        <w:textAlignment w:val="auto"/>
        <w:outlineLvl w:val="9"/>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四川省酒业研究和发展中心设有</w:t>
      </w:r>
      <w:r>
        <w:rPr>
          <w:rFonts w:hint="default" w:ascii="Times New Roman" w:hAnsi="Times New Roman" w:eastAsia="仿宋_GB2312" w:cs="Times New Roman"/>
          <w:color w:val="auto"/>
          <w:sz w:val="32"/>
          <w:szCs w:val="32"/>
          <w:highlight w:val="none"/>
          <w:lang w:val="en-US" w:eastAsia="zh-CN"/>
        </w:rPr>
        <w:t>综合部、战略部、品牌部、技术部4</w:t>
      </w:r>
      <w:r>
        <w:rPr>
          <w:rFonts w:hint="default" w:ascii="Times New Roman" w:hAnsi="Times New Roman" w:eastAsia="仿宋_GB2312" w:cs="Times New Roman"/>
          <w:color w:val="auto"/>
          <w:sz w:val="32"/>
          <w:szCs w:val="32"/>
          <w:highlight w:val="none"/>
          <w:lang w:eastAsia="zh-CN"/>
        </w:rPr>
        <w:t>个部门。</w:t>
      </w:r>
    </w:p>
    <w:p>
      <w:pPr>
        <w:keepNext w:val="0"/>
        <w:keepLines w:val="0"/>
        <w:pageBreakBefore w:val="0"/>
        <w:widowControl/>
        <w:kinsoku/>
        <w:wordWrap/>
        <w:overflowPunct/>
        <w:topLinePunct w:val="0"/>
        <w:autoSpaceDE/>
        <w:autoSpaceDN/>
        <w:bidi w:val="0"/>
        <w:spacing w:line="600" w:lineRule="exact"/>
        <w:ind w:left="0"/>
        <w:jc w:val="left"/>
        <w:textAlignment w:val="auto"/>
        <w:outlineLvl w:val="9"/>
        <w:rPr>
          <w:rFonts w:ascii="Times New Roman" w:hAnsi="Times New Roman" w:eastAsia="仿宋"/>
          <w:color w:val="auto"/>
          <w:kern w:val="0"/>
          <w:sz w:val="32"/>
          <w:szCs w:val="32"/>
          <w:highlight w:val="none"/>
        </w:rPr>
      </w:pPr>
      <w:r>
        <w:rPr>
          <w:rFonts w:ascii="Times New Roman" w:hAnsi="Times New Roman" w:eastAsia="仿宋"/>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600" w:lineRule="exact"/>
        <w:ind w:left="0"/>
        <w:jc w:val="center"/>
        <w:textAlignment w:val="auto"/>
        <w:outlineLvl w:val="0"/>
        <w:rPr>
          <w:rFonts w:hint="eastAsia" w:ascii="方正小标宋_GBK" w:hAnsi="方正小标宋_GBK" w:eastAsia="方正小标宋_GBK" w:cs="方正小标宋_GBK"/>
          <w:sz w:val="44"/>
          <w:szCs w:val="44"/>
        </w:rPr>
      </w:pPr>
      <w:bookmarkStart w:id="19" w:name="_Toc15396602"/>
      <w:bookmarkStart w:id="20" w:name="_Toc15377204"/>
      <w:bookmarkStart w:id="21" w:name="_Toc1281399994"/>
      <w:r>
        <w:rPr>
          <w:rFonts w:hint="eastAsia" w:ascii="方正小标宋_GBK" w:hAnsi="方正小标宋_GBK" w:eastAsia="方正小标宋_GBK" w:cs="方正小标宋_GBK"/>
          <w:sz w:val="44"/>
          <w:szCs w:val="44"/>
        </w:rPr>
        <w:t>第二部分</w:t>
      </w:r>
      <w:r>
        <w:rPr>
          <w:rFonts w:hint="eastAsia" w:ascii="方正小标宋_GBK" w:hAnsi="方正小标宋_GBK" w:eastAsia="方正小标宋_GBK" w:cs="方正小标宋_GBK"/>
          <w:sz w:val="44"/>
          <w:szCs w:val="44"/>
          <w:lang w:val="en-US" w:eastAsia="zh-CN"/>
        </w:rPr>
        <w:t xml:space="preserve"> </w:t>
      </w:r>
      <w:r>
        <w:rPr>
          <w:rFonts w:hint="eastAsia" w:ascii="方正小标宋_GBK" w:hAnsi="方正小标宋_GBK" w:eastAsia="方正小标宋_GBK" w:cs="方正小标宋_GBK"/>
          <w:sz w:val="44"/>
          <w:szCs w:val="44"/>
        </w:rPr>
        <w:t xml:space="preserve"> </w:t>
      </w:r>
      <w:r>
        <w:rPr>
          <w:rFonts w:hint="eastAsia" w:ascii="方正小标宋_GBK" w:hAnsi="方正小标宋_GBK" w:eastAsia="方正小标宋_GBK" w:cs="方正小标宋_GBK"/>
          <w:sz w:val="44"/>
          <w:szCs w:val="44"/>
          <w:lang w:val="en-US" w:eastAsia="zh-CN"/>
        </w:rPr>
        <w:t>2024年度</w:t>
      </w:r>
      <w:r>
        <w:rPr>
          <w:rFonts w:hint="eastAsia" w:ascii="方正小标宋_GBK" w:hAnsi="方正小标宋_GBK" w:eastAsia="方正小标宋_GBK" w:cs="方正小标宋_GBK"/>
          <w:sz w:val="44"/>
          <w:szCs w:val="44"/>
        </w:rPr>
        <w:t>部门决算情况说明</w:t>
      </w:r>
      <w:bookmarkEnd w:id="19"/>
      <w:bookmarkEnd w:id="20"/>
      <w:bookmarkEnd w:id="21"/>
    </w:p>
    <w:p>
      <w:pPr>
        <w:keepNext w:val="0"/>
        <w:keepLines w:val="0"/>
        <w:pageBreakBefore w:val="0"/>
        <w:kinsoku/>
        <w:wordWrap/>
        <w:overflowPunct/>
        <w:topLinePunct w:val="0"/>
        <w:autoSpaceDE/>
        <w:autoSpaceDN/>
        <w:bidi w:val="0"/>
        <w:spacing w:line="600" w:lineRule="exact"/>
        <w:ind w:left="0"/>
        <w:textAlignment w:val="auto"/>
        <w:outlineLvl w:val="9"/>
        <w:rPr>
          <w:rFonts w:ascii="Times New Roman" w:hAnsi="Times New Roman"/>
          <w:color w:val="auto"/>
          <w:highlight w:val="none"/>
        </w:rPr>
      </w:pPr>
    </w:p>
    <w:p>
      <w:pPr>
        <w:pStyle w:val="27"/>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firstLine="640" w:firstLineChars="200"/>
        <w:textAlignment w:val="auto"/>
        <w:outlineLvl w:val="1"/>
        <w:rPr>
          <w:rStyle w:val="29"/>
          <w:rFonts w:hint="eastAsia" w:ascii="Times New Roman" w:hAnsi="Times New Roman" w:eastAsia="黑体"/>
          <w:b w:val="0"/>
          <w:color w:val="auto"/>
          <w:highlight w:val="none"/>
        </w:rPr>
      </w:pPr>
      <w:bookmarkStart w:id="22" w:name="_Toc1506040511"/>
      <w:bookmarkStart w:id="23" w:name="_Toc15377205"/>
      <w:bookmarkStart w:id="24" w:name="_Toc15396603"/>
      <w:r>
        <w:rPr>
          <w:rFonts w:hint="eastAsia" w:ascii="Times New Roman" w:hAnsi="Times New Roman" w:eastAsia="黑体"/>
          <w:color w:val="auto"/>
          <w:sz w:val="32"/>
          <w:szCs w:val="32"/>
          <w:highlight w:val="none"/>
          <w:lang w:eastAsia="zh-CN"/>
        </w:rPr>
        <w:t>一、</w:t>
      </w:r>
      <w:r>
        <w:rPr>
          <w:rFonts w:hint="eastAsia" w:ascii="Times New Roman" w:hAnsi="Times New Roman" w:eastAsia="黑体"/>
          <w:color w:val="auto"/>
          <w:sz w:val="32"/>
          <w:szCs w:val="32"/>
          <w:highlight w:val="none"/>
        </w:rPr>
        <w:t>收</w:t>
      </w:r>
      <w:r>
        <w:rPr>
          <w:rStyle w:val="29"/>
          <w:rFonts w:hint="eastAsia" w:ascii="Times New Roman" w:hAnsi="Times New Roman" w:eastAsia="黑体"/>
          <w:b w:val="0"/>
          <w:color w:val="auto"/>
          <w:highlight w:val="none"/>
        </w:rPr>
        <w:t>入支出决算总体情况说明</w:t>
      </w:r>
      <w:bookmarkEnd w:id="22"/>
      <w:bookmarkEnd w:id="23"/>
      <w:bookmarkEnd w:id="24"/>
    </w:p>
    <w:p>
      <w:pPr>
        <w:pStyle w:val="27"/>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firstLine="640" w:firstLineChars="200"/>
        <w:textAlignment w:val="auto"/>
        <w:outlineLvl w:val="9"/>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eastAsia="zh-CN"/>
        </w:rPr>
        <w:t>2024年度收入</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CN"/>
        </w:rPr>
        <w:t>支出</w:t>
      </w:r>
      <w:r>
        <w:rPr>
          <w:rFonts w:hint="default" w:ascii="Times New Roman" w:hAnsi="Times New Roman" w:eastAsia="仿宋_GB2312" w:cs="Times New Roman"/>
          <w:color w:val="auto"/>
          <w:sz w:val="32"/>
          <w:szCs w:val="32"/>
          <w:highlight w:val="none"/>
        </w:rPr>
        <w:t>总计</w:t>
      </w:r>
      <w:r>
        <w:rPr>
          <w:rFonts w:hint="default" w:ascii="Times New Roman" w:hAnsi="Times New Roman" w:eastAsia="仿宋_GB2312" w:cs="Times New Roman"/>
          <w:color w:val="auto"/>
          <w:sz w:val="32"/>
          <w:szCs w:val="32"/>
          <w:highlight w:val="none"/>
          <w:lang w:eastAsia="zh-CN"/>
        </w:rPr>
        <w:t>均为</w:t>
      </w:r>
      <w:r>
        <w:rPr>
          <w:rFonts w:hint="default" w:ascii="Times New Roman" w:hAnsi="Times New Roman" w:eastAsia="仿宋_GB2312" w:cs="Times New Roman"/>
          <w:sz w:val="32"/>
          <w:szCs w:val="32"/>
        </w:rPr>
        <w:t>390.74</w:t>
      </w:r>
      <w:r>
        <w:rPr>
          <w:rFonts w:hint="default" w:ascii="Times New Roman" w:hAnsi="Times New Roman" w:eastAsia="仿宋_GB2312" w:cs="Times New Roman"/>
          <w:color w:val="auto"/>
          <w:sz w:val="32"/>
          <w:szCs w:val="32"/>
          <w:highlight w:val="none"/>
        </w:rPr>
        <w:t>万元。由于</w:t>
      </w:r>
      <w:r>
        <w:rPr>
          <w:rFonts w:hint="default" w:ascii="Times New Roman" w:hAnsi="Times New Roman" w:eastAsia="仿宋_GB2312" w:cs="Times New Roman"/>
          <w:color w:val="auto"/>
          <w:sz w:val="32"/>
          <w:szCs w:val="32"/>
          <w:highlight w:val="none"/>
          <w:lang w:eastAsia="zh-CN"/>
        </w:rPr>
        <w:t>四川省酒业研究和发展</w:t>
      </w:r>
      <w:r>
        <w:rPr>
          <w:rFonts w:hint="default" w:ascii="Times New Roman" w:hAnsi="Times New Roman" w:eastAsia="仿宋_GB2312" w:cs="Times New Roman"/>
          <w:color w:val="auto"/>
          <w:sz w:val="32"/>
          <w:szCs w:val="32"/>
          <w:highlight w:val="none"/>
        </w:rPr>
        <w:t>中心2024年新成立，无法比较收入</w:t>
      </w:r>
      <w:r>
        <w:rPr>
          <w:rFonts w:hint="default" w:ascii="Times New Roman" w:hAnsi="Times New Roman" w:eastAsia="仿宋_GB2312" w:cs="Times New Roman"/>
          <w:color w:val="auto"/>
          <w:sz w:val="32"/>
          <w:szCs w:val="32"/>
          <w:highlight w:val="none"/>
          <w:lang w:eastAsia="zh-CN"/>
        </w:rPr>
        <w:t>支出</w:t>
      </w:r>
      <w:r>
        <w:rPr>
          <w:rFonts w:hint="default" w:ascii="Times New Roman" w:hAnsi="Times New Roman" w:eastAsia="仿宋_GB2312" w:cs="Times New Roman"/>
          <w:color w:val="auto"/>
          <w:sz w:val="32"/>
          <w:szCs w:val="32"/>
          <w:highlight w:val="none"/>
        </w:rPr>
        <w:t>变化情况。</w:t>
      </w:r>
    </w:p>
    <w:p>
      <w:pPr>
        <w:pStyle w:val="27"/>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firstLine="420" w:firstLineChars="200"/>
        <w:textAlignment w:val="auto"/>
        <w:outlineLvl w:val="9"/>
        <w:rPr>
          <w:rFonts w:hint="eastAsia" w:ascii="Times New Roman" w:hAnsi="Times New Roman" w:eastAsia="仿宋_GB2312" w:cs="仿宋_GB2312"/>
          <w:color w:val="auto"/>
          <w:sz w:val="32"/>
          <w:szCs w:val="32"/>
          <w:highlight w:val="none"/>
        </w:rPr>
      </w:pPr>
      <w:r>
        <w:rPr>
          <w:rFonts w:hint="eastAsia"/>
          <w:lang w:eastAsia="zh-CN"/>
        </w:rPr>
        <w:drawing>
          <wp:anchor distT="0" distB="0" distL="114300" distR="114300" simplePos="0" relativeHeight="251664384" behindDoc="0" locked="0" layoutInCell="1" allowOverlap="1">
            <wp:simplePos x="0" y="0"/>
            <wp:positionH relativeFrom="column">
              <wp:posOffset>-4445</wp:posOffset>
            </wp:positionH>
            <wp:positionV relativeFrom="paragraph">
              <wp:posOffset>90170</wp:posOffset>
            </wp:positionV>
            <wp:extent cx="5256530" cy="2988310"/>
            <wp:effectExtent l="5080" t="4445" r="15240" b="17145"/>
            <wp:wrapNone/>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p>
    <w:p>
      <w:pPr>
        <w:pStyle w:val="27"/>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firstLine="640" w:firstLineChars="200"/>
        <w:textAlignment w:val="auto"/>
        <w:outlineLvl w:val="9"/>
        <w:rPr>
          <w:rFonts w:hint="eastAsia" w:ascii="Times New Roman" w:hAnsi="Times New Roman" w:eastAsia="仿宋_GB2312" w:cs="仿宋_GB2312"/>
          <w:color w:val="auto"/>
          <w:sz w:val="32"/>
          <w:szCs w:val="32"/>
          <w:highlight w:val="none"/>
          <w:lang w:eastAsia="zh-CN"/>
        </w:rPr>
      </w:pPr>
    </w:p>
    <w:p>
      <w:pPr>
        <w:keepNext w:val="0"/>
        <w:keepLines w:val="0"/>
        <w:pageBreakBefore w:val="0"/>
        <w:kinsoku/>
        <w:wordWrap/>
        <w:overflowPunct/>
        <w:topLinePunct w:val="0"/>
        <w:autoSpaceDE/>
        <w:autoSpaceDN/>
        <w:bidi w:val="0"/>
        <w:spacing w:line="600" w:lineRule="exact"/>
        <w:ind w:left="0"/>
        <w:jc w:val="center"/>
        <w:textAlignment w:val="auto"/>
        <w:outlineLvl w:val="9"/>
        <w:rPr>
          <w:rFonts w:hint="eastAsia"/>
          <w:lang w:eastAsia="zh-CN"/>
        </w:rPr>
      </w:pPr>
    </w:p>
    <w:p>
      <w:pPr>
        <w:keepNext w:val="0"/>
        <w:keepLines w:val="0"/>
        <w:pageBreakBefore w:val="0"/>
        <w:widowControl w:val="0"/>
        <w:kinsoku/>
        <w:wordWrap/>
        <w:overflowPunct/>
        <w:topLinePunct w:val="0"/>
        <w:autoSpaceDE/>
        <w:autoSpaceDN/>
        <w:bidi w:val="0"/>
        <w:adjustRightInd/>
        <w:snapToGrid/>
        <w:spacing w:line="600" w:lineRule="exact"/>
        <w:ind w:left="0"/>
        <w:jc w:val="center"/>
        <w:textAlignment w:val="auto"/>
        <w:outlineLvl w:val="9"/>
        <w:rPr>
          <w:rFonts w:hint="eastAsia" w:ascii="Times New Roman" w:hAnsi="Times New Roman" w:eastAsia="仿宋_GB2312" w:cs="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jc w:val="center"/>
        <w:textAlignment w:val="auto"/>
        <w:outlineLvl w:val="9"/>
        <w:rPr>
          <w:rFonts w:hint="eastAsia" w:ascii="Times New Roman" w:hAnsi="Times New Roman" w:eastAsia="仿宋_GB2312" w:cs="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jc w:val="center"/>
        <w:textAlignment w:val="auto"/>
        <w:outlineLvl w:val="9"/>
        <w:rPr>
          <w:rFonts w:hint="eastAsia" w:ascii="Times New Roman" w:hAnsi="Times New Roman" w:eastAsia="仿宋_GB2312" w:cs="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jc w:val="center"/>
        <w:textAlignment w:val="auto"/>
        <w:outlineLvl w:val="9"/>
        <w:rPr>
          <w:rFonts w:hint="eastAsia" w:ascii="Times New Roman" w:hAnsi="Times New Roman" w:eastAsia="仿宋_GB2312" w:cs="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jc w:val="center"/>
        <w:textAlignment w:val="auto"/>
        <w:outlineLvl w:val="9"/>
        <w:rPr>
          <w:rFonts w:hint="eastAsia" w:ascii="Times New Roman" w:hAnsi="Times New Roman" w:eastAsia="仿宋_GB2312" w:cs="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jc w:val="center"/>
        <w:textAlignment w:val="auto"/>
        <w:outlineLvl w:val="9"/>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（图1：</w:t>
      </w:r>
      <w:r>
        <w:rPr>
          <w:rFonts w:hint="eastAsia" w:ascii="Times New Roman" w:hAnsi="Times New Roman" w:eastAsia="仿宋_GB2312" w:cs="仿宋_GB2312"/>
          <w:color w:val="auto"/>
          <w:sz w:val="32"/>
          <w:szCs w:val="32"/>
          <w:highlight w:val="none"/>
          <w:lang w:eastAsia="zh-CN"/>
        </w:rPr>
        <w:t>收入</w:t>
      </w:r>
      <w:r>
        <w:rPr>
          <w:rFonts w:hint="eastAsia" w:ascii="Times New Roman" w:hAnsi="Times New Roman" w:eastAsia="仿宋_GB2312" w:cs="仿宋_GB2312"/>
          <w:color w:val="auto"/>
          <w:sz w:val="32"/>
          <w:szCs w:val="32"/>
          <w:highlight w:val="none"/>
        </w:rPr>
        <w:t>、</w:t>
      </w:r>
      <w:r>
        <w:rPr>
          <w:rFonts w:hint="eastAsia" w:ascii="Times New Roman" w:hAnsi="Times New Roman" w:eastAsia="仿宋_GB2312" w:cs="仿宋_GB2312"/>
          <w:color w:val="auto"/>
          <w:sz w:val="32"/>
          <w:szCs w:val="32"/>
          <w:highlight w:val="none"/>
          <w:lang w:eastAsia="zh-CN"/>
        </w:rPr>
        <w:t>支出</w:t>
      </w:r>
      <w:r>
        <w:rPr>
          <w:rFonts w:hint="eastAsia" w:ascii="Times New Roman" w:hAnsi="Times New Roman" w:eastAsia="仿宋_GB2312" w:cs="仿宋_GB2312"/>
          <w:color w:val="auto"/>
          <w:sz w:val="32"/>
          <w:szCs w:val="32"/>
          <w:highlight w:val="none"/>
        </w:rPr>
        <w:t>决算总计变动情况图）</w:t>
      </w:r>
    </w:p>
    <w:p>
      <w:pPr>
        <w:keepNext w:val="0"/>
        <w:keepLines w:val="0"/>
        <w:pageBreakBefore w:val="0"/>
        <w:widowControl w:val="0"/>
        <w:kinsoku/>
        <w:wordWrap/>
        <w:overflowPunct/>
        <w:topLinePunct w:val="0"/>
        <w:autoSpaceDE/>
        <w:autoSpaceDN/>
        <w:bidi w:val="0"/>
        <w:adjustRightInd/>
        <w:snapToGrid/>
        <w:spacing w:line="600" w:lineRule="exact"/>
        <w:ind w:left="0"/>
        <w:jc w:val="center"/>
        <w:textAlignment w:val="auto"/>
        <w:outlineLvl w:val="9"/>
        <w:rPr>
          <w:rFonts w:hint="eastAsia" w:ascii="Times New Roman" w:hAnsi="Times New Roman" w:eastAsia="仿宋_GB2312" w:cs="仿宋_GB2312"/>
          <w:color w:val="auto"/>
          <w:sz w:val="32"/>
          <w:szCs w:val="32"/>
          <w:highlight w:val="none"/>
          <w:lang w:eastAsia="zh-CN"/>
        </w:rPr>
      </w:pPr>
    </w:p>
    <w:p>
      <w:pPr>
        <w:pStyle w:val="27"/>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firstLine="640" w:firstLineChars="200"/>
        <w:textAlignment w:val="auto"/>
        <w:outlineLvl w:val="1"/>
        <w:rPr>
          <w:rFonts w:hint="eastAsia" w:ascii="Times New Roman" w:hAnsi="Times New Roman" w:eastAsia="黑体"/>
          <w:color w:val="auto"/>
          <w:sz w:val="32"/>
          <w:szCs w:val="32"/>
          <w:highlight w:val="none"/>
          <w:lang w:eastAsia="zh-CN"/>
        </w:rPr>
      </w:pPr>
      <w:bookmarkStart w:id="25" w:name="_Toc1240623420"/>
      <w:bookmarkStart w:id="26" w:name="_Toc15396604"/>
      <w:bookmarkStart w:id="27" w:name="_Toc15377206"/>
      <w:r>
        <w:rPr>
          <w:rFonts w:hint="eastAsia" w:ascii="Times New Roman" w:hAnsi="Times New Roman" w:eastAsia="黑体"/>
          <w:color w:val="auto"/>
          <w:sz w:val="32"/>
          <w:szCs w:val="32"/>
          <w:highlight w:val="none"/>
          <w:lang w:eastAsia="zh-CN"/>
        </w:rPr>
        <w:t>二、收入决算情况说明</w:t>
      </w:r>
      <w:bookmarkEnd w:id="25"/>
      <w:bookmarkEnd w:id="26"/>
      <w:bookmarkEnd w:id="27"/>
    </w:p>
    <w:p>
      <w:pPr>
        <w:pStyle w:val="27"/>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firstLine="640" w:firstLineChars="200"/>
        <w:jc w:val="left"/>
        <w:textAlignment w:val="auto"/>
        <w:outlineLvl w:val="9"/>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2024年度本年收入合计</w:t>
      </w:r>
      <w:r>
        <w:rPr>
          <w:rFonts w:hint="default" w:ascii="Times New Roman" w:hAnsi="Times New Roman" w:eastAsia="仿宋_GB2312" w:cs="Times New Roman"/>
          <w:sz w:val="32"/>
          <w:szCs w:val="32"/>
        </w:rPr>
        <w:t>390.74万元，其中：一般公共预算财政拨款收入367.83</w:t>
      </w:r>
      <w:r>
        <w:rPr>
          <w:rFonts w:hint="default" w:ascii="Times New Roman" w:hAnsi="Times New Roman" w:eastAsia="仿宋_GB2312" w:cs="Times New Roman"/>
          <w:color w:val="auto"/>
          <w:sz w:val="32"/>
          <w:szCs w:val="32"/>
          <w:highlight w:val="none"/>
          <w:lang w:eastAsia="zh-CN"/>
        </w:rPr>
        <w:t>万元，占</w:t>
      </w:r>
      <w:r>
        <w:rPr>
          <w:rFonts w:hint="default" w:ascii="Times New Roman" w:hAnsi="Times New Roman" w:eastAsia="仿宋_GB2312" w:cs="Times New Roman"/>
          <w:sz w:val="32"/>
          <w:szCs w:val="32"/>
        </w:rPr>
        <w:t>94.1</w:t>
      </w:r>
      <w:r>
        <w:rPr>
          <w:rFonts w:hint="default" w:ascii="Times New Roman" w:hAnsi="Times New Roman" w:eastAsia="仿宋_GB2312" w:cs="Times New Roman"/>
          <w:color w:val="auto"/>
          <w:sz w:val="32"/>
          <w:szCs w:val="32"/>
          <w:highlight w:val="none"/>
          <w:lang w:eastAsia="zh-CN"/>
        </w:rPr>
        <w:t>%；经营收入</w:t>
      </w:r>
      <w:r>
        <w:rPr>
          <w:rFonts w:hint="default" w:ascii="Times New Roman" w:hAnsi="Times New Roman" w:eastAsia="仿宋_GB2312" w:cs="Times New Roman"/>
          <w:sz w:val="32"/>
          <w:szCs w:val="32"/>
        </w:rPr>
        <w:t>22.91</w:t>
      </w:r>
      <w:r>
        <w:rPr>
          <w:rFonts w:hint="default" w:ascii="Times New Roman" w:hAnsi="Times New Roman" w:eastAsia="仿宋_GB2312" w:cs="Times New Roman"/>
          <w:color w:val="auto"/>
          <w:sz w:val="32"/>
          <w:szCs w:val="32"/>
          <w:highlight w:val="none"/>
          <w:lang w:eastAsia="zh-CN"/>
        </w:rPr>
        <w:t>万元，占</w:t>
      </w:r>
      <w:r>
        <w:rPr>
          <w:rFonts w:hint="default" w:ascii="Times New Roman" w:hAnsi="Times New Roman" w:eastAsia="仿宋_GB2312" w:cs="Times New Roman"/>
          <w:sz w:val="32"/>
          <w:szCs w:val="32"/>
        </w:rPr>
        <w:t>5.</w:t>
      </w:r>
      <w:r>
        <w:rPr>
          <w:rFonts w:hint="eastAsia" w:ascii="Times New Roman" w:hAnsi="Times New Roman" w:eastAsia="仿宋_GB2312" w:cs="Times New Roman"/>
          <w:sz w:val="32"/>
          <w:szCs w:val="32"/>
          <w:lang w:val="en-US" w:eastAsia="zh-CN"/>
        </w:rPr>
        <w:t>9</w:t>
      </w:r>
      <w:r>
        <w:rPr>
          <w:rFonts w:hint="default" w:ascii="Times New Roman" w:hAnsi="Times New Roman" w:eastAsia="仿宋_GB2312" w:cs="Times New Roman"/>
          <w:color w:val="auto"/>
          <w:sz w:val="32"/>
          <w:szCs w:val="32"/>
          <w:highlight w:val="none"/>
          <w:lang w:eastAsia="zh-CN"/>
        </w:rPr>
        <w:t>%。</w:t>
      </w:r>
    </w:p>
    <w:p>
      <w:pPr>
        <w:pStyle w:val="27"/>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firstLine="640" w:firstLineChars="200"/>
        <w:jc w:val="left"/>
        <w:textAlignment w:val="auto"/>
        <w:outlineLvl w:val="9"/>
        <w:rPr>
          <w:rFonts w:hint="eastAsia" w:ascii="仿宋_GB2312" w:hAnsi="仿宋_GB2312" w:eastAsia="仿宋_GB2312" w:cs="仿宋_GB2312"/>
          <w:color w:val="auto"/>
          <w:sz w:val="32"/>
          <w:szCs w:val="32"/>
          <w:highlight w:val="none"/>
          <w:lang w:eastAsia="zh-CN"/>
        </w:rPr>
      </w:pPr>
    </w:p>
    <w:p>
      <w:pPr>
        <w:pStyle w:val="27"/>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firstLine="640" w:firstLineChars="200"/>
        <w:jc w:val="left"/>
        <w:textAlignment w:val="auto"/>
        <w:outlineLvl w:val="9"/>
        <w:rPr>
          <w:rFonts w:hint="eastAsia" w:ascii="仿宋_GB2312" w:hAnsi="仿宋_GB2312" w:eastAsia="仿宋_GB2312" w:cs="仿宋_GB2312"/>
          <w:color w:val="auto"/>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600" w:lineRule="exact"/>
        <w:ind w:left="0" w:firstLine="0" w:firstLineChars="0"/>
        <w:textAlignment w:val="auto"/>
        <w:outlineLvl w:val="9"/>
        <w:rPr>
          <w:rFonts w:hint="eastAsia" w:ascii="Times New Roman" w:hAnsi="Times New Roman" w:eastAsia="仿宋_GB2312" w:cs="仿宋_GB2312"/>
          <w:color w:val="auto"/>
          <w:sz w:val="32"/>
          <w:szCs w:val="32"/>
          <w:highlight w:val="none"/>
          <w:lang w:eastAsia="zh-CN"/>
        </w:rPr>
      </w:pPr>
    </w:p>
    <w:p>
      <w:pPr>
        <w:keepNext w:val="0"/>
        <w:keepLines w:val="0"/>
        <w:pageBreakBefore w:val="0"/>
        <w:kinsoku/>
        <w:wordWrap/>
        <w:overflowPunct/>
        <w:topLinePunct w:val="0"/>
        <w:autoSpaceDE/>
        <w:autoSpaceDN/>
        <w:bidi w:val="0"/>
        <w:spacing w:line="600" w:lineRule="exact"/>
        <w:ind w:left="0"/>
        <w:jc w:val="center"/>
        <w:textAlignment w:val="auto"/>
        <w:outlineLvl w:val="9"/>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drawing>
          <wp:anchor distT="0" distB="0" distL="114300" distR="114300" simplePos="0" relativeHeight="251665408" behindDoc="0" locked="0" layoutInCell="1" allowOverlap="1">
            <wp:simplePos x="0" y="0"/>
            <wp:positionH relativeFrom="column">
              <wp:posOffset>322580</wp:posOffset>
            </wp:positionH>
            <wp:positionV relativeFrom="paragraph">
              <wp:posOffset>113665</wp:posOffset>
            </wp:positionV>
            <wp:extent cx="4694555" cy="2580005"/>
            <wp:effectExtent l="4445" t="5080" r="6350" b="5715"/>
            <wp:wrapNone/>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p>
      <w:pPr>
        <w:keepNext w:val="0"/>
        <w:keepLines w:val="0"/>
        <w:pageBreakBefore w:val="0"/>
        <w:kinsoku/>
        <w:wordWrap/>
        <w:overflowPunct/>
        <w:topLinePunct w:val="0"/>
        <w:autoSpaceDE/>
        <w:autoSpaceDN/>
        <w:bidi w:val="0"/>
        <w:spacing w:line="600" w:lineRule="exact"/>
        <w:ind w:left="0"/>
        <w:jc w:val="center"/>
        <w:textAlignment w:val="auto"/>
        <w:outlineLvl w:val="9"/>
        <w:rPr>
          <w:rFonts w:hint="eastAsia" w:ascii="Times New Roman" w:hAnsi="Times New Roman" w:eastAsia="仿宋_GB2312" w:cs="仿宋_GB2312"/>
          <w:color w:val="auto"/>
          <w:sz w:val="32"/>
          <w:szCs w:val="32"/>
          <w:highlight w:val="none"/>
          <w:lang w:eastAsia="zh-CN"/>
        </w:rPr>
      </w:pPr>
    </w:p>
    <w:p>
      <w:pPr>
        <w:keepNext w:val="0"/>
        <w:keepLines w:val="0"/>
        <w:pageBreakBefore w:val="0"/>
        <w:kinsoku/>
        <w:wordWrap/>
        <w:overflowPunct/>
        <w:topLinePunct w:val="0"/>
        <w:autoSpaceDE/>
        <w:autoSpaceDN/>
        <w:bidi w:val="0"/>
        <w:spacing w:line="600" w:lineRule="exact"/>
        <w:ind w:left="0"/>
        <w:jc w:val="center"/>
        <w:textAlignment w:val="auto"/>
        <w:outlineLvl w:val="9"/>
        <w:rPr>
          <w:rFonts w:hint="eastAsia" w:ascii="Times New Roman" w:hAnsi="Times New Roman" w:eastAsia="仿宋_GB2312" w:cs="仿宋_GB2312"/>
          <w:color w:val="auto"/>
          <w:sz w:val="32"/>
          <w:szCs w:val="32"/>
          <w:highlight w:val="none"/>
          <w:lang w:eastAsia="zh-CN"/>
        </w:rPr>
      </w:pPr>
    </w:p>
    <w:p>
      <w:pPr>
        <w:keepNext w:val="0"/>
        <w:keepLines w:val="0"/>
        <w:pageBreakBefore w:val="0"/>
        <w:kinsoku/>
        <w:wordWrap/>
        <w:overflowPunct/>
        <w:topLinePunct w:val="0"/>
        <w:autoSpaceDE/>
        <w:autoSpaceDN/>
        <w:bidi w:val="0"/>
        <w:spacing w:line="600" w:lineRule="exact"/>
        <w:ind w:left="0"/>
        <w:jc w:val="center"/>
        <w:textAlignment w:val="auto"/>
        <w:outlineLvl w:val="9"/>
        <w:rPr>
          <w:rFonts w:hint="eastAsia" w:ascii="Times New Roman" w:hAnsi="Times New Roman" w:eastAsia="仿宋_GB2312" w:cs="仿宋_GB2312"/>
          <w:color w:val="auto"/>
          <w:sz w:val="32"/>
          <w:szCs w:val="32"/>
          <w:highlight w:val="none"/>
          <w:lang w:eastAsia="zh-CN"/>
        </w:rPr>
      </w:pPr>
    </w:p>
    <w:p>
      <w:pPr>
        <w:keepNext w:val="0"/>
        <w:keepLines w:val="0"/>
        <w:pageBreakBefore w:val="0"/>
        <w:kinsoku/>
        <w:wordWrap/>
        <w:overflowPunct/>
        <w:topLinePunct w:val="0"/>
        <w:autoSpaceDE/>
        <w:autoSpaceDN/>
        <w:bidi w:val="0"/>
        <w:spacing w:line="600" w:lineRule="exact"/>
        <w:ind w:left="0"/>
        <w:jc w:val="center"/>
        <w:textAlignment w:val="auto"/>
        <w:outlineLvl w:val="9"/>
        <w:rPr>
          <w:rFonts w:hint="eastAsia" w:ascii="Times New Roman" w:hAnsi="Times New Roman" w:eastAsia="仿宋_GB2312" w:cs="仿宋_GB2312"/>
          <w:color w:val="auto"/>
          <w:sz w:val="32"/>
          <w:szCs w:val="32"/>
          <w:highlight w:val="none"/>
          <w:lang w:eastAsia="zh-CN"/>
        </w:rPr>
      </w:pPr>
    </w:p>
    <w:p>
      <w:pPr>
        <w:keepNext w:val="0"/>
        <w:keepLines w:val="0"/>
        <w:pageBreakBefore w:val="0"/>
        <w:kinsoku/>
        <w:wordWrap/>
        <w:overflowPunct/>
        <w:topLinePunct w:val="0"/>
        <w:autoSpaceDE/>
        <w:autoSpaceDN/>
        <w:bidi w:val="0"/>
        <w:spacing w:line="600" w:lineRule="exact"/>
        <w:ind w:left="0"/>
        <w:jc w:val="both"/>
        <w:textAlignment w:val="auto"/>
        <w:outlineLvl w:val="9"/>
        <w:rPr>
          <w:rFonts w:hint="eastAsia" w:ascii="Times New Roman" w:hAnsi="Times New Roman" w:eastAsia="仿宋_GB2312" w:cs="仿宋_GB2312"/>
          <w:color w:val="auto"/>
          <w:sz w:val="32"/>
          <w:szCs w:val="32"/>
          <w:highlight w:val="none"/>
          <w:lang w:eastAsia="zh-CN"/>
        </w:rPr>
      </w:pPr>
    </w:p>
    <w:p>
      <w:pPr>
        <w:keepNext w:val="0"/>
        <w:keepLines w:val="0"/>
        <w:pageBreakBefore w:val="0"/>
        <w:kinsoku/>
        <w:wordWrap/>
        <w:overflowPunct/>
        <w:topLinePunct w:val="0"/>
        <w:autoSpaceDE/>
        <w:autoSpaceDN/>
        <w:bidi w:val="0"/>
        <w:spacing w:line="600" w:lineRule="exact"/>
        <w:ind w:left="0"/>
        <w:jc w:val="center"/>
        <w:textAlignment w:val="auto"/>
        <w:outlineLvl w:val="9"/>
        <w:rPr>
          <w:rFonts w:hint="eastAsia" w:ascii="Times New Roman" w:hAnsi="Times New Roman" w:eastAsia="仿宋_GB2312" w:cs="仿宋_GB2312"/>
          <w:color w:val="auto"/>
          <w:sz w:val="32"/>
          <w:szCs w:val="32"/>
          <w:highlight w:val="none"/>
          <w:lang w:eastAsia="zh-CN"/>
        </w:rPr>
      </w:pPr>
    </w:p>
    <w:p>
      <w:pPr>
        <w:keepNext w:val="0"/>
        <w:keepLines w:val="0"/>
        <w:pageBreakBefore w:val="0"/>
        <w:kinsoku/>
        <w:wordWrap/>
        <w:overflowPunct/>
        <w:topLinePunct w:val="0"/>
        <w:autoSpaceDE/>
        <w:autoSpaceDN/>
        <w:bidi w:val="0"/>
        <w:spacing w:line="600" w:lineRule="exact"/>
        <w:ind w:left="0"/>
        <w:jc w:val="center"/>
        <w:textAlignment w:val="auto"/>
        <w:outlineLvl w:val="9"/>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t>（图2：收入决算结构图）</w:t>
      </w:r>
    </w:p>
    <w:p>
      <w:pPr>
        <w:pStyle w:val="27"/>
        <w:keepNext w:val="0"/>
        <w:keepLines w:val="0"/>
        <w:pageBreakBefore w:val="0"/>
        <w:widowControl w:val="0"/>
        <w:numPr>
          <w:ilvl w:val="0"/>
          <w:numId w:val="0"/>
        </w:numPr>
        <w:kinsoku/>
        <w:wordWrap/>
        <w:overflowPunct/>
        <w:topLinePunct w:val="0"/>
        <w:autoSpaceDE/>
        <w:autoSpaceDN/>
        <w:bidi w:val="0"/>
        <w:adjustRightInd/>
        <w:snapToGrid/>
        <w:spacing w:line="600" w:lineRule="exact"/>
        <w:textAlignment w:val="auto"/>
        <w:outlineLvl w:val="1"/>
        <w:rPr>
          <w:rFonts w:hint="eastAsia" w:ascii="Times New Roman" w:hAnsi="Times New Roman" w:eastAsia="黑体"/>
          <w:color w:val="auto"/>
          <w:sz w:val="32"/>
          <w:szCs w:val="32"/>
          <w:highlight w:val="none"/>
          <w:lang w:eastAsia="zh-CN"/>
        </w:rPr>
      </w:pPr>
      <w:bookmarkStart w:id="28" w:name="_Toc15396605"/>
      <w:bookmarkStart w:id="29" w:name="_Toc15377207"/>
    </w:p>
    <w:p>
      <w:pPr>
        <w:pStyle w:val="27"/>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firstLine="640" w:firstLineChars="200"/>
        <w:textAlignment w:val="auto"/>
        <w:outlineLvl w:val="1"/>
        <w:rPr>
          <w:rStyle w:val="29"/>
          <w:rFonts w:hint="eastAsia" w:ascii="Times New Roman" w:hAnsi="Times New Roman" w:eastAsia="黑体"/>
          <w:b w:val="0"/>
          <w:color w:val="auto"/>
          <w:highlight w:val="none"/>
        </w:rPr>
      </w:pPr>
      <w:bookmarkStart w:id="30" w:name="_Toc2082589254"/>
      <w:r>
        <w:rPr>
          <w:rFonts w:hint="eastAsia" w:ascii="Times New Roman" w:hAnsi="Times New Roman" w:eastAsia="黑体"/>
          <w:color w:val="auto"/>
          <w:sz w:val="32"/>
          <w:szCs w:val="32"/>
          <w:highlight w:val="none"/>
          <w:lang w:eastAsia="zh-CN"/>
        </w:rPr>
        <w:t>三、</w:t>
      </w:r>
      <w:r>
        <w:rPr>
          <w:rFonts w:hint="eastAsia" w:ascii="Times New Roman" w:hAnsi="Times New Roman" w:eastAsia="黑体"/>
          <w:color w:val="auto"/>
          <w:sz w:val="32"/>
          <w:szCs w:val="32"/>
          <w:highlight w:val="none"/>
        </w:rPr>
        <w:t>支</w:t>
      </w:r>
      <w:r>
        <w:rPr>
          <w:rStyle w:val="29"/>
          <w:rFonts w:hint="eastAsia" w:ascii="Times New Roman" w:hAnsi="Times New Roman" w:eastAsia="黑体"/>
          <w:b w:val="0"/>
          <w:color w:val="auto"/>
          <w:highlight w:val="none"/>
        </w:rPr>
        <w:t>出决算情况说明</w:t>
      </w:r>
      <w:bookmarkEnd w:id="28"/>
      <w:bookmarkEnd w:id="29"/>
      <w:bookmarkEnd w:id="30"/>
    </w:p>
    <w:p>
      <w:pPr>
        <w:pStyle w:val="27"/>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firstLine="640" w:firstLineChars="200"/>
        <w:jc w:val="left"/>
        <w:textAlignment w:val="auto"/>
        <w:outlineLvl w:val="9"/>
        <w:rPr>
          <w:rFonts w:hint="eastAsia" w:ascii="仿宋_GB2312" w:hAnsi="仿宋_GB2312" w:eastAsia="仿宋_GB2312" w:cs="仿宋_GB2312"/>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2024年度本年支出合计</w:t>
      </w:r>
      <w:r>
        <w:rPr>
          <w:rFonts w:hint="default" w:ascii="Times New Roman" w:hAnsi="Times New Roman" w:eastAsia="仿宋_GB2312" w:cs="Times New Roman"/>
          <w:sz w:val="32"/>
          <w:szCs w:val="32"/>
        </w:rPr>
        <w:t>390.74</w:t>
      </w:r>
      <w:r>
        <w:rPr>
          <w:rFonts w:hint="default" w:ascii="Times New Roman" w:hAnsi="Times New Roman" w:eastAsia="仿宋_GB2312" w:cs="Times New Roman"/>
          <w:color w:val="auto"/>
          <w:sz w:val="32"/>
          <w:szCs w:val="32"/>
          <w:highlight w:val="none"/>
          <w:lang w:eastAsia="zh-CN"/>
        </w:rPr>
        <w:t>万元，其中：基本支出</w:t>
      </w:r>
      <w:r>
        <w:rPr>
          <w:rFonts w:hint="default" w:ascii="Times New Roman" w:hAnsi="Times New Roman" w:eastAsia="仿宋_GB2312" w:cs="Times New Roman"/>
          <w:sz w:val="32"/>
          <w:szCs w:val="32"/>
        </w:rPr>
        <w:t>11.98</w:t>
      </w:r>
      <w:r>
        <w:rPr>
          <w:rFonts w:hint="default" w:ascii="Times New Roman" w:hAnsi="Times New Roman" w:eastAsia="仿宋_GB2312" w:cs="Times New Roman"/>
          <w:color w:val="auto"/>
          <w:sz w:val="32"/>
          <w:szCs w:val="32"/>
          <w:highlight w:val="none"/>
          <w:lang w:eastAsia="zh-CN"/>
        </w:rPr>
        <w:t>万元，占</w:t>
      </w:r>
      <w:r>
        <w:rPr>
          <w:rFonts w:hint="default" w:ascii="Times New Roman" w:hAnsi="Times New Roman" w:eastAsia="仿宋_GB2312" w:cs="Times New Roman"/>
          <w:sz w:val="32"/>
          <w:szCs w:val="32"/>
        </w:rPr>
        <w:t>3</w:t>
      </w:r>
      <w:r>
        <w:rPr>
          <w:rFonts w:hint="default" w:ascii="Times New Roman" w:hAnsi="Times New Roman" w:eastAsia="仿宋_GB2312" w:cs="Times New Roman"/>
          <w:color w:val="auto"/>
          <w:sz w:val="32"/>
          <w:szCs w:val="32"/>
          <w:highlight w:val="none"/>
          <w:lang w:eastAsia="zh-CN"/>
        </w:rPr>
        <w:t>%；项目支出</w:t>
      </w:r>
      <w:r>
        <w:rPr>
          <w:rFonts w:hint="default" w:ascii="Times New Roman" w:hAnsi="Times New Roman" w:eastAsia="仿宋_GB2312" w:cs="Times New Roman"/>
          <w:sz w:val="32"/>
          <w:szCs w:val="32"/>
        </w:rPr>
        <w:t>355.85</w:t>
      </w:r>
      <w:r>
        <w:rPr>
          <w:rFonts w:hint="default" w:ascii="Times New Roman" w:hAnsi="Times New Roman" w:eastAsia="仿宋_GB2312" w:cs="Times New Roman"/>
          <w:color w:val="auto"/>
          <w:sz w:val="32"/>
          <w:szCs w:val="32"/>
          <w:highlight w:val="none"/>
          <w:lang w:eastAsia="zh-CN"/>
        </w:rPr>
        <w:t>万元，占</w:t>
      </w:r>
      <w:r>
        <w:rPr>
          <w:rFonts w:hint="default" w:ascii="Times New Roman" w:hAnsi="Times New Roman" w:eastAsia="仿宋_GB2312" w:cs="Times New Roman"/>
          <w:sz w:val="32"/>
          <w:szCs w:val="32"/>
        </w:rPr>
        <w:t>91.</w:t>
      </w:r>
      <w:r>
        <w:rPr>
          <w:rFonts w:hint="eastAsia" w:ascii="Times New Roman" w:hAnsi="Times New Roman" w:eastAsia="仿宋_GB2312" w:cs="Times New Roman"/>
          <w:sz w:val="32"/>
          <w:szCs w:val="32"/>
          <w:lang w:val="en-US" w:eastAsia="zh-CN"/>
        </w:rPr>
        <w:t>1</w:t>
      </w:r>
      <w:r>
        <w:rPr>
          <w:rFonts w:hint="default" w:ascii="Times New Roman" w:hAnsi="Times New Roman" w:eastAsia="仿宋_GB2312" w:cs="Times New Roman"/>
          <w:color w:val="auto"/>
          <w:sz w:val="32"/>
          <w:szCs w:val="32"/>
          <w:highlight w:val="none"/>
          <w:lang w:eastAsia="zh-CN"/>
        </w:rPr>
        <w:t>%；经营支出</w:t>
      </w:r>
      <w:r>
        <w:rPr>
          <w:rFonts w:hint="default" w:ascii="Times New Roman" w:hAnsi="Times New Roman" w:eastAsia="仿宋_GB2312" w:cs="Times New Roman"/>
          <w:sz w:val="32"/>
          <w:szCs w:val="32"/>
        </w:rPr>
        <w:t>22.91</w:t>
      </w:r>
      <w:r>
        <w:rPr>
          <w:rFonts w:hint="default" w:ascii="Times New Roman" w:hAnsi="Times New Roman" w:eastAsia="仿宋_GB2312" w:cs="Times New Roman"/>
          <w:color w:val="auto"/>
          <w:sz w:val="32"/>
          <w:szCs w:val="32"/>
          <w:highlight w:val="none"/>
          <w:lang w:eastAsia="zh-CN"/>
        </w:rPr>
        <w:t>万元，占</w:t>
      </w:r>
      <w:r>
        <w:rPr>
          <w:rFonts w:hint="default" w:ascii="Times New Roman" w:hAnsi="Times New Roman" w:eastAsia="仿宋_GB2312" w:cs="Times New Roman"/>
          <w:sz w:val="32"/>
          <w:szCs w:val="32"/>
        </w:rPr>
        <w:t>5.</w:t>
      </w:r>
      <w:r>
        <w:rPr>
          <w:rFonts w:hint="eastAsia" w:ascii="Times New Roman" w:hAnsi="Times New Roman" w:eastAsia="仿宋_GB2312" w:cs="Times New Roman"/>
          <w:sz w:val="32"/>
          <w:szCs w:val="32"/>
          <w:lang w:val="en-US" w:eastAsia="zh-CN"/>
        </w:rPr>
        <w:t>9</w:t>
      </w:r>
      <w:r>
        <w:rPr>
          <w:rFonts w:hint="default" w:ascii="Times New Roman" w:hAnsi="Times New Roman" w:eastAsia="仿宋_GB2312" w:cs="Times New Roman"/>
          <w:color w:val="auto"/>
          <w:sz w:val="32"/>
          <w:szCs w:val="32"/>
          <w:highlight w:val="none"/>
          <w:lang w:eastAsia="zh-CN"/>
        </w:rPr>
        <w:t>%。</w:t>
      </w:r>
    </w:p>
    <w:p>
      <w:pPr>
        <w:pStyle w:val="27"/>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jc w:val="center"/>
        <w:textAlignment w:val="auto"/>
        <w:outlineLvl w:val="9"/>
        <w:rPr>
          <w:rFonts w:hint="eastAsia" w:ascii="Times New Roman" w:hAnsi="Times New Roman"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drawing>
          <wp:anchor distT="0" distB="0" distL="114300" distR="114300" simplePos="0" relativeHeight="251659264" behindDoc="0" locked="0" layoutInCell="1" allowOverlap="1">
            <wp:simplePos x="0" y="0"/>
            <wp:positionH relativeFrom="column">
              <wp:posOffset>-23495</wp:posOffset>
            </wp:positionH>
            <wp:positionV relativeFrom="paragraph">
              <wp:posOffset>71120</wp:posOffset>
            </wp:positionV>
            <wp:extent cx="5256530" cy="2988310"/>
            <wp:effectExtent l="5080" t="4445" r="15240" b="17145"/>
            <wp:wrapTopAndBottom/>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r>
        <w:rPr>
          <w:rFonts w:hint="eastAsia" w:ascii="Times New Roman" w:hAnsi="Times New Roman" w:eastAsia="仿宋_GB2312" w:cs="仿宋_GB2312"/>
          <w:color w:val="auto"/>
          <w:sz w:val="32"/>
          <w:szCs w:val="32"/>
          <w:highlight w:val="none"/>
          <w:lang w:eastAsia="zh-CN"/>
        </w:rPr>
        <w:t>（图3：支出决算结构图）</w:t>
      </w:r>
    </w:p>
    <w:p>
      <w:pPr>
        <w:keepNext w:val="0"/>
        <w:keepLines w:val="0"/>
        <w:pageBreakBefore w:val="0"/>
        <w:widowControl w:val="0"/>
        <w:kinsoku/>
        <w:wordWrap/>
        <w:overflowPunct/>
        <w:topLinePunct w:val="0"/>
        <w:autoSpaceDE/>
        <w:autoSpaceDN/>
        <w:bidi w:val="0"/>
        <w:adjustRightInd/>
        <w:snapToGrid/>
        <w:spacing w:line="600" w:lineRule="exact"/>
        <w:ind w:left="0" w:firstLine="800" w:firstLineChars="250"/>
        <w:textAlignment w:val="auto"/>
        <w:outlineLvl w:val="9"/>
        <w:rPr>
          <w:rFonts w:hint="eastAsia" w:ascii="Times New Roman" w:hAnsi="Times New Roman" w:eastAsia="仿宋_GB2312" w:cs="仿宋_GB2312"/>
          <w:color w:val="auto"/>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textAlignment w:val="auto"/>
        <w:outlineLvl w:val="1"/>
        <w:rPr>
          <w:rStyle w:val="29"/>
          <w:rFonts w:ascii="Times New Roman" w:hAnsi="Times New Roman" w:eastAsia="黑体"/>
          <w:b w:val="0"/>
          <w:color w:val="auto"/>
          <w:highlight w:val="none"/>
        </w:rPr>
      </w:pPr>
      <w:bookmarkStart w:id="31" w:name="_Toc1383488222"/>
      <w:bookmarkStart w:id="32" w:name="_Toc15396606"/>
      <w:bookmarkStart w:id="33" w:name="_Toc15377208"/>
      <w:r>
        <w:rPr>
          <w:rFonts w:hint="eastAsia" w:ascii="Times New Roman" w:hAnsi="Times New Roman" w:eastAsia="黑体"/>
          <w:color w:val="auto"/>
          <w:sz w:val="32"/>
          <w:szCs w:val="32"/>
          <w:highlight w:val="none"/>
        </w:rPr>
        <w:t>四、财</w:t>
      </w:r>
      <w:r>
        <w:rPr>
          <w:rStyle w:val="29"/>
          <w:rFonts w:hint="eastAsia" w:ascii="Times New Roman" w:hAnsi="Times New Roman" w:eastAsia="黑体"/>
          <w:b w:val="0"/>
          <w:color w:val="auto"/>
          <w:highlight w:val="none"/>
        </w:rPr>
        <w:t>政拨款收入支出决算总体情况说明</w:t>
      </w:r>
      <w:bookmarkEnd w:id="31"/>
      <w:bookmarkEnd w:id="32"/>
      <w:bookmarkEnd w:id="33"/>
    </w:p>
    <w:p>
      <w:pPr>
        <w:keepNext w:val="0"/>
        <w:keepLines w:val="0"/>
        <w:pageBreakBefore w:val="0"/>
        <w:kinsoku/>
        <w:wordWrap/>
        <w:overflowPunct/>
        <w:topLinePunct w:val="0"/>
        <w:autoSpaceDE/>
        <w:autoSpaceDN/>
        <w:bidi w:val="0"/>
        <w:spacing w:line="600" w:lineRule="exact"/>
        <w:ind w:left="0" w:firstLine="640"/>
        <w:textAlignment w:val="auto"/>
        <w:outlineLvl w:val="9"/>
        <w:rPr>
          <w:rFonts w:hint="eastAsia" w:ascii="Times New Roman" w:hAnsi="Times New Roman" w:eastAsia="仿宋_GB2312" w:cs="仿宋_GB2312"/>
          <w:color w:val="auto"/>
          <w:sz w:val="32"/>
          <w:szCs w:val="32"/>
          <w:highlight w:val="none"/>
        </w:rPr>
      </w:pPr>
      <w:r>
        <w:rPr>
          <w:rFonts w:hint="default" w:ascii="Times New Roman" w:hAnsi="Times New Roman" w:eastAsia="仿宋_GB2312" w:cs="Times New Roman"/>
          <w:color w:val="auto"/>
          <w:kern w:val="2"/>
          <w:sz w:val="32"/>
          <w:szCs w:val="32"/>
          <w:highlight w:val="none"/>
          <w:lang w:val="en-US" w:eastAsia="zh-CN" w:bidi="ar-SA"/>
        </w:rPr>
        <w:t>2024年度财政拨款收入、支出总计均为</w:t>
      </w:r>
      <w:r>
        <w:rPr>
          <w:rFonts w:hint="default" w:ascii="Times New Roman" w:hAnsi="Times New Roman" w:eastAsia="仿宋_GB2312" w:cs="Times New Roman"/>
          <w:sz w:val="32"/>
          <w:szCs w:val="32"/>
        </w:rPr>
        <w:t>367.83</w:t>
      </w:r>
      <w:r>
        <w:rPr>
          <w:rFonts w:hint="default" w:ascii="Times New Roman" w:hAnsi="Times New Roman" w:eastAsia="仿宋_GB2312" w:cs="Times New Roman"/>
          <w:color w:val="auto"/>
          <w:kern w:val="2"/>
          <w:sz w:val="32"/>
          <w:szCs w:val="32"/>
          <w:highlight w:val="none"/>
          <w:lang w:val="en-US" w:eastAsia="zh-CN" w:bidi="ar-SA"/>
        </w:rPr>
        <w:t>万元</w:t>
      </w:r>
      <w:r>
        <w:rPr>
          <w:rFonts w:hint="eastAsia" w:ascii="Times New Roman" w:hAnsi="Times New Roman"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sz w:val="32"/>
          <w:szCs w:val="32"/>
          <w:highlight w:val="none"/>
        </w:rPr>
        <w:t>由于</w:t>
      </w:r>
      <w:r>
        <w:rPr>
          <w:rFonts w:hint="eastAsia" w:eastAsia="仿宋_GB2312" w:cs="仿宋_GB2312"/>
          <w:color w:val="auto"/>
          <w:sz w:val="32"/>
          <w:szCs w:val="32"/>
          <w:highlight w:val="none"/>
          <w:lang w:eastAsia="zh-CN"/>
        </w:rPr>
        <w:t>四川省酒业研究和发展</w:t>
      </w:r>
      <w:r>
        <w:rPr>
          <w:rFonts w:hint="eastAsia" w:ascii="Times New Roman" w:hAnsi="Times New Roman" w:eastAsia="仿宋_GB2312" w:cs="仿宋_GB2312"/>
          <w:color w:val="auto"/>
          <w:sz w:val="32"/>
          <w:szCs w:val="32"/>
          <w:highlight w:val="none"/>
        </w:rPr>
        <w:t>中心2024年新成立，无法比较</w:t>
      </w:r>
      <w:r>
        <w:rPr>
          <w:rFonts w:hint="eastAsia" w:ascii="Times New Roman" w:hAnsi="Times New Roman" w:eastAsia="仿宋_GB2312" w:cs="仿宋_GB2312"/>
          <w:color w:val="auto"/>
          <w:kern w:val="2"/>
          <w:sz w:val="32"/>
          <w:szCs w:val="32"/>
          <w:highlight w:val="none"/>
          <w:lang w:val="en-US" w:eastAsia="zh-CN" w:bidi="ar-SA"/>
        </w:rPr>
        <w:t>财政拨款收入总计、支出总计</w:t>
      </w:r>
      <w:r>
        <w:rPr>
          <w:rFonts w:hint="eastAsia" w:ascii="Times New Roman" w:hAnsi="Times New Roman" w:eastAsia="仿宋_GB2312" w:cs="仿宋_GB2312"/>
          <w:color w:val="auto"/>
          <w:sz w:val="32"/>
          <w:szCs w:val="32"/>
          <w:highlight w:val="none"/>
        </w:rPr>
        <w:t>变化情况。</w:t>
      </w:r>
    </w:p>
    <w:p>
      <w:pPr>
        <w:keepNext w:val="0"/>
        <w:keepLines w:val="0"/>
        <w:pageBreakBefore w:val="0"/>
        <w:kinsoku/>
        <w:wordWrap/>
        <w:overflowPunct/>
        <w:topLinePunct w:val="0"/>
        <w:autoSpaceDE/>
        <w:autoSpaceDN/>
        <w:bidi w:val="0"/>
        <w:spacing w:line="600" w:lineRule="exact"/>
        <w:ind w:left="0"/>
        <w:jc w:val="center"/>
        <w:textAlignment w:val="auto"/>
        <w:outlineLvl w:val="9"/>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sz w:val="32"/>
          <w:szCs w:val="32"/>
          <w:highlight w:val="none"/>
          <w:lang w:val="en-US" w:eastAsia="zh-CN"/>
        </w:rPr>
        <w:drawing>
          <wp:anchor distT="0" distB="0" distL="114300" distR="114300" simplePos="0" relativeHeight="251660288" behindDoc="0" locked="0" layoutInCell="1" allowOverlap="1">
            <wp:simplePos x="0" y="0"/>
            <wp:positionH relativeFrom="column">
              <wp:posOffset>-23495</wp:posOffset>
            </wp:positionH>
            <wp:positionV relativeFrom="paragraph">
              <wp:posOffset>175895</wp:posOffset>
            </wp:positionV>
            <wp:extent cx="5256530" cy="2988310"/>
            <wp:effectExtent l="5080" t="4445" r="15240" b="17145"/>
            <wp:wrapTopAndBottom/>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r>
        <w:rPr>
          <w:rFonts w:hint="eastAsia" w:ascii="Times New Roman" w:hAnsi="Times New Roman" w:eastAsia="仿宋_GB2312" w:cs="仿宋_GB2312"/>
          <w:color w:val="auto"/>
          <w:kern w:val="2"/>
          <w:sz w:val="32"/>
          <w:szCs w:val="32"/>
          <w:highlight w:val="none"/>
          <w:lang w:val="en-US" w:eastAsia="zh-CN" w:bidi="ar-SA"/>
        </w:rPr>
        <w:t>（图4：财政拨款收、支决算总计变动情况）</w:t>
      </w:r>
    </w:p>
    <w:p>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textAlignment w:val="auto"/>
        <w:outlineLvl w:val="1"/>
        <w:rPr>
          <w:rFonts w:hint="eastAsia" w:ascii="Times New Roman" w:hAnsi="Times New Roman" w:eastAsia="黑体"/>
          <w:color w:val="auto"/>
          <w:sz w:val="32"/>
          <w:szCs w:val="32"/>
          <w:highlight w:val="none"/>
        </w:rPr>
      </w:pPr>
      <w:bookmarkStart w:id="34" w:name="_Toc15377209"/>
      <w:bookmarkStart w:id="35" w:name="_Toc15396607"/>
    </w:p>
    <w:p>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textAlignment w:val="auto"/>
        <w:outlineLvl w:val="1"/>
        <w:rPr>
          <w:rStyle w:val="29"/>
          <w:rFonts w:ascii="Times New Roman" w:hAnsi="Times New Roman" w:eastAsia="黑体"/>
          <w:b w:val="0"/>
          <w:color w:val="auto"/>
          <w:highlight w:val="none"/>
        </w:rPr>
      </w:pPr>
      <w:bookmarkStart w:id="36" w:name="_Toc783825924"/>
      <w:r>
        <w:rPr>
          <w:rFonts w:hint="eastAsia" w:ascii="Times New Roman" w:hAnsi="Times New Roman" w:eastAsia="黑体"/>
          <w:color w:val="auto"/>
          <w:sz w:val="32"/>
          <w:szCs w:val="32"/>
          <w:highlight w:val="none"/>
        </w:rPr>
        <w:t>五、</w:t>
      </w:r>
      <w:r>
        <w:rPr>
          <w:rFonts w:hint="eastAsia" w:ascii="Times New Roman" w:hAnsi="Times New Roman" w:eastAsia="黑体"/>
          <w:b/>
          <w:color w:val="auto"/>
          <w:sz w:val="32"/>
          <w:szCs w:val="32"/>
          <w:highlight w:val="none"/>
        </w:rPr>
        <w:t>一</w:t>
      </w:r>
      <w:r>
        <w:rPr>
          <w:rStyle w:val="29"/>
          <w:rFonts w:hint="eastAsia" w:ascii="Times New Roman" w:hAnsi="Times New Roman" w:eastAsia="黑体"/>
          <w:b w:val="0"/>
          <w:color w:val="auto"/>
          <w:highlight w:val="none"/>
        </w:rPr>
        <w:t>般公共预算财政拨款支出决算情况说明</w:t>
      </w:r>
      <w:bookmarkEnd w:id="34"/>
      <w:bookmarkEnd w:id="35"/>
      <w:bookmarkEnd w:id="36"/>
    </w:p>
    <w:p>
      <w:pPr>
        <w:keepNext w:val="0"/>
        <w:keepLines w:val="0"/>
        <w:pageBreakBefore w:val="0"/>
        <w:kinsoku/>
        <w:wordWrap/>
        <w:overflowPunct/>
        <w:topLinePunct w:val="0"/>
        <w:autoSpaceDE/>
        <w:autoSpaceDN/>
        <w:bidi w:val="0"/>
        <w:spacing w:line="600" w:lineRule="exact"/>
        <w:ind w:left="0" w:firstLine="642" w:firstLineChars="200"/>
        <w:textAlignment w:val="auto"/>
        <w:outlineLvl w:val="9"/>
        <w:rPr>
          <w:rFonts w:hint="eastAsia" w:ascii="Times New Roman" w:hAnsi="Times New Roman" w:eastAsia="楷体_GB2312" w:cs="楷体_GB2312"/>
          <w:b/>
          <w:color w:val="auto"/>
          <w:sz w:val="32"/>
          <w:szCs w:val="32"/>
          <w:highlight w:val="none"/>
        </w:rPr>
      </w:pPr>
      <w:bookmarkStart w:id="37" w:name="_Toc15377210"/>
      <w:r>
        <w:rPr>
          <w:rFonts w:hint="eastAsia" w:ascii="Times New Roman" w:hAnsi="Times New Roman" w:eastAsia="楷体_GB2312" w:cs="楷体_GB2312"/>
          <w:b/>
          <w:color w:val="auto"/>
          <w:sz w:val="32"/>
          <w:szCs w:val="32"/>
          <w:highlight w:val="none"/>
        </w:rPr>
        <w:t>（一）一般公共预算财政拨款支出决算总体情况</w:t>
      </w:r>
      <w:bookmarkEnd w:id="37"/>
    </w:p>
    <w:p>
      <w:pPr>
        <w:keepNext w:val="0"/>
        <w:keepLines w:val="0"/>
        <w:pageBreakBefore w:val="0"/>
        <w:kinsoku/>
        <w:wordWrap/>
        <w:overflowPunct/>
        <w:topLinePunct w:val="0"/>
        <w:autoSpaceDE/>
        <w:autoSpaceDN/>
        <w:bidi w:val="0"/>
        <w:spacing w:line="600" w:lineRule="exact"/>
        <w:ind w:left="0" w:firstLine="640"/>
        <w:textAlignment w:val="auto"/>
        <w:outlineLvl w:val="9"/>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kern w:val="2"/>
          <w:sz w:val="32"/>
          <w:szCs w:val="32"/>
          <w:highlight w:val="none"/>
          <w:lang w:val="en-US" w:eastAsia="zh-CN" w:bidi="ar-SA"/>
        </w:rPr>
        <w:t>2024年度一般公共预算财政拨款支出</w:t>
      </w:r>
      <w:r>
        <w:rPr>
          <w:rFonts w:hint="default" w:ascii="Times New Roman" w:hAnsi="Times New Roman" w:eastAsia="仿宋_GB2312" w:cs="Times New Roman"/>
          <w:sz w:val="32"/>
          <w:szCs w:val="32"/>
        </w:rPr>
        <w:t>367.83</w:t>
      </w:r>
      <w:r>
        <w:rPr>
          <w:rFonts w:hint="default" w:ascii="Times New Roman" w:hAnsi="Times New Roman" w:eastAsia="仿宋_GB2312" w:cs="Times New Roman"/>
          <w:color w:val="auto"/>
          <w:kern w:val="2"/>
          <w:sz w:val="32"/>
          <w:szCs w:val="32"/>
          <w:highlight w:val="none"/>
          <w:lang w:val="en-US" w:eastAsia="zh-CN" w:bidi="ar-SA"/>
        </w:rPr>
        <w:t>万元，占本年支出合计的</w:t>
      </w:r>
      <w:r>
        <w:rPr>
          <w:rFonts w:hint="default" w:ascii="Times New Roman" w:hAnsi="Times New Roman" w:eastAsia="仿宋_GB2312" w:cs="Times New Roman"/>
          <w:sz w:val="32"/>
          <w:szCs w:val="32"/>
        </w:rPr>
        <w:t>94.</w:t>
      </w:r>
      <w:r>
        <w:rPr>
          <w:rFonts w:hint="eastAsia" w:ascii="Times New Roman" w:hAnsi="Times New Roman" w:eastAsia="仿宋_GB2312" w:cs="Times New Roman"/>
          <w:sz w:val="32"/>
          <w:szCs w:val="32"/>
          <w:lang w:val="en-US" w:eastAsia="zh-CN"/>
        </w:rPr>
        <w:t>1</w:t>
      </w:r>
      <w:r>
        <w:rPr>
          <w:rFonts w:hint="default" w:ascii="Times New Roman" w:hAnsi="Times New Roman" w:eastAsia="仿宋_GB2312" w:cs="Times New Roman"/>
          <w:color w:val="auto"/>
          <w:kern w:val="2"/>
          <w:sz w:val="32"/>
          <w:szCs w:val="32"/>
          <w:highlight w:val="none"/>
          <w:lang w:val="en-US" w:eastAsia="zh-CN" w:bidi="ar-SA"/>
        </w:rPr>
        <w:t>%。</w:t>
      </w:r>
      <w:r>
        <w:rPr>
          <w:rFonts w:hint="default" w:ascii="Times New Roman" w:hAnsi="Times New Roman" w:eastAsia="仿宋_GB2312" w:cs="Times New Roman"/>
          <w:color w:val="auto"/>
          <w:sz w:val="32"/>
          <w:szCs w:val="32"/>
          <w:highlight w:val="none"/>
        </w:rPr>
        <w:t>由于</w:t>
      </w:r>
      <w:r>
        <w:rPr>
          <w:rFonts w:hint="default" w:ascii="Times New Roman" w:hAnsi="Times New Roman" w:eastAsia="仿宋_GB2312" w:cs="Times New Roman"/>
          <w:color w:val="auto"/>
          <w:sz w:val="32"/>
          <w:szCs w:val="32"/>
          <w:highlight w:val="none"/>
          <w:lang w:eastAsia="zh-CN"/>
        </w:rPr>
        <w:t>四川省酒业研究和发展</w:t>
      </w:r>
      <w:r>
        <w:rPr>
          <w:rFonts w:hint="default" w:ascii="Times New Roman" w:hAnsi="Times New Roman" w:eastAsia="仿宋_GB2312" w:cs="Times New Roman"/>
          <w:color w:val="auto"/>
          <w:sz w:val="32"/>
          <w:szCs w:val="32"/>
          <w:highlight w:val="none"/>
        </w:rPr>
        <w:t>中心2024年新成立，无法比较</w:t>
      </w:r>
      <w:r>
        <w:rPr>
          <w:rFonts w:hint="default" w:ascii="Times New Roman" w:hAnsi="Times New Roman" w:eastAsia="仿宋_GB2312" w:cs="Times New Roman"/>
          <w:color w:val="auto"/>
          <w:kern w:val="2"/>
          <w:sz w:val="32"/>
          <w:szCs w:val="32"/>
          <w:highlight w:val="none"/>
          <w:lang w:val="en-US" w:eastAsia="zh-CN" w:bidi="ar-SA"/>
        </w:rPr>
        <w:t>一般公共预算财政拨款支出</w:t>
      </w:r>
      <w:r>
        <w:rPr>
          <w:rFonts w:hint="default" w:ascii="Times New Roman" w:hAnsi="Times New Roman" w:eastAsia="仿宋_GB2312" w:cs="Times New Roman"/>
          <w:color w:val="auto"/>
          <w:sz w:val="32"/>
          <w:szCs w:val="32"/>
          <w:highlight w:val="none"/>
        </w:rPr>
        <w:t>变化情况。</w:t>
      </w:r>
    </w:p>
    <w:p>
      <w:pPr>
        <w:keepNext w:val="0"/>
        <w:keepLines w:val="0"/>
        <w:pageBreakBefore w:val="0"/>
        <w:kinsoku/>
        <w:wordWrap/>
        <w:overflowPunct/>
        <w:topLinePunct w:val="0"/>
        <w:autoSpaceDE/>
        <w:autoSpaceDN/>
        <w:bidi w:val="0"/>
        <w:spacing w:line="600" w:lineRule="exact"/>
        <w:ind w:left="0"/>
        <w:jc w:val="center"/>
        <w:textAlignment w:val="auto"/>
        <w:outlineLvl w:val="9"/>
        <w:rPr>
          <w:rFonts w:hint="eastAsia" w:ascii="Times New Roman" w:hAnsi="Times New Roman" w:eastAsia="仿宋_GB2312" w:cs="仿宋_GB2312"/>
          <w:color w:val="auto"/>
          <w:kern w:val="2"/>
          <w:sz w:val="32"/>
          <w:szCs w:val="32"/>
          <w:highlight w:val="none"/>
          <w:lang w:val="en-US" w:eastAsia="zh-CN" w:bidi="ar-SA"/>
        </w:rPr>
      </w:pPr>
    </w:p>
    <w:p>
      <w:pPr>
        <w:keepNext w:val="0"/>
        <w:keepLines w:val="0"/>
        <w:pageBreakBefore w:val="0"/>
        <w:kinsoku/>
        <w:wordWrap/>
        <w:overflowPunct/>
        <w:topLinePunct w:val="0"/>
        <w:autoSpaceDE/>
        <w:autoSpaceDN/>
        <w:bidi w:val="0"/>
        <w:spacing w:line="600" w:lineRule="exact"/>
        <w:ind w:left="0"/>
        <w:jc w:val="center"/>
        <w:textAlignment w:val="auto"/>
        <w:outlineLvl w:val="9"/>
        <w:rPr>
          <w:rFonts w:hint="eastAsia" w:ascii="Times New Roman" w:hAnsi="Times New Roman" w:eastAsia="仿宋_GB2312" w:cs="仿宋_GB2312"/>
          <w:color w:val="auto"/>
          <w:kern w:val="2"/>
          <w:sz w:val="32"/>
          <w:szCs w:val="32"/>
          <w:highlight w:val="none"/>
          <w:lang w:val="en-US" w:eastAsia="zh-CN" w:bidi="ar-SA"/>
        </w:rPr>
      </w:pPr>
    </w:p>
    <w:p>
      <w:pPr>
        <w:keepNext w:val="0"/>
        <w:keepLines w:val="0"/>
        <w:pageBreakBefore w:val="0"/>
        <w:kinsoku/>
        <w:wordWrap/>
        <w:overflowPunct/>
        <w:topLinePunct w:val="0"/>
        <w:autoSpaceDE/>
        <w:autoSpaceDN/>
        <w:bidi w:val="0"/>
        <w:spacing w:line="600" w:lineRule="exact"/>
        <w:ind w:left="0"/>
        <w:jc w:val="center"/>
        <w:textAlignment w:val="auto"/>
        <w:outlineLvl w:val="9"/>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sz w:val="32"/>
          <w:szCs w:val="32"/>
          <w:highlight w:val="none"/>
          <w:lang w:val="en-US" w:eastAsia="zh-CN"/>
        </w:rPr>
        <w:drawing>
          <wp:anchor distT="0" distB="0" distL="114300" distR="114300" simplePos="0" relativeHeight="251661312" behindDoc="0" locked="0" layoutInCell="1" allowOverlap="1">
            <wp:simplePos x="0" y="0"/>
            <wp:positionH relativeFrom="column">
              <wp:posOffset>62230</wp:posOffset>
            </wp:positionH>
            <wp:positionV relativeFrom="paragraph">
              <wp:posOffset>-14605</wp:posOffset>
            </wp:positionV>
            <wp:extent cx="5256530" cy="2988310"/>
            <wp:effectExtent l="5080" t="4445" r="15240" b="17145"/>
            <wp:wrapTopAndBottom/>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r>
        <w:rPr>
          <w:rFonts w:hint="eastAsia" w:ascii="Times New Roman" w:hAnsi="Times New Roman" w:eastAsia="仿宋_GB2312" w:cs="仿宋_GB2312"/>
          <w:color w:val="auto"/>
          <w:kern w:val="2"/>
          <w:sz w:val="32"/>
          <w:szCs w:val="32"/>
          <w:highlight w:val="none"/>
          <w:lang w:val="en-US" w:eastAsia="zh-CN" w:bidi="ar-SA"/>
        </w:rPr>
        <w:t>（图5：一般公共预算财政拨款支出决算变动情况）</w:t>
      </w:r>
    </w:p>
    <w:p>
      <w:pPr>
        <w:keepNext w:val="0"/>
        <w:keepLines w:val="0"/>
        <w:pageBreakBefore w:val="0"/>
        <w:kinsoku/>
        <w:wordWrap/>
        <w:overflowPunct/>
        <w:topLinePunct w:val="0"/>
        <w:autoSpaceDE/>
        <w:autoSpaceDN/>
        <w:bidi w:val="0"/>
        <w:spacing w:line="600" w:lineRule="exact"/>
        <w:ind w:left="0" w:firstLine="642" w:firstLineChars="200"/>
        <w:textAlignment w:val="auto"/>
        <w:outlineLvl w:val="9"/>
        <w:rPr>
          <w:rFonts w:hint="eastAsia" w:ascii="Times New Roman" w:hAnsi="Times New Roman" w:eastAsia="楷体_GB2312" w:cs="楷体_GB2312"/>
          <w:b/>
          <w:color w:val="auto"/>
          <w:sz w:val="32"/>
          <w:szCs w:val="32"/>
          <w:highlight w:val="none"/>
        </w:rPr>
      </w:pPr>
      <w:bookmarkStart w:id="38" w:name="_Toc15377211"/>
      <w:r>
        <w:rPr>
          <w:rFonts w:hint="eastAsia" w:ascii="Times New Roman" w:hAnsi="Times New Roman" w:eastAsia="楷体_GB2312" w:cs="楷体_GB2312"/>
          <w:b/>
          <w:color w:val="auto"/>
          <w:sz w:val="32"/>
          <w:szCs w:val="32"/>
          <w:highlight w:val="none"/>
        </w:rPr>
        <w:t>（二）一般公共预算财政拨款支出决算结构情况</w:t>
      </w:r>
      <w:bookmarkEnd w:id="38"/>
    </w:p>
    <w:p>
      <w:pPr>
        <w:keepNext w:val="0"/>
        <w:keepLines w:val="0"/>
        <w:pageBreakBefore w:val="0"/>
        <w:kinsoku/>
        <w:wordWrap/>
        <w:overflowPunct/>
        <w:topLinePunct w:val="0"/>
        <w:autoSpaceDE/>
        <w:autoSpaceDN/>
        <w:bidi w:val="0"/>
        <w:spacing w:line="600" w:lineRule="exact"/>
        <w:ind w:left="0" w:firstLine="640"/>
        <w:textAlignment w:val="auto"/>
        <w:outlineLvl w:val="9"/>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2024年度一般公共预算财政拨款支出</w:t>
      </w:r>
      <w:r>
        <w:rPr>
          <w:rFonts w:hint="default" w:ascii="Times New Roman" w:hAnsi="Times New Roman" w:eastAsia="仿宋_GB2312" w:cs="Times New Roman"/>
          <w:sz w:val="32"/>
          <w:szCs w:val="32"/>
        </w:rPr>
        <w:t>367.83</w:t>
      </w:r>
      <w:r>
        <w:rPr>
          <w:rFonts w:hint="default" w:ascii="Times New Roman" w:hAnsi="Times New Roman" w:eastAsia="仿宋_GB2312" w:cs="Times New Roman"/>
          <w:color w:val="auto"/>
          <w:kern w:val="2"/>
          <w:sz w:val="32"/>
          <w:szCs w:val="32"/>
          <w:highlight w:val="none"/>
          <w:lang w:val="en-US" w:eastAsia="zh-CN" w:bidi="ar-SA"/>
        </w:rPr>
        <w:t>万元，主要用于以下方面：科学技术支出4.26万元，占1.</w:t>
      </w:r>
      <w:r>
        <w:rPr>
          <w:rFonts w:hint="eastAsia" w:ascii="Times New Roman" w:hAnsi="Times New Roman" w:eastAsia="仿宋_GB2312" w:cs="Times New Roman"/>
          <w:color w:val="auto"/>
          <w:kern w:val="2"/>
          <w:sz w:val="32"/>
          <w:szCs w:val="32"/>
          <w:highlight w:val="none"/>
          <w:lang w:val="en-US" w:eastAsia="zh-CN" w:bidi="ar-SA"/>
        </w:rPr>
        <w:t>2</w:t>
      </w:r>
      <w:r>
        <w:rPr>
          <w:rFonts w:hint="default" w:ascii="Times New Roman" w:hAnsi="Times New Roman" w:eastAsia="仿宋_GB2312" w:cs="Times New Roman"/>
          <w:color w:val="auto"/>
          <w:kern w:val="2"/>
          <w:sz w:val="32"/>
          <w:szCs w:val="32"/>
          <w:highlight w:val="none"/>
          <w:lang w:val="en-US" w:eastAsia="zh-CN" w:bidi="ar-SA"/>
        </w:rPr>
        <w:t>%；资源勘探工业信息等支出363.57万元，占98.</w:t>
      </w:r>
      <w:r>
        <w:rPr>
          <w:rFonts w:hint="eastAsia" w:ascii="Times New Roman" w:hAnsi="Times New Roman" w:eastAsia="仿宋_GB2312" w:cs="Times New Roman"/>
          <w:color w:val="auto"/>
          <w:kern w:val="2"/>
          <w:sz w:val="32"/>
          <w:szCs w:val="32"/>
          <w:highlight w:val="none"/>
          <w:lang w:val="en-US" w:eastAsia="zh-CN" w:bidi="ar-SA"/>
        </w:rPr>
        <w:t>8</w:t>
      </w:r>
      <w:r>
        <w:rPr>
          <w:rFonts w:hint="default" w:ascii="Times New Roman" w:hAnsi="Times New Roman" w:eastAsia="仿宋_GB2312" w:cs="Times New Roman"/>
          <w:color w:val="auto"/>
          <w:kern w:val="2"/>
          <w:sz w:val="32"/>
          <w:szCs w:val="32"/>
          <w:highlight w:val="none"/>
          <w:lang w:val="en-US" w:eastAsia="zh-CN" w:bidi="ar-SA"/>
        </w:rPr>
        <w:t>%。</w:t>
      </w:r>
    </w:p>
    <w:p>
      <w:pPr>
        <w:keepNext w:val="0"/>
        <w:keepLines w:val="0"/>
        <w:pageBreakBefore w:val="0"/>
        <w:kinsoku/>
        <w:wordWrap/>
        <w:overflowPunct/>
        <w:topLinePunct w:val="0"/>
        <w:autoSpaceDE/>
        <w:autoSpaceDN/>
        <w:bidi w:val="0"/>
        <w:spacing w:line="600" w:lineRule="exact"/>
        <w:ind w:left="0"/>
        <w:jc w:val="center"/>
        <w:textAlignment w:val="auto"/>
        <w:outlineLvl w:val="9"/>
        <w:rPr>
          <w:rFonts w:hint="eastAsia" w:ascii="Times New Roman" w:hAnsi="Times New Roman" w:eastAsia="仿宋_GB2312" w:cs="仿宋_GB2312"/>
          <w:color w:val="auto"/>
          <w:kern w:val="2"/>
          <w:sz w:val="32"/>
          <w:szCs w:val="32"/>
          <w:highlight w:val="none"/>
          <w:lang w:val="en-US" w:eastAsia="zh-CN" w:bidi="ar-SA"/>
        </w:rPr>
      </w:pPr>
      <w:r>
        <w:rPr>
          <w:rFonts w:hint="eastAsia" w:eastAsia="仿宋_GB2312" w:cs="仿宋_GB2312"/>
          <w:color w:val="auto"/>
          <w:kern w:val="2"/>
          <w:sz w:val="32"/>
          <w:szCs w:val="32"/>
          <w:highlight w:val="none"/>
          <w:lang w:val="en-US" w:eastAsia="zh-CN" w:bidi="ar-SA"/>
        </w:rPr>
        <w:drawing>
          <wp:anchor distT="0" distB="0" distL="114300" distR="114300" simplePos="0" relativeHeight="251662336" behindDoc="0" locked="0" layoutInCell="1" allowOverlap="1">
            <wp:simplePos x="0" y="0"/>
            <wp:positionH relativeFrom="column">
              <wp:posOffset>-61595</wp:posOffset>
            </wp:positionH>
            <wp:positionV relativeFrom="paragraph">
              <wp:posOffset>223520</wp:posOffset>
            </wp:positionV>
            <wp:extent cx="5256530" cy="2988310"/>
            <wp:effectExtent l="5080" t="4445" r="15240" b="17145"/>
            <wp:wrapTopAndBottom/>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r>
        <w:rPr>
          <w:rFonts w:hint="eastAsia" w:ascii="Times New Roman" w:hAnsi="Times New Roman" w:eastAsia="仿宋_GB2312" w:cs="仿宋_GB2312"/>
          <w:color w:val="auto"/>
          <w:kern w:val="2"/>
          <w:sz w:val="32"/>
          <w:szCs w:val="32"/>
          <w:highlight w:val="none"/>
          <w:lang w:val="en-US" w:eastAsia="zh-CN" w:bidi="ar-SA"/>
        </w:rPr>
        <w:t>（图6：一般公共预算财政拨款支出决算结构）</w:t>
      </w:r>
    </w:p>
    <w:p>
      <w:pPr>
        <w:keepNext w:val="0"/>
        <w:keepLines w:val="0"/>
        <w:pageBreakBefore w:val="0"/>
        <w:kinsoku/>
        <w:wordWrap/>
        <w:overflowPunct/>
        <w:topLinePunct w:val="0"/>
        <w:autoSpaceDE/>
        <w:autoSpaceDN/>
        <w:bidi w:val="0"/>
        <w:spacing w:line="600" w:lineRule="exact"/>
        <w:ind w:left="0" w:firstLine="642" w:firstLineChars="200"/>
        <w:textAlignment w:val="auto"/>
        <w:outlineLvl w:val="9"/>
        <w:rPr>
          <w:rFonts w:hint="eastAsia" w:ascii="Times New Roman" w:hAnsi="Times New Roman" w:eastAsia="楷体_GB2312" w:cs="楷体_GB2312"/>
          <w:b/>
          <w:color w:val="auto"/>
          <w:sz w:val="32"/>
          <w:szCs w:val="32"/>
          <w:highlight w:val="none"/>
        </w:rPr>
      </w:pPr>
      <w:bookmarkStart w:id="39" w:name="_Toc15377212"/>
      <w:r>
        <w:rPr>
          <w:rFonts w:hint="eastAsia" w:ascii="Times New Roman" w:hAnsi="Times New Roman" w:eastAsia="楷体_GB2312" w:cs="楷体_GB2312"/>
          <w:b/>
          <w:color w:val="auto"/>
          <w:sz w:val="32"/>
          <w:szCs w:val="32"/>
          <w:highlight w:val="none"/>
        </w:rPr>
        <w:t>（三）一般公共预算财政拨款支出决算具体情况</w:t>
      </w:r>
      <w:bookmarkEnd w:id="39"/>
    </w:p>
    <w:p>
      <w:pPr>
        <w:keepNext w:val="0"/>
        <w:keepLines w:val="0"/>
        <w:pageBreakBefore w:val="0"/>
        <w:kinsoku/>
        <w:wordWrap/>
        <w:overflowPunct/>
        <w:topLinePunct w:val="0"/>
        <w:autoSpaceDE/>
        <w:autoSpaceDN/>
        <w:bidi w:val="0"/>
        <w:spacing w:line="600" w:lineRule="exact"/>
        <w:ind w:left="0" w:firstLine="640"/>
        <w:textAlignment w:val="auto"/>
        <w:outlineLvl w:val="9"/>
        <w:rPr>
          <w:rFonts w:hint="default" w:ascii="Times New Roman" w:hAnsi="Times New Roman" w:eastAsia="仿宋_GB2312" w:cs="Times New Roman"/>
          <w:color w:val="auto"/>
          <w:kern w:val="2"/>
          <w:sz w:val="32"/>
          <w:szCs w:val="32"/>
          <w:highlight w:val="none"/>
          <w:lang w:val="en-US" w:eastAsia="zh-CN" w:bidi="ar-SA"/>
        </w:rPr>
      </w:pPr>
      <w:bookmarkStart w:id="40" w:name="_Toc15377444"/>
      <w:bookmarkStart w:id="41" w:name="_Toc15377213"/>
      <w:bookmarkStart w:id="42" w:name="_Toc15378460"/>
      <w:r>
        <w:rPr>
          <w:rFonts w:hint="default" w:ascii="Times New Roman" w:hAnsi="Times New Roman" w:eastAsia="仿宋_GB2312" w:cs="Times New Roman"/>
          <w:color w:val="auto"/>
          <w:kern w:val="2"/>
          <w:sz w:val="32"/>
          <w:szCs w:val="32"/>
          <w:highlight w:val="none"/>
          <w:lang w:val="en-US" w:eastAsia="zh-CN" w:bidi="ar-SA"/>
        </w:rPr>
        <w:t>2024年度一般公共预算财政拨款支出决算数为</w:t>
      </w:r>
      <w:r>
        <w:rPr>
          <w:rFonts w:hint="default" w:ascii="Times New Roman" w:hAnsi="Times New Roman" w:eastAsia="仿宋_GB2312" w:cs="Times New Roman"/>
          <w:sz w:val="32"/>
          <w:szCs w:val="32"/>
        </w:rPr>
        <w:t>367.83</w:t>
      </w:r>
      <w:r>
        <w:rPr>
          <w:rFonts w:hint="default" w:ascii="Times New Roman" w:hAnsi="Times New Roman" w:eastAsia="仿宋_GB2312" w:cs="Times New Roman"/>
          <w:color w:val="auto"/>
          <w:kern w:val="2"/>
          <w:sz w:val="32"/>
          <w:szCs w:val="32"/>
          <w:highlight w:val="none"/>
          <w:lang w:val="en-US" w:eastAsia="zh-CN" w:bidi="ar-SA"/>
        </w:rPr>
        <w:t>，完成预算86.</w:t>
      </w:r>
      <w:r>
        <w:rPr>
          <w:rFonts w:hint="eastAsia" w:ascii="Times New Roman" w:hAnsi="Times New Roman" w:eastAsia="仿宋_GB2312" w:cs="Times New Roman"/>
          <w:color w:val="auto"/>
          <w:kern w:val="2"/>
          <w:sz w:val="32"/>
          <w:szCs w:val="32"/>
          <w:highlight w:val="none"/>
          <w:lang w:val="en-US" w:eastAsia="zh-CN" w:bidi="ar-SA"/>
        </w:rPr>
        <w:t>6</w:t>
      </w:r>
      <w:r>
        <w:rPr>
          <w:rFonts w:hint="default" w:ascii="Times New Roman" w:hAnsi="Times New Roman" w:eastAsia="仿宋_GB2312" w:cs="Times New Roman"/>
          <w:color w:val="auto"/>
          <w:kern w:val="2"/>
          <w:sz w:val="32"/>
          <w:szCs w:val="32"/>
          <w:highlight w:val="none"/>
          <w:lang w:val="en-US" w:eastAsia="zh-CN" w:bidi="ar-SA"/>
        </w:rPr>
        <w:t>%。其中：</w:t>
      </w:r>
      <w:bookmarkEnd w:id="40"/>
      <w:bookmarkEnd w:id="41"/>
      <w:bookmarkEnd w:id="42"/>
    </w:p>
    <w:p>
      <w:pPr>
        <w:keepNext w:val="0"/>
        <w:keepLines w:val="0"/>
        <w:pageBreakBefore w:val="0"/>
        <w:kinsoku/>
        <w:wordWrap/>
        <w:overflowPunct/>
        <w:topLinePunct w:val="0"/>
        <w:autoSpaceDE/>
        <w:autoSpaceDN/>
        <w:bidi w:val="0"/>
        <w:spacing w:line="600" w:lineRule="exact"/>
        <w:ind w:left="0" w:firstLine="640"/>
        <w:textAlignment w:val="auto"/>
        <w:outlineLvl w:val="9"/>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1.科学技术支出（类）其他科学技术支出（款）其他科学技术支出（项）：支出决算为4.26万元，完成预算42.</w:t>
      </w:r>
      <w:r>
        <w:rPr>
          <w:rFonts w:hint="eastAsia" w:ascii="Times New Roman" w:hAnsi="Times New Roman" w:eastAsia="仿宋_GB2312" w:cs="Times New Roman"/>
          <w:color w:val="auto"/>
          <w:kern w:val="2"/>
          <w:sz w:val="32"/>
          <w:szCs w:val="32"/>
          <w:highlight w:val="none"/>
          <w:lang w:val="en-US" w:eastAsia="zh-CN" w:bidi="ar-SA"/>
        </w:rPr>
        <w:t>6</w:t>
      </w:r>
      <w:r>
        <w:rPr>
          <w:rFonts w:hint="default"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决算数小于预算数的主要原因是：年度预算执行中有变化，导致预算执行未完成。</w:t>
      </w:r>
    </w:p>
    <w:p>
      <w:pPr>
        <w:keepNext w:val="0"/>
        <w:keepLines w:val="0"/>
        <w:pageBreakBefore w:val="0"/>
        <w:kinsoku/>
        <w:wordWrap/>
        <w:overflowPunct/>
        <w:topLinePunct w:val="0"/>
        <w:autoSpaceDE/>
        <w:autoSpaceDN/>
        <w:bidi w:val="0"/>
        <w:spacing w:line="600" w:lineRule="exact"/>
        <w:ind w:left="0" w:firstLine="640"/>
        <w:textAlignment w:val="auto"/>
        <w:outlineLvl w:val="9"/>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2.资源勘探工业信息等支出（类）制造业（款）机关服务（项）</w:t>
      </w:r>
      <w:r>
        <w:rPr>
          <w:rFonts w:hint="eastAsia" w:eastAsia="仿宋_GB2312" w:cs="Times New Roman"/>
          <w:color w:val="auto"/>
          <w:kern w:val="2"/>
          <w:sz w:val="32"/>
          <w:szCs w:val="32"/>
          <w:highlight w:val="none"/>
          <w:lang w:val="en-US" w:eastAsia="zh-CN" w:bidi="ar-SA"/>
        </w:rPr>
        <w:t>：</w:t>
      </w:r>
      <w:r>
        <w:rPr>
          <w:rFonts w:hint="default" w:ascii="Times New Roman" w:hAnsi="Times New Roman" w:eastAsia="仿宋_GB2312" w:cs="Times New Roman"/>
          <w:color w:val="auto"/>
          <w:kern w:val="2"/>
          <w:sz w:val="32"/>
          <w:szCs w:val="32"/>
          <w:highlight w:val="none"/>
          <w:lang w:val="en-US" w:eastAsia="zh-CN" w:bidi="ar-SA"/>
        </w:rPr>
        <w:t>支出决算为11.98万元，完成预算87.6%。</w:t>
      </w:r>
      <w:r>
        <w:rPr>
          <w:rFonts w:hint="eastAsia" w:eastAsia="仿宋_GB2312" w:cs="Times New Roman"/>
          <w:color w:val="auto"/>
          <w:kern w:val="2"/>
          <w:sz w:val="32"/>
          <w:szCs w:val="32"/>
          <w:highlight w:val="none"/>
          <w:lang w:val="en-US" w:eastAsia="zh-CN" w:bidi="ar-SA"/>
        </w:rPr>
        <w:t>决算数小于预算数的主要原因是：年度预算执行中有变化，导致预算执行未完成。</w:t>
      </w:r>
    </w:p>
    <w:p>
      <w:pPr>
        <w:keepNext w:val="0"/>
        <w:keepLines w:val="0"/>
        <w:pageBreakBefore w:val="0"/>
        <w:kinsoku/>
        <w:wordWrap/>
        <w:overflowPunct/>
        <w:topLinePunct w:val="0"/>
        <w:autoSpaceDE/>
        <w:autoSpaceDN/>
        <w:bidi w:val="0"/>
        <w:spacing w:line="600" w:lineRule="exact"/>
        <w:ind w:left="0" w:firstLine="640"/>
        <w:textAlignment w:val="auto"/>
        <w:outlineLvl w:val="9"/>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3.资源勘探工业信息等支出（类）工业和信息产业监管（款）其他工业和信息产业监管（项）：支出决算为351.59万元，完成预算87.6%。</w:t>
      </w:r>
      <w:r>
        <w:rPr>
          <w:rFonts w:hint="eastAsia" w:eastAsia="仿宋_GB2312" w:cs="Times New Roman"/>
          <w:color w:val="auto"/>
          <w:kern w:val="2"/>
          <w:sz w:val="32"/>
          <w:szCs w:val="32"/>
          <w:highlight w:val="none"/>
          <w:lang w:val="en-US" w:eastAsia="zh-CN" w:bidi="ar-SA"/>
        </w:rPr>
        <w:t>决算数小于预算数的主要原因是：年度预算执行中有变化，导致预算执行未完成。</w:t>
      </w:r>
    </w:p>
    <w:p>
      <w:pPr>
        <w:keepNext w:val="0"/>
        <w:keepLines w:val="0"/>
        <w:pageBreakBefore w:val="0"/>
        <w:widowControl w:val="0"/>
        <w:tabs>
          <w:tab w:val="right" w:pos="8306"/>
        </w:tabs>
        <w:kinsoku/>
        <w:wordWrap/>
        <w:overflowPunct/>
        <w:topLinePunct w:val="0"/>
        <w:autoSpaceDE/>
        <w:autoSpaceDN/>
        <w:bidi w:val="0"/>
        <w:adjustRightInd/>
        <w:snapToGrid/>
        <w:spacing w:line="600" w:lineRule="exact"/>
        <w:ind w:left="0" w:firstLine="641"/>
        <w:textAlignment w:val="auto"/>
        <w:outlineLvl w:val="1"/>
        <w:rPr>
          <w:rFonts w:hint="eastAsia" w:ascii="Times New Roman" w:hAnsi="Times New Roman" w:eastAsia="黑体"/>
          <w:color w:val="auto"/>
          <w:sz w:val="32"/>
          <w:szCs w:val="32"/>
          <w:highlight w:val="none"/>
        </w:rPr>
      </w:pPr>
      <w:bookmarkStart w:id="43" w:name="_Toc15396608"/>
      <w:bookmarkStart w:id="44" w:name="_Toc15377214"/>
    </w:p>
    <w:p>
      <w:pPr>
        <w:keepNext w:val="0"/>
        <w:keepLines w:val="0"/>
        <w:pageBreakBefore w:val="0"/>
        <w:widowControl w:val="0"/>
        <w:tabs>
          <w:tab w:val="right" w:pos="8306"/>
        </w:tabs>
        <w:kinsoku/>
        <w:wordWrap/>
        <w:overflowPunct/>
        <w:topLinePunct w:val="0"/>
        <w:autoSpaceDE/>
        <w:autoSpaceDN/>
        <w:bidi w:val="0"/>
        <w:adjustRightInd/>
        <w:snapToGrid/>
        <w:spacing w:line="600" w:lineRule="exact"/>
        <w:ind w:left="0" w:firstLine="641"/>
        <w:textAlignment w:val="auto"/>
        <w:outlineLvl w:val="1"/>
        <w:rPr>
          <w:rStyle w:val="29"/>
          <w:rFonts w:ascii="Times New Roman" w:hAnsi="Times New Roman"/>
          <w:color w:val="auto"/>
          <w:highlight w:val="none"/>
        </w:rPr>
      </w:pPr>
      <w:bookmarkStart w:id="45" w:name="_Toc1126656789"/>
      <w:r>
        <w:rPr>
          <w:rFonts w:hint="eastAsia" w:ascii="Times New Roman" w:hAnsi="Times New Roman" w:eastAsia="黑体"/>
          <w:color w:val="auto"/>
          <w:sz w:val="32"/>
          <w:szCs w:val="32"/>
          <w:highlight w:val="none"/>
        </w:rPr>
        <w:t>六</w:t>
      </w:r>
      <w:r>
        <w:rPr>
          <w:rFonts w:hint="eastAsia" w:ascii="Times New Roman" w:hAnsi="Times New Roman" w:eastAsia="黑体"/>
          <w:b/>
          <w:color w:val="auto"/>
          <w:sz w:val="32"/>
          <w:szCs w:val="32"/>
          <w:highlight w:val="none"/>
        </w:rPr>
        <w:t>、一</w:t>
      </w:r>
      <w:r>
        <w:rPr>
          <w:rStyle w:val="29"/>
          <w:rFonts w:hint="eastAsia" w:ascii="Times New Roman" w:hAnsi="Times New Roman" w:eastAsia="黑体"/>
          <w:b w:val="0"/>
          <w:color w:val="auto"/>
          <w:highlight w:val="none"/>
        </w:rPr>
        <w:t>般公共预算财政拨款基本支出决算情况说明</w:t>
      </w:r>
      <w:bookmarkEnd w:id="43"/>
      <w:bookmarkEnd w:id="44"/>
      <w:bookmarkEnd w:id="45"/>
    </w:p>
    <w:p>
      <w:pPr>
        <w:keepNext w:val="0"/>
        <w:keepLines w:val="0"/>
        <w:pageBreakBefore w:val="0"/>
        <w:kinsoku/>
        <w:wordWrap/>
        <w:overflowPunct/>
        <w:topLinePunct w:val="0"/>
        <w:autoSpaceDE/>
        <w:autoSpaceDN/>
        <w:bidi w:val="0"/>
        <w:spacing w:line="600" w:lineRule="exact"/>
        <w:ind w:left="0" w:firstLine="640"/>
        <w:textAlignment w:val="auto"/>
        <w:outlineLvl w:val="9"/>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2024年度一般公共预算财政拨款基本支出</w:t>
      </w:r>
      <w:r>
        <w:rPr>
          <w:rFonts w:hint="default" w:ascii="Times New Roman" w:hAnsi="Times New Roman" w:eastAsia="仿宋_GB2312" w:cs="Times New Roman"/>
          <w:sz w:val="32"/>
          <w:szCs w:val="32"/>
        </w:rPr>
        <w:t>11.98</w:t>
      </w:r>
      <w:r>
        <w:rPr>
          <w:rFonts w:hint="default" w:ascii="Times New Roman" w:hAnsi="Times New Roman" w:eastAsia="仿宋_GB2312" w:cs="Times New Roman"/>
          <w:color w:val="auto"/>
          <w:kern w:val="2"/>
          <w:sz w:val="32"/>
          <w:szCs w:val="32"/>
          <w:highlight w:val="none"/>
          <w:lang w:val="en-US" w:eastAsia="zh-CN" w:bidi="ar-SA"/>
        </w:rPr>
        <w:t>万元，其中：</w:t>
      </w:r>
    </w:p>
    <w:p>
      <w:pPr>
        <w:keepNext w:val="0"/>
        <w:keepLines w:val="0"/>
        <w:pageBreakBefore w:val="0"/>
        <w:kinsoku/>
        <w:wordWrap/>
        <w:overflowPunct/>
        <w:topLinePunct w:val="0"/>
        <w:autoSpaceDE/>
        <w:autoSpaceDN/>
        <w:bidi w:val="0"/>
        <w:spacing w:line="600" w:lineRule="exact"/>
        <w:ind w:left="0" w:firstLine="640"/>
        <w:textAlignment w:val="auto"/>
        <w:outlineLvl w:val="9"/>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人员经费</w:t>
      </w:r>
      <w:r>
        <w:rPr>
          <w:rFonts w:hint="default" w:ascii="Times New Roman" w:hAnsi="Times New Roman" w:eastAsia="仿宋_GB2312" w:cs="Times New Roman"/>
          <w:sz w:val="32"/>
          <w:szCs w:val="32"/>
        </w:rPr>
        <w:t>0</w:t>
      </w:r>
      <w:r>
        <w:rPr>
          <w:rFonts w:hint="default" w:ascii="Times New Roman" w:hAnsi="Times New Roman" w:eastAsia="仿宋_GB2312" w:cs="Times New Roman"/>
          <w:color w:val="auto"/>
          <w:kern w:val="2"/>
          <w:sz w:val="32"/>
          <w:szCs w:val="32"/>
          <w:highlight w:val="none"/>
          <w:lang w:val="en-US" w:eastAsia="zh-CN" w:bidi="ar-SA"/>
        </w:rPr>
        <w:t>万元。</w:t>
      </w:r>
    </w:p>
    <w:p>
      <w:pPr>
        <w:keepNext w:val="0"/>
        <w:keepLines w:val="0"/>
        <w:pageBreakBefore w:val="0"/>
        <w:kinsoku/>
        <w:wordWrap/>
        <w:overflowPunct/>
        <w:topLinePunct w:val="0"/>
        <w:autoSpaceDE/>
        <w:autoSpaceDN/>
        <w:bidi w:val="0"/>
        <w:spacing w:line="600" w:lineRule="exact"/>
        <w:ind w:left="0" w:firstLine="640"/>
        <w:textAlignment w:val="auto"/>
        <w:outlineLvl w:val="9"/>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公用经费</w:t>
      </w:r>
      <w:r>
        <w:rPr>
          <w:rFonts w:hint="default" w:ascii="Times New Roman" w:hAnsi="Times New Roman" w:eastAsia="仿宋_GB2312" w:cs="Times New Roman"/>
          <w:sz w:val="32"/>
          <w:szCs w:val="32"/>
        </w:rPr>
        <w:t>11.98</w:t>
      </w:r>
      <w:r>
        <w:rPr>
          <w:rFonts w:hint="default" w:ascii="Times New Roman" w:hAnsi="Times New Roman" w:eastAsia="仿宋_GB2312" w:cs="Times New Roman"/>
          <w:color w:val="auto"/>
          <w:kern w:val="2"/>
          <w:sz w:val="32"/>
          <w:szCs w:val="32"/>
          <w:highlight w:val="none"/>
          <w:lang w:val="en-US" w:eastAsia="zh-CN" w:bidi="ar-SA"/>
        </w:rPr>
        <w:t>万元，主要包括办公费、差旅费、会议费、公务用车运行维护费。</w:t>
      </w:r>
    </w:p>
    <w:p>
      <w:pPr>
        <w:keepNext w:val="0"/>
        <w:keepLines w:val="0"/>
        <w:pageBreakBefore w:val="0"/>
        <w:widowControl w:val="0"/>
        <w:kinsoku/>
        <w:wordWrap/>
        <w:overflowPunct/>
        <w:topLinePunct w:val="0"/>
        <w:autoSpaceDE/>
        <w:autoSpaceDN/>
        <w:bidi w:val="0"/>
        <w:adjustRightInd/>
        <w:snapToGrid/>
        <w:spacing w:line="600" w:lineRule="exact"/>
        <w:ind w:left="0" w:firstLine="641"/>
        <w:textAlignment w:val="auto"/>
        <w:outlineLvl w:val="1"/>
        <w:rPr>
          <w:rFonts w:hint="eastAsia" w:ascii="Times New Roman" w:hAnsi="Times New Roman" w:eastAsia="黑体"/>
          <w:color w:val="auto"/>
          <w:sz w:val="32"/>
          <w:szCs w:val="32"/>
          <w:highlight w:val="none"/>
        </w:rPr>
      </w:pPr>
      <w:bookmarkStart w:id="46" w:name="_Toc15396609"/>
      <w:bookmarkStart w:id="47" w:name="_Toc15377215"/>
    </w:p>
    <w:p>
      <w:pPr>
        <w:keepNext w:val="0"/>
        <w:keepLines w:val="0"/>
        <w:pageBreakBefore w:val="0"/>
        <w:widowControl w:val="0"/>
        <w:kinsoku/>
        <w:wordWrap/>
        <w:overflowPunct/>
        <w:topLinePunct w:val="0"/>
        <w:autoSpaceDE/>
        <w:autoSpaceDN/>
        <w:bidi w:val="0"/>
        <w:adjustRightInd/>
        <w:snapToGrid/>
        <w:spacing w:line="600" w:lineRule="exact"/>
        <w:ind w:left="0" w:firstLine="641"/>
        <w:textAlignment w:val="auto"/>
        <w:outlineLvl w:val="1"/>
        <w:rPr>
          <w:rStyle w:val="29"/>
          <w:rFonts w:ascii="Times New Roman" w:hAnsi="Times New Roman" w:eastAsia="黑体"/>
          <w:b w:val="0"/>
          <w:color w:val="auto"/>
          <w:highlight w:val="none"/>
        </w:rPr>
      </w:pPr>
      <w:bookmarkStart w:id="48" w:name="_Toc332014841"/>
      <w:r>
        <w:rPr>
          <w:rFonts w:hint="eastAsia" w:ascii="Times New Roman" w:hAnsi="Times New Roman" w:eastAsia="黑体"/>
          <w:color w:val="auto"/>
          <w:sz w:val="32"/>
          <w:szCs w:val="32"/>
          <w:highlight w:val="none"/>
        </w:rPr>
        <w:t>七、</w:t>
      </w:r>
      <w:r>
        <w:rPr>
          <w:rStyle w:val="29"/>
          <w:rFonts w:hint="eastAsia" w:ascii="Times New Roman" w:hAnsi="Times New Roman" w:eastAsia="黑体"/>
          <w:b w:val="0"/>
          <w:color w:val="auto"/>
          <w:highlight w:val="none"/>
        </w:rPr>
        <w:t>财政拨款</w:t>
      </w:r>
      <w:r>
        <w:rPr>
          <w:rStyle w:val="29"/>
          <w:rFonts w:hint="eastAsia" w:ascii="Times New Roman" w:hAnsi="Times New Roman" w:eastAsia="黑体"/>
          <w:color w:val="auto"/>
          <w:highlight w:val="none"/>
        </w:rPr>
        <w:t>“</w:t>
      </w:r>
      <w:r>
        <w:rPr>
          <w:rStyle w:val="29"/>
          <w:rFonts w:hint="eastAsia" w:ascii="Times New Roman" w:hAnsi="Times New Roman" w:eastAsia="黑体"/>
          <w:b w:val="0"/>
          <w:color w:val="auto"/>
          <w:highlight w:val="none"/>
        </w:rPr>
        <w:t>三公”经费支出决算情况说明</w:t>
      </w:r>
      <w:bookmarkEnd w:id="46"/>
      <w:bookmarkEnd w:id="47"/>
      <w:bookmarkEnd w:id="48"/>
    </w:p>
    <w:p>
      <w:pPr>
        <w:keepNext w:val="0"/>
        <w:keepLines w:val="0"/>
        <w:pageBreakBefore w:val="0"/>
        <w:kinsoku/>
        <w:wordWrap/>
        <w:overflowPunct/>
        <w:topLinePunct w:val="0"/>
        <w:autoSpaceDE/>
        <w:autoSpaceDN/>
        <w:bidi w:val="0"/>
        <w:spacing w:line="600" w:lineRule="exact"/>
        <w:ind w:left="0" w:firstLine="642" w:firstLineChars="200"/>
        <w:textAlignment w:val="auto"/>
        <w:outlineLvl w:val="9"/>
        <w:rPr>
          <w:rFonts w:hint="eastAsia" w:ascii="Times New Roman" w:hAnsi="Times New Roman" w:eastAsia="楷体_GB2312" w:cs="楷体_GB2312"/>
          <w:b/>
          <w:color w:val="auto"/>
          <w:sz w:val="32"/>
          <w:szCs w:val="32"/>
          <w:highlight w:val="none"/>
        </w:rPr>
      </w:pPr>
      <w:bookmarkStart w:id="49" w:name="_Toc15377216"/>
      <w:r>
        <w:rPr>
          <w:rFonts w:hint="eastAsia" w:ascii="Times New Roman" w:hAnsi="Times New Roman" w:eastAsia="楷体_GB2312" w:cs="楷体_GB2312"/>
          <w:b/>
          <w:color w:val="auto"/>
          <w:sz w:val="32"/>
          <w:szCs w:val="32"/>
          <w:highlight w:val="none"/>
        </w:rPr>
        <w:t>（一）“三公”经费财政拨款支出决算总体情况说明</w:t>
      </w:r>
      <w:bookmarkEnd w:id="49"/>
    </w:p>
    <w:p>
      <w:pPr>
        <w:keepNext w:val="0"/>
        <w:keepLines w:val="0"/>
        <w:pageBreakBefore w:val="0"/>
        <w:kinsoku/>
        <w:wordWrap/>
        <w:overflowPunct/>
        <w:topLinePunct w:val="0"/>
        <w:autoSpaceDE/>
        <w:autoSpaceDN/>
        <w:bidi w:val="0"/>
        <w:spacing w:line="600" w:lineRule="exact"/>
        <w:ind w:left="0" w:firstLine="640"/>
        <w:textAlignment w:val="auto"/>
        <w:outlineLvl w:val="9"/>
        <w:rPr>
          <w:rFonts w:hint="eastAsia" w:ascii="Times New Roman" w:hAnsi="Times New Roman" w:eastAsia="仿宋_GB2312" w:cs="仿宋_GB2312"/>
          <w:color w:val="auto"/>
          <w:sz w:val="32"/>
          <w:szCs w:val="32"/>
          <w:highlight w:val="none"/>
        </w:rPr>
      </w:pPr>
      <w:r>
        <w:rPr>
          <w:rFonts w:hint="default" w:ascii="Times New Roman" w:hAnsi="Times New Roman" w:eastAsia="仿宋_GB2312" w:cs="Times New Roman"/>
          <w:color w:val="auto"/>
          <w:kern w:val="2"/>
          <w:sz w:val="32"/>
          <w:szCs w:val="32"/>
          <w:highlight w:val="none"/>
          <w:lang w:val="en-US" w:eastAsia="zh-CN" w:bidi="ar-SA"/>
        </w:rPr>
        <w:t>2024年度“三公”经费财政拨款支出决算为</w:t>
      </w:r>
      <w:r>
        <w:rPr>
          <w:rFonts w:hint="default" w:ascii="Times New Roman" w:hAnsi="Times New Roman" w:eastAsia="仿宋_GB2312" w:cs="Times New Roman"/>
          <w:sz w:val="32"/>
          <w:szCs w:val="32"/>
        </w:rPr>
        <w:t>0.92</w:t>
      </w:r>
      <w:r>
        <w:rPr>
          <w:rFonts w:hint="default" w:ascii="Times New Roman" w:hAnsi="Times New Roman" w:eastAsia="仿宋_GB2312" w:cs="Times New Roman"/>
          <w:color w:val="auto"/>
          <w:kern w:val="2"/>
          <w:sz w:val="32"/>
          <w:szCs w:val="32"/>
          <w:highlight w:val="none"/>
          <w:lang w:val="en-US" w:eastAsia="zh-CN" w:bidi="ar-SA"/>
        </w:rPr>
        <w:t>万元，完成预算</w:t>
      </w:r>
      <w:r>
        <w:rPr>
          <w:rFonts w:hint="default" w:ascii="Times New Roman" w:hAnsi="Times New Roman" w:eastAsia="仿宋_GB2312" w:cs="Times New Roman"/>
          <w:sz w:val="32"/>
          <w:szCs w:val="32"/>
        </w:rPr>
        <w:t>16.</w:t>
      </w:r>
      <w:r>
        <w:rPr>
          <w:rFonts w:hint="eastAsia" w:ascii="Times New Roman" w:hAnsi="Times New Roman" w:eastAsia="仿宋_GB2312" w:cs="Times New Roman"/>
          <w:sz w:val="32"/>
          <w:szCs w:val="32"/>
          <w:lang w:val="en-US" w:eastAsia="zh-CN"/>
        </w:rPr>
        <w:t>8</w:t>
      </w:r>
      <w:r>
        <w:rPr>
          <w:rFonts w:hint="default" w:ascii="Times New Roman" w:hAnsi="Times New Roman" w:eastAsia="仿宋_GB2312" w:cs="Times New Roman"/>
          <w:color w:val="auto"/>
          <w:kern w:val="2"/>
          <w:sz w:val="32"/>
          <w:szCs w:val="32"/>
          <w:highlight w:val="none"/>
          <w:lang w:val="en-US" w:eastAsia="zh-CN" w:bidi="ar-SA"/>
        </w:rPr>
        <w:t>%。</w:t>
      </w:r>
      <w:r>
        <w:rPr>
          <w:rFonts w:hint="default" w:ascii="Times New Roman" w:hAnsi="Times New Roman" w:eastAsia="仿宋_GB2312" w:cs="Times New Roman"/>
          <w:color w:val="auto"/>
          <w:sz w:val="32"/>
          <w:szCs w:val="32"/>
          <w:highlight w:val="none"/>
        </w:rPr>
        <w:t>由于</w:t>
      </w:r>
      <w:r>
        <w:rPr>
          <w:rFonts w:hint="default" w:ascii="Times New Roman" w:hAnsi="Times New Roman" w:eastAsia="仿宋_GB2312" w:cs="Times New Roman"/>
          <w:color w:val="auto"/>
          <w:sz w:val="32"/>
          <w:szCs w:val="32"/>
          <w:highlight w:val="none"/>
          <w:lang w:eastAsia="zh-CN"/>
        </w:rPr>
        <w:t>四川省酒业研究和发展</w:t>
      </w:r>
      <w:r>
        <w:rPr>
          <w:rFonts w:hint="default" w:ascii="Times New Roman" w:hAnsi="Times New Roman" w:eastAsia="仿宋_GB2312" w:cs="Times New Roman"/>
          <w:color w:val="auto"/>
          <w:sz w:val="32"/>
          <w:szCs w:val="32"/>
          <w:highlight w:val="none"/>
        </w:rPr>
        <w:t>中心2024年新成立，无法比较</w:t>
      </w:r>
      <w:r>
        <w:rPr>
          <w:rFonts w:hint="default" w:ascii="Times New Roman" w:hAnsi="Times New Roman" w:eastAsia="仿宋_GB2312" w:cs="Times New Roman"/>
          <w:color w:val="auto"/>
          <w:kern w:val="2"/>
          <w:sz w:val="32"/>
          <w:szCs w:val="32"/>
          <w:highlight w:val="none"/>
          <w:lang w:val="en-US" w:eastAsia="zh-CN" w:bidi="ar-SA"/>
        </w:rPr>
        <w:t>“三公”经费财政拨款支出决算</w:t>
      </w:r>
      <w:r>
        <w:rPr>
          <w:rFonts w:hint="default" w:ascii="Times New Roman" w:hAnsi="Times New Roman" w:eastAsia="仿宋_GB2312" w:cs="Times New Roman"/>
          <w:color w:val="auto"/>
          <w:sz w:val="32"/>
          <w:szCs w:val="32"/>
          <w:highlight w:val="none"/>
        </w:rPr>
        <w:t>变</w:t>
      </w:r>
      <w:r>
        <w:rPr>
          <w:rFonts w:hint="eastAsia" w:ascii="Times New Roman" w:hAnsi="Times New Roman" w:eastAsia="仿宋_GB2312" w:cs="仿宋_GB2312"/>
          <w:color w:val="auto"/>
          <w:sz w:val="32"/>
          <w:szCs w:val="32"/>
          <w:highlight w:val="none"/>
        </w:rPr>
        <w:t>化情况。</w:t>
      </w:r>
    </w:p>
    <w:p>
      <w:pPr>
        <w:keepNext w:val="0"/>
        <w:keepLines w:val="0"/>
        <w:pageBreakBefore w:val="0"/>
        <w:kinsoku/>
        <w:wordWrap/>
        <w:overflowPunct/>
        <w:topLinePunct w:val="0"/>
        <w:autoSpaceDE/>
        <w:autoSpaceDN/>
        <w:bidi w:val="0"/>
        <w:spacing w:line="600" w:lineRule="exact"/>
        <w:ind w:left="0" w:firstLine="642" w:firstLineChars="200"/>
        <w:textAlignment w:val="auto"/>
        <w:outlineLvl w:val="9"/>
        <w:rPr>
          <w:rFonts w:hint="eastAsia" w:ascii="Times New Roman" w:hAnsi="Times New Roman" w:eastAsia="楷体_GB2312" w:cs="楷体_GB2312"/>
          <w:b/>
          <w:color w:val="auto"/>
          <w:sz w:val="32"/>
          <w:szCs w:val="32"/>
          <w:highlight w:val="none"/>
        </w:rPr>
      </w:pPr>
      <w:bookmarkStart w:id="50" w:name="_Toc15377217"/>
      <w:r>
        <w:rPr>
          <w:rFonts w:hint="eastAsia" w:ascii="Times New Roman" w:hAnsi="Times New Roman" w:eastAsia="楷体_GB2312" w:cs="楷体_GB2312"/>
          <w:b/>
          <w:color w:val="auto"/>
          <w:sz w:val="32"/>
          <w:szCs w:val="32"/>
          <w:highlight w:val="none"/>
        </w:rPr>
        <w:t>（二）“三公”经费财政拨款支出决算具体情况说明</w:t>
      </w:r>
      <w:bookmarkEnd w:id="50"/>
    </w:p>
    <w:p>
      <w:pPr>
        <w:keepNext w:val="0"/>
        <w:keepLines w:val="0"/>
        <w:pageBreakBefore w:val="0"/>
        <w:kinsoku/>
        <w:wordWrap/>
        <w:overflowPunct/>
        <w:topLinePunct w:val="0"/>
        <w:autoSpaceDE/>
        <w:autoSpaceDN/>
        <w:bidi w:val="0"/>
        <w:spacing w:line="600" w:lineRule="exact"/>
        <w:ind w:left="0" w:firstLine="640"/>
        <w:textAlignment w:val="auto"/>
        <w:outlineLvl w:val="9"/>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2024年度“三公”经费财政拨款支出决算中，因公出国（境）费支出决算</w:t>
      </w:r>
      <w:r>
        <w:rPr>
          <w:rFonts w:hint="default" w:ascii="Times New Roman" w:hAnsi="Times New Roman" w:eastAsia="仿宋_GB2312" w:cs="Times New Roman"/>
          <w:sz w:val="32"/>
          <w:szCs w:val="32"/>
        </w:rPr>
        <w:t>0</w:t>
      </w:r>
      <w:r>
        <w:rPr>
          <w:rFonts w:hint="default" w:ascii="Times New Roman" w:hAnsi="Times New Roman" w:eastAsia="仿宋_GB2312" w:cs="Times New Roman"/>
          <w:color w:val="auto"/>
          <w:kern w:val="2"/>
          <w:sz w:val="32"/>
          <w:szCs w:val="32"/>
          <w:highlight w:val="none"/>
          <w:lang w:val="en-US" w:eastAsia="zh-CN" w:bidi="ar-SA"/>
        </w:rPr>
        <w:t>万元，占0%；公务用车购置及运行维护费支出决算</w:t>
      </w:r>
      <w:r>
        <w:rPr>
          <w:rFonts w:hint="default" w:ascii="Times New Roman" w:hAnsi="Times New Roman" w:eastAsia="仿宋_GB2312" w:cs="Times New Roman"/>
          <w:sz w:val="32"/>
          <w:szCs w:val="32"/>
        </w:rPr>
        <w:t>0.92</w:t>
      </w:r>
      <w:r>
        <w:rPr>
          <w:rFonts w:hint="default" w:ascii="Times New Roman" w:hAnsi="Times New Roman" w:eastAsia="仿宋_GB2312" w:cs="Times New Roman"/>
          <w:color w:val="auto"/>
          <w:kern w:val="2"/>
          <w:sz w:val="32"/>
          <w:szCs w:val="32"/>
          <w:highlight w:val="none"/>
          <w:lang w:val="en-US" w:eastAsia="zh-CN" w:bidi="ar-SA"/>
        </w:rPr>
        <w:t>万元，占100%；公务接待费支出决算</w:t>
      </w:r>
      <w:r>
        <w:rPr>
          <w:rFonts w:hint="default" w:ascii="Times New Roman" w:hAnsi="Times New Roman" w:eastAsia="仿宋_GB2312" w:cs="Times New Roman"/>
          <w:sz w:val="32"/>
          <w:szCs w:val="32"/>
        </w:rPr>
        <w:t>0</w:t>
      </w:r>
      <w:r>
        <w:rPr>
          <w:rFonts w:hint="default" w:ascii="Times New Roman" w:hAnsi="Times New Roman" w:eastAsia="仿宋_GB2312" w:cs="Times New Roman"/>
          <w:color w:val="auto"/>
          <w:kern w:val="2"/>
          <w:sz w:val="32"/>
          <w:szCs w:val="32"/>
          <w:highlight w:val="none"/>
          <w:lang w:val="en-US" w:eastAsia="zh-CN" w:bidi="ar-SA"/>
        </w:rPr>
        <w:t>万元，占0%。具体情况如下：</w:t>
      </w:r>
    </w:p>
    <w:p>
      <w:pPr>
        <w:keepNext w:val="0"/>
        <w:keepLines w:val="0"/>
        <w:pageBreakBefore w:val="0"/>
        <w:kinsoku/>
        <w:wordWrap/>
        <w:overflowPunct/>
        <w:topLinePunct w:val="0"/>
        <w:autoSpaceDE/>
        <w:autoSpaceDN/>
        <w:bidi w:val="0"/>
        <w:spacing w:line="600" w:lineRule="exact"/>
        <w:ind w:left="0"/>
        <w:jc w:val="center"/>
        <w:textAlignment w:val="auto"/>
        <w:outlineLvl w:val="9"/>
        <w:rPr>
          <w:rFonts w:hint="eastAsia" w:ascii="Times New Roman" w:hAnsi="Times New Roman"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drawing>
          <wp:anchor distT="0" distB="0" distL="114300" distR="114300" simplePos="0" relativeHeight="251663360" behindDoc="0" locked="0" layoutInCell="1" allowOverlap="1">
            <wp:simplePos x="0" y="0"/>
            <wp:positionH relativeFrom="column">
              <wp:posOffset>-23495</wp:posOffset>
            </wp:positionH>
            <wp:positionV relativeFrom="paragraph">
              <wp:posOffset>175895</wp:posOffset>
            </wp:positionV>
            <wp:extent cx="5256530" cy="2988310"/>
            <wp:effectExtent l="5080" t="4445" r="15240" b="17145"/>
            <wp:wrapTopAndBottom/>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anchor>
        </w:drawing>
      </w:r>
      <w:r>
        <w:rPr>
          <w:rFonts w:hint="eastAsia" w:ascii="Times New Roman" w:hAnsi="Times New Roman" w:eastAsia="仿宋_GB2312" w:cs="仿宋_GB2312"/>
          <w:color w:val="auto"/>
          <w:kern w:val="2"/>
          <w:sz w:val="32"/>
          <w:szCs w:val="32"/>
          <w:highlight w:val="none"/>
          <w:lang w:val="en-US" w:eastAsia="zh-CN" w:bidi="ar-SA"/>
        </w:rPr>
        <w:t>（图7：“三公”经费财政拨款支出结构）</w:t>
      </w:r>
    </w:p>
    <w:p>
      <w:pPr>
        <w:keepNext w:val="0"/>
        <w:keepLines w:val="0"/>
        <w:pageBreakBefore w:val="0"/>
        <w:kinsoku/>
        <w:wordWrap/>
        <w:overflowPunct/>
        <w:topLinePunct w:val="0"/>
        <w:autoSpaceDE/>
        <w:autoSpaceDN/>
        <w:bidi w:val="0"/>
        <w:spacing w:line="600" w:lineRule="exact"/>
        <w:ind w:left="0" w:firstLine="640"/>
        <w:textAlignment w:val="auto"/>
        <w:outlineLvl w:val="9"/>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b/>
          <w:bCs/>
          <w:color w:val="auto"/>
          <w:kern w:val="2"/>
          <w:sz w:val="32"/>
          <w:szCs w:val="32"/>
          <w:highlight w:val="none"/>
          <w:lang w:val="en-US" w:eastAsia="zh-CN" w:bidi="ar-SA"/>
        </w:rPr>
        <w:t>1.因公出国（境）经费支出0万元。</w:t>
      </w:r>
      <w:r>
        <w:rPr>
          <w:rFonts w:hint="default" w:ascii="Times New Roman" w:hAnsi="Times New Roman" w:eastAsia="仿宋_GB2312" w:cs="Times New Roman"/>
          <w:color w:val="auto"/>
          <w:kern w:val="2"/>
          <w:sz w:val="32"/>
          <w:szCs w:val="32"/>
          <w:highlight w:val="none"/>
          <w:lang w:val="en-US" w:eastAsia="zh-CN" w:bidi="ar-SA"/>
        </w:rPr>
        <w:t>全年安排因公出国（境）团组</w:t>
      </w:r>
      <w:r>
        <w:rPr>
          <w:rFonts w:hint="default" w:ascii="Times New Roman" w:hAnsi="Times New Roman" w:eastAsia="仿宋_GB2312" w:cs="Times New Roman"/>
          <w:sz w:val="32"/>
          <w:szCs w:val="32"/>
        </w:rPr>
        <w:t>0</w:t>
      </w:r>
      <w:r>
        <w:rPr>
          <w:rFonts w:hint="default" w:ascii="Times New Roman" w:hAnsi="Times New Roman" w:eastAsia="仿宋_GB2312" w:cs="Times New Roman"/>
          <w:color w:val="auto"/>
          <w:kern w:val="2"/>
          <w:sz w:val="32"/>
          <w:szCs w:val="32"/>
          <w:highlight w:val="none"/>
          <w:lang w:val="en-US" w:eastAsia="zh-CN" w:bidi="ar-SA"/>
        </w:rPr>
        <w:t>次，出国（境）</w:t>
      </w:r>
      <w:r>
        <w:rPr>
          <w:rFonts w:hint="default" w:ascii="Times New Roman" w:hAnsi="Times New Roman" w:eastAsia="仿宋_GB2312" w:cs="Times New Roman"/>
          <w:sz w:val="32"/>
          <w:szCs w:val="32"/>
        </w:rPr>
        <w:t>0</w:t>
      </w:r>
      <w:r>
        <w:rPr>
          <w:rFonts w:hint="default" w:ascii="Times New Roman" w:hAnsi="Times New Roman" w:eastAsia="仿宋_GB2312" w:cs="Times New Roman"/>
          <w:color w:val="auto"/>
          <w:kern w:val="2"/>
          <w:sz w:val="32"/>
          <w:szCs w:val="32"/>
          <w:highlight w:val="none"/>
          <w:lang w:val="en-US" w:eastAsia="zh-CN" w:bidi="ar-SA"/>
        </w:rPr>
        <w:t>人。</w:t>
      </w:r>
      <w:r>
        <w:rPr>
          <w:rFonts w:hint="default" w:ascii="Times New Roman" w:hAnsi="Times New Roman" w:eastAsia="仿宋_GB2312" w:cs="Times New Roman"/>
          <w:color w:val="auto"/>
          <w:sz w:val="32"/>
          <w:szCs w:val="32"/>
          <w:highlight w:val="none"/>
        </w:rPr>
        <w:t>由于</w:t>
      </w:r>
      <w:r>
        <w:rPr>
          <w:rFonts w:hint="default" w:ascii="Times New Roman" w:hAnsi="Times New Roman" w:eastAsia="仿宋_GB2312" w:cs="Times New Roman"/>
          <w:color w:val="auto"/>
          <w:sz w:val="32"/>
          <w:szCs w:val="32"/>
          <w:highlight w:val="none"/>
          <w:lang w:eastAsia="zh-CN"/>
        </w:rPr>
        <w:t>四川省酒业研究和发展</w:t>
      </w:r>
      <w:r>
        <w:rPr>
          <w:rFonts w:hint="default" w:ascii="Times New Roman" w:hAnsi="Times New Roman" w:eastAsia="仿宋_GB2312" w:cs="Times New Roman"/>
          <w:color w:val="auto"/>
          <w:sz w:val="32"/>
          <w:szCs w:val="32"/>
          <w:highlight w:val="none"/>
        </w:rPr>
        <w:t>中心2024年新成立，无法比较</w:t>
      </w:r>
      <w:r>
        <w:rPr>
          <w:rFonts w:hint="default" w:ascii="Times New Roman" w:hAnsi="Times New Roman" w:eastAsia="仿宋_GB2312" w:cs="Times New Roman"/>
          <w:color w:val="auto"/>
          <w:kern w:val="2"/>
          <w:sz w:val="32"/>
          <w:szCs w:val="32"/>
          <w:highlight w:val="none"/>
          <w:lang w:val="en-US" w:eastAsia="zh-CN" w:bidi="ar-SA"/>
        </w:rPr>
        <w:t>因公出国（境）支出决算</w:t>
      </w:r>
      <w:r>
        <w:rPr>
          <w:rFonts w:hint="default" w:ascii="Times New Roman" w:hAnsi="Times New Roman" w:eastAsia="仿宋_GB2312" w:cs="Times New Roman"/>
          <w:color w:val="auto"/>
          <w:sz w:val="32"/>
          <w:szCs w:val="32"/>
          <w:highlight w:val="none"/>
        </w:rPr>
        <w:t>变化情况。</w:t>
      </w:r>
    </w:p>
    <w:p>
      <w:pPr>
        <w:keepNext w:val="0"/>
        <w:keepLines w:val="0"/>
        <w:pageBreakBefore w:val="0"/>
        <w:kinsoku/>
        <w:wordWrap/>
        <w:overflowPunct/>
        <w:topLinePunct w:val="0"/>
        <w:autoSpaceDE/>
        <w:autoSpaceDN/>
        <w:bidi w:val="0"/>
        <w:spacing w:line="600" w:lineRule="exact"/>
        <w:ind w:left="0" w:firstLine="640"/>
        <w:textAlignment w:val="auto"/>
        <w:outlineLvl w:val="9"/>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b/>
          <w:bCs/>
          <w:color w:val="auto"/>
          <w:kern w:val="2"/>
          <w:sz w:val="32"/>
          <w:szCs w:val="32"/>
          <w:highlight w:val="none"/>
          <w:lang w:val="en-US" w:eastAsia="zh-CN" w:bidi="ar-SA"/>
        </w:rPr>
        <w:t>2.公务用车购置及运行维护费支出0.92万元，完成预算16.</w:t>
      </w:r>
      <w:r>
        <w:rPr>
          <w:rFonts w:hint="eastAsia" w:ascii="Times New Roman" w:hAnsi="Times New Roman" w:eastAsia="仿宋_GB2312" w:cs="Times New Roman"/>
          <w:b/>
          <w:bCs/>
          <w:color w:val="auto"/>
          <w:kern w:val="2"/>
          <w:sz w:val="32"/>
          <w:szCs w:val="32"/>
          <w:highlight w:val="none"/>
          <w:lang w:val="en-US" w:eastAsia="zh-CN" w:bidi="ar-SA"/>
        </w:rPr>
        <w:t>8</w:t>
      </w:r>
      <w:r>
        <w:rPr>
          <w:rFonts w:hint="default" w:ascii="Times New Roman" w:hAnsi="Times New Roman" w:eastAsia="仿宋_GB2312" w:cs="Times New Roman"/>
          <w:b/>
          <w:bCs/>
          <w:color w:val="auto"/>
          <w:kern w:val="2"/>
          <w:sz w:val="32"/>
          <w:szCs w:val="32"/>
          <w:highlight w:val="none"/>
          <w:lang w:val="en-US" w:eastAsia="zh-CN" w:bidi="ar-SA"/>
        </w:rPr>
        <w:t>%。</w:t>
      </w:r>
      <w:r>
        <w:rPr>
          <w:rFonts w:hint="default" w:ascii="Times New Roman" w:hAnsi="Times New Roman" w:eastAsia="仿宋_GB2312" w:cs="Times New Roman"/>
          <w:color w:val="auto"/>
          <w:sz w:val="32"/>
          <w:szCs w:val="32"/>
          <w:highlight w:val="none"/>
        </w:rPr>
        <w:t>由于</w:t>
      </w:r>
      <w:r>
        <w:rPr>
          <w:rFonts w:hint="default" w:ascii="Times New Roman" w:hAnsi="Times New Roman" w:eastAsia="仿宋_GB2312" w:cs="Times New Roman"/>
          <w:color w:val="auto"/>
          <w:sz w:val="32"/>
          <w:szCs w:val="32"/>
          <w:highlight w:val="none"/>
          <w:lang w:eastAsia="zh-CN"/>
        </w:rPr>
        <w:t>四川省酒业研究和发展</w:t>
      </w:r>
      <w:r>
        <w:rPr>
          <w:rFonts w:hint="default" w:ascii="Times New Roman" w:hAnsi="Times New Roman" w:eastAsia="仿宋_GB2312" w:cs="Times New Roman"/>
          <w:color w:val="auto"/>
          <w:sz w:val="32"/>
          <w:szCs w:val="32"/>
          <w:highlight w:val="none"/>
        </w:rPr>
        <w:t>中心2024年新成立，无法比较</w:t>
      </w:r>
      <w:r>
        <w:rPr>
          <w:rFonts w:hint="default" w:ascii="Times New Roman" w:hAnsi="Times New Roman" w:eastAsia="仿宋_GB2312" w:cs="Times New Roman"/>
          <w:color w:val="auto"/>
          <w:kern w:val="2"/>
          <w:sz w:val="32"/>
          <w:szCs w:val="32"/>
          <w:highlight w:val="none"/>
          <w:lang w:val="en-US" w:eastAsia="zh-CN" w:bidi="ar-SA"/>
        </w:rPr>
        <w:t>公务用车购置及运行维护费支出决算</w:t>
      </w:r>
      <w:r>
        <w:rPr>
          <w:rFonts w:hint="default" w:ascii="Times New Roman" w:hAnsi="Times New Roman" w:eastAsia="仿宋_GB2312" w:cs="Times New Roman"/>
          <w:color w:val="auto"/>
          <w:sz w:val="32"/>
          <w:szCs w:val="32"/>
          <w:highlight w:val="none"/>
        </w:rPr>
        <w:t>变化情况。</w:t>
      </w:r>
    </w:p>
    <w:p>
      <w:pPr>
        <w:keepNext w:val="0"/>
        <w:keepLines w:val="0"/>
        <w:pageBreakBefore w:val="0"/>
        <w:kinsoku/>
        <w:wordWrap/>
        <w:overflowPunct/>
        <w:topLinePunct w:val="0"/>
        <w:autoSpaceDE/>
        <w:autoSpaceDN/>
        <w:bidi w:val="0"/>
        <w:spacing w:line="600" w:lineRule="exact"/>
        <w:ind w:left="0" w:firstLine="640"/>
        <w:textAlignment w:val="auto"/>
        <w:outlineLvl w:val="9"/>
        <w:rPr>
          <w:rFonts w:hint="eastAsia" w:ascii="Times New Roman" w:hAnsi="Times New Roman" w:eastAsia="仿宋_GB2312" w:cs="仿宋_GB2312"/>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其中：公务用车购置支出</w:t>
      </w:r>
      <w:r>
        <w:rPr>
          <w:rFonts w:hint="default" w:ascii="Times New Roman" w:hAnsi="Times New Roman" w:eastAsia="仿宋_GB2312" w:cs="Times New Roman"/>
          <w:sz w:val="32"/>
          <w:szCs w:val="32"/>
        </w:rPr>
        <w:t>0</w:t>
      </w:r>
      <w:r>
        <w:rPr>
          <w:rFonts w:hint="default" w:ascii="Times New Roman" w:hAnsi="Times New Roman" w:eastAsia="仿宋_GB2312" w:cs="Times New Roman"/>
          <w:color w:val="auto"/>
          <w:kern w:val="2"/>
          <w:sz w:val="32"/>
          <w:szCs w:val="32"/>
          <w:highlight w:val="none"/>
          <w:lang w:val="en-US" w:eastAsia="zh-CN" w:bidi="ar-SA"/>
        </w:rPr>
        <w:t>万元。全年按规定更新购置公务用车0辆，其中：轿车0辆、金额0万元，</w:t>
      </w:r>
      <w:r>
        <w:rPr>
          <w:rFonts w:hint="eastAsia" w:ascii="Times New Roman" w:hAnsi="Times New Roman" w:eastAsia="仿宋_GB2312" w:cs="仿宋_GB2312"/>
          <w:color w:val="auto"/>
          <w:kern w:val="2"/>
          <w:sz w:val="32"/>
          <w:szCs w:val="32"/>
          <w:highlight w:val="none"/>
          <w:lang w:val="en-US" w:eastAsia="zh-CN" w:bidi="ar-SA"/>
        </w:rPr>
        <w:t>越野车</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辆、金额</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万元，载客汽车</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辆、金额</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万元</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。截至2024年12月31日，单位共有公务用车</w:t>
      </w:r>
      <w:r>
        <w:rPr>
          <w:rFonts w:hint="eastAsia" w:eastAsia="仿宋_GB2312" w:cs="仿宋_GB2312"/>
          <w:color w:val="auto"/>
          <w:kern w:val="2"/>
          <w:sz w:val="32"/>
          <w:szCs w:val="32"/>
          <w:highlight w:val="none"/>
          <w:lang w:val="en-US" w:eastAsia="zh-CN" w:bidi="ar-SA"/>
        </w:rPr>
        <w:t>1</w:t>
      </w:r>
      <w:r>
        <w:rPr>
          <w:rFonts w:hint="eastAsia" w:ascii="Times New Roman" w:hAnsi="Times New Roman" w:eastAsia="仿宋_GB2312" w:cs="仿宋_GB2312"/>
          <w:color w:val="auto"/>
          <w:kern w:val="2"/>
          <w:sz w:val="32"/>
          <w:szCs w:val="32"/>
          <w:highlight w:val="none"/>
          <w:lang w:val="en-US" w:eastAsia="zh-CN" w:bidi="ar-SA"/>
        </w:rPr>
        <w:t>辆，其中：轿车</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辆、越野车</w:t>
      </w:r>
      <w:r>
        <w:rPr>
          <w:rFonts w:hint="eastAsia" w:eastAsia="仿宋_GB2312" w:cs="仿宋_GB2312"/>
          <w:color w:val="auto"/>
          <w:kern w:val="2"/>
          <w:sz w:val="32"/>
          <w:szCs w:val="32"/>
          <w:highlight w:val="none"/>
          <w:lang w:val="en-US" w:eastAsia="zh-CN" w:bidi="ar-SA"/>
        </w:rPr>
        <w:t>1</w:t>
      </w:r>
      <w:r>
        <w:rPr>
          <w:rFonts w:hint="eastAsia" w:ascii="Times New Roman" w:hAnsi="Times New Roman" w:eastAsia="仿宋_GB2312" w:cs="仿宋_GB2312"/>
          <w:color w:val="auto"/>
          <w:kern w:val="2"/>
          <w:sz w:val="32"/>
          <w:szCs w:val="32"/>
          <w:highlight w:val="none"/>
          <w:lang w:val="en-US" w:eastAsia="zh-CN" w:bidi="ar-SA"/>
        </w:rPr>
        <w:t>辆、载客汽车</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辆。</w:t>
      </w:r>
    </w:p>
    <w:p>
      <w:pPr>
        <w:keepNext w:val="0"/>
        <w:keepLines w:val="0"/>
        <w:pageBreakBefore w:val="0"/>
        <w:kinsoku/>
        <w:wordWrap/>
        <w:overflowPunct/>
        <w:topLinePunct w:val="0"/>
        <w:autoSpaceDE/>
        <w:autoSpaceDN/>
        <w:bidi w:val="0"/>
        <w:spacing w:line="600" w:lineRule="exact"/>
        <w:ind w:left="0" w:firstLine="640"/>
        <w:textAlignment w:val="auto"/>
        <w:outlineLvl w:val="9"/>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公务用车运行维护费支出</w:t>
      </w:r>
      <w:r>
        <w:rPr>
          <w:rFonts w:hint="default" w:ascii="Times New Roman" w:hAnsi="Times New Roman" w:eastAsia="仿宋_GB2312" w:cs="Times New Roman"/>
          <w:sz w:val="32"/>
          <w:szCs w:val="32"/>
        </w:rPr>
        <w:t>0.92</w:t>
      </w:r>
      <w:r>
        <w:rPr>
          <w:rFonts w:hint="default" w:ascii="Times New Roman" w:hAnsi="Times New Roman" w:eastAsia="仿宋_GB2312" w:cs="Times New Roman"/>
          <w:color w:val="auto"/>
          <w:kern w:val="2"/>
          <w:sz w:val="32"/>
          <w:szCs w:val="32"/>
          <w:highlight w:val="none"/>
          <w:lang w:val="en-US" w:eastAsia="zh-CN" w:bidi="ar-SA"/>
        </w:rPr>
        <w:t>万元。主要用于开展业务工作、产区调研走访及技术服务所需的公务用车燃料费、维修费、过路过桥费、保险费等支出。</w:t>
      </w:r>
    </w:p>
    <w:p>
      <w:pPr>
        <w:keepNext w:val="0"/>
        <w:keepLines w:val="0"/>
        <w:pageBreakBefore w:val="0"/>
        <w:kinsoku/>
        <w:wordWrap/>
        <w:overflowPunct/>
        <w:topLinePunct w:val="0"/>
        <w:autoSpaceDE/>
        <w:autoSpaceDN/>
        <w:bidi w:val="0"/>
        <w:spacing w:line="600" w:lineRule="exact"/>
        <w:ind w:left="0" w:firstLine="640"/>
        <w:textAlignment w:val="auto"/>
        <w:outlineLvl w:val="9"/>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b/>
          <w:bCs/>
          <w:color w:val="auto"/>
          <w:kern w:val="2"/>
          <w:sz w:val="32"/>
          <w:szCs w:val="32"/>
          <w:highlight w:val="none"/>
          <w:lang w:val="en-US" w:eastAsia="zh-CN" w:bidi="ar-SA"/>
        </w:rPr>
        <w:t>3.公务接待费支出0万元。</w:t>
      </w:r>
      <w:r>
        <w:rPr>
          <w:rFonts w:hint="default" w:ascii="Times New Roman" w:hAnsi="Times New Roman" w:eastAsia="仿宋_GB2312" w:cs="Times New Roman"/>
          <w:color w:val="auto"/>
          <w:sz w:val="32"/>
          <w:szCs w:val="32"/>
          <w:highlight w:val="none"/>
        </w:rPr>
        <w:t>由于</w:t>
      </w:r>
      <w:r>
        <w:rPr>
          <w:rFonts w:hint="default" w:ascii="Times New Roman" w:hAnsi="Times New Roman" w:eastAsia="仿宋_GB2312" w:cs="Times New Roman"/>
          <w:color w:val="auto"/>
          <w:sz w:val="32"/>
          <w:szCs w:val="32"/>
          <w:highlight w:val="none"/>
          <w:lang w:eastAsia="zh-CN"/>
        </w:rPr>
        <w:t>四川省酒业研究和发展</w:t>
      </w:r>
      <w:r>
        <w:rPr>
          <w:rFonts w:hint="default" w:ascii="Times New Roman" w:hAnsi="Times New Roman" w:eastAsia="仿宋_GB2312" w:cs="Times New Roman"/>
          <w:color w:val="auto"/>
          <w:sz w:val="32"/>
          <w:szCs w:val="32"/>
          <w:highlight w:val="none"/>
        </w:rPr>
        <w:t>中心2024年新成立，无法比较</w:t>
      </w:r>
      <w:r>
        <w:rPr>
          <w:rFonts w:hint="default" w:ascii="Times New Roman" w:hAnsi="Times New Roman" w:eastAsia="仿宋_GB2312" w:cs="Times New Roman"/>
          <w:color w:val="auto"/>
          <w:kern w:val="2"/>
          <w:sz w:val="32"/>
          <w:szCs w:val="32"/>
          <w:highlight w:val="none"/>
          <w:lang w:val="en-US" w:eastAsia="zh-CN" w:bidi="ar-SA"/>
        </w:rPr>
        <w:t>公务接待费支出决算</w:t>
      </w:r>
      <w:r>
        <w:rPr>
          <w:rFonts w:hint="default" w:ascii="Times New Roman" w:hAnsi="Times New Roman" w:eastAsia="仿宋_GB2312" w:cs="Times New Roman"/>
          <w:color w:val="auto"/>
          <w:sz w:val="32"/>
          <w:szCs w:val="32"/>
          <w:highlight w:val="none"/>
        </w:rPr>
        <w:t>变化情况。</w:t>
      </w:r>
      <w:r>
        <w:rPr>
          <w:rFonts w:hint="default" w:ascii="Times New Roman" w:hAnsi="Times New Roman" w:eastAsia="仿宋_GB2312" w:cs="Times New Roman"/>
          <w:color w:val="auto"/>
          <w:kern w:val="2"/>
          <w:sz w:val="32"/>
          <w:szCs w:val="32"/>
          <w:highlight w:val="none"/>
          <w:lang w:val="en-US" w:eastAsia="zh-CN" w:bidi="ar-SA"/>
        </w:rPr>
        <w:t>其中：</w:t>
      </w:r>
    </w:p>
    <w:p>
      <w:pPr>
        <w:keepNext w:val="0"/>
        <w:keepLines w:val="0"/>
        <w:pageBreakBefore w:val="0"/>
        <w:kinsoku/>
        <w:wordWrap/>
        <w:overflowPunct/>
        <w:topLinePunct w:val="0"/>
        <w:autoSpaceDE/>
        <w:autoSpaceDN/>
        <w:bidi w:val="0"/>
        <w:spacing w:line="600" w:lineRule="exact"/>
        <w:ind w:left="0" w:firstLine="640"/>
        <w:textAlignment w:val="auto"/>
        <w:outlineLvl w:val="9"/>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国内公务接待支出</w:t>
      </w:r>
      <w:r>
        <w:rPr>
          <w:rFonts w:hint="default" w:ascii="Times New Roman" w:hAnsi="Times New Roman" w:eastAsia="仿宋_GB2312" w:cs="Times New Roman"/>
          <w:sz w:val="32"/>
          <w:szCs w:val="32"/>
        </w:rPr>
        <w:t>0</w:t>
      </w:r>
      <w:r>
        <w:rPr>
          <w:rFonts w:hint="default" w:ascii="Times New Roman" w:hAnsi="Times New Roman" w:eastAsia="仿宋_GB2312" w:cs="Times New Roman"/>
          <w:color w:val="auto"/>
          <w:kern w:val="2"/>
          <w:sz w:val="32"/>
          <w:szCs w:val="32"/>
          <w:highlight w:val="none"/>
          <w:lang w:val="en-US" w:eastAsia="zh-CN" w:bidi="ar-SA"/>
        </w:rPr>
        <w:t>万元。国内公务接待</w:t>
      </w:r>
      <w:r>
        <w:rPr>
          <w:rFonts w:hint="default" w:ascii="Times New Roman" w:hAnsi="Times New Roman" w:eastAsia="仿宋_GB2312" w:cs="Times New Roman"/>
          <w:sz w:val="32"/>
          <w:szCs w:val="32"/>
        </w:rPr>
        <w:t>0</w:t>
      </w:r>
      <w:r>
        <w:rPr>
          <w:rFonts w:hint="default" w:ascii="Times New Roman" w:hAnsi="Times New Roman" w:eastAsia="仿宋_GB2312" w:cs="Times New Roman"/>
          <w:color w:val="auto"/>
          <w:kern w:val="2"/>
          <w:sz w:val="32"/>
          <w:szCs w:val="32"/>
          <w:highlight w:val="none"/>
          <w:lang w:val="en-US" w:eastAsia="zh-CN" w:bidi="ar-SA"/>
        </w:rPr>
        <w:t>批次，</w:t>
      </w:r>
      <w:r>
        <w:rPr>
          <w:rFonts w:hint="default" w:ascii="Times New Roman" w:hAnsi="Times New Roman" w:eastAsia="仿宋_GB2312" w:cs="Times New Roman"/>
          <w:sz w:val="32"/>
          <w:szCs w:val="32"/>
        </w:rPr>
        <w:t>0</w:t>
      </w:r>
      <w:r>
        <w:rPr>
          <w:rFonts w:hint="default" w:ascii="Times New Roman" w:hAnsi="Times New Roman" w:eastAsia="仿宋_GB2312" w:cs="Times New Roman"/>
          <w:color w:val="auto"/>
          <w:kern w:val="2"/>
          <w:sz w:val="32"/>
          <w:szCs w:val="32"/>
          <w:highlight w:val="none"/>
          <w:lang w:val="en-US" w:eastAsia="zh-CN" w:bidi="ar-SA"/>
        </w:rPr>
        <w:t>人次（不包括陪同人员），共计支出0万元。</w:t>
      </w:r>
    </w:p>
    <w:p>
      <w:pPr>
        <w:keepNext w:val="0"/>
        <w:keepLines w:val="0"/>
        <w:pageBreakBefore w:val="0"/>
        <w:kinsoku/>
        <w:wordWrap/>
        <w:overflowPunct/>
        <w:topLinePunct w:val="0"/>
        <w:autoSpaceDE/>
        <w:autoSpaceDN/>
        <w:bidi w:val="0"/>
        <w:spacing w:line="600" w:lineRule="exact"/>
        <w:ind w:left="0" w:firstLine="640"/>
        <w:textAlignment w:val="auto"/>
        <w:outlineLvl w:val="9"/>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外事接待支出</w:t>
      </w:r>
      <w:r>
        <w:rPr>
          <w:rFonts w:hint="default" w:ascii="Times New Roman" w:hAnsi="Times New Roman" w:eastAsia="仿宋_GB2312" w:cs="Times New Roman"/>
          <w:sz w:val="32"/>
          <w:szCs w:val="32"/>
        </w:rPr>
        <w:t>0</w:t>
      </w:r>
      <w:r>
        <w:rPr>
          <w:rFonts w:hint="default" w:ascii="Times New Roman" w:hAnsi="Times New Roman" w:eastAsia="仿宋_GB2312" w:cs="Times New Roman"/>
          <w:color w:val="auto"/>
          <w:kern w:val="2"/>
          <w:sz w:val="32"/>
          <w:szCs w:val="32"/>
          <w:highlight w:val="none"/>
          <w:lang w:val="en-US" w:eastAsia="zh-CN" w:bidi="ar-SA"/>
        </w:rPr>
        <w:t>万元。外事接待</w:t>
      </w:r>
      <w:r>
        <w:rPr>
          <w:rFonts w:hint="default" w:ascii="Times New Roman" w:hAnsi="Times New Roman" w:eastAsia="仿宋_GB2312" w:cs="Times New Roman"/>
          <w:sz w:val="32"/>
          <w:szCs w:val="32"/>
        </w:rPr>
        <w:t>0</w:t>
      </w:r>
      <w:r>
        <w:rPr>
          <w:rFonts w:hint="default" w:ascii="Times New Roman" w:hAnsi="Times New Roman" w:eastAsia="仿宋_GB2312" w:cs="Times New Roman"/>
          <w:color w:val="auto"/>
          <w:kern w:val="2"/>
          <w:sz w:val="32"/>
          <w:szCs w:val="32"/>
          <w:highlight w:val="none"/>
          <w:lang w:val="en-US" w:eastAsia="zh-CN" w:bidi="ar-SA"/>
        </w:rPr>
        <w:t>批次，</w:t>
      </w:r>
      <w:r>
        <w:rPr>
          <w:rFonts w:hint="default" w:ascii="Times New Roman" w:hAnsi="Times New Roman" w:eastAsia="仿宋_GB2312" w:cs="Times New Roman"/>
          <w:sz w:val="32"/>
          <w:szCs w:val="32"/>
        </w:rPr>
        <w:t>0</w:t>
      </w:r>
      <w:r>
        <w:rPr>
          <w:rFonts w:hint="default" w:ascii="Times New Roman" w:hAnsi="Times New Roman" w:eastAsia="仿宋_GB2312" w:cs="Times New Roman"/>
          <w:color w:val="auto"/>
          <w:kern w:val="2"/>
          <w:sz w:val="32"/>
          <w:szCs w:val="32"/>
          <w:highlight w:val="none"/>
          <w:lang w:val="en-US" w:eastAsia="zh-CN" w:bidi="ar-SA"/>
        </w:rPr>
        <w:t>人次（不包括陪同人员），共计支出0万元。</w:t>
      </w:r>
      <w:bookmarkStart w:id="51" w:name="_Toc15396610"/>
      <w:bookmarkStart w:id="52" w:name="_Toc15377218"/>
    </w:p>
    <w:p>
      <w:pPr>
        <w:keepNext w:val="0"/>
        <w:keepLines w:val="0"/>
        <w:pageBreakBefore w:val="0"/>
        <w:widowControl w:val="0"/>
        <w:kinsoku/>
        <w:wordWrap/>
        <w:overflowPunct/>
        <w:topLinePunct w:val="0"/>
        <w:autoSpaceDE/>
        <w:autoSpaceDN/>
        <w:bidi w:val="0"/>
        <w:adjustRightInd/>
        <w:snapToGrid/>
        <w:spacing w:line="600" w:lineRule="exact"/>
        <w:ind w:left="0" w:firstLine="641"/>
        <w:textAlignment w:val="auto"/>
        <w:outlineLvl w:val="1"/>
        <w:rPr>
          <w:rFonts w:hint="eastAsia" w:ascii="Times New Roman" w:hAnsi="Times New Roman"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firstLine="641"/>
        <w:textAlignment w:val="auto"/>
        <w:outlineLvl w:val="1"/>
        <w:rPr>
          <w:rStyle w:val="29"/>
          <w:rFonts w:ascii="Times New Roman" w:hAnsi="Times New Roman" w:eastAsia="黑体"/>
          <w:color w:val="auto"/>
          <w:highlight w:val="none"/>
        </w:rPr>
      </w:pPr>
      <w:bookmarkStart w:id="53" w:name="_Toc4907426"/>
      <w:r>
        <w:rPr>
          <w:rFonts w:hint="eastAsia" w:ascii="Times New Roman" w:hAnsi="Times New Roman" w:eastAsia="黑体"/>
          <w:color w:val="auto"/>
          <w:sz w:val="32"/>
          <w:szCs w:val="32"/>
          <w:highlight w:val="none"/>
        </w:rPr>
        <w:t>八、</w:t>
      </w:r>
      <w:r>
        <w:rPr>
          <w:rStyle w:val="29"/>
          <w:rFonts w:hint="eastAsia" w:ascii="Times New Roman" w:hAnsi="Times New Roman" w:eastAsia="黑体"/>
          <w:b w:val="0"/>
          <w:color w:val="auto"/>
          <w:highlight w:val="none"/>
        </w:rPr>
        <w:t>政府性基金预算支出决算情况说明</w:t>
      </w:r>
      <w:bookmarkEnd w:id="51"/>
      <w:bookmarkEnd w:id="52"/>
      <w:bookmarkEnd w:id="53"/>
    </w:p>
    <w:p>
      <w:pPr>
        <w:keepNext w:val="0"/>
        <w:keepLines w:val="0"/>
        <w:pageBreakBefore w:val="0"/>
        <w:kinsoku/>
        <w:wordWrap/>
        <w:overflowPunct/>
        <w:topLinePunct w:val="0"/>
        <w:autoSpaceDE/>
        <w:autoSpaceDN/>
        <w:bidi w:val="0"/>
        <w:spacing w:line="600" w:lineRule="exact"/>
        <w:ind w:left="0" w:firstLine="640"/>
        <w:textAlignment w:val="auto"/>
        <w:outlineLvl w:val="9"/>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kern w:val="2"/>
          <w:sz w:val="32"/>
          <w:szCs w:val="32"/>
          <w:highlight w:val="none"/>
          <w:lang w:val="en-US" w:eastAsia="zh-CN" w:bidi="ar-SA"/>
        </w:rPr>
        <w:t>2024年度政府性基金预算财政拨款支出</w:t>
      </w:r>
      <w:r>
        <w:rPr>
          <w:rFonts w:hint="default" w:ascii="Times New Roman" w:hAnsi="Times New Roman" w:eastAsia="仿宋_GB2312" w:cs="Times New Roman"/>
          <w:sz w:val="32"/>
          <w:szCs w:val="32"/>
        </w:rPr>
        <w:t>0</w:t>
      </w:r>
      <w:r>
        <w:rPr>
          <w:rFonts w:hint="default" w:ascii="Times New Roman" w:hAnsi="Times New Roman" w:eastAsia="仿宋_GB2312" w:cs="Times New Roman"/>
          <w:color w:val="auto"/>
          <w:kern w:val="2"/>
          <w:sz w:val="32"/>
          <w:szCs w:val="32"/>
          <w:highlight w:val="none"/>
          <w:lang w:val="en-US" w:eastAsia="zh-CN" w:bidi="ar-SA"/>
        </w:rPr>
        <w:t>万元，占本年支出合计的</w:t>
      </w:r>
      <w:r>
        <w:rPr>
          <w:rFonts w:hint="default" w:ascii="Times New Roman" w:hAnsi="Times New Roman" w:eastAsia="仿宋_GB2312" w:cs="Times New Roman"/>
          <w:sz w:val="32"/>
          <w:szCs w:val="32"/>
        </w:rPr>
        <w:t>0</w:t>
      </w:r>
      <w:r>
        <w:rPr>
          <w:rFonts w:hint="default" w:ascii="Times New Roman" w:hAnsi="Times New Roman" w:eastAsia="仿宋_GB2312" w:cs="Times New Roman"/>
          <w:color w:val="auto"/>
          <w:kern w:val="2"/>
          <w:sz w:val="32"/>
          <w:szCs w:val="32"/>
          <w:highlight w:val="none"/>
          <w:lang w:val="en-US" w:eastAsia="zh-CN" w:bidi="ar-SA"/>
        </w:rPr>
        <w:t>%。</w:t>
      </w:r>
      <w:r>
        <w:rPr>
          <w:rFonts w:hint="default" w:ascii="Times New Roman" w:hAnsi="Times New Roman" w:eastAsia="仿宋_GB2312" w:cs="Times New Roman"/>
          <w:color w:val="auto"/>
          <w:sz w:val="32"/>
          <w:szCs w:val="32"/>
          <w:highlight w:val="none"/>
        </w:rPr>
        <w:t>由于</w:t>
      </w:r>
      <w:r>
        <w:rPr>
          <w:rFonts w:hint="default" w:ascii="Times New Roman" w:hAnsi="Times New Roman" w:eastAsia="仿宋_GB2312" w:cs="Times New Roman"/>
          <w:color w:val="auto"/>
          <w:sz w:val="32"/>
          <w:szCs w:val="32"/>
          <w:highlight w:val="none"/>
          <w:lang w:eastAsia="zh-CN"/>
        </w:rPr>
        <w:t>四川省酒业研究和发展</w:t>
      </w:r>
      <w:r>
        <w:rPr>
          <w:rFonts w:hint="default" w:ascii="Times New Roman" w:hAnsi="Times New Roman" w:eastAsia="仿宋_GB2312" w:cs="Times New Roman"/>
          <w:color w:val="auto"/>
          <w:sz w:val="32"/>
          <w:szCs w:val="32"/>
          <w:highlight w:val="none"/>
        </w:rPr>
        <w:t>中心2024年新成立，无法比较</w:t>
      </w:r>
      <w:r>
        <w:rPr>
          <w:rFonts w:hint="default" w:ascii="Times New Roman" w:hAnsi="Times New Roman" w:eastAsia="仿宋_GB2312" w:cs="Times New Roman"/>
          <w:color w:val="auto"/>
          <w:kern w:val="2"/>
          <w:sz w:val="32"/>
          <w:szCs w:val="32"/>
          <w:highlight w:val="none"/>
          <w:lang w:val="en-US" w:eastAsia="zh-CN" w:bidi="ar-SA"/>
        </w:rPr>
        <w:t>政府性基金预算财政拨款支出</w:t>
      </w:r>
      <w:r>
        <w:rPr>
          <w:rFonts w:hint="default" w:ascii="Times New Roman" w:hAnsi="Times New Roman" w:eastAsia="仿宋_GB2312" w:cs="Times New Roman"/>
          <w:color w:val="auto"/>
          <w:sz w:val="32"/>
          <w:szCs w:val="32"/>
          <w:highlight w:val="none"/>
        </w:rPr>
        <w:t>变化情况。</w:t>
      </w:r>
    </w:p>
    <w:p>
      <w:pPr>
        <w:keepNext w:val="0"/>
        <w:keepLines w:val="0"/>
        <w:pageBreakBefore w:val="0"/>
        <w:widowControl w:val="0"/>
        <w:kinsoku/>
        <w:wordWrap/>
        <w:overflowPunct/>
        <w:topLinePunct w:val="0"/>
        <w:autoSpaceDE/>
        <w:autoSpaceDN/>
        <w:bidi w:val="0"/>
        <w:adjustRightInd/>
        <w:snapToGrid/>
        <w:spacing w:line="600" w:lineRule="exact"/>
        <w:ind w:left="0" w:firstLine="641"/>
        <w:textAlignment w:val="auto"/>
        <w:outlineLvl w:val="1"/>
        <w:rPr>
          <w:rFonts w:hint="default" w:ascii="Times New Roman" w:hAnsi="Times New Roman" w:eastAsia="黑体" w:cs="Times New Roman"/>
          <w:color w:val="auto"/>
          <w:sz w:val="32"/>
          <w:szCs w:val="32"/>
          <w:highlight w:val="none"/>
          <w:lang w:eastAsia="zh-CN"/>
        </w:rPr>
      </w:pPr>
      <w:bookmarkStart w:id="54" w:name="_Toc15396611"/>
      <w:bookmarkStart w:id="55" w:name="_Toc15377219"/>
    </w:p>
    <w:p>
      <w:pPr>
        <w:keepNext w:val="0"/>
        <w:keepLines w:val="0"/>
        <w:pageBreakBefore w:val="0"/>
        <w:widowControl w:val="0"/>
        <w:kinsoku/>
        <w:wordWrap/>
        <w:overflowPunct/>
        <w:topLinePunct w:val="0"/>
        <w:autoSpaceDE/>
        <w:autoSpaceDN/>
        <w:bidi w:val="0"/>
        <w:adjustRightInd/>
        <w:snapToGrid/>
        <w:spacing w:line="600" w:lineRule="exact"/>
        <w:ind w:left="0" w:firstLine="641"/>
        <w:textAlignment w:val="auto"/>
        <w:outlineLvl w:val="1"/>
        <w:rPr>
          <w:rFonts w:hint="default" w:ascii="Times New Roman" w:hAnsi="Times New Roman" w:eastAsia="黑体" w:cs="Times New Roman"/>
          <w:color w:val="auto"/>
          <w:sz w:val="32"/>
          <w:szCs w:val="32"/>
          <w:highlight w:val="none"/>
        </w:rPr>
      </w:pPr>
      <w:bookmarkStart w:id="56" w:name="_Toc2057433064"/>
      <w:r>
        <w:rPr>
          <w:rFonts w:hint="default" w:ascii="Times New Roman" w:hAnsi="Times New Roman" w:eastAsia="黑体" w:cs="Times New Roman"/>
          <w:color w:val="auto"/>
          <w:sz w:val="32"/>
          <w:szCs w:val="32"/>
          <w:highlight w:val="none"/>
          <w:lang w:eastAsia="zh-CN"/>
        </w:rPr>
        <w:t>九、</w:t>
      </w:r>
      <w:r>
        <w:rPr>
          <w:rFonts w:hint="default" w:ascii="Times New Roman" w:hAnsi="Times New Roman" w:eastAsia="黑体" w:cs="Times New Roman"/>
          <w:color w:val="auto"/>
          <w:sz w:val="32"/>
          <w:szCs w:val="32"/>
          <w:highlight w:val="none"/>
        </w:rPr>
        <w:t>国有资本经营预算支出决算情况说明</w:t>
      </w:r>
      <w:bookmarkEnd w:id="54"/>
      <w:bookmarkEnd w:id="55"/>
      <w:bookmarkEnd w:id="56"/>
    </w:p>
    <w:p>
      <w:pPr>
        <w:keepNext w:val="0"/>
        <w:keepLines w:val="0"/>
        <w:pageBreakBefore w:val="0"/>
        <w:kinsoku/>
        <w:wordWrap/>
        <w:overflowPunct/>
        <w:topLinePunct w:val="0"/>
        <w:autoSpaceDE/>
        <w:autoSpaceDN/>
        <w:bidi w:val="0"/>
        <w:spacing w:line="600" w:lineRule="exact"/>
        <w:ind w:left="0" w:firstLine="640"/>
        <w:textAlignment w:val="auto"/>
        <w:outlineLvl w:val="9"/>
        <w:rPr>
          <w:rFonts w:hint="eastAsia" w:ascii="Times New Roman" w:hAnsi="Times New Roman" w:eastAsia="仿宋_GB2312" w:cs="仿宋_GB2312"/>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2024年度国有资本经营预算财政拨款支出</w:t>
      </w:r>
      <w:r>
        <w:rPr>
          <w:rFonts w:hint="default" w:ascii="Times New Roman" w:hAnsi="Times New Roman" w:eastAsia="仿宋_GB2312" w:cs="Times New Roman"/>
          <w:sz w:val="32"/>
          <w:szCs w:val="32"/>
        </w:rPr>
        <w:t>0</w:t>
      </w:r>
      <w:r>
        <w:rPr>
          <w:rFonts w:hint="default" w:ascii="Times New Roman" w:hAnsi="Times New Roman" w:eastAsia="仿宋_GB2312" w:cs="Times New Roman"/>
          <w:color w:val="auto"/>
          <w:kern w:val="2"/>
          <w:sz w:val="32"/>
          <w:szCs w:val="32"/>
          <w:highlight w:val="none"/>
          <w:lang w:val="en-US" w:eastAsia="zh-CN" w:bidi="ar-SA"/>
        </w:rPr>
        <w:t>万元，占本年支出合计的</w:t>
      </w:r>
      <w:r>
        <w:rPr>
          <w:rFonts w:hint="default" w:ascii="Times New Roman" w:hAnsi="Times New Roman" w:eastAsia="仿宋_GB2312" w:cs="Times New Roman"/>
          <w:sz w:val="32"/>
          <w:szCs w:val="32"/>
        </w:rPr>
        <w:t>0</w:t>
      </w:r>
      <w:r>
        <w:rPr>
          <w:rFonts w:hint="default" w:ascii="Times New Roman" w:hAnsi="Times New Roman" w:eastAsia="仿宋_GB2312" w:cs="Times New Roman"/>
          <w:color w:val="auto"/>
          <w:kern w:val="2"/>
          <w:sz w:val="32"/>
          <w:szCs w:val="32"/>
          <w:highlight w:val="none"/>
          <w:lang w:val="en-US" w:eastAsia="zh-CN" w:bidi="ar-SA"/>
        </w:rPr>
        <w:t>%。</w:t>
      </w:r>
      <w:r>
        <w:rPr>
          <w:rFonts w:hint="default" w:ascii="Times New Roman" w:hAnsi="Times New Roman" w:eastAsia="仿宋_GB2312" w:cs="Times New Roman"/>
          <w:color w:val="auto"/>
          <w:sz w:val="32"/>
          <w:szCs w:val="32"/>
          <w:highlight w:val="none"/>
        </w:rPr>
        <w:t>由于</w:t>
      </w:r>
      <w:r>
        <w:rPr>
          <w:rFonts w:hint="default" w:ascii="Times New Roman" w:hAnsi="Times New Roman" w:eastAsia="仿宋_GB2312" w:cs="Times New Roman"/>
          <w:color w:val="auto"/>
          <w:sz w:val="32"/>
          <w:szCs w:val="32"/>
          <w:highlight w:val="none"/>
          <w:lang w:eastAsia="zh-CN"/>
        </w:rPr>
        <w:t>四川省酒业研究和发展</w:t>
      </w:r>
      <w:r>
        <w:rPr>
          <w:rFonts w:hint="default" w:ascii="Times New Roman" w:hAnsi="Times New Roman" w:eastAsia="仿宋_GB2312" w:cs="Times New Roman"/>
          <w:color w:val="auto"/>
          <w:sz w:val="32"/>
          <w:szCs w:val="32"/>
          <w:highlight w:val="none"/>
        </w:rPr>
        <w:t>中心2024年新成立，无法比较</w:t>
      </w:r>
      <w:r>
        <w:rPr>
          <w:rFonts w:hint="default" w:ascii="Times New Roman" w:hAnsi="Times New Roman" w:eastAsia="仿宋_GB2312" w:cs="Times New Roman"/>
          <w:color w:val="auto"/>
          <w:kern w:val="2"/>
          <w:sz w:val="32"/>
          <w:szCs w:val="32"/>
          <w:highlight w:val="none"/>
          <w:lang w:val="en-US" w:eastAsia="zh-CN" w:bidi="ar-SA"/>
        </w:rPr>
        <w:t>国有资本经营预算财政拨款支出</w:t>
      </w:r>
      <w:r>
        <w:rPr>
          <w:rFonts w:hint="default" w:ascii="Times New Roman" w:hAnsi="Times New Roman" w:eastAsia="仿宋_GB2312" w:cs="Times New Roman"/>
          <w:color w:val="auto"/>
          <w:sz w:val="32"/>
          <w:szCs w:val="32"/>
          <w:highlight w:val="none"/>
        </w:rPr>
        <w:t>变化情况</w:t>
      </w:r>
      <w:r>
        <w:rPr>
          <w:rFonts w:hint="eastAsia" w:ascii="Times New Roman" w:hAnsi="Times New Roman" w:eastAsia="仿宋_GB2312" w:cs="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firstLine="641"/>
        <w:textAlignment w:val="auto"/>
        <w:outlineLvl w:val="1"/>
        <w:rPr>
          <w:rFonts w:hint="eastAsia" w:ascii="Times New Roman" w:hAnsi="Times New Roman" w:eastAsia="黑体"/>
          <w:color w:val="auto"/>
          <w:sz w:val="32"/>
          <w:szCs w:val="32"/>
          <w:highlight w:val="none"/>
          <w:lang w:eastAsia="zh-CN"/>
        </w:rPr>
      </w:pPr>
      <w:bookmarkStart w:id="57" w:name="_Toc15396612"/>
      <w:bookmarkStart w:id="58" w:name="_Toc15377221"/>
    </w:p>
    <w:p>
      <w:pPr>
        <w:keepNext w:val="0"/>
        <w:keepLines w:val="0"/>
        <w:pageBreakBefore w:val="0"/>
        <w:widowControl w:val="0"/>
        <w:kinsoku/>
        <w:wordWrap/>
        <w:overflowPunct/>
        <w:topLinePunct w:val="0"/>
        <w:autoSpaceDE/>
        <w:autoSpaceDN/>
        <w:bidi w:val="0"/>
        <w:adjustRightInd/>
        <w:snapToGrid/>
        <w:spacing w:line="600" w:lineRule="exact"/>
        <w:ind w:left="0" w:firstLine="641"/>
        <w:textAlignment w:val="auto"/>
        <w:outlineLvl w:val="1"/>
        <w:rPr>
          <w:rFonts w:hint="eastAsia" w:ascii="Times New Roman" w:hAnsi="Times New Roman" w:eastAsia="黑体"/>
          <w:color w:val="auto"/>
          <w:sz w:val="32"/>
          <w:szCs w:val="32"/>
          <w:highlight w:val="none"/>
        </w:rPr>
      </w:pPr>
      <w:bookmarkStart w:id="59" w:name="_Toc867011759"/>
      <w:r>
        <w:rPr>
          <w:rFonts w:hint="eastAsia" w:ascii="Times New Roman" w:hAnsi="Times New Roman" w:eastAsia="黑体"/>
          <w:color w:val="auto"/>
          <w:sz w:val="32"/>
          <w:szCs w:val="32"/>
          <w:highlight w:val="none"/>
          <w:lang w:eastAsia="zh-CN"/>
        </w:rPr>
        <w:t>十、</w:t>
      </w:r>
      <w:r>
        <w:rPr>
          <w:rFonts w:hint="eastAsia" w:ascii="Times New Roman" w:hAnsi="Times New Roman" w:eastAsia="黑体"/>
          <w:color w:val="auto"/>
          <w:sz w:val="32"/>
          <w:szCs w:val="32"/>
          <w:highlight w:val="none"/>
        </w:rPr>
        <w:t>其他重要事项的情况说明</w:t>
      </w:r>
      <w:bookmarkEnd w:id="57"/>
      <w:bookmarkEnd w:id="58"/>
      <w:bookmarkEnd w:id="59"/>
    </w:p>
    <w:p>
      <w:pPr>
        <w:keepNext w:val="0"/>
        <w:keepLines w:val="0"/>
        <w:pageBreakBefore w:val="0"/>
        <w:kinsoku/>
        <w:wordWrap/>
        <w:overflowPunct/>
        <w:topLinePunct w:val="0"/>
        <w:autoSpaceDE/>
        <w:autoSpaceDN/>
        <w:bidi w:val="0"/>
        <w:spacing w:line="600" w:lineRule="exact"/>
        <w:ind w:left="0" w:firstLine="642" w:firstLineChars="200"/>
        <w:textAlignment w:val="auto"/>
        <w:outlineLvl w:val="9"/>
        <w:rPr>
          <w:rFonts w:hint="eastAsia" w:ascii="Times New Roman" w:hAnsi="Times New Roman" w:eastAsia="楷体_GB2312" w:cs="楷体_GB2312"/>
          <w:b/>
          <w:color w:val="auto"/>
          <w:sz w:val="32"/>
          <w:szCs w:val="32"/>
          <w:highlight w:val="none"/>
        </w:rPr>
      </w:pPr>
      <w:bookmarkStart w:id="60" w:name="_Toc15377222"/>
      <w:r>
        <w:rPr>
          <w:rFonts w:hint="eastAsia" w:ascii="Times New Roman" w:hAnsi="Times New Roman" w:eastAsia="楷体_GB2312" w:cs="楷体_GB2312"/>
          <w:b/>
          <w:color w:val="auto"/>
          <w:sz w:val="32"/>
          <w:szCs w:val="32"/>
          <w:highlight w:val="none"/>
        </w:rPr>
        <w:t>（一）机关运行经费支出情况</w:t>
      </w:r>
      <w:bookmarkEnd w:id="60"/>
    </w:p>
    <w:p>
      <w:pPr>
        <w:keepNext w:val="0"/>
        <w:keepLines w:val="0"/>
        <w:pageBreakBefore w:val="0"/>
        <w:kinsoku/>
        <w:wordWrap/>
        <w:overflowPunct/>
        <w:topLinePunct w:val="0"/>
        <w:autoSpaceDE/>
        <w:autoSpaceDN/>
        <w:bidi w:val="0"/>
        <w:spacing w:line="600" w:lineRule="exact"/>
        <w:ind w:left="0" w:firstLine="640"/>
        <w:textAlignment w:val="auto"/>
        <w:outlineLvl w:val="9"/>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2024年度，</w:t>
      </w:r>
      <w:r>
        <w:rPr>
          <w:rFonts w:hint="default" w:ascii="Times New Roman" w:hAnsi="Times New Roman" w:eastAsia="仿宋_GB2312" w:cs="Times New Roman"/>
          <w:sz w:val="32"/>
          <w:szCs w:val="32"/>
        </w:rPr>
        <w:t>四川省酒业研究和发展中心</w:t>
      </w:r>
      <w:r>
        <w:rPr>
          <w:rFonts w:hint="default" w:ascii="Times New Roman" w:hAnsi="Times New Roman" w:eastAsia="仿宋_GB2312" w:cs="Times New Roman"/>
          <w:color w:val="auto"/>
          <w:kern w:val="2"/>
          <w:sz w:val="32"/>
          <w:szCs w:val="32"/>
          <w:highlight w:val="none"/>
          <w:lang w:val="en-US" w:eastAsia="zh-CN" w:bidi="ar-SA"/>
        </w:rPr>
        <w:t>机关运行经费支出</w:t>
      </w:r>
      <w:r>
        <w:rPr>
          <w:rFonts w:hint="default" w:ascii="Times New Roman" w:hAnsi="Times New Roman" w:eastAsia="仿宋_GB2312" w:cs="Times New Roman"/>
          <w:sz w:val="32"/>
          <w:szCs w:val="32"/>
        </w:rPr>
        <w:t>0</w:t>
      </w:r>
      <w:r>
        <w:rPr>
          <w:rFonts w:hint="default" w:ascii="Times New Roman" w:hAnsi="Times New Roman" w:eastAsia="仿宋_GB2312" w:cs="Times New Roman"/>
          <w:color w:val="auto"/>
          <w:kern w:val="2"/>
          <w:sz w:val="32"/>
          <w:szCs w:val="32"/>
          <w:highlight w:val="none"/>
          <w:lang w:val="en-US" w:eastAsia="zh-CN" w:bidi="ar-SA"/>
        </w:rPr>
        <w:t>万元，</w:t>
      </w:r>
      <w:r>
        <w:rPr>
          <w:rFonts w:hint="default" w:ascii="Times New Roman" w:hAnsi="Times New Roman" w:eastAsia="仿宋_GB2312" w:cs="Times New Roman"/>
          <w:color w:val="auto"/>
          <w:sz w:val="32"/>
          <w:szCs w:val="32"/>
          <w:highlight w:val="none"/>
        </w:rPr>
        <w:t>由于</w:t>
      </w:r>
      <w:r>
        <w:rPr>
          <w:rFonts w:hint="default" w:ascii="Times New Roman" w:hAnsi="Times New Roman" w:eastAsia="仿宋_GB2312" w:cs="Times New Roman"/>
          <w:color w:val="auto"/>
          <w:sz w:val="32"/>
          <w:szCs w:val="32"/>
          <w:highlight w:val="none"/>
          <w:lang w:eastAsia="zh-CN"/>
        </w:rPr>
        <w:t>四川省酒业研究和发展</w:t>
      </w:r>
      <w:r>
        <w:rPr>
          <w:rFonts w:hint="default" w:ascii="Times New Roman" w:hAnsi="Times New Roman" w:eastAsia="仿宋_GB2312" w:cs="Times New Roman"/>
          <w:color w:val="auto"/>
          <w:sz w:val="32"/>
          <w:szCs w:val="32"/>
          <w:highlight w:val="none"/>
        </w:rPr>
        <w:t>中心2024年新成立，无法比较变化情况。</w:t>
      </w:r>
    </w:p>
    <w:p>
      <w:pPr>
        <w:keepNext w:val="0"/>
        <w:keepLines w:val="0"/>
        <w:pageBreakBefore w:val="0"/>
        <w:kinsoku/>
        <w:wordWrap/>
        <w:overflowPunct/>
        <w:topLinePunct w:val="0"/>
        <w:autoSpaceDE/>
        <w:autoSpaceDN/>
        <w:bidi w:val="0"/>
        <w:spacing w:line="600" w:lineRule="exact"/>
        <w:ind w:left="0" w:firstLine="642" w:firstLineChars="200"/>
        <w:textAlignment w:val="auto"/>
        <w:outlineLvl w:val="9"/>
        <w:rPr>
          <w:rFonts w:hint="default" w:ascii="Times New Roman" w:hAnsi="Times New Roman" w:eastAsia="楷体_GB2312" w:cs="Times New Roman"/>
          <w:b/>
          <w:color w:val="auto"/>
          <w:sz w:val="32"/>
          <w:szCs w:val="32"/>
          <w:highlight w:val="none"/>
        </w:rPr>
      </w:pPr>
      <w:bookmarkStart w:id="61" w:name="_Toc15377223"/>
      <w:r>
        <w:rPr>
          <w:rFonts w:hint="default" w:ascii="Times New Roman" w:hAnsi="Times New Roman" w:eastAsia="楷体_GB2312" w:cs="Times New Roman"/>
          <w:b/>
          <w:color w:val="auto"/>
          <w:sz w:val="32"/>
          <w:szCs w:val="32"/>
          <w:highlight w:val="none"/>
        </w:rPr>
        <w:t>（二）政府采购支出情况</w:t>
      </w:r>
      <w:bookmarkEnd w:id="61"/>
    </w:p>
    <w:p>
      <w:pPr>
        <w:keepNext w:val="0"/>
        <w:keepLines w:val="0"/>
        <w:pageBreakBefore w:val="0"/>
        <w:kinsoku/>
        <w:wordWrap/>
        <w:overflowPunct/>
        <w:topLinePunct w:val="0"/>
        <w:autoSpaceDE/>
        <w:autoSpaceDN/>
        <w:bidi w:val="0"/>
        <w:spacing w:line="600" w:lineRule="exact"/>
        <w:ind w:left="0" w:firstLine="640"/>
        <w:textAlignment w:val="auto"/>
        <w:outlineLvl w:val="9"/>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2024年度，</w:t>
      </w:r>
      <w:r>
        <w:rPr>
          <w:rFonts w:hint="default" w:ascii="Times New Roman" w:hAnsi="Times New Roman" w:eastAsia="仿宋_GB2312" w:cs="Times New Roman"/>
          <w:sz w:val="32"/>
          <w:szCs w:val="32"/>
        </w:rPr>
        <w:t>四川省酒业研究和发展中心</w:t>
      </w:r>
      <w:r>
        <w:rPr>
          <w:rFonts w:hint="default" w:ascii="Times New Roman" w:hAnsi="Times New Roman" w:eastAsia="仿宋_GB2312" w:cs="Times New Roman"/>
          <w:color w:val="auto"/>
          <w:kern w:val="2"/>
          <w:sz w:val="32"/>
          <w:szCs w:val="32"/>
          <w:highlight w:val="none"/>
          <w:lang w:val="en-US" w:eastAsia="zh-CN" w:bidi="ar-SA"/>
        </w:rPr>
        <w:t>政府采购支出总额</w:t>
      </w:r>
      <w:r>
        <w:rPr>
          <w:rFonts w:hint="default" w:ascii="Times New Roman" w:hAnsi="Times New Roman" w:eastAsia="仿宋_GB2312" w:cs="Times New Roman"/>
          <w:sz w:val="32"/>
          <w:szCs w:val="32"/>
        </w:rPr>
        <w:t>59.36</w:t>
      </w:r>
      <w:r>
        <w:rPr>
          <w:rFonts w:hint="default" w:ascii="Times New Roman" w:hAnsi="Times New Roman" w:eastAsia="仿宋_GB2312" w:cs="Times New Roman"/>
          <w:color w:val="auto"/>
          <w:kern w:val="2"/>
          <w:sz w:val="32"/>
          <w:szCs w:val="32"/>
          <w:highlight w:val="none"/>
          <w:lang w:val="en-US" w:eastAsia="zh-CN" w:bidi="ar-SA"/>
        </w:rPr>
        <w:t>万元，其中：政府采购货物支出</w:t>
      </w:r>
      <w:r>
        <w:rPr>
          <w:rFonts w:hint="default" w:ascii="Times New Roman" w:hAnsi="Times New Roman" w:eastAsia="仿宋_GB2312" w:cs="Times New Roman"/>
          <w:sz w:val="32"/>
          <w:szCs w:val="32"/>
        </w:rPr>
        <w:t>59.36</w:t>
      </w:r>
      <w:r>
        <w:rPr>
          <w:rFonts w:hint="default" w:ascii="Times New Roman" w:hAnsi="Times New Roman" w:eastAsia="仿宋_GB2312" w:cs="Times New Roman"/>
          <w:color w:val="auto"/>
          <w:kern w:val="2"/>
          <w:sz w:val="32"/>
          <w:szCs w:val="32"/>
          <w:highlight w:val="none"/>
          <w:lang w:val="en-US" w:eastAsia="zh-CN" w:bidi="ar-SA"/>
        </w:rPr>
        <w:t>万元、政府采购工程支出</w:t>
      </w:r>
      <w:r>
        <w:rPr>
          <w:rFonts w:hint="default" w:ascii="Times New Roman" w:hAnsi="Times New Roman" w:eastAsia="仿宋_GB2312" w:cs="Times New Roman"/>
          <w:sz w:val="32"/>
          <w:szCs w:val="32"/>
        </w:rPr>
        <w:t>0</w:t>
      </w:r>
      <w:r>
        <w:rPr>
          <w:rFonts w:hint="default" w:ascii="Times New Roman" w:hAnsi="Times New Roman" w:eastAsia="仿宋_GB2312" w:cs="Times New Roman"/>
          <w:color w:val="auto"/>
          <w:kern w:val="2"/>
          <w:sz w:val="32"/>
          <w:szCs w:val="32"/>
          <w:highlight w:val="none"/>
          <w:lang w:val="en-US" w:eastAsia="zh-CN" w:bidi="ar-SA"/>
        </w:rPr>
        <w:t>万元、政府采购服务支出</w:t>
      </w:r>
      <w:r>
        <w:rPr>
          <w:rFonts w:hint="default" w:ascii="Times New Roman" w:hAnsi="Times New Roman" w:eastAsia="仿宋_GB2312" w:cs="Times New Roman"/>
          <w:sz w:val="32"/>
          <w:szCs w:val="32"/>
        </w:rPr>
        <w:t>0</w:t>
      </w:r>
      <w:r>
        <w:rPr>
          <w:rFonts w:hint="default" w:ascii="Times New Roman" w:hAnsi="Times New Roman" w:eastAsia="仿宋_GB2312" w:cs="Times New Roman"/>
          <w:color w:val="auto"/>
          <w:kern w:val="2"/>
          <w:sz w:val="32"/>
          <w:szCs w:val="32"/>
          <w:highlight w:val="none"/>
          <w:lang w:val="en-US" w:eastAsia="zh-CN" w:bidi="ar-SA"/>
        </w:rPr>
        <w:t>万元。主要用于公务用车运行及维护，采购电脑、打印机等必要办公设备。授予中小企业合同金额</w:t>
      </w:r>
      <w:r>
        <w:rPr>
          <w:rFonts w:hint="default" w:ascii="Times New Roman" w:hAnsi="Times New Roman" w:eastAsia="仿宋_GB2312" w:cs="Times New Roman"/>
          <w:sz w:val="32"/>
          <w:szCs w:val="32"/>
        </w:rPr>
        <w:t>0</w:t>
      </w:r>
      <w:r>
        <w:rPr>
          <w:rFonts w:hint="default" w:ascii="Times New Roman" w:hAnsi="Times New Roman" w:eastAsia="仿宋_GB2312" w:cs="Times New Roman"/>
          <w:color w:val="auto"/>
          <w:kern w:val="2"/>
          <w:sz w:val="32"/>
          <w:szCs w:val="32"/>
          <w:highlight w:val="none"/>
          <w:lang w:val="en-US" w:eastAsia="zh-CN" w:bidi="ar-SA"/>
        </w:rPr>
        <w:t>万元，占政府采购支出总额的</w:t>
      </w:r>
      <w:r>
        <w:rPr>
          <w:rFonts w:hint="default" w:ascii="Times New Roman" w:hAnsi="Times New Roman" w:eastAsia="仿宋_GB2312" w:cs="Times New Roman"/>
          <w:sz w:val="32"/>
          <w:szCs w:val="32"/>
        </w:rPr>
        <w:t>0</w:t>
      </w:r>
      <w:r>
        <w:rPr>
          <w:rFonts w:hint="default" w:ascii="Times New Roman" w:hAnsi="Times New Roman" w:eastAsia="仿宋_GB2312" w:cs="Times New Roman"/>
          <w:color w:val="auto"/>
          <w:kern w:val="2"/>
          <w:sz w:val="32"/>
          <w:szCs w:val="32"/>
          <w:highlight w:val="none"/>
          <w:lang w:val="en-US" w:eastAsia="zh-CN" w:bidi="ar-SA"/>
        </w:rPr>
        <w:t>%，其中：授予小微企业合同金额</w:t>
      </w:r>
      <w:r>
        <w:rPr>
          <w:rFonts w:hint="default" w:ascii="Times New Roman" w:hAnsi="Times New Roman" w:eastAsia="仿宋_GB2312" w:cs="Times New Roman"/>
          <w:sz w:val="32"/>
          <w:szCs w:val="32"/>
        </w:rPr>
        <w:t>0</w:t>
      </w:r>
      <w:r>
        <w:rPr>
          <w:rFonts w:hint="default" w:ascii="Times New Roman" w:hAnsi="Times New Roman" w:eastAsia="仿宋_GB2312" w:cs="Times New Roman"/>
          <w:color w:val="auto"/>
          <w:kern w:val="2"/>
          <w:sz w:val="32"/>
          <w:szCs w:val="32"/>
          <w:highlight w:val="none"/>
          <w:lang w:val="en-US" w:eastAsia="zh-CN" w:bidi="ar-SA"/>
        </w:rPr>
        <w:t>万元，占政府采购支出总额的</w:t>
      </w:r>
      <w:r>
        <w:rPr>
          <w:rFonts w:hint="default" w:ascii="Times New Roman" w:hAnsi="Times New Roman" w:eastAsia="仿宋_GB2312" w:cs="Times New Roman"/>
          <w:sz w:val="32"/>
          <w:szCs w:val="32"/>
        </w:rPr>
        <w:t>0</w:t>
      </w:r>
      <w:r>
        <w:rPr>
          <w:rFonts w:hint="default" w:ascii="Times New Roman" w:hAnsi="Times New Roman" w:eastAsia="仿宋_GB2312" w:cs="Times New Roman"/>
          <w:color w:val="auto"/>
          <w:kern w:val="2"/>
          <w:sz w:val="32"/>
          <w:szCs w:val="32"/>
          <w:highlight w:val="none"/>
          <w:lang w:val="en-US" w:eastAsia="zh-CN" w:bidi="ar-SA"/>
        </w:rPr>
        <w:t>%。</w:t>
      </w:r>
    </w:p>
    <w:p>
      <w:pPr>
        <w:keepNext w:val="0"/>
        <w:keepLines w:val="0"/>
        <w:pageBreakBefore w:val="0"/>
        <w:kinsoku/>
        <w:wordWrap/>
        <w:overflowPunct/>
        <w:topLinePunct w:val="0"/>
        <w:autoSpaceDE/>
        <w:autoSpaceDN/>
        <w:bidi w:val="0"/>
        <w:spacing w:line="600" w:lineRule="exact"/>
        <w:ind w:left="0" w:firstLine="642" w:firstLineChars="200"/>
        <w:textAlignment w:val="auto"/>
        <w:outlineLvl w:val="9"/>
        <w:rPr>
          <w:rFonts w:hint="default" w:ascii="Times New Roman" w:hAnsi="Times New Roman" w:eastAsia="楷体_GB2312" w:cs="Times New Roman"/>
          <w:b/>
          <w:color w:val="auto"/>
          <w:sz w:val="32"/>
          <w:szCs w:val="32"/>
          <w:highlight w:val="none"/>
        </w:rPr>
      </w:pPr>
      <w:bookmarkStart w:id="62" w:name="_Toc15377224"/>
      <w:r>
        <w:rPr>
          <w:rFonts w:hint="default" w:ascii="Times New Roman" w:hAnsi="Times New Roman" w:eastAsia="楷体_GB2312" w:cs="Times New Roman"/>
          <w:b/>
          <w:color w:val="auto"/>
          <w:sz w:val="32"/>
          <w:szCs w:val="32"/>
          <w:highlight w:val="none"/>
        </w:rPr>
        <w:t>（三）国有资产占有使用情况</w:t>
      </w:r>
      <w:bookmarkEnd w:id="62"/>
    </w:p>
    <w:p>
      <w:pPr>
        <w:keepNext w:val="0"/>
        <w:keepLines w:val="0"/>
        <w:pageBreakBefore w:val="0"/>
        <w:kinsoku/>
        <w:wordWrap/>
        <w:overflowPunct/>
        <w:topLinePunct w:val="0"/>
        <w:autoSpaceDE/>
        <w:autoSpaceDN/>
        <w:bidi w:val="0"/>
        <w:spacing w:line="600" w:lineRule="exact"/>
        <w:ind w:left="0" w:firstLine="640"/>
        <w:textAlignment w:val="auto"/>
        <w:outlineLvl w:val="9"/>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截至2024年12月31日，</w:t>
      </w:r>
      <w:r>
        <w:rPr>
          <w:rFonts w:hint="default" w:ascii="Times New Roman" w:hAnsi="Times New Roman" w:eastAsia="仿宋_GB2312" w:cs="Times New Roman"/>
          <w:sz w:val="32"/>
          <w:szCs w:val="32"/>
        </w:rPr>
        <w:t>四川省酒业研究和发展中心</w:t>
      </w:r>
      <w:r>
        <w:rPr>
          <w:rFonts w:hint="default" w:ascii="Times New Roman" w:hAnsi="Times New Roman" w:eastAsia="仿宋_GB2312" w:cs="Times New Roman"/>
          <w:color w:val="auto"/>
          <w:kern w:val="2"/>
          <w:sz w:val="32"/>
          <w:szCs w:val="32"/>
          <w:highlight w:val="none"/>
          <w:lang w:val="en-US" w:eastAsia="zh-CN" w:bidi="ar-SA"/>
        </w:rPr>
        <w:t>共有车辆</w:t>
      </w:r>
      <w:r>
        <w:rPr>
          <w:rFonts w:hint="default" w:ascii="Times New Roman" w:hAnsi="Times New Roman" w:eastAsia="仿宋_GB2312" w:cs="Times New Roman"/>
          <w:sz w:val="32"/>
          <w:szCs w:val="32"/>
        </w:rPr>
        <w:t>1</w:t>
      </w:r>
      <w:r>
        <w:rPr>
          <w:rFonts w:hint="default" w:ascii="Times New Roman" w:hAnsi="Times New Roman" w:eastAsia="仿宋_GB2312" w:cs="Times New Roman"/>
          <w:color w:val="auto"/>
          <w:kern w:val="2"/>
          <w:sz w:val="32"/>
          <w:szCs w:val="32"/>
          <w:highlight w:val="none"/>
          <w:lang w:val="en-US" w:eastAsia="zh-CN" w:bidi="ar-SA"/>
        </w:rPr>
        <w:t>辆，其中：主要负责人用车</w:t>
      </w:r>
      <w:r>
        <w:rPr>
          <w:rFonts w:hint="default" w:ascii="Times New Roman" w:hAnsi="Times New Roman" w:eastAsia="仿宋_GB2312" w:cs="Times New Roman"/>
          <w:sz w:val="32"/>
          <w:szCs w:val="32"/>
        </w:rPr>
        <w:t>0</w:t>
      </w:r>
      <w:r>
        <w:rPr>
          <w:rFonts w:hint="default" w:ascii="Times New Roman" w:hAnsi="Times New Roman" w:eastAsia="仿宋_GB2312" w:cs="Times New Roman"/>
          <w:color w:val="auto"/>
          <w:kern w:val="2"/>
          <w:sz w:val="32"/>
          <w:szCs w:val="32"/>
          <w:highlight w:val="none"/>
          <w:lang w:val="en-US" w:eastAsia="zh-CN" w:bidi="ar-SA"/>
        </w:rPr>
        <w:t>辆、机要通信用车</w:t>
      </w:r>
      <w:r>
        <w:rPr>
          <w:rFonts w:hint="default" w:ascii="Times New Roman" w:hAnsi="Times New Roman" w:eastAsia="仿宋_GB2312" w:cs="Times New Roman"/>
          <w:sz w:val="32"/>
          <w:szCs w:val="32"/>
        </w:rPr>
        <w:t>0</w:t>
      </w:r>
      <w:r>
        <w:rPr>
          <w:rFonts w:hint="default" w:ascii="Times New Roman" w:hAnsi="Times New Roman" w:eastAsia="仿宋_GB2312" w:cs="Times New Roman"/>
          <w:color w:val="auto"/>
          <w:kern w:val="2"/>
          <w:sz w:val="32"/>
          <w:szCs w:val="32"/>
          <w:highlight w:val="none"/>
          <w:lang w:val="en-US" w:eastAsia="zh-CN" w:bidi="ar-SA"/>
        </w:rPr>
        <w:t>辆、应急保障用车</w:t>
      </w:r>
      <w:r>
        <w:rPr>
          <w:rFonts w:hint="default" w:ascii="Times New Roman" w:hAnsi="Times New Roman" w:eastAsia="仿宋_GB2312" w:cs="Times New Roman"/>
          <w:sz w:val="32"/>
          <w:szCs w:val="32"/>
        </w:rPr>
        <w:t>0</w:t>
      </w:r>
      <w:r>
        <w:rPr>
          <w:rFonts w:hint="default" w:ascii="Times New Roman" w:hAnsi="Times New Roman" w:eastAsia="仿宋_GB2312" w:cs="Times New Roman"/>
          <w:color w:val="auto"/>
          <w:kern w:val="2"/>
          <w:sz w:val="32"/>
          <w:szCs w:val="32"/>
          <w:highlight w:val="none"/>
          <w:lang w:val="en-US" w:eastAsia="zh-CN" w:bidi="ar-SA"/>
        </w:rPr>
        <w:t>辆、其他用车</w:t>
      </w:r>
      <w:r>
        <w:rPr>
          <w:rFonts w:hint="default" w:ascii="Times New Roman" w:hAnsi="Times New Roman" w:eastAsia="仿宋_GB2312" w:cs="Times New Roman"/>
          <w:sz w:val="32"/>
          <w:szCs w:val="32"/>
        </w:rPr>
        <w:t>1</w:t>
      </w:r>
      <w:r>
        <w:rPr>
          <w:rFonts w:hint="default" w:ascii="Times New Roman" w:hAnsi="Times New Roman" w:eastAsia="仿宋_GB2312" w:cs="Times New Roman"/>
          <w:color w:val="auto"/>
          <w:kern w:val="2"/>
          <w:sz w:val="32"/>
          <w:szCs w:val="32"/>
          <w:highlight w:val="none"/>
          <w:lang w:val="en-US" w:eastAsia="zh-CN" w:bidi="ar-SA"/>
        </w:rPr>
        <w:t>辆，其他用车主要是用于开展业务工作、产区调研走访及技术服务所需的公务用车燃料费、维修费、过路过桥费、保险费等支出。单价100万元（含）以上设备（不含车辆）</w:t>
      </w:r>
      <w:r>
        <w:rPr>
          <w:rFonts w:hint="default" w:ascii="Times New Roman" w:hAnsi="Times New Roman" w:eastAsia="仿宋_GB2312" w:cs="Times New Roman"/>
          <w:sz w:val="32"/>
          <w:szCs w:val="32"/>
        </w:rPr>
        <w:t>0</w:t>
      </w:r>
      <w:r>
        <w:rPr>
          <w:rFonts w:hint="default" w:ascii="Times New Roman" w:hAnsi="Times New Roman" w:eastAsia="仿宋_GB2312" w:cs="Times New Roman"/>
          <w:color w:val="auto"/>
          <w:kern w:val="2"/>
          <w:sz w:val="32"/>
          <w:szCs w:val="32"/>
          <w:highlight w:val="none"/>
          <w:lang w:val="en-US" w:eastAsia="zh-CN" w:bidi="ar-SA"/>
        </w:rPr>
        <w:t>台（套）。</w:t>
      </w:r>
    </w:p>
    <w:p>
      <w:pPr>
        <w:keepNext w:val="0"/>
        <w:keepLines w:val="0"/>
        <w:pageBreakBefore w:val="0"/>
        <w:kinsoku/>
        <w:wordWrap/>
        <w:overflowPunct/>
        <w:topLinePunct w:val="0"/>
        <w:autoSpaceDE/>
        <w:autoSpaceDN/>
        <w:bidi w:val="0"/>
        <w:spacing w:line="600" w:lineRule="exact"/>
        <w:ind w:left="0" w:firstLine="642" w:firstLineChars="200"/>
        <w:textAlignment w:val="auto"/>
        <w:outlineLvl w:val="9"/>
        <w:rPr>
          <w:rFonts w:hint="default" w:ascii="Times New Roman" w:hAnsi="Times New Roman" w:eastAsia="楷体_GB2312" w:cs="Times New Roman"/>
          <w:b/>
          <w:color w:val="auto"/>
          <w:sz w:val="32"/>
          <w:szCs w:val="32"/>
          <w:highlight w:val="none"/>
        </w:rPr>
      </w:pPr>
      <w:r>
        <w:rPr>
          <w:rFonts w:hint="default" w:ascii="Times New Roman" w:hAnsi="Times New Roman" w:eastAsia="楷体_GB2312" w:cs="Times New Roman"/>
          <w:b/>
          <w:color w:val="auto"/>
          <w:sz w:val="32"/>
          <w:szCs w:val="32"/>
          <w:highlight w:val="none"/>
        </w:rPr>
        <w:t>（四）预算绩效管理情况</w:t>
      </w:r>
    </w:p>
    <w:p>
      <w:pPr>
        <w:keepNext w:val="0"/>
        <w:keepLines w:val="0"/>
        <w:pageBreakBefore w:val="0"/>
        <w:kinsoku/>
        <w:wordWrap/>
        <w:overflowPunct/>
        <w:topLinePunct w:val="0"/>
        <w:autoSpaceDE/>
        <w:autoSpaceDN/>
        <w:bidi w:val="0"/>
        <w:spacing w:line="600" w:lineRule="exact"/>
        <w:ind w:left="0" w:firstLine="640"/>
        <w:textAlignment w:val="auto"/>
        <w:outlineLvl w:val="9"/>
        <w:rPr>
          <w:rFonts w:hint="default" w:ascii="Times New Roman" w:hAnsi="Times New Roman" w:eastAsia="仿宋_GB2312" w:cs="Times New Roman"/>
          <w:b/>
          <w:bCs/>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根据预算绩效管理要求，四川省酒业研究和发展中心在2024年度预算编制阶段，组织对2个项目开展了预算事前绩效评估，对2个项目编制了绩效目标，预算执行过程中，选取2个项目开展绩效监控。绩效自评报告详见附件。</w:t>
      </w:r>
    </w:p>
    <w:p>
      <w:pPr>
        <w:rPr>
          <w:rFonts w:hint="eastAsia" w:ascii="Times New Roman" w:hAnsi="Times New Roman" w:eastAsia="仿宋_GB2312" w:cs="仿宋_GB2312"/>
          <w:b/>
          <w:bCs/>
          <w:color w:val="auto"/>
          <w:kern w:val="2"/>
          <w:sz w:val="32"/>
          <w:szCs w:val="32"/>
          <w:highlight w:val="none"/>
          <w:lang w:val="en-US" w:eastAsia="zh-CN" w:bidi="ar-SA"/>
        </w:rPr>
      </w:pPr>
      <w:r>
        <w:rPr>
          <w:rFonts w:hint="eastAsia" w:ascii="Times New Roman" w:hAnsi="Times New Roman" w:eastAsia="仿宋_GB2312" w:cs="仿宋_GB2312"/>
          <w:b/>
          <w:bCs/>
          <w:color w:val="auto"/>
          <w:kern w:val="2"/>
          <w:sz w:val="32"/>
          <w:szCs w:val="32"/>
          <w:highlight w:val="none"/>
          <w:lang w:val="en-US" w:eastAsia="zh-CN" w:bidi="ar-SA"/>
        </w:rPr>
        <w:br w:type="page"/>
      </w:r>
    </w:p>
    <w:p>
      <w:pPr>
        <w:keepNext w:val="0"/>
        <w:keepLines w:val="0"/>
        <w:pageBreakBefore w:val="0"/>
        <w:widowControl w:val="0"/>
        <w:kinsoku/>
        <w:wordWrap/>
        <w:overflowPunct/>
        <w:topLinePunct w:val="0"/>
        <w:autoSpaceDE/>
        <w:autoSpaceDN/>
        <w:bidi w:val="0"/>
        <w:adjustRightInd/>
        <w:snapToGrid/>
        <w:spacing w:line="600" w:lineRule="exact"/>
        <w:ind w:left="0"/>
        <w:jc w:val="center"/>
        <w:textAlignment w:val="auto"/>
        <w:outlineLvl w:val="0"/>
        <w:rPr>
          <w:rFonts w:hint="eastAsia" w:ascii="方正小标宋_GBK" w:hAnsi="方正小标宋_GBK" w:eastAsia="方正小标宋_GBK" w:cs="方正小标宋_GBK"/>
          <w:sz w:val="44"/>
          <w:szCs w:val="44"/>
        </w:rPr>
      </w:pPr>
      <w:bookmarkStart w:id="63" w:name="_Toc15377225"/>
      <w:bookmarkStart w:id="64" w:name="_Toc15396613"/>
      <w:bookmarkStart w:id="65" w:name="_Toc1647670321"/>
      <w:r>
        <w:rPr>
          <w:rFonts w:hint="eastAsia" w:ascii="方正小标宋_GBK" w:hAnsi="方正小标宋_GBK" w:eastAsia="方正小标宋_GBK" w:cs="方正小标宋_GBK"/>
          <w:sz w:val="44"/>
          <w:szCs w:val="44"/>
        </w:rPr>
        <w:t>第</w:t>
      </w:r>
      <w:r>
        <w:rPr>
          <w:rFonts w:hint="eastAsia" w:ascii="方正小标宋_GBK" w:hAnsi="方正小标宋_GBK" w:eastAsia="方正小标宋_GBK" w:cs="方正小标宋_GBK"/>
          <w:sz w:val="44"/>
          <w:szCs w:val="44"/>
          <w:lang w:eastAsia="zh-CN"/>
        </w:rPr>
        <w:t>三</w:t>
      </w:r>
      <w:r>
        <w:rPr>
          <w:rFonts w:hint="eastAsia" w:ascii="方正小标宋_GBK" w:hAnsi="方正小标宋_GBK" w:eastAsia="方正小标宋_GBK" w:cs="方正小标宋_GBK"/>
          <w:sz w:val="44"/>
          <w:szCs w:val="44"/>
        </w:rPr>
        <w:t>部分</w:t>
      </w:r>
      <w:r>
        <w:rPr>
          <w:rFonts w:hint="eastAsia" w:ascii="方正小标宋_GBK" w:hAnsi="方正小标宋_GBK" w:eastAsia="方正小标宋_GBK" w:cs="方正小标宋_GBK"/>
          <w:sz w:val="44"/>
          <w:szCs w:val="44"/>
          <w:lang w:val="en-US" w:eastAsia="zh-CN"/>
        </w:rPr>
        <w:t xml:space="preserve">  </w:t>
      </w:r>
      <w:r>
        <w:rPr>
          <w:rFonts w:hint="eastAsia" w:ascii="方正小标宋_GBK" w:hAnsi="方正小标宋_GBK" w:eastAsia="方正小标宋_GBK" w:cs="方正小标宋_GBK"/>
          <w:sz w:val="44"/>
          <w:szCs w:val="44"/>
        </w:rPr>
        <w:t>名词解释</w:t>
      </w:r>
      <w:bookmarkEnd w:id="63"/>
      <w:bookmarkEnd w:id="64"/>
      <w:bookmarkEnd w:id="65"/>
    </w:p>
    <w:p>
      <w:pPr>
        <w:keepNext w:val="0"/>
        <w:keepLines w:val="0"/>
        <w:pageBreakBefore w:val="0"/>
        <w:kinsoku/>
        <w:wordWrap/>
        <w:overflowPunct/>
        <w:topLinePunct w:val="0"/>
        <w:autoSpaceDE/>
        <w:autoSpaceDN/>
        <w:bidi w:val="0"/>
        <w:spacing w:line="600" w:lineRule="exact"/>
        <w:ind w:left="0"/>
        <w:jc w:val="left"/>
        <w:textAlignment w:val="auto"/>
        <w:outlineLvl w:val="9"/>
        <w:rPr>
          <w:rFonts w:ascii="Times New Roman" w:hAnsi="Times New Roman"/>
          <w:b/>
          <w:color w:val="auto"/>
          <w:sz w:val="44"/>
          <w:szCs w:val="44"/>
          <w:highlight w:val="none"/>
        </w:rPr>
      </w:pPr>
    </w:p>
    <w:p>
      <w:pPr>
        <w:keepNext w:val="0"/>
        <w:keepLines w:val="0"/>
        <w:pageBreakBefore w:val="0"/>
        <w:kinsoku/>
        <w:wordWrap/>
        <w:overflowPunct/>
        <w:topLinePunct w:val="0"/>
        <w:autoSpaceDE/>
        <w:autoSpaceDN/>
        <w:bidi w:val="0"/>
        <w:spacing w:line="600" w:lineRule="exact"/>
        <w:ind w:left="0" w:firstLine="640"/>
        <w:textAlignment w:val="auto"/>
        <w:outlineLvl w:val="9"/>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1.财政拨款收入：指单位从同级财政部门取得的财政预算资金。</w:t>
      </w:r>
    </w:p>
    <w:p>
      <w:pPr>
        <w:keepNext w:val="0"/>
        <w:keepLines w:val="0"/>
        <w:pageBreakBefore w:val="0"/>
        <w:kinsoku/>
        <w:wordWrap/>
        <w:overflowPunct/>
        <w:topLinePunct w:val="0"/>
        <w:autoSpaceDE/>
        <w:autoSpaceDN/>
        <w:bidi w:val="0"/>
        <w:spacing w:line="600" w:lineRule="exact"/>
        <w:ind w:left="0" w:firstLine="640"/>
        <w:textAlignment w:val="auto"/>
        <w:outlineLvl w:val="9"/>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2.事业收入：指事业单位开展专业业务活动及辅助活动取得的收入。</w:t>
      </w:r>
    </w:p>
    <w:p>
      <w:pPr>
        <w:keepNext w:val="0"/>
        <w:keepLines w:val="0"/>
        <w:pageBreakBefore w:val="0"/>
        <w:kinsoku/>
        <w:wordWrap/>
        <w:overflowPunct/>
        <w:topLinePunct w:val="0"/>
        <w:autoSpaceDE/>
        <w:autoSpaceDN/>
        <w:bidi w:val="0"/>
        <w:spacing w:line="600" w:lineRule="exact"/>
        <w:ind w:left="0" w:firstLine="640"/>
        <w:textAlignment w:val="auto"/>
        <w:outlineLvl w:val="9"/>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3.经营收入：指事业单位在专业业务活动及其辅助活动之外开展非独立核算经营活动取得的收入。</w:t>
      </w:r>
    </w:p>
    <w:p>
      <w:pPr>
        <w:keepNext w:val="0"/>
        <w:keepLines w:val="0"/>
        <w:pageBreakBefore w:val="0"/>
        <w:kinsoku/>
        <w:wordWrap/>
        <w:overflowPunct/>
        <w:topLinePunct w:val="0"/>
        <w:autoSpaceDE/>
        <w:autoSpaceDN/>
        <w:bidi w:val="0"/>
        <w:spacing w:line="600" w:lineRule="exact"/>
        <w:ind w:left="0" w:firstLine="640"/>
        <w:textAlignment w:val="auto"/>
        <w:outlineLvl w:val="9"/>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4.其他收入：指单位取得的除上述收入以外的各项收入。</w:t>
      </w:r>
    </w:p>
    <w:p>
      <w:pPr>
        <w:keepNext w:val="0"/>
        <w:keepLines w:val="0"/>
        <w:pageBreakBefore w:val="0"/>
        <w:kinsoku/>
        <w:wordWrap/>
        <w:overflowPunct/>
        <w:topLinePunct w:val="0"/>
        <w:autoSpaceDE/>
        <w:autoSpaceDN/>
        <w:bidi w:val="0"/>
        <w:spacing w:line="600" w:lineRule="exact"/>
        <w:ind w:left="0" w:firstLine="640"/>
        <w:textAlignment w:val="auto"/>
        <w:outlineLvl w:val="9"/>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 xml:space="preserve">5.使用非财政拨款结余（含专用结余）：指事业单位使用以前年度积累的非财政拨款结余弥补当年收支差额的金额。 </w:t>
      </w:r>
    </w:p>
    <w:p>
      <w:pPr>
        <w:keepNext w:val="0"/>
        <w:keepLines w:val="0"/>
        <w:pageBreakBefore w:val="0"/>
        <w:kinsoku/>
        <w:wordWrap/>
        <w:overflowPunct/>
        <w:topLinePunct w:val="0"/>
        <w:autoSpaceDE/>
        <w:autoSpaceDN/>
        <w:bidi w:val="0"/>
        <w:spacing w:line="600" w:lineRule="exact"/>
        <w:ind w:left="0" w:firstLine="640"/>
        <w:textAlignment w:val="auto"/>
        <w:outlineLvl w:val="9"/>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6.年初结转和结余：指以前年度尚未完成、结转到本年按有关规定继续使用的资金。</w:t>
      </w:r>
    </w:p>
    <w:p>
      <w:pPr>
        <w:keepNext w:val="0"/>
        <w:keepLines w:val="0"/>
        <w:pageBreakBefore w:val="0"/>
        <w:kinsoku/>
        <w:wordWrap/>
        <w:overflowPunct/>
        <w:topLinePunct w:val="0"/>
        <w:autoSpaceDE/>
        <w:autoSpaceDN/>
        <w:bidi w:val="0"/>
        <w:spacing w:line="600" w:lineRule="exact"/>
        <w:ind w:left="0" w:firstLine="640"/>
        <w:textAlignment w:val="auto"/>
        <w:outlineLvl w:val="9"/>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7.结余分配：指事业单位按照会计制度规定缴纳的所得税、提取的专用结余以及转入非财政拨款结余的金额等。</w:t>
      </w:r>
    </w:p>
    <w:p>
      <w:pPr>
        <w:keepNext w:val="0"/>
        <w:keepLines w:val="0"/>
        <w:pageBreakBefore w:val="0"/>
        <w:kinsoku/>
        <w:wordWrap/>
        <w:overflowPunct/>
        <w:topLinePunct w:val="0"/>
        <w:autoSpaceDE/>
        <w:autoSpaceDN/>
        <w:bidi w:val="0"/>
        <w:spacing w:line="600" w:lineRule="exact"/>
        <w:ind w:left="0" w:firstLine="640"/>
        <w:textAlignment w:val="auto"/>
        <w:outlineLvl w:val="9"/>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8.年末结转和结余：指单位按有关规定结转到下年或以后年度继续使用的资金。</w:t>
      </w:r>
    </w:p>
    <w:p>
      <w:pPr>
        <w:keepNext w:val="0"/>
        <w:keepLines w:val="0"/>
        <w:pageBreakBefore w:val="0"/>
        <w:kinsoku/>
        <w:wordWrap/>
        <w:overflowPunct/>
        <w:topLinePunct w:val="0"/>
        <w:autoSpaceDE/>
        <w:autoSpaceDN/>
        <w:bidi w:val="0"/>
        <w:spacing w:line="600" w:lineRule="exact"/>
        <w:ind w:left="0" w:firstLine="640"/>
        <w:textAlignment w:val="auto"/>
        <w:outlineLvl w:val="9"/>
        <w:rPr>
          <w:rFonts w:hint="eastAsia" w:eastAsia="仿宋_GB2312" w:cs="仿宋_GB2312"/>
          <w:color w:val="auto"/>
          <w:kern w:val="2"/>
          <w:sz w:val="32"/>
          <w:szCs w:val="32"/>
          <w:highlight w:val="none"/>
          <w:lang w:val="en-US" w:eastAsia="zh-CN" w:bidi="ar-SA"/>
        </w:rPr>
      </w:pPr>
      <w:r>
        <w:rPr>
          <w:rFonts w:hint="eastAsia" w:eastAsia="仿宋_GB2312" w:cs="仿宋_GB2312"/>
          <w:color w:val="auto"/>
          <w:kern w:val="2"/>
          <w:sz w:val="32"/>
          <w:szCs w:val="32"/>
          <w:highlight w:val="none"/>
          <w:lang w:val="en-US" w:eastAsia="zh-CN" w:bidi="ar-SA"/>
        </w:rPr>
        <w:t>9</w:t>
      </w:r>
      <w:r>
        <w:rPr>
          <w:rFonts w:hint="eastAsia" w:ascii="Times New Roman" w:hAnsi="Times New Roman" w:eastAsia="仿宋_GB2312" w:cs="仿宋_GB2312"/>
          <w:color w:val="auto"/>
          <w:kern w:val="2"/>
          <w:sz w:val="32"/>
          <w:szCs w:val="32"/>
          <w:highlight w:val="none"/>
          <w:lang w:val="en-US" w:eastAsia="zh-CN" w:bidi="ar-SA"/>
        </w:rPr>
        <w:t>.科学技术（类）</w:t>
      </w:r>
      <w:r>
        <w:rPr>
          <w:rFonts w:hint="eastAsia" w:eastAsia="仿宋_GB2312" w:cs="仿宋_GB2312"/>
          <w:color w:val="auto"/>
          <w:kern w:val="2"/>
          <w:sz w:val="32"/>
          <w:szCs w:val="32"/>
          <w:highlight w:val="none"/>
          <w:lang w:val="en-US" w:eastAsia="zh-CN" w:bidi="ar-SA"/>
        </w:rPr>
        <w:t>其他科学技术支出</w:t>
      </w:r>
      <w:r>
        <w:rPr>
          <w:rFonts w:hint="eastAsia" w:ascii="Times New Roman" w:hAnsi="Times New Roman" w:eastAsia="仿宋_GB2312" w:cs="仿宋_GB2312"/>
          <w:color w:val="auto"/>
          <w:kern w:val="2"/>
          <w:sz w:val="32"/>
          <w:szCs w:val="32"/>
          <w:highlight w:val="none"/>
          <w:lang w:val="en-US" w:eastAsia="zh-CN" w:bidi="ar-SA"/>
        </w:rPr>
        <w:t>（款）</w:t>
      </w:r>
      <w:r>
        <w:rPr>
          <w:rFonts w:hint="eastAsia" w:eastAsia="仿宋_GB2312" w:cs="仿宋_GB2312"/>
          <w:color w:val="auto"/>
          <w:kern w:val="2"/>
          <w:sz w:val="32"/>
          <w:szCs w:val="32"/>
          <w:highlight w:val="none"/>
          <w:lang w:val="en-US" w:eastAsia="zh-CN" w:bidi="ar-SA"/>
        </w:rPr>
        <w:t>其他科学技术支出</w:t>
      </w:r>
      <w:r>
        <w:rPr>
          <w:rFonts w:hint="eastAsia" w:ascii="Times New Roman" w:hAnsi="Times New Roman" w:eastAsia="仿宋_GB2312" w:cs="仿宋_GB2312"/>
          <w:color w:val="auto"/>
          <w:kern w:val="2"/>
          <w:sz w:val="32"/>
          <w:szCs w:val="32"/>
          <w:highlight w:val="none"/>
          <w:lang w:val="en-US" w:eastAsia="zh-CN" w:bidi="ar-SA"/>
        </w:rPr>
        <w:t>（项）：指</w:t>
      </w:r>
      <w:r>
        <w:rPr>
          <w:rFonts w:hint="eastAsia" w:eastAsia="仿宋_GB2312" w:cs="仿宋_GB2312"/>
          <w:color w:val="auto"/>
          <w:kern w:val="2"/>
          <w:sz w:val="32"/>
          <w:szCs w:val="32"/>
          <w:highlight w:val="none"/>
          <w:lang w:val="en-US" w:eastAsia="zh-CN" w:bidi="ar-SA"/>
        </w:rPr>
        <w:t>开展2024年中央“三区”科技人才支持技术项目所使用的差旅费、专家劳务费和印刷费。</w:t>
      </w:r>
    </w:p>
    <w:p>
      <w:pPr>
        <w:keepNext w:val="0"/>
        <w:keepLines w:val="0"/>
        <w:pageBreakBefore w:val="0"/>
        <w:kinsoku/>
        <w:wordWrap/>
        <w:overflowPunct/>
        <w:topLinePunct w:val="0"/>
        <w:autoSpaceDE/>
        <w:autoSpaceDN/>
        <w:bidi w:val="0"/>
        <w:spacing w:line="600" w:lineRule="exact"/>
        <w:ind w:left="0" w:firstLine="640"/>
        <w:textAlignment w:val="auto"/>
        <w:outlineLvl w:val="9"/>
        <w:rPr>
          <w:rFonts w:hint="eastAsia" w:ascii="Times New Roman" w:hAnsi="Times New Roman" w:eastAsia="仿宋_GB2312" w:cs="仿宋_GB2312"/>
          <w:color w:val="auto"/>
          <w:kern w:val="2"/>
          <w:sz w:val="32"/>
          <w:szCs w:val="32"/>
          <w:highlight w:val="none"/>
          <w:lang w:val="en-US" w:eastAsia="zh-CN" w:bidi="ar-SA"/>
        </w:rPr>
      </w:pPr>
      <w:r>
        <w:rPr>
          <w:rFonts w:hint="eastAsia" w:eastAsia="仿宋_GB2312" w:cs="仿宋_GB2312"/>
          <w:color w:val="auto"/>
          <w:kern w:val="2"/>
          <w:sz w:val="32"/>
          <w:szCs w:val="32"/>
          <w:highlight w:val="none"/>
          <w:lang w:val="en-US" w:eastAsia="zh-CN" w:bidi="ar-SA"/>
        </w:rPr>
        <w:t>10</w:t>
      </w:r>
      <w:r>
        <w:rPr>
          <w:rFonts w:hint="eastAsia" w:ascii="Times New Roman" w:hAnsi="Times New Roman" w:eastAsia="仿宋_GB2312" w:cs="仿宋_GB2312"/>
          <w:color w:val="auto"/>
          <w:kern w:val="2"/>
          <w:sz w:val="32"/>
          <w:szCs w:val="32"/>
          <w:highlight w:val="none"/>
          <w:lang w:val="en-US" w:eastAsia="zh-CN" w:bidi="ar-SA"/>
        </w:rPr>
        <w:t>.</w:t>
      </w:r>
      <w:r>
        <w:rPr>
          <w:rFonts w:hint="eastAsia" w:eastAsia="仿宋_GB2312" w:cs="仿宋_GB2312"/>
          <w:color w:val="auto"/>
          <w:kern w:val="2"/>
          <w:sz w:val="32"/>
          <w:szCs w:val="32"/>
          <w:highlight w:val="none"/>
          <w:lang w:val="en-US" w:eastAsia="zh-CN" w:bidi="ar-SA"/>
        </w:rPr>
        <w:t>资源勘探工业信息等支出</w:t>
      </w:r>
      <w:r>
        <w:rPr>
          <w:rFonts w:hint="eastAsia" w:ascii="Times New Roman" w:hAnsi="Times New Roman" w:eastAsia="仿宋_GB2312" w:cs="仿宋_GB2312"/>
          <w:color w:val="auto"/>
          <w:kern w:val="2"/>
          <w:sz w:val="32"/>
          <w:szCs w:val="32"/>
          <w:highlight w:val="none"/>
          <w:lang w:val="en-US" w:eastAsia="zh-CN" w:bidi="ar-SA"/>
        </w:rPr>
        <w:t>（类）</w:t>
      </w:r>
      <w:r>
        <w:rPr>
          <w:rFonts w:hint="eastAsia" w:eastAsia="仿宋_GB2312" w:cs="仿宋_GB2312"/>
          <w:color w:val="auto"/>
          <w:kern w:val="2"/>
          <w:sz w:val="32"/>
          <w:szCs w:val="32"/>
          <w:highlight w:val="none"/>
          <w:lang w:val="en-US" w:eastAsia="zh-CN" w:bidi="ar-SA"/>
        </w:rPr>
        <w:t>工业和信息产业监管</w:t>
      </w:r>
      <w:r>
        <w:rPr>
          <w:rFonts w:hint="eastAsia" w:ascii="Times New Roman" w:hAnsi="Times New Roman" w:eastAsia="仿宋_GB2312" w:cs="仿宋_GB2312"/>
          <w:color w:val="auto"/>
          <w:kern w:val="2"/>
          <w:sz w:val="32"/>
          <w:szCs w:val="32"/>
          <w:highlight w:val="none"/>
          <w:lang w:val="en-US" w:eastAsia="zh-CN" w:bidi="ar-SA"/>
        </w:rPr>
        <w:t>（款）</w:t>
      </w:r>
      <w:r>
        <w:rPr>
          <w:rFonts w:hint="eastAsia" w:eastAsia="仿宋_GB2312" w:cs="仿宋_GB2312"/>
          <w:color w:val="auto"/>
          <w:kern w:val="2"/>
          <w:sz w:val="32"/>
          <w:szCs w:val="32"/>
          <w:highlight w:val="none"/>
          <w:lang w:val="en-US" w:eastAsia="zh-CN" w:bidi="ar-SA"/>
        </w:rPr>
        <w:t>其他工业和信息产业监管支出</w:t>
      </w:r>
      <w:r>
        <w:rPr>
          <w:rFonts w:hint="eastAsia" w:ascii="Times New Roman" w:hAnsi="Times New Roman" w:eastAsia="仿宋_GB2312" w:cs="仿宋_GB2312"/>
          <w:color w:val="auto"/>
          <w:kern w:val="2"/>
          <w:sz w:val="32"/>
          <w:szCs w:val="32"/>
          <w:highlight w:val="none"/>
          <w:lang w:val="en-US" w:eastAsia="zh-CN" w:bidi="ar-SA"/>
        </w:rPr>
        <w:t>（项）：指</w:t>
      </w:r>
      <w:r>
        <w:rPr>
          <w:rFonts w:hint="eastAsia" w:eastAsia="仿宋_GB2312" w:cs="仿宋_GB2312"/>
          <w:color w:val="auto"/>
          <w:kern w:val="2"/>
          <w:sz w:val="32"/>
          <w:szCs w:val="32"/>
          <w:highlight w:val="none"/>
          <w:lang w:val="en-US" w:eastAsia="zh-CN" w:bidi="ar-SA"/>
        </w:rPr>
        <w:t>开展规划战略与技术创新工作、品牌宣传、对外合作与市场活动、人才培训、咨询服务和开办经费项目所使用的资金。</w:t>
      </w:r>
    </w:p>
    <w:p>
      <w:pPr>
        <w:keepNext w:val="0"/>
        <w:keepLines w:val="0"/>
        <w:pageBreakBefore w:val="0"/>
        <w:kinsoku/>
        <w:wordWrap/>
        <w:overflowPunct/>
        <w:topLinePunct w:val="0"/>
        <w:autoSpaceDE/>
        <w:autoSpaceDN/>
        <w:bidi w:val="0"/>
        <w:spacing w:line="600" w:lineRule="exact"/>
        <w:ind w:left="0" w:firstLine="640"/>
        <w:textAlignment w:val="auto"/>
        <w:outlineLvl w:val="9"/>
        <w:rPr>
          <w:rFonts w:hint="eastAsia" w:ascii="Times New Roman" w:hAnsi="Times New Roman" w:eastAsia="仿宋_GB2312" w:cs="仿宋_GB2312"/>
          <w:color w:val="auto"/>
          <w:kern w:val="2"/>
          <w:sz w:val="32"/>
          <w:szCs w:val="32"/>
          <w:highlight w:val="none"/>
          <w:lang w:val="en-US" w:eastAsia="zh-CN" w:bidi="ar-SA"/>
        </w:rPr>
      </w:pPr>
      <w:r>
        <w:rPr>
          <w:rFonts w:hint="eastAsia" w:eastAsia="仿宋_GB2312" w:cs="仿宋_GB2312"/>
          <w:color w:val="auto"/>
          <w:kern w:val="2"/>
          <w:sz w:val="32"/>
          <w:szCs w:val="32"/>
          <w:highlight w:val="none"/>
          <w:lang w:val="en-US" w:eastAsia="zh-CN" w:bidi="ar-SA"/>
        </w:rPr>
        <w:t>11</w:t>
      </w:r>
      <w:r>
        <w:rPr>
          <w:rFonts w:hint="eastAsia" w:ascii="Times New Roman" w:hAnsi="Times New Roman" w:eastAsia="仿宋_GB2312" w:cs="仿宋_GB2312"/>
          <w:color w:val="auto"/>
          <w:kern w:val="2"/>
          <w:sz w:val="32"/>
          <w:szCs w:val="32"/>
          <w:highlight w:val="none"/>
          <w:lang w:val="en-US" w:eastAsia="zh-CN" w:bidi="ar-SA"/>
        </w:rPr>
        <w:t>.基本支出：指为保障机构正常运转、完成日常工作任务而发生的人员支出和公用支出。</w:t>
      </w:r>
    </w:p>
    <w:p>
      <w:pPr>
        <w:keepNext w:val="0"/>
        <w:keepLines w:val="0"/>
        <w:pageBreakBefore w:val="0"/>
        <w:kinsoku/>
        <w:wordWrap/>
        <w:overflowPunct/>
        <w:topLinePunct w:val="0"/>
        <w:autoSpaceDE/>
        <w:autoSpaceDN/>
        <w:bidi w:val="0"/>
        <w:spacing w:line="600" w:lineRule="exact"/>
        <w:ind w:left="0" w:firstLine="640"/>
        <w:textAlignment w:val="auto"/>
        <w:outlineLvl w:val="9"/>
        <w:rPr>
          <w:rFonts w:hint="eastAsia" w:ascii="Times New Roman" w:hAnsi="Times New Roman" w:eastAsia="仿宋_GB2312" w:cs="仿宋_GB2312"/>
          <w:color w:val="auto"/>
          <w:kern w:val="2"/>
          <w:sz w:val="32"/>
          <w:szCs w:val="32"/>
          <w:highlight w:val="none"/>
          <w:lang w:val="en-US" w:eastAsia="zh-CN" w:bidi="ar-SA"/>
        </w:rPr>
      </w:pPr>
      <w:r>
        <w:rPr>
          <w:rFonts w:hint="eastAsia" w:eastAsia="仿宋_GB2312" w:cs="仿宋_GB2312"/>
          <w:color w:val="auto"/>
          <w:kern w:val="2"/>
          <w:sz w:val="32"/>
          <w:szCs w:val="32"/>
          <w:highlight w:val="none"/>
          <w:lang w:val="en-US" w:eastAsia="zh-CN" w:bidi="ar-SA"/>
        </w:rPr>
        <w:t>12</w:t>
      </w:r>
      <w:r>
        <w:rPr>
          <w:rFonts w:hint="eastAsia" w:ascii="Times New Roman" w:hAnsi="Times New Roman" w:eastAsia="仿宋_GB2312" w:cs="仿宋_GB2312"/>
          <w:color w:val="auto"/>
          <w:kern w:val="2"/>
          <w:sz w:val="32"/>
          <w:szCs w:val="32"/>
          <w:highlight w:val="none"/>
          <w:lang w:val="en-US" w:eastAsia="zh-CN" w:bidi="ar-SA"/>
        </w:rPr>
        <w:t xml:space="preserve">.项目支出：指在基本支出之外为完成特定行政任务和事业发展目标所发生的支出。 </w:t>
      </w:r>
    </w:p>
    <w:p>
      <w:pPr>
        <w:keepNext w:val="0"/>
        <w:keepLines w:val="0"/>
        <w:pageBreakBefore w:val="0"/>
        <w:kinsoku/>
        <w:wordWrap/>
        <w:overflowPunct/>
        <w:topLinePunct w:val="0"/>
        <w:autoSpaceDE/>
        <w:autoSpaceDN/>
        <w:bidi w:val="0"/>
        <w:spacing w:line="600" w:lineRule="exact"/>
        <w:ind w:left="0" w:firstLine="640"/>
        <w:textAlignment w:val="auto"/>
        <w:outlineLvl w:val="9"/>
        <w:rPr>
          <w:rFonts w:hint="eastAsia" w:ascii="Times New Roman" w:hAnsi="Times New Roman" w:eastAsia="仿宋_GB2312" w:cs="仿宋_GB2312"/>
          <w:color w:val="auto"/>
          <w:kern w:val="2"/>
          <w:sz w:val="32"/>
          <w:szCs w:val="32"/>
          <w:highlight w:val="none"/>
          <w:lang w:val="en-US" w:eastAsia="zh-CN" w:bidi="ar-SA"/>
        </w:rPr>
      </w:pPr>
      <w:r>
        <w:rPr>
          <w:rFonts w:hint="eastAsia" w:eastAsia="仿宋_GB2312" w:cs="仿宋_GB2312"/>
          <w:color w:val="auto"/>
          <w:kern w:val="2"/>
          <w:sz w:val="32"/>
          <w:szCs w:val="32"/>
          <w:highlight w:val="none"/>
          <w:lang w:val="en-US" w:eastAsia="zh-CN" w:bidi="ar-SA"/>
        </w:rPr>
        <w:t>13</w:t>
      </w:r>
      <w:r>
        <w:rPr>
          <w:rFonts w:hint="eastAsia" w:ascii="Times New Roman" w:hAnsi="Times New Roman" w:eastAsia="仿宋_GB2312" w:cs="仿宋_GB2312"/>
          <w:color w:val="auto"/>
          <w:kern w:val="2"/>
          <w:sz w:val="32"/>
          <w:szCs w:val="32"/>
          <w:highlight w:val="none"/>
          <w:lang w:val="en-US" w:eastAsia="zh-CN" w:bidi="ar-SA"/>
        </w:rPr>
        <w:t>.经营支出：指事业单位在专业业务活动及其辅助活动之外开展非独立核算经营活动发生的支出。</w:t>
      </w:r>
    </w:p>
    <w:p>
      <w:pPr>
        <w:keepNext w:val="0"/>
        <w:keepLines w:val="0"/>
        <w:pageBreakBefore w:val="0"/>
        <w:kinsoku/>
        <w:wordWrap/>
        <w:overflowPunct/>
        <w:topLinePunct w:val="0"/>
        <w:autoSpaceDE/>
        <w:autoSpaceDN/>
        <w:bidi w:val="0"/>
        <w:spacing w:line="600" w:lineRule="exact"/>
        <w:ind w:left="0" w:firstLine="640"/>
        <w:textAlignment w:val="auto"/>
        <w:outlineLvl w:val="9"/>
        <w:rPr>
          <w:rFonts w:hint="eastAsia" w:ascii="Times New Roman" w:hAnsi="Times New Roman" w:eastAsia="仿宋_GB2312" w:cs="仿宋_GB2312"/>
          <w:color w:val="auto"/>
          <w:kern w:val="2"/>
          <w:sz w:val="32"/>
          <w:szCs w:val="32"/>
          <w:highlight w:val="none"/>
          <w:lang w:val="en-US" w:eastAsia="zh-CN" w:bidi="ar-SA"/>
        </w:rPr>
      </w:pPr>
      <w:r>
        <w:rPr>
          <w:rFonts w:hint="eastAsia" w:eastAsia="仿宋_GB2312" w:cs="仿宋_GB2312"/>
          <w:color w:val="auto"/>
          <w:kern w:val="2"/>
          <w:sz w:val="32"/>
          <w:szCs w:val="32"/>
          <w:highlight w:val="none"/>
          <w:lang w:val="en-US" w:eastAsia="zh-CN" w:bidi="ar-SA"/>
        </w:rPr>
        <w:t>14</w:t>
      </w:r>
      <w:r>
        <w:rPr>
          <w:rFonts w:hint="eastAsia" w:ascii="Times New Roman" w:hAnsi="Times New Roman" w:eastAsia="仿宋_GB2312" w:cs="仿宋_GB2312"/>
          <w:color w:val="auto"/>
          <w:kern w:val="2"/>
          <w:sz w:val="32"/>
          <w:szCs w:val="32"/>
          <w:highlight w:val="none"/>
          <w:lang w:val="en-US" w:eastAsia="zh-CN" w:bidi="ar-SA"/>
        </w:rPr>
        <w:t>.</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三公</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keepNext w:val="0"/>
        <w:keepLines w:val="0"/>
        <w:pageBreakBefore w:val="0"/>
        <w:kinsoku/>
        <w:wordWrap/>
        <w:overflowPunct/>
        <w:topLinePunct w:val="0"/>
        <w:autoSpaceDE/>
        <w:autoSpaceDN/>
        <w:bidi w:val="0"/>
        <w:spacing w:line="600" w:lineRule="exact"/>
        <w:ind w:left="0" w:firstLine="640"/>
        <w:textAlignment w:val="auto"/>
        <w:outlineLvl w:val="9"/>
        <w:rPr>
          <w:rFonts w:hint="eastAsia" w:ascii="Times New Roman" w:hAnsi="Times New Roman" w:eastAsia="仿宋_GB2312" w:cs="仿宋_GB2312"/>
          <w:color w:val="auto"/>
          <w:kern w:val="2"/>
          <w:sz w:val="32"/>
          <w:szCs w:val="32"/>
          <w:highlight w:val="none"/>
          <w:lang w:val="en-US" w:eastAsia="zh-CN" w:bidi="ar-SA"/>
        </w:rPr>
      </w:pPr>
      <w:r>
        <w:rPr>
          <w:rFonts w:hint="eastAsia" w:eastAsia="仿宋_GB2312" w:cs="仿宋_GB2312"/>
          <w:color w:val="auto"/>
          <w:kern w:val="2"/>
          <w:sz w:val="32"/>
          <w:szCs w:val="32"/>
          <w:highlight w:val="none"/>
          <w:lang w:val="en-US" w:eastAsia="zh-CN" w:bidi="ar-SA"/>
        </w:rPr>
        <w:t>15</w:t>
      </w:r>
      <w:r>
        <w:rPr>
          <w:rFonts w:hint="eastAsia" w:ascii="Times New Roman" w:hAnsi="Times New Roman" w:eastAsia="仿宋_GB2312" w:cs="仿宋_GB2312"/>
          <w:color w:val="auto"/>
          <w:kern w:val="2"/>
          <w:sz w:val="32"/>
          <w:szCs w:val="32"/>
          <w:highlight w:val="none"/>
          <w:lang w:val="en-US" w:eastAsia="zh-CN" w:bidi="ar-SA"/>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keepNext w:val="0"/>
        <w:keepLines w:val="0"/>
        <w:pageBreakBefore w:val="0"/>
        <w:kinsoku/>
        <w:wordWrap/>
        <w:overflowPunct/>
        <w:topLinePunct w:val="0"/>
        <w:autoSpaceDE/>
        <w:autoSpaceDN/>
        <w:bidi w:val="0"/>
        <w:spacing w:line="600" w:lineRule="exact"/>
        <w:ind w:left="0" w:firstLine="640"/>
        <w:textAlignment w:val="auto"/>
        <w:outlineLvl w:val="9"/>
        <w:rPr>
          <w:rFonts w:hint="eastAsia" w:ascii="Times New Roman" w:hAnsi="Times New Roman" w:eastAsia="仿宋_GB2312" w:cs="仿宋_GB2312"/>
          <w:b/>
          <w:bCs/>
          <w:color w:val="auto"/>
          <w:kern w:val="2"/>
          <w:sz w:val="32"/>
          <w:szCs w:val="32"/>
          <w:highlight w:val="none"/>
          <w:lang w:val="en-US" w:eastAsia="zh-CN" w:bidi="ar-SA"/>
        </w:rPr>
      </w:pPr>
    </w:p>
    <w:p>
      <w:pPr>
        <w:keepNext w:val="0"/>
        <w:keepLines w:val="0"/>
        <w:pageBreakBefore w:val="0"/>
        <w:widowControl w:val="0"/>
        <w:kinsoku/>
        <w:wordWrap/>
        <w:overflowPunct/>
        <w:topLinePunct w:val="0"/>
        <w:autoSpaceDE/>
        <w:autoSpaceDN/>
        <w:bidi w:val="0"/>
        <w:adjustRightInd/>
        <w:snapToGrid/>
        <w:spacing w:line="600" w:lineRule="exact"/>
        <w:ind w:left="0"/>
        <w:jc w:val="center"/>
        <w:textAlignment w:val="auto"/>
        <w:outlineLvl w:val="0"/>
        <w:rPr>
          <w:rFonts w:hint="eastAsia" w:ascii="方正小标宋_GBK" w:hAnsi="方正小标宋_GBK" w:eastAsia="方正小标宋_GBK" w:cs="方正小标宋_GBK"/>
          <w:sz w:val="44"/>
          <w:szCs w:val="44"/>
          <w:highlight w:val="none"/>
          <w:lang w:eastAsia="zh-CN"/>
        </w:rPr>
      </w:pPr>
      <w:bookmarkStart w:id="66" w:name="_Toc15377226"/>
      <w:r>
        <w:rPr>
          <w:rFonts w:hint="eastAsia" w:ascii="Times New Roman" w:hAnsi="Times New Roman" w:eastAsia="仿宋_GB2312" w:cs="仿宋_GB2312"/>
          <w:color w:val="auto"/>
          <w:kern w:val="2"/>
          <w:sz w:val="32"/>
          <w:szCs w:val="32"/>
          <w:highlight w:val="none"/>
          <w:lang w:val="en-US" w:eastAsia="zh-CN" w:bidi="ar-SA"/>
        </w:rPr>
        <w:br w:type="page"/>
      </w:r>
      <w:bookmarkStart w:id="67" w:name="_Toc15396614"/>
      <w:bookmarkStart w:id="68" w:name="_Toc690490578"/>
      <w:r>
        <w:rPr>
          <w:rFonts w:hint="eastAsia" w:ascii="方正小标宋_GBK" w:hAnsi="方正小标宋_GBK" w:eastAsia="方正小标宋_GBK" w:cs="方正小标宋_GBK"/>
          <w:sz w:val="44"/>
          <w:szCs w:val="44"/>
        </w:rPr>
        <w:t>第四部分</w:t>
      </w:r>
      <w:r>
        <w:rPr>
          <w:rFonts w:hint="eastAsia" w:ascii="方正小标宋_GBK" w:hAnsi="方正小标宋_GBK" w:eastAsia="方正小标宋_GBK" w:cs="方正小标宋_GBK"/>
          <w:sz w:val="44"/>
          <w:szCs w:val="44"/>
          <w:lang w:val="en-US" w:eastAsia="zh-CN"/>
        </w:rPr>
        <w:t xml:space="preserve"> </w:t>
      </w:r>
      <w:r>
        <w:rPr>
          <w:rFonts w:hint="eastAsia" w:ascii="方正小标宋_GBK" w:hAnsi="方正小标宋_GBK" w:eastAsia="方正小标宋_GBK" w:cs="方正小标宋_GBK"/>
          <w:sz w:val="44"/>
          <w:szCs w:val="44"/>
        </w:rPr>
        <w:t xml:space="preserve"> </w:t>
      </w:r>
      <w:r>
        <w:rPr>
          <w:rFonts w:hint="eastAsia" w:ascii="方正小标宋_GBK" w:hAnsi="方正小标宋_GBK" w:eastAsia="方正小标宋_GBK" w:cs="方正小标宋_GBK"/>
          <w:sz w:val="44"/>
          <w:szCs w:val="44"/>
          <w:highlight w:val="none"/>
        </w:rPr>
        <w:t>附件</w:t>
      </w:r>
      <w:bookmarkEnd w:id="67"/>
      <w:bookmarkEnd w:id="68"/>
    </w:p>
    <w:p>
      <w:pPr>
        <w:keepNext w:val="0"/>
        <w:keepLines w:val="0"/>
        <w:pageBreakBefore w:val="0"/>
        <w:kinsoku/>
        <w:wordWrap/>
        <w:overflowPunct/>
        <w:topLinePunct w:val="0"/>
        <w:autoSpaceDE/>
        <w:autoSpaceDN/>
        <w:bidi w:val="0"/>
        <w:spacing w:line="600" w:lineRule="exact"/>
        <w:ind w:left="0"/>
        <w:jc w:val="left"/>
        <w:textAlignment w:val="auto"/>
        <w:outlineLvl w:val="9"/>
        <w:rPr>
          <w:rFonts w:hint="eastAsia" w:ascii="Times New Roman" w:hAnsi="Times New Roman" w:eastAsia="黑体" w:cs="黑体"/>
          <w:color w:val="FF0000"/>
          <w:sz w:val="32"/>
          <w:szCs w:val="32"/>
          <w:highlight w:val="none"/>
        </w:rPr>
      </w:pPr>
    </w:p>
    <w:p>
      <w:pPr>
        <w:keepNext w:val="0"/>
        <w:keepLines w:val="0"/>
        <w:pageBreakBefore w:val="0"/>
        <w:kinsoku/>
        <w:wordWrap/>
        <w:overflowPunct/>
        <w:topLinePunct w:val="0"/>
        <w:autoSpaceDE/>
        <w:autoSpaceDN/>
        <w:bidi w:val="0"/>
        <w:spacing w:line="600" w:lineRule="exact"/>
        <w:ind w:left="0"/>
        <w:jc w:val="left"/>
        <w:textAlignment w:val="auto"/>
        <w:outlineLvl w:val="9"/>
        <w:rPr>
          <w:rFonts w:hint="eastAsia" w:ascii="Times New Roman" w:hAnsi="Times New Roman" w:eastAsia="仿宋_GB2312" w:cs="仿宋_GB2312"/>
          <w:b w:val="0"/>
          <w:bCs w:val="0"/>
          <w:kern w:val="0"/>
          <w:position w:val="0"/>
          <w:sz w:val="32"/>
          <w:szCs w:val="32"/>
          <w:highlight w:val="none"/>
          <w:lang w:val="zh-CN" w:eastAsia="zh-CN" w:bidi="ar-SA"/>
        </w:rPr>
      </w:pPr>
      <w:r>
        <w:rPr>
          <w:rFonts w:hint="eastAsia" w:ascii="Times New Roman" w:hAnsi="Times New Roman" w:eastAsia="黑体" w:cs="黑体"/>
          <w:color w:val="auto"/>
          <w:sz w:val="32"/>
          <w:szCs w:val="32"/>
          <w:highlight w:val="none"/>
        </w:rPr>
        <w:t>附件</w:t>
      </w:r>
      <w:r>
        <w:rPr>
          <w:rFonts w:hint="eastAsia" w:eastAsia="黑体" w:cs="黑体"/>
          <w:color w:val="auto"/>
          <w:sz w:val="32"/>
          <w:szCs w:val="32"/>
          <w:highlight w:val="none"/>
          <w:lang w:val="en-US" w:eastAsia="zh-CN"/>
        </w:rPr>
        <w:t>：</w:t>
      </w:r>
      <w:r>
        <w:rPr>
          <w:rFonts w:hint="eastAsia" w:ascii="Times New Roman" w:hAnsi="Times New Roman" w:eastAsia="仿宋_GB2312" w:cs="仿宋_GB2312"/>
          <w:b w:val="0"/>
          <w:bCs w:val="0"/>
          <w:kern w:val="0"/>
          <w:position w:val="0"/>
          <w:sz w:val="32"/>
          <w:szCs w:val="32"/>
          <w:highlight w:val="none"/>
          <w:lang w:val="en-US" w:eastAsia="zh-CN" w:bidi="ar-SA"/>
        </w:rPr>
        <w:t>部门预算项目支出绩效自评表（2024年度）</w:t>
      </w:r>
    </w:p>
    <w:p>
      <w:pPr>
        <w:pStyle w:val="7"/>
        <w:keepNext w:val="0"/>
        <w:keepLines w:val="0"/>
        <w:pageBreakBefore w:val="0"/>
        <w:numPr>
          <w:ilvl w:val="0"/>
          <w:numId w:val="0"/>
        </w:numPr>
        <w:kinsoku/>
        <w:wordWrap/>
        <w:overflowPunct/>
        <w:topLinePunct w:val="0"/>
        <w:autoSpaceDE/>
        <w:autoSpaceDN/>
        <w:bidi w:val="0"/>
        <w:spacing w:line="560" w:lineRule="exact"/>
        <w:textAlignment w:val="auto"/>
        <w:rPr>
          <w:rFonts w:hint="eastAsia" w:ascii="Times New Roman" w:hAnsi="Times New Roman" w:cs="Times New Roman"/>
          <w:sz w:val="32"/>
          <w:szCs w:val="32"/>
          <w:highlight w:val="yellow"/>
          <w:lang w:val="zh-CN" w:eastAsia="zh-CN"/>
        </w:rPr>
        <w:sectPr>
          <w:footerReference r:id="rId6" w:type="first"/>
          <w:footerReference r:id="rId5" w:type="default"/>
          <w:pgSz w:w="11906" w:h="16838"/>
          <w:pgMar w:top="1440" w:right="1800" w:bottom="1440" w:left="1800" w:header="851" w:footer="992" w:gutter="0"/>
          <w:pgNumType w:fmt="decimal" w:start="1"/>
          <w:cols w:space="425" w:num="1"/>
          <w:titlePg/>
          <w:docGrid w:type="lines" w:linePitch="312" w:charSpace="0"/>
        </w:sectPr>
      </w:pPr>
    </w:p>
    <w:tbl>
      <w:tblPr>
        <w:tblStyle w:val="15"/>
        <w:tblW w:w="13978"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80"/>
        <w:gridCol w:w="1080"/>
        <w:gridCol w:w="1080"/>
        <w:gridCol w:w="1080"/>
        <w:gridCol w:w="1080"/>
        <w:gridCol w:w="1080"/>
        <w:gridCol w:w="1573"/>
        <w:gridCol w:w="1725"/>
        <w:gridCol w:w="975"/>
        <w:gridCol w:w="1170"/>
        <w:gridCol w:w="20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13978"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项目名称</w:t>
            </w:r>
          </w:p>
        </w:tc>
        <w:tc>
          <w:tcPr>
            <w:tcW w:w="1181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51000025T000013043033-开办经费项目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主管部门</w:t>
            </w:r>
          </w:p>
        </w:tc>
        <w:tc>
          <w:tcPr>
            <w:tcW w:w="589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四川省经济和信息化厅部门</w:t>
            </w:r>
          </w:p>
        </w:tc>
        <w:tc>
          <w:tcPr>
            <w:tcW w:w="1725"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实施单位 （盖章）</w:t>
            </w:r>
          </w:p>
        </w:tc>
        <w:tc>
          <w:tcPr>
            <w:tcW w:w="420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四川省酒业研究和发展中心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项目基本情况</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1.项目年度目标完成情况</w:t>
            </w:r>
          </w:p>
        </w:tc>
        <w:tc>
          <w:tcPr>
            <w:tcW w:w="589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项目年度目标</w:t>
            </w:r>
          </w:p>
        </w:tc>
        <w:tc>
          <w:tcPr>
            <w:tcW w:w="59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6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Theme="minorEastAsia" w:hAnsiTheme="minorEastAsia" w:eastAsiaTheme="minorEastAsia" w:cstheme="minorEastAsia"/>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Theme="minorEastAsia" w:hAnsiTheme="minorEastAsia" w:eastAsiaTheme="minorEastAsia" w:cstheme="minorEastAsia"/>
                <w:i w:val="0"/>
                <w:iCs w:val="0"/>
                <w:color w:val="000000"/>
                <w:sz w:val="18"/>
                <w:szCs w:val="18"/>
                <w:u w:val="none"/>
              </w:rPr>
            </w:pPr>
          </w:p>
        </w:tc>
        <w:tc>
          <w:tcPr>
            <w:tcW w:w="589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购买办公设备以及召开酒业高质量发展大会暨一会一中心成立大会。</w:t>
            </w:r>
          </w:p>
        </w:tc>
        <w:tc>
          <w:tcPr>
            <w:tcW w:w="59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1.顺利召开四川省酒业高质量发展推进会暨四川省酒业协会成立大会。</w:t>
            </w:r>
            <w:r>
              <w:rPr>
                <w:rFonts w:hint="eastAsia" w:asciiTheme="minorEastAsia" w:hAnsiTheme="minorEastAsia" w:eastAsiaTheme="minorEastAsia" w:cstheme="minorEastAsia"/>
                <w:i w:val="0"/>
                <w:iCs w:val="0"/>
                <w:color w:val="000000"/>
                <w:kern w:val="0"/>
                <w:sz w:val="18"/>
                <w:szCs w:val="18"/>
                <w:u w:val="none"/>
                <w:lang w:val="en-US" w:eastAsia="zh-CN" w:bidi="ar"/>
              </w:rPr>
              <w:br w:type="textWrapping"/>
            </w:r>
            <w:r>
              <w:rPr>
                <w:rFonts w:hint="eastAsia" w:asciiTheme="minorEastAsia" w:hAnsiTheme="minorEastAsia" w:eastAsiaTheme="minorEastAsia" w:cstheme="minorEastAsia"/>
                <w:i w:val="0"/>
                <w:iCs w:val="0"/>
                <w:color w:val="000000"/>
                <w:kern w:val="0"/>
                <w:sz w:val="18"/>
                <w:szCs w:val="18"/>
                <w:u w:val="none"/>
                <w:lang w:val="en-US" w:eastAsia="zh-CN" w:bidi="ar"/>
              </w:rPr>
              <w:t>2.顺利完成“一会一中心”成立及建设运转工作。</w:t>
            </w:r>
            <w:r>
              <w:rPr>
                <w:rFonts w:hint="eastAsia" w:asciiTheme="minorEastAsia" w:hAnsiTheme="minorEastAsia" w:eastAsiaTheme="minorEastAsia" w:cstheme="minorEastAsia"/>
                <w:i w:val="0"/>
                <w:iCs w:val="0"/>
                <w:color w:val="000000"/>
                <w:kern w:val="0"/>
                <w:sz w:val="18"/>
                <w:szCs w:val="18"/>
                <w:u w:val="none"/>
                <w:lang w:val="en-US" w:eastAsia="zh-CN" w:bidi="ar"/>
              </w:rPr>
              <w:br w:type="textWrapping"/>
            </w:r>
            <w:r>
              <w:rPr>
                <w:rFonts w:hint="eastAsia" w:asciiTheme="minorEastAsia" w:hAnsiTheme="minorEastAsia" w:eastAsiaTheme="minorEastAsia" w:cstheme="minorEastAsia"/>
                <w:i w:val="0"/>
                <w:iCs w:val="0"/>
                <w:color w:val="000000"/>
                <w:kern w:val="0"/>
                <w:sz w:val="18"/>
                <w:szCs w:val="18"/>
                <w:u w:val="none"/>
                <w:lang w:val="en-US" w:eastAsia="zh-CN" w:bidi="ar"/>
              </w:rPr>
              <w:t>3.顺利完成办公设备采购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Theme="minorEastAsia" w:hAnsiTheme="minorEastAsia" w:eastAsiaTheme="minorEastAsia" w:cstheme="minorEastAsia"/>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2.项目实施内容及过程概述</w:t>
            </w:r>
          </w:p>
        </w:tc>
        <w:tc>
          <w:tcPr>
            <w:tcW w:w="1181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1.顺利召开四川省酒业高质量发展推进会暨四川省酒业协会成立大会。</w:t>
            </w:r>
            <w:r>
              <w:rPr>
                <w:rFonts w:hint="eastAsia" w:asciiTheme="minorEastAsia" w:hAnsiTheme="minorEastAsia" w:eastAsiaTheme="minorEastAsia" w:cstheme="minorEastAsia"/>
                <w:i w:val="0"/>
                <w:iCs w:val="0"/>
                <w:color w:val="000000"/>
                <w:kern w:val="0"/>
                <w:sz w:val="18"/>
                <w:szCs w:val="18"/>
                <w:u w:val="none"/>
                <w:lang w:val="en-US" w:eastAsia="zh-CN" w:bidi="ar"/>
              </w:rPr>
              <w:br w:type="textWrapping"/>
            </w:r>
            <w:r>
              <w:rPr>
                <w:rFonts w:hint="eastAsia" w:asciiTheme="minorEastAsia" w:hAnsiTheme="minorEastAsia" w:eastAsiaTheme="minorEastAsia" w:cstheme="minorEastAsia"/>
                <w:i w:val="0"/>
                <w:iCs w:val="0"/>
                <w:color w:val="000000"/>
                <w:kern w:val="0"/>
                <w:sz w:val="18"/>
                <w:szCs w:val="18"/>
                <w:u w:val="none"/>
                <w:lang w:val="en-US" w:eastAsia="zh-CN" w:bidi="ar"/>
              </w:rPr>
              <w:t>2.顺利完成“一会一中心”成立及建设运转工作。</w:t>
            </w:r>
            <w:r>
              <w:rPr>
                <w:rFonts w:hint="eastAsia" w:asciiTheme="minorEastAsia" w:hAnsiTheme="minorEastAsia" w:eastAsiaTheme="minorEastAsia" w:cstheme="minorEastAsia"/>
                <w:i w:val="0"/>
                <w:iCs w:val="0"/>
                <w:color w:val="000000"/>
                <w:kern w:val="0"/>
                <w:sz w:val="18"/>
                <w:szCs w:val="18"/>
                <w:u w:val="none"/>
                <w:lang w:val="en-US" w:eastAsia="zh-CN" w:bidi="ar"/>
              </w:rPr>
              <w:br w:type="textWrapping"/>
            </w:r>
            <w:r>
              <w:rPr>
                <w:rFonts w:hint="eastAsia" w:asciiTheme="minorEastAsia" w:hAnsiTheme="minorEastAsia" w:eastAsiaTheme="minorEastAsia" w:cstheme="minorEastAsia"/>
                <w:i w:val="0"/>
                <w:iCs w:val="0"/>
                <w:color w:val="000000"/>
                <w:kern w:val="0"/>
                <w:sz w:val="18"/>
                <w:szCs w:val="18"/>
                <w:u w:val="none"/>
                <w:lang w:val="en-US" w:eastAsia="zh-CN" w:bidi="ar"/>
              </w:rPr>
              <w:t>3.顺利完成办公设备采购。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预算执行情况（10分）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年度预算数（万元）</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年初预算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调整后预算数</w:t>
            </w:r>
          </w:p>
        </w:tc>
        <w:tc>
          <w:tcPr>
            <w:tcW w:w="373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预算执行数</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预算执行率</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权重</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得分</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总额</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99.35</w:t>
            </w:r>
          </w:p>
        </w:tc>
        <w:tc>
          <w:tcPr>
            <w:tcW w:w="373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99.06</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99.71%</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10</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10</w:t>
            </w:r>
          </w:p>
        </w:tc>
        <w:tc>
          <w:tcPr>
            <w:tcW w:w="20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Theme="minorEastAsia" w:hAnsiTheme="minorEastAsia" w:eastAsiaTheme="minorEastAsia" w:cstheme="minorEastAsia"/>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其中：财政资金</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99.35</w:t>
            </w:r>
          </w:p>
        </w:tc>
        <w:tc>
          <w:tcPr>
            <w:tcW w:w="373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99.06</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99.71%</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Theme="minorEastAsia" w:hAnsiTheme="minorEastAsia" w:eastAsiaTheme="minorEastAsia" w:cstheme="minorEastAsia"/>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财政专户管理资金</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0.00</w:t>
            </w:r>
          </w:p>
        </w:tc>
        <w:tc>
          <w:tcPr>
            <w:tcW w:w="373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0.00</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0.00%</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Theme="minorEastAsia" w:hAnsiTheme="minorEastAsia" w:eastAsiaTheme="minorEastAsia" w:cstheme="minorEastAsia"/>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单位资金</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0.00</w:t>
            </w:r>
          </w:p>
        </w:tc>
        <w:tc>
          <w:tcPr>
            <w:tcW w:w="373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0.00</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0.00%</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Theme="minorEastAsia" w:hAnsiTheme="minorEastAsia" w:eastAsiaTheme="minorEastAsia" w:cstheme="minorEastAsia"/>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其他资金</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iCs/>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iCs/>
                <w:color w:val="000000"/>
                <w:sz w:val="18"/>
                <w:szCs w:val="18"/>
                <w:u w:val="none"/>
              </w:rPr>
            </w:pPr>
          </w:p>
        </w:tc>
        <w:tc>
          <w:tcPr>
            <w:tcW w:w="373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iCs/>
                <w:color w:val="000000"/>
                <w:sz w:val="18"/>
                <w:szCs w:val="18"/>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iCs/>
                <w:color w:val="000000"/>
                <w:sz w:val="18"/>
                <w:szCs w:val="18"/>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Theme="minorEastAsia" w:hAnsiTheme="minorEastAsia" w:eastAsiaTheme="minorEastAsia" w:cstheme="minorEastAsia"/>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绩效指标（90分）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一级指标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二级指标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三级指标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指标性质</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指标值</w:t>
            </w:r>
          </w:p>
        </w:tc>
        <w:tc>
          <w:tcPr>
            <w:tcW w:w="15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度量单位</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完成值</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权重</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得分</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产出指标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数量指标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召开会议一次</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w:t>
            </w:r>
          </w:p>
        </w:tc>
        <w:tc>
          <w:tcPr>
            <w:tcW w:w="15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次</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iCs/>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10</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10</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购买办公设备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16</w:t>
            </w:r>
          </w:p>
        </w:tc>
        <w:tc>
          <w:tcPr>
            <w:tcW w:w="15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件</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iCs/>
                <w:color w:val="000000"/>
                <w:sz w:val="18"/>
                <w:szCs w:val="18"/>
                <w:u w:val="none"/>
              </w:rPr>
            </w:pPr>
            <w:r>
              <w:rPr>
                <w:rFonts w:hint="eastAsia" w:asciiTheme="minorEastAsia" w:hAnsiTheme="minorEastAsia" w:eastAsiaTheme="minorEastAsia" w:cstheme="minorEastAsia"/>
                <w:i/>
                <w:iCs/>
                <w:color w:val="000000"/>
                <w:kern w:val="0"/>
                <w:sz w:val="18"/>
                <w:szCs w:val="18"/>
                <w:u w:val="none"/>
                <w:lang w:val="en-US" w:eastAsia="zh-CN" w:bidi="ar"/>
              </w:rPr>
              <w:t>41</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10</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10</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质量指标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顺利推进“酒业高质量发展大会暨一会一中心成立大会”</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定性</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优良中低差</w:t>
            </w:r>
          </w:p>
        </w:tc>
        <w:tc>
          <w:tcPr>
            <w:tcW w:w="157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完成召开大会，成立了川酒协会及川酒中心</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20</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20</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2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时效指标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2024年完成采购及成立事项</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定性</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优良中低差</w:t>
            </w:r>
          </w:p>
        </w:tc>
        <w:tc>
          <w:tcPr>
            <w:tcW w:w="157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完成了设备采购，推进了中心正常运转。</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10</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10</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效益指标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社会效益指标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不断提升川酒品牌影响力</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定性</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优良中低差</w:t>
            </w:r>
          </w:p>
        </w:tc>
        <w:tc>
          <w:tcPr>
            <w:tcW w:w="157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提升了川酒中心影响力，同时开展几场活动，推动和提升了川酒品牌的影响力</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30</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30</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满意度指标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满意度指标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满意度</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90</w:t>
            </w:r>
          </w:p>
        </w:tc>
        <w:tc>
          <w:tcPr>
            <w:tcW w:w="15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酒类企业满意</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10</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10</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9778"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合计</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100</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heme="minorEastAsia" w:hAnsiTheme="minorEastAsia" w:eastAsiaTheme="minorEastAsia" w:cstheme="minorEastAsia"/>
                <w:i w:val="0"/>
                <w:iCs w:val="0"/>
                <w:color w:val="000000"/>
                <w:sz w:val="18"/>
                <w:szCs w:val="18"/>
                <w:highlight w:val="none"/>
                <w:u w:val="none"/>
                <w:lang w:val="en-US" w:eastAsia="zh-CN"/>
              </w:rPr>
            </w:pPr>
            <w:r>
              <w:rPr>
                <w:rFonts w:hint="eastAsia" w:asciiTheme="minorEastAsia" w:hAnsiTheme="minorEastAsia" w:eastAsiaTheme="minorEastAsia" w:cstheme="minorEastAsia"/>
                <w:i w:val="0"/>
                <w:iCs w:val="0"/>
                <w:color w:val="000000"/>
                <w:sz w:val="18"/>
                <w:szCs w:val="18"/>
                <w:highlight w:val="none"/>
                <w:u w:val="none"/>
                <w:lang w:val="en-US" w:eastAsia="zh-CN"/>
              </w:rPr>
              <w:t>100</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Theme="minorEastAsia" w:hAnsiTheme="minorEastAsia" w:eastAsiaTheme="minorEastAsia" w:cstheme="minorEastAsia"/>
                <w:i w:val="0"/>
                <w:iCs w:val="0"/>
                <w:color w:val="000000"/>
                <w:sz w:val="18"/>
                <w:szCs w:val="18"/>
                <w:highlight w:val="yellow"/>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评价结论</w:t>
            </w:r>
          </w:p>
        </w:tc>
        <w:tc>
          <w:tcPr>
            <w:tcW w:w="1289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项目年度目标完成情况良好，各项绩效目标均已保质保量按时完成，项目自评得100分。通过项目实施，顺利推进完成了“一会一中心”的建立，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存在问题</w:t>
            </w:r>
          </w:p>
        </w:tc>
        <w:tc>
          <w:tcPr>
            <w:tcW w:w="1289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改进措施</w:t>
            </w:r>
          </w:p>
        </w:tc>
        <w:tc>
          <w:tcPr>
            <w:tcW w:w="1289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540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项目负责人：陶杰</w:t>
            </w:r>
          </w:p>
        </w:tc>
        <w:tc>
          <w:tcPr>
            <w:tcW w:w="857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财务负责人：涂越</w:t>
            </w:r>
          </w:p>
        </w:tc>
      </w:tr>
    </w:tbl>
    <w:p>
      <w:pPr>
        <w:pStyle w:val="5"/>
        <w:rPr>
          <w:rFonts w:hint="eastAsia" w:ascii="Times New Roman" w:hAnsi="Times New Roman" w:cs="宋体"/>
          <w:color w:val="FF0000"/>
          <w:kern w:val="0"/>
          <w:sz w:val="32"/>
          <w:szCs w:val="32"/>
          <w:highlight w:val="yellow"/>
          <w:shd w:val="clear" w:color="auto" w:fill="FFFFFF"/>
          <w:lang w:val="zh-CN"/>
        </w:rPr>
      </w:pPr>
    </w:p>
    <w:tbl>
      <w:tblPr>
        <w:tblStyle w:val="15"/>
        <w:tblW w:w="13948"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80"/>
        <w:gridCol w:w="1080"/>
        <w:gridCol w:w="1080"/>
        <w:gridCol w:w="1080"/>
        <w:gridCol w:w="1080"/>
        <w:gridCol w:w="1080"/>
        <w:gridCol w:w="1453"/>
        <w:gridCol w:w="1680"/>
        <w:gridCol w:w="990"/>
        <w:gridCol w:w="1110"/>
        <w:gridCol w:w="223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13948"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项目名称</w:t>
            </w:r>
          </w:p>
        </w:tc>
        <w:tc>
          <w:tcPr>
            <w:tcW w:w="1178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51000025T000012558972-2024年中央“三区”科技人才支持计划项目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主管部门</w:t>
            </w:r>
          </w:p>
        </w:tc>
        <w:tc>
          <w:tcPr>
            <w:tcW w:w="577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四川省经济和信息化厅部门</w:t>
            </w:r>
          </w:p>
        </w:tc>
        <w:tc>
          <w:tcPr>
            <w:tcW w:w="168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实施单位 （盖章）</w:t>
            </w:r>
          </w:p>
        </w:tc>
        <w:tc>
          <w:tcPr>
            <w:tcW w:w="433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四川省酒业研究和发展中心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项目基本情况</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1.项目年度目标完成情况</w:t>
            </w:r>
          </w:p>
        </w:tc>
        <w:tc>
          <w:tcPr>
            <w:tcW w:w="577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项目年度目标</w:t>
            </w:r>
          </w:p>
        </w:tc>
        <w:tc>
          <w:tcPr>
            <w:tcW w:w="601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2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Theme="minorEastAsia" w:hAnsiTheme="minorEastAsia" w:eastAsiaTheme="minorEastAsia" w:cstheme="minorEastAsia"/>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Theme="minorEastAsia" w:hAnsiTheme="minorEastAsia" w:eastAsiaTheme="minorEastAsia" w:cstheme="minorEastAsia"/>
                <w:i w:val="0"/>
                <w:iCs w:val="0"/>
                <w:color w:val="000000"/>
                <w:sz w:val="18"/>
                <w:szCs w:val="18"/>
                <w:u w:val="none"/>
              </w:rPr>
            </w:pPr>
          </w:p>
        </w:tc>
        <w:tc>
          <w:tcPr>
            <w:tcW w:w="577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派出三区专家前往三区企业技术服务每人每年每人不少于4次，上不封顶，技术培训企业人员不少于1人，提供技术咨询不少于10次，设计酒体散装成品酒不少于1款，部分企业不少于5款。部分企业共同开展知识产权申报不少于1个。</w:t>
            </w:r>
          </w:p>
        </w:tc>
        <w:tc>
          <w:tcPr>
            <w:tcW w:w="601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2024年，中心三区企业服务效果显著，服务三区企业5家，派出技术人员5人，前往现场指导24次，勾调散装成品酒样17个样品，培训技术人员6名，企业技术咨询89次，与企业和行业共同制定标准2项。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Theme="minorEastAsia" w:hAnsiTheme="minorEastAsia" w:eastAsiaTheme="minorEastAsia" w:cstheme="minorEastAsia"/>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2.项目实施内容及过程概述</w:t>
            </w:r>
          </w:p>
        </w:tc>
        <w:tc>
          <w:tcPr>
            <w:tcW w:w="1178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2024年，中心根据三区企业要求和计划，针对每个酒厂设定服务项目，服务三区企业5家，派出技术人员5人，联合专家多人多次前往现场指导24次，勾调散装成品酒样17个样品，培训技术人员6名，企业技术咨询89次，与企业和行业共同制定标准2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预算执行情况（10分）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年度预算数（万元）</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年初预算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调整后预算数</w:t>
            </w:r>
          </w:p>
        </w:tc>
        <w:tc>
          <w:tcPr>
            <w:tcW w:w="361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预算执行数</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预算执行率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权重</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得分</w:t>
            </w:r>
          </w:p>
        </w:tc>
        <w:tc>
          <w:tcPr>
            <w:tcW w:w="22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总额</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10.00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10.00</w:t>
            </w:r>
          </w:p>
        </w:tc>
        <w:tc>
          <w:tcPr>
            <w:tcW w:w="361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4.26</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42.55%</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10</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18"/>
                <w:szCs w:val="18"/>
                <w:u w:val="none"/>
                <w:lang w:val="en-US" w:eastAsia="zh-CN"/>
              </w:rPr>
            </w:pPr>
            <w:r>
              <w:rPr>
                <w:rFonts w:hint="eastAsia" w:asciiTheme="minorEastAsia" w:hAnsiTheme="minorEastAsia" w:eastAsiaTheme="minorEastAsia" w:cstheme="minorEastAsia"/>
                <w:i w:val="0"/>
                <w:iCs w:val="0"/>
                <w:color w:val="000000"/>
                <w:sz w:val="18"/>
                <w:szCs w:val="18"/>
                <w:u w:val="none"/>
                <w:lang w:val="en-US" w:eastAsia="zh-CN"/>
              </w:rPr>
              <w:t>4.26</w:t>
            </w:r>
          </w:p>
        </w:tc>
        <w:tc>
          <w:tcPr>
            <w:tcW w:w="22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numPr>
                <w:ilvl w:val="0"/>
                <w:numId w:val="4"/>
              </w:numPr>
              <w:suppressLineNumbers w:val="0"/>
              <w:jc w:val="left"/>
              <w:textAlignment w:val="center"/>
              <w:rPr>
                <w:rFonts w:hint="eastAsia" w:asciiTheme="minorEastAsia" w:hAnsiTheme="minorEastAsia" w:eastAsiaTheme="minorEastAsia" w:cstheme="minorEastAsia"/>
                <w:i w:val="0"/>
                <w:iCs w:val="0"/>
                <w:color w:val="000000"/>
                <w:kern w:val="0"/>
                <w:sz w:val="18"/>
                <w:szCs w:val="18"/>
                <w:u w:val="none"/>
                <w:lang w:val="en-US" w:eastAsia="zh-CN" w:bidi="ar"/>
              </w:rPr>
            </w:pPr>
            <w:r>
              <w:rPr>
                <w:rFonts w:hint="eastAsia" w:asciiTheme="minorEastAsia" w:hAnsiTheme="minorEastAsia" w:eastAsiaTheme="minorEastAsia" w:cstheme="minorEastAsia"/>
                <w:i w:val="0"/>
                <w:iCs w:val="0"/>
                <w:color w:val="000000"/>
                <w:kern w:val="0"/>
                <w:sz w:val="18"/>
                <w:szCs w:val="18"/>
                <w:u w:val="none"/>
                <w:lang w:val="en-US" w:eastAsia="zh-CN" w:bidi="ar"/>
              </w:rPr>
              <w:t>技术人员培训费用未减免</w:t>
            </w:r>
          </w:p>
          <w:p>
            <w:pPr>
              <w:keepNext w:val="0"/>
              <w:keepLines w:val="0"/>
              <w:widowControl/>
              <w:numPr>
                <w:ilvl w:val="0"/>
                <w:numId w:val="4"/>
              </w:numPr>
              <w:suppressLineNumbers w:val="0"/>
              <w:jc w:val="left"/>
              <w:textAlignment w:val="center"/>
              <w:rPr>
                <w:rFonts w:hint="default" w:asciiTheme="minorEastAsia" w:hAnsiTheme="minorEastAsia" w:eastAsiaTheme="minorEastAsia" w:cstheme="minorEastAsia"/>
                <w:i w:val="0"/>
                <w:iCs w:val="0"/>
                <w:color w:val="000000"/>
                <w:kern w:val="0"/>
                <w:sz w:val="18"/>
                <w:szCs w:val="18"/>
                <w:u w:val="none"/>
                <w:lang w:val="en-US" w:eastAsia="zh-CN" w:bidi="ar"/>
              </w:rPr>
            </w:pPr>
            <w:r>
              <w:rPr>
                <w:rFonts w:hint="eastAsia" w:asciiTheme="minorEastAsia" w:hAnsiTheme="minorEastAsia" w:eastAsiaTheme="minorEastAsia" w:cstheme="minorEastAsia"/>
                <w:i w:val="0"/>
                <w:iCs w:val="0"/>
                <w:color w:val="000000"/>
                <w:kern w:val="0"/>
                <w:sz w:val="18"/>
                <w:szCs w:val="18"/>
                <w:u w:val="none"/>
                <w:lang w:val="en-US" w:eastAsia="zh-CN" w:bidi="ar"/>
              </w:rPr>
              <w:t>现场服务差旅费用未按要求及时报销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其中：财政资金</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10.00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10.00</w:t>
            </w:r>
          </w:p>
        </w:tc>
        <w:tc>
          <w:tcPr>
            <w:tcW w:w="361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4.26</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42.55%</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22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Theme="minorEastAsia" w:hAnsiTheme="minorEastAsia" w:eastAsiaTheme="minorEastAsia" w:cstheme="minorEastAsia"/>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财政专户管理资金</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0.00</w:t>
            </w:r>
          </w:p>
        </w:tc>
        <w:tc>
          <w:tcPr>
            <w:tcW w:w="361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0.00</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0.00%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22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Theme="minorEastAsia" w:hAnsiTheme="minorEastAsia" w:eastAsiaTheme="minorEastAsia" w:cstheme="minorEastAsia"/>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单位资金</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0.00</w:t>
            </w:r>
          </w:p>
        </w:tc>
        <w:tc>
          <w:tcPr>
            <w:tcW w:w="361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0.00</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0.00%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22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Theme="minorEastAsia" w:hAnsiTheme="minorEastAsia" w:eastAsiaTheme="minorEastAsia" w:cstheme="minorEastAsia"/>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其他资金</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16"/>
                <w:szCs w:val="16"/>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16"/>
                <w:szCs w:val="16"/>
                <w:u w:val="none"/>
              </w:rPr>
            </w:pPr>
          </w:p>
        </w:tc>
        <w:tc>
          <w:tcPr>
            <w:tcW w:w="361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16"/>
                <w:szCs w:val="16"/>
                <w:u w:val="none"/>
              </w:rPr>
            </w:pP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16"/>
                <w:szCs w:val="16"/>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22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Theme="minorEastAsia" w:hAnsiTheme="minorEastAsia" w:eastAsiaTheme="minorEastAsia" w:cstheme="minorEastAsia"/>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绩效指标（90分）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一级指标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二级指标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三级指标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指标性质</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指标值</w:t>
            </w:r>
          </w:p>
        </w:tc>
        <w:tc>
          <w:tcPr>
            <w:tcW w:w="14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度量单位</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完成值</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权重</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得分</w:t>
            </w:r>
          </w:p>
        </w:tc>
        <w:tc>
          <w:tcPr>
            <w:tcW w:w="22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产出指标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数量指标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前往企业技术服务次数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sz w:val="18"/>
                <w:szCs w:val="18"/>
                <w:u w:val="none"/>
                <w:lang w:val="en-US" w:eastAsia="zh-CN"/>
              </w:rPr>
            </w:pPr>
            <w:r>
              <w:rPr>
                <w:rFonts w:hint="eastAsia" w:asciiTheme="minorEastAsia" w:hAnsiTheme="minorEastAsia" w:eastAsiaTheme="minorEastAsia" w:cstheme="minorEastAsia"/>
                <w:i w:val="0"/>
                <w:iCs w:val="0"/>
                <w:color w:val="000000"/>
                <w:sz w:val="18"/>
                <w:szCs w:val="18"/>
                <w:u w:val="none"/>
                <w:lang w:val="en-US" w:eastAsia="zh-CN"/>
              </w:rPr>
              <w:t>20</w:t>
            </w:r>
          </w:p>
        </w:tc>
        <w:tc>
          <w:tcPr>
            <w:tcW w:w="14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次</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sz w:val="18"/>
                <w:szCs w:val="18"/>
                <w:u w:val="none"/>
                <w:lang w:val="en-US" w:eastAsia="zh-CN"/>
              </w:rPr>
            </w:pPr>
            <w:r>
              <w:rPr>
                <w:rFonts w:hint="eastAsia" w:asciiTheme="minorEastAsia" w:hAnsiTheme="minorEastAsia" w:eastAsiaTheme="minorEastAsia" w:cstheme="minorEastAsia"/>
                <w:i w:val="0"/>
                <w:iCs w:val="0"/>
                <w:color w:val="000000"/>
                <w:sz w:val="18"/>
                <w:szCs w:val="18"/>
                <w:u w:val="none"/>
                <w:lang w:val="en-US" w:eastAsia="zh-CN"/>
              </w:rPr>
              <w:t>24</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20</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20</w:t>
            </w:r>
          </w:p>
        </w:tc>
        <w:tc>
          <w:tcPr>
            <w:tcW w:w="22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质量指标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完成企业指定的产品评鉴工作</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w:t>
            </w:r>
          </w:p>
        </w:tc>
        <w:tc>
          <w:tcPr>
            <w:tcW w:w="14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个（套）</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heme="minorEastAsia" w:hAnsiTheme="minorEastAsia" w:eastAsiaTheme="minorEastAsia" w:cstheme="minorEastAsia"/>
                <w:i w:val="0"/>
                <w:iCs w:val="0"/>
                <w:color w:val="000000"/>
                <w:sz w:val="18"/>
                <w:szCs w:val="18"/>
                <w:u w:val="none"/>
                <w:lang w:val="en-US" w:eastAsia="zh-CN"/>
              </w:rPr>
            </w:pPr>
            <w:r>
              <w:rPr>
                <w:rFonts w:hint="eastAsia" w:asciiTheme="minorEastAsia" w:hAnsiTheme="minorEastAsia" w:eastAsiaTheme="minorEastAsia" w:cstheme="minorEastAsia"/>
                <w:i w:val="0"/>
                <w:iCs w:val="0"/>
                <w:color w:val="000000"/>
                <w:sz w:val="18"/>
                <w:szCs w:val="18"/>
                <w:u w:val="none"/>
                <w:lang w:val="en-US" w:eastAsia="zh-CN"/>
              </w:rPr>
              <w:t>17</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10</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10</w:t>
            </w:r>
          </w:p>
        </w:tc>
        <w:tc>
          <w:tcPr>
            <w:tcW w:w="22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时效指标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确保2024年完成三区企业服务任务</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定性</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是</w:t>
            </w:r>
          </w:p>
        </w:tc>
        <w:tc>
          <w:tcPr>
            <w:tcW w:w="14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6"/>
                <w:szCs w:val="16"/>
                <w:u w:val="none"/>
              </w:rPr>
            </w:pPr>
            <w:r>
              <w:rPr>
                <w:rFonts w:hint="eastAsia" w:asciiTheme="minorEastAsia" w:hAnsiTheme="minorEastAsia" w:eastAsiaTheme="minorEastAsia" w:cstheme="minorEastAsia"/>
                <w:i w:val="0"/>
                <w:iCs w:val="0"/>
                <w:color w:val="000000"/>
                <w:kern w:val="0"/>
                <w:sz w:val="16"/>
                <w:szCs w:val="16"/>
                <w:u w:val="none"/>
                <w:lang w:val="en-US" w:eastAsia="zh-CN" w:bidi="ar"/>
              </w:rPr>
              <w:t>完成</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20</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20</w:t>
            </w:r>
          </w:p>
        </w:tc>
        <w:tc>
          <w:tcPr>
            <w:tcW w:w="22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效益指标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可持续发展指标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培养培训企业技术人员</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w:t>
            </w:r>
          </w:p>
        </w:tc>
        <w:tc>
          <w:tcPr>
            <w:tcW w:w="14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人</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6"/>
                <w:szCs w:val="16"/>
                <w:u w:val="none"/>
              </w:rPr>
            </w:pPr>
            <w:r>
              <w:rPr>
                <w:rFonts w:hint="eastAsia" w:asciiTheme="minorEastAsia" w:hAnsiTheme="minorEastAsia" w:eastAsiaTheme="minorEastAsia" w:cstheme="minorEastAsia"/>
                <w:i w:val="0"/>
                <w:iCs w:val="0"/>
                <w:color w:val="000000"/>
                <w:kern w:val="0"/>
                <w:sz w:val="16"/>
                <w:szCs w:val="16"/>
                <w:u w:val="none"/>
                <w:lang w:val="en-US" w:eastAsia="zh-CN" w:bidi="ar"/>
              </w:rPr>
              <w:t>2</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30</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30</w:t>
            </w:r>
          </w:p>
        </w:tc>
        <w:tc>
          <w:tcPr>
            <w:tcW w:w="22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满意度指标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帮扶对象满意度指标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企业满意度</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定性</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满意</w:t>
            </w:r>
          </w:p>
        </w:tc>
        <w:tc>
          <w:tcPr>
            <w:tcW w:w="14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份</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6"/>
                <w:szCs w:val="16"/>
                <w:u w:val="none"/>
              </w:rPr>
            </w:pPr>
            <w:r>
              <w:rPr>
                <w:rFonts w:hint="eastAsia" w:asciiTheme="minorEastAsia" w:hAnsiTheme="minorEastAsia" w:eastAsiaTheme="minorEastAsia" w:cstheme="minorEastAsia"/>
                <w:i w:val="0"/>
                <w:iCs w:val="0"/>
                <w:color w:val="000000"/>
                <w:kern w:val="0"/>
                <w:sz w:val="16"/>
                <w:szCs w:val="16"/>
                <w:u w:val="none"/>
                <w:lang w:val="en-US" w:eastAsia="zh-CN" w:bidi="ar"/>
              </w:rPr>
              <w:t>满意</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10</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10</w:t>
            </w:r>
          </w:p>
        </w:tc>
        <w:tc>
          <w:tcPr>
            <w:tcW w:w="22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9613"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合计</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100</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18"/>
                <w:szCs w:val="18"/>
                <w:u w:val="none"/>
                <w:lang w:val="en-US"/>
              </w:rPr>
            </w:pPr>
            <w:r>
              <w:rPr>
                <w:rFonts w:hint="eastAsia" w:asciiTheme="minorEastAsia" w:hAnsiTheme="minorEastAsia" w:eastAsiaTheme="minorEastAsia" w:cstheme="minorEastAsia"/>
                <w:i w:val="0"/>
                <w:iCs w:val="0"/>
                <w:color w:val="000000"/>
                <w:kern w:val="0"/>
                <w:sz w:val="18"/>
                <w:szCs w:val="18"/>
                <w:u w:val="none"/>
                <w:lang w:val="en-US" w:eastAsia="zh-CN" w:bidi="ar"/>
              </w:rPr>
              <w:t>94.26</w:t>
            </w:r>
          </w:p>
        </w:tc>
        <w:tc>
          <w:tcPr>
            <w:tcW w:w="22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Theme="minorEastAsia" w:hAnsiTheme="minorEastAsia" w:eastAsiaTheme="minorEastAsia" w:cstheme="minorEastAsia"/>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评价结论</w:t>
            </w:r>
          </w:p>
        </w:tc>
        <w:tc>
          <w:tcPr>
            <w:tcW w:w="1286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根据服务综合考评结果，服务效能实现全面升级，成效显著。构建线上线下全流程全方位指导服务体系，结合现场指导、电话指导多种形式，帮助企业勾调散装成品酒样17个，培训技术人员6名，前往现场指导24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存在问题</w:t>
            </w:r>
          </w:p>
        </w:tc>
        <w:tc>
          <w:tcPr>
            <w:tcW w:w="1286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技术培训深入但培训过程中学员反馈，语言较为晦涩繁复、方式方法较为传统，难以在短时间内快速接受。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改进措施</w:t>
            </w:r>
          </w:p>
        </w:tc>
        <w:tc>
          <w:tcPr>
            <w:tcW w:w="1286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将难懂生硬的专业词汇转换成平时生活中常用的词汇，让学员能够快速接收技术知识并且感受到学习白酒知识的乐趣。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540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项目负责人：简何</w:t>
            </w:r>
          </w:p>
        </w:tc>
        <w:tc>
          <w:tcPr>
            <w:tcW w:w="854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lang w:val="en-US"/>
              </w:rPr>
            </w:pPr>
            <w:r>
              <w:rPr>
                <w:rFonts w:hint="eastAsia" w:asciiTheme="minorEastAsia" w:hAnsiTheme="minorEastAsia" w:eastAsiaTheme="minorEastAsia" w:cstheme="minorEastAsia"/>
                <w:i w:val="0"/>
                <w:iCs w:val="0"/>
                <w:color w:val="000000"/>
                <w:kern w:val="0"/>
                <w:sz w:val="18"/>
                <w:szCs w:val="18"/>
                <w:u w:val="none"/>
                <w:lang w:val="en-US" w:eastAsia="zh-CN" w:bidi="ar"/>
              </w:rPr>
              <w:t>财务负责人：涂越</w:t>
            </w:r>
          </w:p>
        </w:tc>
      </w:tr>
    </w:tbl>
    <w:p>
      <w:pPr>
        <w:pStyle w:val="5"/>
        <w:rPr>
          <w:rFonts w:hint="eastAsia" w:ascii="Times New Roman" w:hAnsi="Times New Roman" w:cs="宋体"/>
          <w:color w:val="FF0000"/>
          <w:kern w:val="0"/>
          <w:sz w:val="32"/>
          <w:szCs w:val="32"/>
          <w:highlight w:val="yellow"/>
          <w:shd w:val="clear" w:color="auto" w:fill="FFFFFF"/>
          <w:lang w:val="zh-CN"/>
        </w:rPr>
      </w:pPr>
    </w:p>
    <w:p>
      <w:pPr>
        <w:pStyle w:val="5"/>
        <w:rPr>
          <w:rFonts w:hint="eastAsia" w:ascii="Times New Roman" w:hAnsi="Times New Roman" w:cs="宋体"/>
          <w:color w:val="FF0000"/>
          <w:kern w:val="0"/>
          <w:sz w:val="32"/>
          <w:szCs w:val="32"/>
          <w:highlight w:val="yellow"/>
          <w:shd w:val="clear" w:color="auto" w:fill="FFFFFF"/>
          <w:lang w:val="zh-CN"/>
        </w:rPr>
        <w:sectPr>
          <w:pgSz w:w="16838" w:h="11906" w:orient="landscape"/>
          <w:pgMar w:top="1800" w:right="1440" w:bottom="1800" w:left="1440" w:header="851" w:footer="992" w:gutter="0"/>
          <w:pgNumType w:fmt="decimal"/>
          <w:cols w:space="425" w:num="1"/>
          <w:titlePg/>
          <w:docGrid w:type="lines" w:linePitch="312" w:charSpace="0"/>
        </w:sectPr>
      </w:pPr>
    </w:p>
    <w:p>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bookmarkStart w:id="69" w:name="_Toc15396618"/>
    </w:p>
    <w:p>
      <w:pPr>
        <w:keepNext w:val="0"/>
        <w:keepLines w:val="0"/>
        <w:pageBreakBefore w:val="0"/>
        <w:widowControl w:val="0"/>
        <w:kinsoku/>
        <w:wordWrap/>
        <w:overflowPunct/>
        <w:topLinePunct w:val="0"/>
        <w:autoSpaceDE/>
        <w:autoSpaceDN/>
        <w:bidi w:val="0"/>
        <w:adjustRightInd/>
        <w:snapToGrid/>
        <w:jc w:val="center"/>
        <w:textAlignment w:val="auto"/>
        <w:outlineLvl w:val="0"/>
        <w:rPr>
          <w:rFonts w:hint="eastAsia" w:ascii="方正小标宋_GBK" w:hAnsi="方正小标宋_GBK" w:eastAsia="方正小标宋_GBK" w:cs="方正小标宋_GBK"/>
          <w:sz w:val="44"/>
          <w:szCs w:val="44"/>
        </w:rPr>
      </w:pPr>
      <w:bookmarkStart w:id="70" w:name="_Toc374754187"/>
      <w:r>
        <w:rPr>
          <w:rFonts w:hint="eastAsia" w:ascii="方正小标宋_GBK" w:hAnsi="方正小标宋_GBK" w:eastAsia="方正小标宋_GBK" w:cs="方正小标宋_GBK"/>
          <w:sz w:val="44"/>
          <w:szCs w:val="44"/>
        </w:rPr>
        <w:t>第五部分 附表</w:t>
      </w:r>
      <w:bookmarkEnd w:id="66"/>
      <w:bookmarkEnd w:id="69"/>
      <w:bookmarkEnd w:id="70"/>
      <w:bookmarkStart w:id="71" w:name="_Toc15396619"/>
    </w:p>
    <w:p>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p>
    <w:p>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一、收入支出决算总表</w:t>
      </w:r>
      <w:bookmarkEnd w:id="71"/>
    </w:p>
    <w:p>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72" w:name="_Toc15396620"/>
      <w:r>
        <w:rPr>
          <w:rFonts w:hint="eastAsia" w:ascii="Times New Roman" w:hAnsi="Times New Roman" w:eastAsia="仿宋_GB2312" w:cs="仿宋_GB2312"/>
          <w:color w:val="auto"/>
          <w:sz w:val="32"/>
          <w:szCs w:val="32"/>
          <w:highlight w:val="none"/>
        </w:rPr>
        <w:t>二、收入决算表</w:t>
      </w:r>
      <w:bookmarkEnd w:id="72"/>
    </w:p>
    <w:p>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73" w:name="_Toc15396621"/>
      <w:r>
        <w:rPr>
          <w:rFonts w:hint="eastAsia" w:ascii="Times New Roman" w:hAnsi="Times New Roman" w:eastAsia="仿宋_GB2312" w:cs="仿宋_GB2312"/>
          <w:color w:val="auto"/>
          <w:sz w:val="32"/>
          <w:szCs w:val="32"/>
          <w:highlight w:val="none"/>
        </w:rPr>
        <w:t>三、支出决算表</w:t>
      </w:r>
      <w:bookmarkEnd w:id="73"/>
    </w:p>
    <w:p>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74" w:name="_Toc15396622"/>
      <w:r>
        <w:rPr>
          <w:rFonts w:hint="eastAsia" w:ascii="Times New Roman" w:hAnsi="Times New Roman" w:eastAsia="仿宋_GB2312" w:cs="仿宋_GB2312"/>
          <w:color w:val="auto"/>
          <w:sz w:val="32"/>
          <w:szCs w:val="32"/>
          <w:highlight w:val="none"/>
        </w:rPr>
        <w:t>四、财政拨款收入支出决算总表</w:t>
      </w:r>
      <w:bookmarkEnd w:id="74"/>
    </w:p>
    <w:p>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75" w:name="_Toc15396623"/>
      <w:r>
        <w:rPr>
          <w:rFonts w:hint="eastAsia" w:ascii="Times New Roman" w:hAnsi="Times New Roman" w:eastAsia="仿宋_GB2312" w:cs="仿宋_GB2312"/>
          <w:color w:val="auto"/>
          <w:sz w:val="32"/>
          <w:szCs w:val="32"/>
          <w:highlight w:val="none"/>
        </w:rPr>
        <w:t>五、财政拨款支出决算明细表</w:t>
      </w:r>
      <w:bookmarkEnd w:id="75"/>
      <w:bookmarkStart w:id="76" w:name="_Toc15396624"/>
    </w:p>
    <w:p>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六、一般公共预算财政拨款支出决算表</w:t>
      </w:r>
      <w:bookmarkEnd w:id="76"/>
    </w:p>
    <w:p>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77" w:name="_Toc15396625"/>
      <w:r>
        <w:rPr>
          <w:rFonts w:hint="eastAsia" w:ascii="Times New Roman" w:hAnsi="Times New Roman" w:eastAsia="仿宋_GB2312" w:cs="仿宋_GB2312"/>
          <w:color w:val="auto"/>
          <w:sz w:val="32"/>
          <w:szCs w:val="32"/>
          <w:highlight w:val="none"/>
        </w:rPr>
        <w:t>七、一般公共预算财政拨款支出决算明细表</w:t>
      </w:r>
      <w:bookmarkEnd w:id="77"/>
    </w:p>
    <w:p>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78" w:name="_Toc15396626"/>
      <w:r>
        <w:rPr>
          <w:rFonts w:hint="eastAsia" w:ascii="Times New Roman" w:hAnsi="Times New Roman" w:eastAsia="仿宋_GB2312" w:cs="仿宋_GB2312"/>
          <w:color w:val="auto"/>
          <w:sz w:val="32"/>
          <w:szCs w:val="32"/>
          <w:highlight w:val="none"/>
        </w:rPr>
        <w:t>八、一般公共预算财政拨款基本支出决算表</w:t>
      </w:r>
      <w:bookmarkEnd w:id="78"/>
    </w:p>
    <w:p>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79" w:name="_Toc15396627"/>
      <w:r>
        <w:rPr>
          <w:rFonts w:hint="eastAsia" w:ascii="Times New Roman" w:hAnsi="Times New Roman" w:eastAsia="仿宋_GB2312" w:cs="仿宋_GB2312"/>
          <w:color w:val="auto"/>
          <w:sz w:val="32"/>
          <w:szCs w:val="32"/>
          <w:highlight w:val="none"/>
        </w:rPr>
        <w:t>九、一般公共预算财政拨款项目支出决算表</w:t>
      </w:r>
      <w:bookmarkEnd w:id="79"/>
    </w:p>
    <w:p>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80" w:name="_Toc15396628"/>
      <w:r>
        <w:rPr>
          <w:rFonts w:hint="eastAsia" w:ascii="Times New Roman" w:hAnsi="Times New Roman" w:eastAsia="仿宋_GB2312" w:cs="仿宋_GB2312"/>
          <w:color w:val="auto"/>
          <w:sz w:val="32"/>
          <w:szCs w:val="32"/>
          <w:highlight w:val="none"/>
        </w:rPr>
        <w:t>十、</w:t>
      </w:r>
      <w:bookmarkEnd w:id="80"/>
      <w:r>
        <w:rPr>
          <w:rFonts w:hint="eastAsia" w:ascii="Times New Roman" w:hAnsi="Times New Roman" w:eastAsia="仿宋_GB2312" w:cs="仿宋_GB2312"/>
          <w:color w:val="auto"/>
          <w:sz w:val="32"/>
          <w:szCs w:val="32"/>
          <w:highlight w:val="none"/>
        </w:rPr>
        <w:t>政府性基金预算财政拨款收入支出决算表</w:t>
      </w:r>
    </w:p>
    <w:p>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81" w:name="_Toc15396629"/>
      <w:r>
        <w:rPr>
          <w:rFonts w:hint="eastAsia" w:ascii="Times New Roman" w:hAnsi="Times New Roman" w:eastAsia="仿宋_GB2312" w:cs="仿宋_GB2312"/>
          <w:color w:val="auto"/>
          <w:sz w:val="32"/>
          <w:szCs w:val="32"/>
          <w:highlight w:val="none"/>
        </w:rPr>
        <w:t>十一、</w:t>
      </w:r>
      <w:bookmarkEnd w:id="81"/>
      <w:r>
        <w:rPr>
          <w:rFonts w:hint="eastAsia" w:ascii="Times New Roman" w:hAnsi="Times New Roman" w:eastAsia="仿宋_GB2312" w:cs="仿宋_GB2312"/>
          <w:color w:val="auto"/>
          <w:sz w:val="32"/>
          <w:szCs w:val="32"/>
          <w:highlight w:val="none"/>
        </w:rPr>
        <w:t>国有资本经营预算</w:t>
      </w:r>
      <w:r>
        <w:rPr>
          <w:rFonts w:hint="eastAsia" w:ascii="Times New Roman" w:hAnsi="Times New Roman" w:eastAsia="仿宋_GB2312" w:cs="仿宋_GB2312"/>
          <w:color w:val="auto"/>
          <w:sz w:val="32"/>
          <w:szCs w:val="32"/>
          <w:highlight w:val="none"/>
          <w:lang w:eastAsia="zh-CN"/>
        </w:rPr>
        <w:t>财政拨款收入</w:t>
      </w:r>
      <w:r>
        <w:rPr>
          <w:rFonts w:hint="eastAsia" w:ascii="Times New Roman" w:hAnsi="Times New Roman" w:eastAsia="仿宋_GB2312" w:cs="仿宋_GB2312"/>
          <w:color w:val="auto"/>
          <w:sz w:val="32"/>
          <w:szCs w:val="32"/>
          <w:highlight w:val="none"/>
        </w:rPr>
        <w:t>支出决算表</w:t>
      </w:r>
    </w:p>
    <w:p>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82" w:name="_Toc15396630"/>
      <w:r>
        <w:rPr>
          <w:rFonts w:hint="eastAsia" w:ascii="Times New Roman" w:hAnsi="Times New Roman" w:eastAsia="仿宋_GB2312" w:cs="仿宋_GB2312"/>
          <w:color w:val="auto"/>
          <w:sz w:val="32"/>
          <w:szCs w:val="32"/>
          <w:highlight w:val="none"/>
        </w:rPr>
        <w:t>十二、</w:t>
      </w:r>
      <w:bookmarkEnd w:id="82"/>
      <w:r>
        <w:rPr>
          <w:rFonts w:hint="eastAsia" w:ascii="Times New Roman" w:hAnsi="Times New Roman" w:eastAsia="仿宋_GB2312" w:cs="仿宋_GB2312"/>
          <w:color w:val="auto"/>
          <w:sz w:val="32"/>
          <w:szCs w:val="32"/>
          <w:highlight w:val="none"/>
          <w:lang w:eastAsia="zh-CN"/>
        </w:rPr>
        <w:t>国有资本经营预算财政拨款支出决算表</w:t>
      </w:r>
    </w:p>
    <w:p>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lang w:eastAsia="zh-CN"/>
        </w:rPr>
      </w:pPr>
      <w:bookmarkStart w:id="83" w:name="_Toc15396631"/>
      <w:r>
        <w:rPr>
          <w:rFonts w:hint="eastAsia" w:ascii="Times New Roman" w:hAnsi="Times New Roman" w:eastAsia="仿宋_GB2312" w:cs="仿宋_GB2312"/>
          <w:color w:val="auto"/>
          <w:sz w:val="32"/>
          <w:szCs w:val="32"/>
          <w:highlight w:val="none"/>
        </w:rPr>
        <w:t>十三、</w:t>
      </w:r>
      <w:bookmarkEnd w:id="83"/>
      <w:r>
        <w:rPr>
          <w:rFonts w:hint="eastAsia" w:ascii="Times New Roman" w:hAnsi="Times New Roman" w:eastAsia="仿宋_GB2312" w:cs="仿宋_GB2312"/>
          <w:color w:val="auto"/>
          <w:sz w:val="32"/>
          <w:szCs w:val="32"/>
          <w:highlight w:val="none"/>
          <w:lang w:eastAsia="zh-CN"/>
        </w:rPr>
        <w:t>财政拨款“三公”经费支出决算表</w:t>
      </w:r>
    </w:p>
    <w:p>
      <w:pPr>
        <w:rPr>
          <w:rFonts w:hint="eastAsia" w:ascii="Times New Roman" w:hAnsi="Times New Roman"/>
          <w:lang w:eastAsia="zh-CN"/>
        </w:rPr>
      </w:pPr>
    </w:p>
    <w:sectPr>
      <w:pgSz w:w="11906" w:h="16838"/>
      <w:pgMar w:top="1440" w:right="1800" w:bottom="1440" w:left="1800" w:header="851" w:footer="992" w:gutter="0"/>
      <w:pgNumType w:fmt="decimal"/>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50"/>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auto"/>
    <w:pitch w:val="default"/>
    <w:sig w:usb0="00000001" w:usb1="080E0000" w:usb2="00000000" w:usb3="00000000" w:csb0="00040000" w:csb1="00000000"/>
  </w:font>
  <w:font w:name="Cambria">
    <w:altName w:val="Noto Sans Syriac Eastern"/>
    <w:panose1 w:val="02040503050406030204"/>
    <w:charset w:val="00"/>
    <w:family w:val="roman"/>
    <w:pitch w:val="default"/>
    <w:sig w:usb0="00000000" w:usb1="00000000" w:usb2="00000000" w:usb3="00000000" w:csb0="2000019F" w:csb1="00000000"/>
  </w:font>
  <w:font w:name="仿宋">
    <w:panose1 w:val="02010609060101010101"/>
    <w:charset w:val="86"/>
    <w:family w:val="modern"/>
    <w:pitch w:val="default"/>
    <w:sig w:usb0="800002BF" w:usb1="38CF7CFA" w:usb2="00000016" w:usb3="00000000" w:csb0="00040001" w:csb1="00000000"/>
  </w:font>
  <w:font w:name="??">
    <w:altName w:val="仿宋"/>
    <w:panose1 w:val="00000000000000000000"/>
    <w:charset w:val="00"/>
    <w:family w:val="roman"/>
    <w:pitch w:val="default"/>
    <w:sig w:usb0="00000000" w:usb1="00000000" w:usb2="00000000" w:usb3="00000000" w:csb0="00000000" w:csb1="00000000"/>
  </w:font>
  <w:font w:name="方正小标宋简体">
    <w:panose1 w:val="02000000000000000000"/>
    <w:charset w:val="86"/>
    <w:family w:val="script"/>
    <w:pitch w:val="default"/>
    <w:sig w:usb0="A00002BF" w:usb1="184F6CFA" w:usb2="00000012" w:usb3="00000000" w:csb0="00040001" w:csb1="00000000"/>
  </w:font>
  <w:font w:name="方正小标宋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NanumGothic">
    <w:panose1 w:val="020D0604000000000000"/>
    <w:charset w:val="81"/>
    <w:family w:val="auto"/>
    <w:pitch w:val="default"/>
    <w:sig w:usb0="900002A7" w:usb1="29D7FCFB" w:usb2="00000010" w:usb3="00000000" w:csb0="00080001" w:csb1="0000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p>
  <w:p>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rPr>
        <w:sz w:val="18"/>
      </w:rP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t xml:space="preserve">— </w:t>
                          </w:r>
                          <w:r>
                            <w:fldChar w:fldCharType="begin"/>
                          </w:r>
                          <w:r>
                            <w:instrText xml:space="preserve"> PAGE  \* MERGEFORMAT </w:instrText>
                          </w:r>
                          <w:r>
                            <w:fldChar w:fldCharType="separate"/>
                          </w:r>
                          <w:r>
                            <w:t>2</w:t>
                          </w:r>
                          <w:r>
                            <w:fldChar w:fldCharType="end"/>
                          </w:r>
                          <w:r>
                            <w:t xml:space="preserve"> —</w:t>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2336;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WAAAAZHJzL1BLAQIUABQAAAAI&#10;AIdO4kCzSVju0AAAAAUBAAAPAAAAAAAAAAEAIAAAADgAAABkcnMvZG93bnJldi54bWxQSwECFAAU&#10;AAAACACHTuJAQcJ/5BwCAAArBAAADgAAAAAAAAABACAAAAA1AQAAZHJzL2Uyb0RvYy54bWxQSwUG&#10;AAAAAAYABgBZAQAAwwUAAAAA&#10;">
              <v:fill on="f" focussize="0,0"/>
              <v:stroke on="f" weight="0.5pt"/>
              <v:imagedata o:title=""/>
              <o:lock v:ext="edit" aspectratio="f"/>
              <v:textbox inset="0mm,0mm,0mm,0mm" style="mso-fit-shape-to-text:t;">
                <w:txbxContent>
                  <w:p>
                    <w:pPr>
                      <w:pStyle w:val="10"/>
                    </w:pPr>
                    <w:r>
                      <w:t xml:space="preserve">— </w:t>
                    </w:r>
                    <w:r>
                      <w:fldChar w:fldCharType="begin"/>
                    </w:r>
                    <w:r>
                      <w:instrText xml:space="preserve"> PAGE  \* MERGEFORMAT </w:instrText>
                    </w:r>
                    <w:r>
                      <w:fldChar w:fldCharType="separate"/>
                    </w:r>
                    <w:r>
                      <w:t>2</w:t>
                    </w:r>
                    <w:r>
                      <w:fldChar w:fldCharType="end"/>
                    </w:r>
                    <w:r>
                      <w:t xml:space="preserve"> —</w:t>
                    </w:r>
                  </w:p>
                </w:txbxContent>
              </v:textbox>
            </v:shape>
          </w:pict>
        </mc:Fallback>
      </mc:AlternateContent>
    </w:r>
  </w:p>
  <w:p>
    <w:pPr>
      <w:pStyle w:val="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6336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3360;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FgAAAGRycy9QSwECFAAUAAAA&#10;CACHTuJAs0lY7tAAAAAFAQAADwAAAAAAAAABACAAAAA4AAAAZHJzL2Rvd25yZXYueG1sUEsBAhQA&#10;FAAAAAgAh07iQDMAmVgdAgAAKwQAAA4AAAAAAAAAAQAgAAAANQEAAGRycy9lMm9Eb2MueG1sUEsF&#10;BgAAAAAGAAYAWQEAAMQFAAAAAA==&#10;">
              <v:fill on="f" focussize="0,0"/>
              <v:stroke on="f" weight="0.5pt"/>
              <v:imagedata o:title=""/>
              <o:lock v:ext="edit" aspectratio="f"/>
              <v:textbox inset="0mm,0mm,0mm,0mm" style="mso-fit-shape-to-text:t;">
                <w:txbxContent>
                  <w:p>
                    <w:pPr>
                      <w:pStyle w:val="10"/>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D59AABD"/>
    <w:multiLevelType w:val="singleLevel"/>
    <w:tmpl w:val="ED59AABD"/>
    <w:lvl w:ilvl="0" w:tentative="0">
      <w:start w:val="1"/>
      <w:numFmt w:val="chineseCounting"/>
      <w:suff w:val="nothing"/>
      <w:lvlText w:val="%1、"/>
      <w:lvlJc w:val="left"/>
      <w:rPr>
        <w:rFonts w:hint="eastAsia"/>
      </w:rPr>
    </w:lvl>
  </w:abstractNum>
  <w:abstractNum w:abstractNumId="1">
    <w:nsid w:val="FEFBA8F6"/>
    <w:multiLevelType w:val="singleLevel"/>
    <w:tmpl w:val="FEFBA8F6"/>
    <w:lvl w:ilvl="0" w:tentative="0">
      <w:start w:val="1"/>
      <w:numFmt w:val="decimal"/>
      <w:lvlText w:val="%1."/>
      <w:lvlJc w:val="left"/>
      <w:pPr>
        <w:tabs>
          <w:tab w:val="left" w:pos="312"/>
        </w:tabs>
      </w:pPr>
    </w:lvl>
  </w:abstractNum>
  <w:abstractNum w:abstractNumId="2">
    <w:nsid w:val="5E0E26E2"/>
    <w:multiLevelType w:val="singleLevel"/>
    <w:tmpl w:val="5E0E26E2"/>
    <w:lvl w:ilvl="0" w:tentative="0">
      <w:start w:val="1"/>
      <w:numFmt w:val="chineseCounting"/>
      <w:suff w:val="space"/>
      <w:lvlText w:val="第%1部分"/>
      <w:lvlJc w:val="left"/>
      <w:rPr>
        <w:rFonts w:hint="eastAsia"/>
      </w:rPr>
    </w:lvl>
  </w:abstractNum>
  <w:abstractNum w:abstractNumId="3">
    <w:nsid w:val="5FD5D7CA"/>
    <w:multiLevelType w:val="singleLevel"/>
    <w:tmpl w:val="5FD5D7CA"/>
    <w:lvl w:ilvl="0" w:tentative="0">
      <w:start w:val="1"/>
      <w:numFmt w:val="chineseCounting"/>
      <w:suff w:val="nothing"/>
      <w:lvlText w:val="（%1）"/>
      <w:lvlJc w:val="left"/>
      <w:rPr>
        <w:rFonts w:hint="eastAsia"/>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HorizontalSpacing w:val="105"/>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4633"/>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12A5EC2"/>
    <w:rsid w:val="015975B8"/>
    <w:rsid w:val="02FEBE30"/>
    <w:rsid w:val="04916F1E"/>
    <w:rsid w:val="061E35DE"/>
    <w:rsid w:val="066E0107"/>
    <w:rsid w:val="07996F6E"/>
    <w:rsid w:val="07DFD8BA"/>
    <w:rsid w:val="09867E8F"/>
    <w:rsid w:val="0A2032A3"/>
    <w:rsid w:val="0BFED85D"/>
    <w:rsid w:val="0CA8290A"/>
    <w:rsid w:val="0D35B1ED"/>
    <w:rsid w:val="0E254B6B"/>
    <w:rsid w:val="0F98263C"/>
    <w:rsid w:val="0F9D6442"/>
    <w:rsid w:val="101860EC"/>
    <w:rsid w:val="101F47CC"/>
    <w:rsid w:val="10C055FF"/>
    <w:rsid w:val="11694EBD"/>
    <w:rsid w:val="11772AA4"/>
    <w:rsid w:val="118107EC"/>
    <w:rsid w:val="12E24EE2"/>
    <w:rsid w:val="13D50BC4"/>
    <w:rsid w:val="14B17F78"/>
    <w:rsid w:val="165E0673"/>
    <w:rsid w:val="16B831D5"/>
    <w:rsid w:val="16BB723D"/>
    <w:rsid w:val="17E50567"/>
    <w:rsid w:val="186504BB"/>
    <w:rsid w:val="19A445FC"/>
    <w:rsid w:val="1BE8440E"/>
    <w:rsid w:val="1CFBD577"/>
    <w:rsid w:val="1D155CEE"/>
    <w:rsid w:val="1D1638FE"/>
    <w:rsid w:val="1E312DEB"/>
    <w:rsid w:val="1E740ACF"/>
    <w:rsid w:val="1FF35744"/>
    <w:rsid w:val="1FF6BC77"/>
    <w:rsid w:val="2186353C"/>
    <w:rsid w:val="23860B96"/>
    <w:rsid w:val="23FF7B0E"/>
    <w:rsid w:val="240371BF"/>
    <w:rsid w:val="244F3473"/>
    <w:rsid w:val="24C97D99"/>
    <w:rsid w:val="25A718F0"/>
    <w:rsid w:val="25BB59F6"/>
    <w:rsid w:val="260F557C"/>
    <w:rsid w:val="26970054"/>
    <w:rsid w:val="281408E2"/>
    <w:rsid w:val="29FD04D3"/>
    <w:rsid w:val="2BFF7BC6"/>
    <w:rsid w:val="2C8A61B5"/>
    <w:rsid w:val="2DF04E50"/>
    <w:rsid w:val="2E586DFA"/>
    <w:rsid w:val="2F040D46"/>
    <w:rsid w:val="2F6B035B"/>
    <w:rsid w:val="2FAE5751"/>
    <w:rsid w:val="2FB1A395"/>
    <w:rsid w:val="2FD9A7D8"/>
    <w:rsid w:val="2FDBF714"/>
    <w:rsid w:val="30AB6865"/>
    <w:rsid w:val="319F7F4E"/>
    <w:rsid w:val="322D9F73"/>
    <w:rsid w:val="32BD1EF1"/>
    <w:rsid w:val="3304709D"/>
    <w:rsid w:val="33A773CB"/>
    <w:rsid w:val="349D6851"/>
    <w:rsid w:val="36AA5135"/>
    <w:rsid w:val="36BE0DA7"/>
    <w:rsid w:val="376B6AA6"/>
    <w:rsid w:val="376D39B2"/>
    <w:rsid w:val="37E16F03"/>
    <w:rsid w:val="37F53A3B"/>
    <w:rsid w:val="389B6C89"/>
    <w:rsid w:val="38D469F0"/>
    <w:rsid w:val="39627CCD"/>
    <w:rsid w:val="397BAF1F"/>
    <w:rsid w:val="39FF1B60"/>
    <w:rsid w:val="3AB79AF3"/>
    <w:rsid w:val="3AE834C0"/>
    <w:rsid w:val="3AEF54DF"/>
    <w:rsid w:val="3B7EF35A"/>
    <w:rsid w:val="3B9FDB6C"/>
    <w:rsid w:val="3BF5BC2F"/>
    <w:rsid w:val="3CEBA265"/>
    <w:rsid w:val="3D98207C"/>
    <w:rsid w:val="3DEE7CF3"/>
    <w:rsid w:val="3E740A63"/>
    <w:rsid w:val="3E78745D"/>
    <w:rsid w:val="3EE17838"/>
    <w:rsid w:val="3EFD0123"/>
    <w:rsid w:val="3F55381A"/>
    <w:rsid w:val="3F7F7599"/>
    <w:rsid w:val="3FF4CAE0"/>
    <w:rsid w:val="3FF7B227"/>
    <w:rsid w:val="44E268DA"/>
    <w:rsid w:val="450D13D7"/>
    <w:rsid w:val="45506656"/>
    <w:rsid w:val="486A6C7A"/>
    <w:rsid w:val="4A627F82"/>
    <w:rsid w:val="4B0E749A"/>
    <w:rsid w:val="4B2477C4"/>
    <w:rsid w:val="4B4F25DA"/>
    <w:rsid w:val="4BE068DB"/>
    <w:rsid w:val="4D577224"/>
    <w:rsid w:val="4DBF1CEB"/>
    <w:rsid w:val="4DF0007C"/>
    <w:rsid w:val="4EAB630A"/>
    <w:rsid w:val="4ECE2238"/>
    <w:rsid w:val="4F833267"/>
    <w:rsid w:val="4FE9BD67"/>
    <w:rsid w:val="4FFB052F"/>
    <w:rsid w:val="537E6D0A"/>
    <w:rsid w:val="53F74C96"/>
    <w:rsid w:val="55170BA8"/>
    <w:rsid w:val="553218C9"/>
    <w:rsid w:val="567E1AA5"/>
    <w:rsid w:val="56E47B74"/>
    <w:rsid w:val="57175D52"/>
    <w:rsid w:val="57BD3DD4"/>
    <w:rsid w:val="5AF92295"/>
    <w:rsid w:val="5B250254"/>
    <w:rsid w:val="5BDD79E6"/>
    <w:rsid w:val="5BF561CA"/>
    <w:rsid w:val="5BFF5DFC"/>
    <w:rsid w:val="5CD71FC4"/>
    <w:rsid w:val="5D1F11B5"/>
    <w:rsid w:val="5D695134"/>
    <w:rsid w:val="5D77132A"/>
    <w:rsid w:val="5DAE1B18"/>
    <w:rsid w:val="5DE7D9E5"/>
    <w:rsid w:val="5DFFE64A"/>
    <w:rsid w:val="5ECEC941"/>
    <w:rsid w:val="5F3BFCA2"/>
    <w:rsid w:val="5FBF9FF3"/>
    <w:rsid w:val="5FCD4E2C"/>
    <w:rsid w:val="5FD7FF56"/>
    <w:rsid w:val="5FEF394A"/>
    <w:rsid w:val="5FF67715"/>
    <w:rsid w:val="5FF6DE09"/>
    <w:rsid w:val="62BF3928"/>
    <w:rsid w:val="63B3701E"/>
    <w:rsid w:val="647F5392"/>
    <w:rsid w:val="65E66580"/>
    <w:rsid w:val="664B1D71"/>
    <w:rsid w:val="664B4E8E"/>
    <w:rsid w:val="67277B67"/>
    <w:rsid w:val="67AA3209"/>
    <w:rsid w:val="698D0931"/>
    <w:rsid w:val="6A7FE5F3"/>
    <w:rsid w:val="6B053271"/>
    <w:rsid w:val="6BDD78B3"/>
    <w:rsid w:val="6C4A05C8"/>
    <w:rsid w:val="6C8742B8"/>
    <w:rsid w:val="6DBF5E93"/>
    <w:rsid w:val="6DFF077E"/>
    <w:rsid w:val="6E714EF0"/>
    <w:rsid w:val="6E747B25"/>
    <w:rsid w:val="6E7E3605"/>
    <w:rsid w:val="6E7FDCC7"/>
    <w:rsid w:val="6ED6A62E"/>
    <w:rsid w:val="6EE00B15"/>
    <w:rsid w:val="6F6FB3EB"/>
    <w:rsid w:val="6F8731EA"/>
    <w:rsid w:val="6FCE6052"/>
    <w:rsid w:val="6FD57C00"/>
    <w:rsid w:val="6FD7BF1A"/>
    <w:rsid w:val="6FEFFFD8"/>
    <w:rsid w:val="6FF5CC65"/>
    <w:rsid w:val="6FFB47EC"/>
    <w:rsid w:val="6FFF034A"/>
    <w:rsid w:val="70484440"/>
    <w:rsid w:val="712A28F1"/>
    <w:rsid w:val="715C0E4B"/>
    <w:rsid w:val="71992E7C"/>
    <w:rsid w:val="72233669"/>
    <w:rsid w:val="72734D90"/>
    <w:rsid w:val="73160E6D"/>
    <w:rsid w:val="7332FE48"/>
    <w:rsid w:val="736FBFA9"/>
    <w:rsid w:val="73AB61DA"/>
    <w:rsid w:val="73AD73D5"/>
    <w:rsid w:val="73B6EB34"/>
    <w:rsid w:val="73FA497D"/>
    <w:rsid w:val="744731E5"/>
    <w:rsid w:val="74BBD01D"/>
    <w:rsid w:val="74ED5379"/>
    <w:rsid w:val="75DEEEC2"/>
    <w:rsid w:val="75E32345"/>
    <w:rsid w:val="76E3355F"/>
    <w:rsid w:val="76FF5125"/>
    <w:rsid w:val="776F6FFA"/>
    <w:rsid w:val="778769C8"/>
    <w:rsid w:val="77A75DCA"/>
    <w:rsid w:val="77DC22F5"/>
    <w:rsid w:val="783E271A"/>
    <w:rsid w:val="78616DE9"/>
    <w:rsid w:val="78E875D7"/>
    <w:rsid w:val="79086DAD"/>
    <w:rsid w:val="79D7FD79"/>
    <w:rsid w:val="79EE5BA4"/>
    <w:rsid w:val="7A894339"/>
    <w:rsid w:val="7AD284E8"/>
    <w:rsid w:val="7AFF7572"/>
    <w:rsid w:val="7B6C7DFB"/>
    <w:rsid w:val="7BBFBED0"/>
    <w:rsid w:val="7BC3E394"/>
    <w:rsid w:val="7BFFEC03"/>
    <w:rsid w:val="7C1F3737"/>
    <w:rsid w:val="7CBFC87B"/>
    <w:rsid w:val="7CFE0F48"/>
    <w:rsid w:val="7D272ABC"/>
    <w:rsid w:val="7D570EAA"/>
    <w:rsid w:val="7D7EC23E"/>
    <w:rsid w:val="7E8ADEBF"/>
    <w:rsid w:val="7ECF1F16"/>
    <w:rsid w:val="7EEF11D3"/>
    <w:rsid w:val="7EFE4840"/>
    <w:rsid w:val="7F0971A6"/>
    <w:rsid w:val="7F1D62E7"/>
    <w:rsid w:val="7F3F679B"/>
    <w:rsid w:val="7F4FC4EF"/>
    <w:rsid w:val="7F51AAD4"/>
    <w:rsid w:val="7F5E4D54"/>
    <w:rsid w:val="7F6676B6"/>
    <w:rsid w:val="7F6E0135"/>
    <w:rsid w:val="7F79F205"/>
    <w:rsid w:val="7FA30C79"/>
    <w:rsid w:val="7FA79C44"/>
    <w:rsid w:val="7FAF8ABF"/>
    <w:rsid w:val="7FB7269E"/>
    <w:rsid w:val="7FC96657"/>
    <w:rsid w:val="7FDA9588"/>
    <w:rsid w:val="7FDF220F"/>
    <w:rsid w:val="7FEDC5F7"/>
    <w:rsid w:val="7FEDD9DE"/>
    <w:rsid w:val="7FF5890D"/>
    <w:rsid w:val="7FF93490"/>
    <w:rsid w:val="93F9D3D2"/>
    <w:rsid w:val="99FF2014"/>
    <w:rsid w:val="9DFF17C2"/>
    <w:rsid w:val="9DFF7153"/>
    <w:rsid w:val="A6DD0D7F"/>
    <w:rsid w:val="ACFF4FBB"/>
    <w:rsid w:val="ADC6F725"/>
    <w:rsid w:val="AFFF6D13"/>
    <w:rsid w:val="B3BDF799"/>
    <w:rsid w:val="B7CF06AB"/>
    <w:rsid w:val="B7CFA926"/>
    <w:rsid w:val="B7F8786B"/>
    <w:rsid w:val="BABB6AA1"/>
    <w:rsid w:val="BB2F4199"/>
    <w:rsid w:val="BBF7CA93"/>
    <w:rsid w:val="BBF98AEC"/>
    <w:rsid w:val="BCAA43C9"/>
    <w:rsid w:val="BCFE2392"/>
    <w:rsid w:val="BCFFB442"/>
    <w:rsid w:val="BD079C78"/>
    <w:rsid w:val="BD733540"/>
    <w:rsid w:val="BE9FC6D9"/>
    <w:rsid w:val="BF3735D5"/>
    <w:rsid w:val="BF7F09AC"/>
    <w:rsid w:val="BFD475C3"/>
    <w:rsid w:val="BFDE5EA6"/>
    <w:rsid w:val="BFF7A238"/>
    <w:rsid w:val="CF6FC6F3"/>
    <w:rsid w:val="CFD3D3D7"/>
    <w:rsid w:val="CFDF1009"/>
    <w:rsid w:val="D3FDA6B2"/>
    <w:rsid w:val="D7D7B16A"/>
    <w:rsid w:val="D8D6DB89"/>
    <w:rsid w:val="DB6F4CAB"/>
    <w:rsid w:val="DB777682"/>
    <w:rsid w:val="DBEE2F1F"/>
    <w:rsid w:val="DD1FB521"/>
    <w:rsid w:val="DEFBFEAE"/>
    <w:rsid w:val="DF1F3B80"/>
    <w:rsid w:val="DF6F38EB"/>
    <w:rsid w:val="DF6F9789"/>
    <w:rsid w:val="DFE9BE81"/>
    <w:rsid w:val="DFFFA9E8"/>
    <w:rsid w:val="E5F4E9DC"/>
    <w:rsid w:val="E70FE695"/>
    <w:rsid w:val="E9E7EEB9"/>
    <w:rsid w:val="EB2E368B"/>
    <w:rsid w:val="EBD7E8A7"/>
    <w:rsid w:val="ECC7E0DF"/>
    <w:rsid w:val="ECFED1BC"/>
    <w:rsid w:val="ED1D69BB"/>
    <w:rsid w:val="ED7FD312"/>
    <w:rsid w:val="EF2E1AC6"/>
    <w:rsid w:val="EF53993F"/>
    <w:rsid w:val="EF5DEAFA"/>
    <w:rsid w:val="EF6FD633"/>
    <w:rsid w:val="EF7FAF01"/>
    <w:rsid w:val="EFBFB2F4"/>
    <w:rsid w:val="EFBFFA21"/>
    <w:rsid w:val="EFFFAA2C"/>
    <w:rsid w:val="F087029B"/>
    <w:rsid w:val="F2BEBCB8"/>
    <w:rsid w:val="F33D71A3"/>
    <w:rsid w:val="F36FB518"/>
    <w:rsid w:val="F3DE1A04"/>
    <w:rsid w:val="F3F722E5"/>
    <w:rsid w:val="F3FBF979"/>
    <w:rsid w:val="F4FBCD07"/>
    <w:rsid w:val="F9C5F2CC"/>
    <w:rsid w:val="FA5F1E70"/>
    <w:rsid w:val="FA5FDB97"/>
    <w:rsid w:val="FB7F486A"/>
    <w:rsid w:val="FB8B89BD"/>
    <w:rsid w:val="FBFF5B2E"/>
    <w:rsid w:val="FC7B207F"/>
    <w:rsid w:val="FD7FFE2B"/>
    <w:rsid w:val="FD9BB871"/>
    <w:rsid w:val="FDEE196B"/>
    <w:rsid w:val="FDFE6575"/>
    <w:rsid w:val="FE514D8B"/>
    <w:rsid w:val="FEDFDDC2"/>
    <w:rsid w:val="FEED32F6"/>
    <w:rsid w:val="FEF781DD"/>
    <w:rsid w:val="FEF7B135"/>
    <w:rsid w:val="FEFBFA6C"/>
    <w:rsid w:val="FEFFF646"/>
    <w:rsid w:val="FF3F7E3F"/>
    <w:rsid w:val="FF7F3755"/>
    <w:rsid w:val="FFBA12D7"/>
    <w:rsid w:val="FFBF719B"/>
    <w:rsid w:val="FFCBD314"/>
    <w:rsid w:val="FFDFF91C"/>
    <w:rsid w:val="FFDFFAEE"/>
    <w:rsid w:val="FFEF6777"/>
    <w:rsid w:val="FFF9B57B"/>
    <w:rsid w:val="FFFB5DFF"/>
    <w:rsid w:val="FFFD61D9"/>
    <w:rsid w:val="FFFD8F59"/>
    <w:rsid w:val="FFFF2BB1"/>
    <w:rsid w:val="FFFFB04D"/>
    <w:rsid w:val="FFFFCE5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8"/>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9"/>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2"/>
    <w:unhideWhenUsed/>
    <w:qFormat/>
    <w:uiPriority w:val="9"/>
    <w:pPr>
      <w:keepNext/>
      <w:keepLines/>
      <w:spacing w:before="260" w:after="260" w:line="416" w:lineRule="auto"/>
      <w:outlineLvl w:val="2"/>
    </w:pPr>
    <w:rPr>
      <w:b/>
      <w:bCs/>
      <w:sz w:val="32"/>
      <w:szCs w:val="32"/>
    </w:rPr>
  </w:style>
  <w:style w:type="character" w:default="1" w:styleId="16">
    <w:name w:val="Default Paragraph Font"/>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5">
    <w:name w:val="Body Text"/>
    <w:basedOn w:val="1"/>
    <w:link w:val="25"/>
    <w:qFormat/>
    <w:uiPriority w:val="99"/>
    <w:pPr>
      <w:spacing w:beforeLines="30"/>
    </w:pPr>
    <w:rPr>
      <w:rFonts w:ascii="仿宋_GB2312" w:eastAsia="仿宋_GB2312"/>
      <w:kern w:val="0"/>
      <w:sz w:val="30"/>
    </w:rPr>
  </w:style>
  <w:style w:type="paragraph" w:styleId="6">
    <w:name w:val="Body Text Indent"/>
    <w:basedOn w:val="1"/>
    <w:next w:val="7"/>
    <w:qFormat/>
    <w:uiPriority w:val="0"/>
    <w:pPr>
      <w:spacing w:after="120"/>
      <w:ind w:leftChars="200"/>
    </w:pPr>
    <w:rPr>
      <w:rFonts w:ascii="仿宋_GB2312"/>
      <w:szCs w:val="32"/>
    </w:rPr>
  </w:style>
  <w:style w:type="paragraph" w:styleId="7">
    <w:name w:val="Body Text First Indent 2"/>
    <w:basedOn w:val="6"/>
    <w:unhideWhenUsed/>
    <w:qFormat/>
    <w:uiPriority w:val="99"/>
    <w:pPr>
      <w:ind w:firstLine="420" w:firstLineChars="200"/>
    </w:pPr>
  </w:style>
  <w:style w:type="paragraph" w:styleId="8">
    <w:name w:val="toc 3"/>
    <w:basedOn w:val="1"/>
    <w:next w:val="1"/>
    <w:unhideWhenUsed/>
    <w:qFormat/>
    <w:uiPriority w:val="39"/>
    <w:pPr>
      <w:tabs>
        <w:tab w:val="right" w:leader="dot" w:pos="8296"/>
      </w:tabs>
      <w:ind w:left="840" w:leftChars="400"/>
    </w:pPr>
  </w:style>
  <w:style w:type="paragraph" w:styleId="9">
    <w:name w:val="Balloon Text"/>
    <w:basedOn w:val="1"/>
    <w:link w:val="31"/>
    <w:semiHidden/>
    <w:unhideWhenUsed/>
    <w:qFormat/>
    <w:uiPriority w:val="99"/>
    <w:rPr>
      <w:sz w:val="18"/>
      <w:szCs w:val="18"/>
    </w:rPr>
  </w:style>
  <w:style w:type="paragraph" w:styleId="10">
    <w:name w:val="footer"/>
    <w:basedOn w:val="1"/>
    <w:link w:val="23"/>
    <w:qFormat/>
    <w:uiPriority w:val="99"/>
    <w:pPr>
      <w:tabs>
        <w:tab w:val="center" w:pos="4153"/>
        <w:tab w:val="right" w:pos="8306"/>
      </w:tabs>
      <w:snapToGrid w:val="0"/>
      <w:jc w:val="left"/>
    </w:pPr>
    <w:rPr>
      <w:rFonts w:ascii="Calibri" w:hAnsi="Calibri"/>
      <w:kern w:val="0"/>
      <w:sz w:val="18"/>
      <w:szCs w:val="18"/>
    </w:rPr>
  </w:style>
  <w:style w:type="paragraph" w:styleId="11">
    <w:name w:val="header"/>
    <w:basedOn w:val="1"/>
    <w:link w:val="21"/>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2">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3">
    <w:name w:val="footnote text"/>
    <w:basedOn w:val="1"/>
    <w:next w:val="7"/>
    <w:semiHidden/>
    <w:qFormat/>
    <w:uiPriority w:val="0"/>
    <w:pPr>
      <w:snapToGrid w:val="0"/>
      <w:jc w:val="left"/>
    </w:pPr>
    <w:rPr>
      <w:sz w:val="18"/>
      <w:szCs w:val="18"/>
    </w:rPr>
  </w:style>
  <w:style w:type="paragraph" w:styleId="14">
    <w:name w:val="toc 2"/>
    <w:basedOn w:val="1"/>
    <w:next w:val="1"/>
    <w:unhideWhenUsed/>
    <w:qFormat/>
    <w:uiPriority w:val="39"/>
    <w:pPr>
      <w:tabs>
        <w:tab w:val="right" w:leader="dot" w:pos="8296"/>
      </w:tabs>
      <w:ind w:left="420" w:leftChars="200"/>
    </w:pPr>
  </w:style>
  <w:style w:type="character" w:styleId="17">
    <w:name w:val="Strong"/>
    <w:basedOn w:val="16"/>
    <w:qFormat/>
    <w:uiPriority w:val="99"/>
    <w:rPr>
      <w:b/>
    </w:rPr>
  </w:style>
  <w:style w:type="character" w:styleId="18">
    <w:name w:val="Hyperlink"/>
    <w:basedOn w:val="16"/>
    <w:unhideWhenUsed/>
    <w:qFormat/>
    <w:uiPriority w:val="99"/>
    <w:rPr>
      <w:color w:val="0000FF" w:themeColor="hyperlink"/>
      <w:u w:val="single"/>
      <w14:textFill>
        <w14:solidFill>
          <w14:schemeClr w14:val="hlink"/>
        </w14:solidFill>
      </w14:textFill>
    </w:rPr>
  </w:style>
  <w:style w:type="paragraph" w:customStyle="1" w:styleId="19">
    <w:name w:val="标题 5（有编号）（绿盟科技）"/>
    <w:next w:val="1"/>
    <w:qFormat/>
    <w:uiPriority w:val="99"/>
    <w:pPr>
      <w:keepNext/>
      <w:keepLines/>
      <w:widowControl w:val="0"/>
      <w:spacing w:before="280" w:after="156" w:line="377" w:lineRule="auto"/>
      <w:jc w:val="left"/>
      <w:outlineLvl w:val="4"/>
    </w:pPr>
    <w:rPr>
      <w:rFonts w:ascii="Arial" w:hAnsi="Arial" w:eastAsia="黑体" w:cs="Times New Roman"/>
      <w:b/>
      <w:kern w:val="2"/>
      <w:sz w:val="24"/>
      <w:szCs w:val="28"/>
      <w:lang w:val="en-US" w:eastAsia="zh-CN" w:bidi="ar-SA"/>
    </w:rPr>
  </w:style>
  <w:style w:type="character" w:customStyle="1" w:styleId="20">
    <w:name w:val="Header Char"/>
    <w:basedOn w:val="16"/>
    <w:semiHidden/>
    <w:qFormat/>
    <w:uiPriority w:val="99"/>
    <w:rPr>
      <w:rFonts w:ascii="Times New Roman" w:hAnsi="Times New Roman"/>
      <w:sz w:val="18"/>
      <w:szCs w:val="18"/>
    </w:rPr>
  </w:style>
  <w:style w:type="character" w:customStyle="1" w:styleId="21">
    <w:name w:val="页眉 Char"/>
    <w:link w:val="11"/>
    <w:semiHidden/>
    <w:qFormat/>
    <w:locked/>
    <w:uiPriority w:val="99"/>
    <w:rPr>
      <w:sz w:val="18"/>
    </w:rPr>
  </w:style>
  <w:style w:type="character" w:customStyle="1" w:styleId="22">
    <w:name w:val="Footer Char"/>
    <w:basedOn w:val="16"/>
    <w:semiHidden/>
    <w:qFormat/>
    <w:uiPriority w:val="99"/>
    <w:rPr>
      <w:rFonts w:ascii="Times New Roman" w:hAnsi="Times New Roman"/>
      <w:sz w:val="18"/>
      <w:szCs w:val="18"/>
    </w:rPr>
  </w:style>
  <w:style w:type="character" w:customStyle="1" w:styleId="23">
    <w:name w:val="页脚 Char"/>
    <w:link w:val="10"/>
    <w:qFormat/>
    <w:locked/>
    <w:uiPriority w:val="99"/>
    <w:rPr>
      <w:sz w:val="18"/>
    </w:rPr>
  </w:style>
  <w:style w:type="character" w:customStyle="1" w:styleId="24">
    <w:name w:val="Body Text Char"/>
    <w:basedOn w:val="16"/>
    <w:semiHidden/>
    <w:qFormat/>
    <w:uiPriority w:val="99"/>
    <w:rPr>
      <w:rFonts w:ascii="Times New Roman" w:hAnsi="Times New Roman"/>
      <w:szCs w:val="24"/>
    </w:rPr>
  </w:style>
  <w:style w:type="character" w:customStyle="1" w:styleId="25">
    <w:name w:val="正文文本 Char"/>
    <w:link w:val="5"/>
    <w:qFormat/>
    <w:locked/>
    <w:uiPriority w:val="99"/>
    <w:rPr>
      <w:rFonts w:ascii="仿宋_GB2312" w:hAnsi="Times New Roman" w:eastAsia="仿宋_GB2312"/>
      <w:sz w:val="24"/>
    </w:rPr>
  </w:style>
  <w:style w:type="paragraph" w:customStyle="1" w:styleId="26">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7">
    <w:name w:val="List Paragraph"/>
    <w:basedOn w:val="1"/>
    <w:qFormat/>
    <w:uiPriority w:val="34"/>
    <w:pPr>
      <w:ind w:firstLine="420" w:firstLineChars="200"/>
    </w:pPr>
  </w:style>
  <w:style w:type="character" w:customStyle="1" w:styleId="28">
    <w:name w:val="标题 1 Char"/>
    <w:basedOn w:val="16"/>
    <w:link w:val="2"/>
    <w:qFormat/>
    <w:uiPriority w:val="9"/>
    <w:rPr>
      <w:rFonts w:ascii="Times New Roman" w:hAnsi="Times New Roman"/>
      <w:b/>
      <w:bCs/>
      <w:kern w:val="44"/>
      <w:sz w:val="44"/>
      <w:szCs w:val="44"/>
    </w:rPr>
  </w:style>
  <w:style w:type="character" w:customStyle="1" w:styleId="29">
    <w:name w:val="标题 2 Char"/>
    <w:basedOn w:val="16"/>
    <w:link w:val="3"/>
    <w:qFormat/>
    <w:uiPriority w:val="9"/>
    <w:rPr>
      <w:rFonts w:asciiTheme="majorHAnsi" w:hAnsiTheme="majorHAnsi" w:eastAsiaTheme="majorEastAsia" w:cstheme="majorBidi"/>
      <w:b/>
      <w:bCs/>
      <w:kern w:val="2"/>
      <w:sz w:val="32"/>
      <w:szCs w:val="32"/>
    </w:rPr>
  </w:style>
  <w:style w:type="paragraph" w:customStyle="1" w:styleId="30">
    <w:name w:val="TOC 标题1"/>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1">
    <w:name w:val="批注框文本 Char"/>
    <w:basedOn w:val="16"/>
    <w:link w:val="9"/>
    <w:semiHidden/>
    <w:qFormat/>
    <w:uiPriority w:val="99"/>
    <w:rPr>
      <w:rFonts w:ascii="Times New Roman" w:hAnsi="Times New Roman"/>
      <w:kern w:val="2"/>
      <w:sz w:val="18"/>
      <w:szCs w:val="18"/>
    </w:rPr>
  </w:style>
  <w:style w:type="character" w:customStyle="1" w:styleId="32">
    <w:name w:val="标题 3 Char"/>
    <w:basedOn w:val="16"/>
    <w:link w:val="4"/>
    <w:qFormat/>
    <w:uiPriority w:val="9"/>
    <w:rPr>
      <w:rFonts w:ascii="Times New Roman" w:hAnsi="Times New Roman"/>
      <w:b/>
      <w:bCs/>
      <w:kern w:val="2"/>
      <w:sz w:val="32"/>
      <w:szCs w:val="32"/>
    </w:rPr>
  </w:style>
  <w:style w:type="paragraph" w:customStyle="1" w:styleId="33">
    <w:name w:val="TOC Heading"/>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4">
    <w:name w:val="四号正文"/>
    <w:basedOn w:val="1"/>
    <w:qFormat/>
    <w:uiPriority w:val="0"/>
    <w:pPr>
      <w:spacing w:line="360" w:lineRule="auto"/>
    </w:pPr>
    <w:rPr>
      <w:rFonts w:ascii="??" w:hAnsi="??" w:eastAsia="宋体"/>
      <w:color w:val="000000"/>
      <w:kern w:val="0"/>
      <w:sz w:val="28"/>
      <w:szCs w:val="21"/>
      <w:lang w:val="zh-CN" w:eastAsia="zh-CN"/>
    </w:rPr>
  </w:style>
  <w:style w:type="paragraph" w:customStyle="1" w:styleId="35">
    <w:name w:val="WPSOffice手动目录 1"/>
    <w:qFormat/>
    <w:uiPriority w:val="0"/>
    <w:pPr>
      <w:ind w:leftChars="0"/>
    </w:pPr>
    <w:rPr>
      <w:rFonts w:ascii="Times New Roman" w:hAnsi="Times New Roman" w:eastAsia="宋体" w:cs="Times New Roman"/>
      <w:sz w:val="20"/>
      <w:szCs w:val="20"/>
    </w:rPr>
  </w:style>
  <w:style w:type="paragraph" w:customStyle="1" w:styleId="36">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chart" Target="charts/chart2.xml"/><Relationship Id="rId8" Type="http://schemas.openxmlformats.org/officeDocument/2006/relationships/chart" Target="charts/chart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chart" Target="charts/chart7.xml"/><Relationship Id="rId13" Type="http://schemas.openxmlformats.org/officeDocument/2006/relationships/chart" Target="charts/chart6.xml"/><Relationship Id="rId12" Type="http://schemas.openxmlformats.org/officeDocument/2006/relationships/chart" Target="charts/chart5.xml"/><Relationship Id="rId11" Type="http://schemas.openxmlformats.org/officeDocument/2006/relationships/chart" Target="charts/chart4.xml"/><Relationship Id="rId10" Type="http://schemas.openxmlformats.org/officeDocument/2006/relationships/chart" Target="charts/chart3.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_rels/chart2.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_rels/chart3.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_rels/chart4.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package" Target="../embeddings/Workbook6.xlsx"/></Relationships>
</file>

<file path=word/charts/_rels/chart5.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package" Target="../embeddings/Workbook7.xlsx"/></Relationships>
</file>

<file path=word/charts/_rels/chart6.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7.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chart1.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1" i="0" u="none" strike="noStrike" kern="1200" baseline="0">
                <a:solidFill>
                  <a:schemeClr val="tx1">
                    <a:lumMod val="75000"/>
                    <a:lumOff val="25000"/>
                  </a:schemeClr>
                </a:solidFill>
                <a:latin typeface="+mn-lt"/>
                <a:ea typeface="+mn-ea"/>
                <a:cs typeface="+mn-cs"/>
              </a:defRPr>
            </a:pPr>
            <a:r>
              <a:t>收入、支出决算总计变动情况图（单位：万元）</a:t>
            </a:r>
          </a:p>
        </c:rich>
      </c:tx>
      <c:layout>
        <c:manualLayout>
          <c:xMode val="edge"/>
          <c:yMode val="edge"/>
          <c:x val="0.150036240637835"/>
          <c:y val="0.0159371015724607"/>
        </c:manualLayout>
      </c:layout>
      <c:overlay val="false"/>
      <c:spPr>
        <a:noFill/>
        <a:ln>
          <a:noFill/>
        </a:ln>
        <a:effectLst/>
      </c:spPr>
    </c:title>
    <c:autoTitleDeleted val="false"/>
    <c:plotArea>
      <c:layout>
        <c:manualLayout>
          <c:layoutTarget val="inner"/>
          <c:xMode val="edge"/>
          <c:yMode val="edge"/>
          <c:x val="0.0656680357574293"/>
          <c:y val="0.176795580110497"/>
          <c:w val="0.902923411452041"/>
          <c:h val="0.732554186145346"/>
        </c:manualLayout>
      </c:layout>
      <c:barChart>
        <c:barDir val="col"/>
        <c:grouping val="clustered"/>
        <c:varyColors val="false"/>
        <c:ser>
          <c:idx val="0"/>
          <c:order val="0"/>
          <c:tx>
            <c:strRef>
              <c:f>Sheet1!$B$1</c:f>
              <c:strCache>
                <c:ptCount val="1"/>
                <c:pt idx="0">
                  <c:v/>
                </c:pt>
              </c:strCache>
            </c:strRef>
          </c:tx>
          <c:spPr>
            <a:solidFill>
              <a:schemeClr val="accent1"/>
            </a:solidFill>
            <a:ln>
              <a:noFill/>
            </a:ln>
            <a:effectLst/>
          </c:spPr>
          <c:invertIfNegative val="false"/>
          <c:dLbls>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extLst>
                <c:ext xmlns:c15="http://schemas.microsoft.com/office/drawing/2012/chart" uri="{02D57815-91ED-43cb-92C2-25804820EDAC}">
                  <c15:fullRef>
                    <c15:sqref>Sheet1!$A$2:$A$5</c15:sqref>
                  </c15:fullRef>
                </c:ext>
              </c:extLst>
              <c:f>Sheet1!$A$2:$A$3</c:f>
              <c:strCache>
                <c:ptCount val="2"/>
                <c:pt idx="0">
                  <c:v>2023年</c:v>
                </c:pt>
                <c:pt idx="1">
                  <c:v>2024年</c:v>
                </c:pt>
              </c:strCache>
            </c:strRef>
          </c:cat>
          <c:val>
            <c:numRef>
              <c:extLst>
                <c:ext xmlns:c15="http://schemas.microsoft.com/office/drawing/2012/chart" uri="{02D57815-91ED-43cb-92C2-25804820EDAC}">
                  <c15:fullRef>
                    <c15:sqref>Sheet1!$B$2:$B$5</c15:sqref>
                  </c15:fullRef>
                </c:ext>
              </c:extLst>
              <c:f>Sheet1!$B$2:$B$3</c:f>
              <c:numCache>
                <c:formatCode>General</c:formatCode>
                <c:ptCount val="2"/>
                <c:pt idx="0">
                  <c:v>0</c:v>
                </c:pt>
                <c:pt idx="1">
                  <c:v>390.74</c:v>
                </c:pt>
              </c:numCache>
            </c:numRef>
          </c:val>
        </c:ser>
        <c:dLbls>
          <c:showLegendKey val="false"/>
          <c:showVal val="true"/>
          <c:showCatName val="false"/>
          <c:showSerName val="false"/>
          <c:showPercent val="false"/>
          <c:showBubbleSize val="false"/>
        </c:dLbls>
        <c:gapWidth val="246"/>
        <c:overlap val="-28"/>
        <c:axId val="13439915"/>
        <c:axId val="272923984"/>
        <c:extLst>
          <c:ext xmlns:c15="http://schemas.microsoft.com/office/drawing/2012/chart" uri="{02D57815-91ED-43cb-92C2-25804820EDAC}">
            <c15:filteredBarSeries>
              <c15:ser>
                <c:idx val="1"/>
                <c:order val="1"/>
                <c:tx>
                  <c:strRef>
                    <c:extLst>
                      <c:ext uri="{02D57815-91ED-43cb-92C2-25804820EDAC}">
                        <c15:formulaRef>
                          <c15:sqref>Sheet1!$C$1</c15:sqref>
                        </c15:formulaRef>
                      </c:ext>
                    </c:extLst>
                    <c:strCache>
                      <c:ptCount val="1"/>
                      <c:pt idx="0">
                        <c:v/>
                      </c:pt>
                    </c:strCache>
                  </c:strRef>
                </c:tx>
                <c:spPr>
                  <a:solidFill>
                    <a:schemeClr val="accent2"/>
                  </a:solidFill>
                  <a:ln>
                    <a:noFill/>
                  </a:ln>
                  <a:effectLst/>
                </c:spPr>
                <c:invertIfNegative val="false"/>
                <c:dLbls>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extLst>
                      <c:ext uri="{02D57815-91ED-43cb-92C2-25804820EDAC}">
                        <c15:fullRef>
                          <c15:sqref>Sheet1!$A$2:$A$5</c15:sqref>
                        </c15:fullRef>
                        <c15:formulaRef>
                          <c15:sqref>Sheet1!$A$2:$A$3</c15:sqref>
                        </c15:formulaRef>
                      </c:ext>
                    </c:extLst>
                    <c:strCache>
                      <c:ptCount val="2"/>
                      <c:pt idx="0">
                        <c:v>2023年</c:v>
                      </c:pt>
                      <c:pt idx="1">
                        <c:v>2024年</c:v>
                      </c:pt>
                    </c:strCache>
                  </c:strRef>
                </c:cat>
                <c:val>
                  <c:numRef>
                    <c:extLst>
                      <c:ext uri="{02D57815-91ED-43cb-92C2-25804820EDAC}">
                        <c15:fullRef>
                          <c15:sqref>Sheet1!$C$2:$C$5</c15:sqref>
                        </c15:fullRef>
                        <c15:formulaRef>
                          <c15:sqref>Sheet1!$C$2:$C$3</c15:sqref>
                        </c15:formulaRef>
                      </c:ext>
                    </c:extLst>
                    <c:numCache>
                      <c:formatCode>General</c:formatCode>
                      <c:ptCount val="2"/>
                    </c:numCache>
                  </c:numRef>
                </c:val>
              </c15:ser>
            </c15:filteredBarSeries>
            <c15:filteredBarSeries>
              <c15:ser>
                <c:idx val="2"/>
                <c:order val="2"/>
                <c:tx>
                  <c:strRef>
                    <c:extLst>
                      <c:ext uri="{02D57815-91ED-43cb-92C2-25804820EDAC}">
                        <c15:formulaRef>
                          <c15:sqref>Sheet1!$D$1</c15:sqref>
                        </c15:formulaRef>
                      </c:ext>
                    </c:extLst>
                    <c:strCache>
                      <c:ptCount val="1"/>
                      <c:pt idx="0">
                        <c:v/>
                      </c:pt>
                    </c:strCache>
                  </c:strRef>
                </c:tx>
                <c:spPr>
                  <a:solidFill>
                    <a:schemeClr val="accent3"/>
                  </a:solidFill>
                  <a:ln>
                    <a:noFill/>
                  </a:ln>
                  <a:effectLst/>
                </c:spPr>
                <c:invertIfNegative val="false"/>
                <c:dLbls>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extLst>
                      <c:ext uri="{02D57815-91ED-43cb-92C2-25804820EDAC}">
                        <c15:fullRef>
                          <c15:sqref>Sheet1!$A$2:$A$5</c15:sqref>
                        </c15:fullRef>
                        <c15:formulaRef>
                          <c15:sqref>Sheet1!$A$2:$A$3</c15:sqref>
                        </c15:formulaRef>
                      </c:ext>
                    </c:extLst>
                    <c:strCache>
                      <c:ptCount val="2"/>
                      <c:pt idx="0">
                        <c:v>2023年</c:v>
                      </c:pt>
                      <c:pt idx="1">
                        <c:v>2024年</c:v>
                      </c:pt>
                    </c:strCache>
                  </c:strRef>
                </c:cat>
                <c:val>
                  <c:numRef>
                    <c:extLst>
                      <c:ext uri="{02D57815-91ED-43cb-92C2-25804820EDAC}">
                        <c15:fullRef>
                          <c15:sqref>Sheet1!$D$2:$D$5</c15:sqref>
                        </c15:fullRef>
                        <c15:formulaRef>
                          <c15:sqref>Sheet1!$D$2:$D$3</c15:sqref>
                        </c15:formulaRef>
                      </c:ext>
                    </c:extLst>
                    <c:numCache>
                      <c:formatCode>General</c:formatCode>
                      <c:ptCount val="2"/>
                    </c:numCache>
                  </c:numRef>
                </c:val>
              </c15:ser>
            </c15:filteredBarSeries>
          </c:ext>
        </c:extLst>
      </c:barChart>
      <c:catAx>
        <c:axId val="13439915"/>
        <c:scaling>
          <c:orientation val="minMax"/>
        </c:scaling>
        <c:delete val="false"/>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272923984"/>
        <c:crosses val="autoZero"/>
        <c:auto val="true"/>
        <c:lblAlgn val="ctr"/>
        <c:lblOffset val="100"/>
        <c:noMultiLvlLbl val="false"/>
      </c:catAx>
      <c:valAx>
        <c:axId val="272923984"/>
        <c:scaling>
          <c:orientation val="minMax"/>
        </c:scaling>
        <c:delete val="false"/>
        <c:axPos val="l"/>
        <c:majorGridlines>
          <c:spPr>
            <a:ln w="9525" cap="flat" cmpd="sng" algn="ctr">
              <a:solidFill>
                <a:schemeClr val="lt1">
                  <a:lumMod val="90200"/>
                </a:schemeClr>
              </a:solidFill>
              <a:round/>
            </a:ln>
            <a:effectLst/>
          </c:spPr>
        </c:majorGridlines>
        <c:numFmt formatCode="General"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13439915"/>
        <c:crosses val="autoZero"/>
        <c:crossBetween val="between"/>
      </c:valAx>
      <c:spPr>
        <a:noFill/>
        <a:ln>
          <a:noFill/>
        </a:ln>
        <a:effectLst/>
      </c:spPr>
    </c:plotArea>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layout/>
      <c:overlay val="false"/>
      <c:spPr>
        <a:noFill/>
        <a:ln>
          <a:noFill/>
        </a:ln>
        <a:effectLst/>
      </c:spPr>
      <c:txPr>
        <a:bodyPr rot="0" spcFirstLastPara="0" vertOverflow="ellipsis" vert="horz" wrap="square" anchor="ctr" anchorCtr="true"/>
        <a:lstStyle/>
        <a:p>
          <a:pPr>
            <a:defRPr lang="zh-CN" sz="1400" b="1" i="0" u="none" strike="noStrike" kern="1200" baseline="0">
              <a:solidFill>
                <a:schemeClr val="tx1">
                  <a:lumMod val="75000"/>
                  <a:lumOff val="25000"/>
                </a:schemeClr>
              </a:solidFill>
              <a:latin typeface="+mn-lt"/>
              <a:ea typeface="+mn-ea"/>
              <a:cs typeface="+mn-cs"/>
            </a:defRPr>
          </a:pPr>
        </a:p>
      </c:txPr>
    </c:title>
    <c:autoTitleDeleted val="false"/>
    <c:plotArea>
      <c:layout/>
      <c:pieChart>
        <c:varyColors val="true"/>
        <c:ser>
          <c:idx val="0"/>
          <c:order val="0"/>
          <c:tx>
            <c:strRef>
              <c:f>Sheet1!$B$1</c:f>
              <c:strCache>
                <c:ptCount val="1"/>
                <c:pt idx="0">
                  <c:v>收入决算结构图</c:v>
                </c:pt>
              </c:strCache>
            </c:strRef>
          </c:tx>
          <c:spPr/>
          <c:explosion val="0"/>
          <c:dPt>
            <c:idx val="0"/>
            <c:bubble3D val="false"/>
            <c:spPr>
              <a:solidFill>
                <a:schemeClr val="accent1"/>
              </a:solidFill>
              <a:ln>
                <a:solidFill>
                  <a:schemeClr val="bg1"/>
                </a:solidFill>
              </a:ln>
              <a:effectLst/>
            </c:spPr>
          </c:dPt>
          <c:dPt>
            <c:idx val="1"/>
            <c:bubble3D val="false"/>
            <c:spPr>
              <a:solidFill>
                <a:schemeClr val="accent2"/>
              </a:solidFill>
              <a:ln>
                <a:solidFill>
                  <a:schemeClr val="bg1"/>
                </a:solidFill>
              </a:ln>
              <a:effectLst/>
            </c:spPr>
          </c:dPt>
          <c:dLbls>
            <c:dLbl>
              <c:idx val="0"/>
              <c:layout/>
              <c:tx>
                <c:rich>
                  <a:bodyPr rot="0" spcFirstLastPara="0" vertOverflow="ellipsis" vert="horz" wrap="square" lIns="38100" tIns="19050" rIns="38100" bIns="19050" anchor="ctr" anchorCtr="true"/>
                  <a:lstStyle/>
                  <a:p>
                    <a:pPr defTabSz="914400">
                      <a:defRPr lang="zh-CN" sz="1000" b="0" i="0" u="none" strike="noStrike" kern="1200" baseline="0">
                        <a:solidFill>
                          <a:schemeClr val="tx1">
                            <a:lumMod val="75000"/>
                            <a:lumOff val="25000"/>
                          </a:schemeClr>
                        </a:solidFill>
                        <a:latin typeface="+mn-lt"/>
                        <a:ea typeface="+mn-ea"/>
                        <a:cs typeface="+mn-cs"/>
                      </a:defRPr>
                    </a:pPr>
                    <a:r>
                      <a:t>94.1%</a:t>
                    </a:r>
                  </a:p>
                </c:rich>
              </c:tx>
              <c:dLblPos val="outEnd"/>
              <c:showLegendKey val="false"/>
              <c:showVal val="false"/>
              <c:showCatName val="false"/>
              <c:showSerName val="false"/>
              <c:showPercent val="true"/>
              <c:showBubbleSize val="false"/>
              <c:extLst>
                <c:ext xmlns:c15="http://schemas.microsoft.com/office/drawing/2012/chart" uri="{CE6537A1-D6FC-4f65-9D91-7224C49458BB}"/>
              </c:extLst>
            </c:dLbl>
            <c:dLbl>
              <c:idx val="1"/>
              <c:layout/>
              <c:tx>
                <c:rich>
                  <a:bodyPr rot="0" spcFirstLastPara="0" vertOverflow="ellipsis" vert="horz" wrap="square" lIns="38100" tIns="19050" rIns="38100" bIns="19050" anchor="ctr" anchorCtr="true"/>
                  <a:lstStyle/>
                  <a:p>
                    <a:pPr defTabSz="914400">
                      <a:defRPr lang="zh-CN" sz="1000" b="0" i="0" u="none" strike="noStrike" kern="1200" baseline="0">
                        <a:solidFill>
                          <a:schemeClr val="tx1">
                            <a:lumMod val="75000"/>
                            <a:lumOff val="25000"/>
                          </a:schemeClr>
                        </a:solidFill>
                        <a:latin typeface="+mn-lt"/>
                        <a:ea typeface="+mn-ea"/>
                        <a:cs typeface="+mn-cs"/>
                      </a:defRPr>
                    </a:pPr>
                    <a:r>
                      <a:t>5.</a:t>
                    </a:r>
                    <a:r>
                      <a:rPr lang="en-US" altLang="zh-CN"/>
                      <a:t>9</a:t>
                    </a:r>
                    <a:r>
                      <a:t>%</a:t>
                    </a:r>
                  </a:p>
                </c:rich>
              </c:tx>
              <c:dLblPos val="outEnd"/>
              <c:showLegendKey val="false"/>
              <c:showVal val="false"/>
              <c:showCatName val="false"/>
              <c:showSerName val="false"/>
              <c:showPercent val="true"/>
              <c:showBubbleSize val="false"/>
              <c:extLst>
                <c:ext xmlns:c15="http://schemas.microsoft.com/office/drawing/2012/chart" uri="{CE6537A1-D6FC-4f65-9D91-7224C49458BB}"/>
              </c:extLst>
            </c:dLbl>
            <c:numFmt formatCode="0.00%" sourceLinked="false"/>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false"/>
            <c:showVal val="false"/>
            <c:showCatName val="false"/>
            <c:showSerName val="false"/>
            <c:showPercent val="tru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Sheet1!$A$2:$A$3</c:f>
              <c:strCache>
                <c:ptCount val="2"/>
                <c:pt idx="0">
                  <c:v>一般公共预算财政拨款收入</c:v>
                </c:pt>
                <c:pt idx="1">
                  <c:v>经营收入</c:v>
                </c:pt>
              </c:strCache>
            </c:strRef>
          </c:cat>
          <c:val>
            <c:numRef>
              <c:f>Sheet1!$B$2:$B$3</c:f>
              <c:numCache>
                <c:formatCode>General</c:formatCode>
                <c:ptCount val="2"/>
                <c:pt idx="0">
                  <c:v>367.83</c:v>
                </c:pt>
                <c:pt idx="1">
                  <c:v>22.91</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t"/>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layout/>
      <c:overlay val="false"/>
      <c:spPr>
        <a:noFill/>
        <a:ln>
          <a:noFill/>
        </a:ln>
        <a:effectLst/>
      </c:spPr>
      <c:txPr>
        <a:bodyPr rot="0" spcFirstLastPara="0" vertOverflow="ellipsis" vert="horz" wrap="square" anchor="ctr" anchorCtr="true"/>
        <a:lstStyle/>
        <a:p>
          <a:pPr>
            <a:defRPr lang="zh-CN" sz="1400" b="1" i="0" u="none" strike="noStrike" kern="1200" baseline="0">
              <a:solidFill>
                <a:schemeClr val="tx1">
                  <a:lumMod val="75000"/>
                  <a:lumOff val="25000"/>
                </a:schemeClr>
              </a:solidFill>
              <a:latin typeface="+mn-lt"/>
              <a:ea typeface="+mn-ea"/>
              <a:cs typeface="+mn-cs"/>
            </a:defRPr>
          </a:pPr>
        </a:p>
      </c:txPr>
    </c:title>
    <c:autoTitleDeleted val="false"/>
    <c:plotArea>
      <c:layout/>
      <c:pieChart>
        <c:varyColors val="true"/>
        <c:ser>
          <c:idx val="0"/>
          <c:order val="0"/>
          <c:tx>
            <c:strRef>
              <c:f>Sheet1!$B$1</c:f>
              <c:strCache>
                <c:ptCount val="1"/>
                <c:pt idx="0">
                  <c:v>支出决算结构图</c:v>
                </c:pt>
              </c:strCache>
            </c:strRef>
          </c:tx>
          <c:spPr/>
          <c:explosion val="0"/>
          <c:dPt>
            <c:idx val="0"/>
            <c:bubble3D val="false"/>
            <c:spPr>
              <a:solidFill>
                <a:schemeClr val="accent1"/>
              </a:solidFill>
              <a:ln>
                <a:solidFill>
                  <a:schemeClr val="bg1"/>
                </a:solidFill>
              </a:ln>
              <a:effectLst/>
            </c:spPr>
          </c:dPt>
          <c:dPt>
            <c:idx val="1"/>
            <c:bubble3D val="false"/>
            <c:spPr>
              <a:solidFill>
                <a:schemeClr val="accent2"/>
              </a:solidFill>
              <a:ln>
                <a:solidFill>
                  <a:schemeClr val="bg1"/>
                </a:solidFill>
              </a:ln>
              <a:effectLst/>
            </c:spPr>
          </c:dPt>
          <c:dPt>
            <c:idx val="2"/>
            <c:bubble3D val="false"/>
            <c:spPr>
              <a:solidFill>
                <a:schemeClr val="accent3"/>
              </a:solidFill>
              <a:ln>
                <a:solidFill>
                  <a:schemeClr val="bg1"/>
                </a:solidFill>
              </a:ln>
              <a:effectLst/>
            </c:spPr>
          </c:dPt>
          <c:dLbls>
            <c:dLbl>
              <c:idx val="0"/>
              <c:layout/>
              <c:tx>
                <c:rich>
                  <a:bodyPr rot="0" spcFirstLastPara="0" vertOverflow="ellipsis" vert="horz" wrap="square" lIns="38100" tIns="19050" rIns="38100" bIns="19050" anchor="ctr" anchorCtr="true"/>
                  <a:lstStyle/>
                  <a:p>
                    <a:pPr defTabSz="914400">
                      <a:defRPr lang="zh-CN" sz="1000" b="0" i="0" u="none" strike="noStrike" kern="1200" baseline="0">
                        <a:solidFill>
                          <a:schemeClr val="tx1">
                            <a:lumMod val="75000"/>
                            <a:lumOff val="25000"/>
                          </a:schemeClr>
                        </a:solidFill>
                        <a:latin typeface="+mn-lt"/>
                        <a:ea typeface="+mn-ea"/>
                        <a:cs typeface="+mn-cs"/>
                      </a:defRPr>
                    </a:pPr>
                    <a:r>
                      <a:t>3%</a:t>
                    </a:r>
                  </a:p>
                </c:rich>
              </c:tx>
              <c:dLblPos val="bestFit"/>
              <c:showLegendKey val="false"/>
              <c:showVal val="false"/>
              <c:showCatName val="false"/>
              <c:showSerName val="false"/>
              <c:showPercent val="true"/>
              <c:showBubbleSize val="false"/>
              <c:extLst>
                <c:ext xmlns:c15="http://schemas.microsoft.com/office/drawing/2012/chart" uri="{CE6537A1-D6FC-4f65-9D91-7224C49458BB}"/>
              </c:extLst>
            </c:dLbl>
            <c:dLbl>
              <c:idx val="1"/>
              <c:layout>
                <c:manualLayout>
                  <c:x val="0.04093530118192"/>
                  <c:y val="-0.172396330544231"/>
                </c:manualLayout>
              </c:layout>
              <c:tx>
                <c:rich>
                  <a:bodyPr rot="0" spcFirstLastPara="0" vertOverflow="ellipsis" vert="horz" wrap="square" lIns="38100" tIns="19050" rIns="38100" bIns="19050" anchor="ctr" anchorCtr="true"/>
                  <a:lstStyle/>
                  <a:p>
                    <a:pPr defTabSz="914400">
                      <a:defRPr lang="zh-CN" sz="1000" b="0" i="0" u="none" strike="noStrike" kern="1200" baseline="0">
                        <a:solidFill>
                          <a:schemeClr val="tx1">
                            <a:lumMod val="75000"/>
                            <a:lumOff val="25000"/>
                          </a:schemeClr>
                        </a:solidFill>
                        <a:latin typeface="+mn-lt"/>
                        <a:ea typeface="+mn-ea"/>
                        <a:cs typeface="+mn-cs"/>
                      </a:defRPr>
                    </a:pPr>
                    <a:r>
                      <a:t>91.</a:t>
                    </a:r>
                    <a:r>
                      <a:rPr lang="en-US" altLang="zh-CN"/>
                      <a:t>1</a:t>
                    </a:r>
                    <a:r>
                      <a:t>%</a:t>
                    </a:r>
                  </a:p>
                </c:rich>
              </c:tx>
              <c:dLblPos val="bestFit"/>
              <c:showLegendKey val="false"/>
              <c:showVal val="true"/>
              <c:showCatName val="false"/>
              <c:showSerName val="false"/>
              <c:showPercent val="true"/>
              <c:showBubbleSize val="false"/>
              <c:extLst>
                <c:ext xmlns:c15="http://schemas.microsoft.com/office/drawing/2012/chart" uri="{CE6537A1-D6FC-4f65-9D91-7224C49458BB}">
                  <c15:layout/>
                </c:ext>
              </c:extLst>
            </c:dLbl>
            <c:dLbl>
              <c:idx val="2"/>
              <c:layout>
                <c:manualLayout>
                  <c:x val="-0.0234157793505246"/>
                  <c:y val="0.0146957550764754"/>
                </c:manualLayout>
              </c:layout>
              <c:tx>
                <c:rich>
                  <a:bodyPr rot="0" spcFirstLastPara="0" vertOverflow="ellipsis" vert="horz" wrap="square" lIns="38100" tIns="19050" rIns="38100" bIns="19050" anchor="ctr" anchorCtr="true"/>
                  <a:lstStyle/>
                  <a:p>
                    <a:pPr defTabSz="914400">
                      <a:defRPr lang="zh-CN" sz="1000" b="0" i="0" u="none" strike="noStrike" kern="1200" baseline="0">
                        <a:solidFill>
                          <a:schemeClr val="tx1">
                            <a:lumMod val="75000"/>
                            <a:lumOff val="25000"/>
                          </a:schemeClr>
                        </a:solidFill>
                        <a:latin typeface="+mn-lt"/>
                        <a:ea typeface="+mn-ea"/>
                        <a:cs typeface="+mn-cs"/>
                      </a:defRPr>
                    </a:pPr>
                    <a:r>
                      <a:t>5.</a:t>
                    </a:r>
                    <a:r>
                      <a:rPr lang="en-US" altLang="zh-CN"/>
                      <a:t>9</a:t>
                    </a:r>
                    <a:r>
                      <a:t>%</a:t>
                    </a:r>
                  </a:p>
                </c:rich>
              </c:tx>
              <c:dLblPos val="bestFit"/>
              <c:showLegendKey val="false"/>
              <c:showVal val="false"/>
              <c:showCatName val="false"/>
              <c:showSerName val="false"/>
              <c:showPercent val="true"/>
              <c:showBubbleSize val="false"/>
              <c:extLst>
                <c:ext xmlns:c15="http://schemas.microsoft.com/office/drawing/2012/chart" uri="{CE6537A1-D6FC-4f65-9D91-7224C49458BB}">
                  <c15:layout/>
                </c:ext>
              </c:extLst>
            </c:dLbl>
            <c:numFmt formatCode="0.00%" sourceLinked="false"/>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false"/>
            <c:showVal val="false"/>
            <c:showCatName val="false"/>
            <c:showSerName val="false"/>
            <c:showPercent val="tru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Sheet1!$A$2:$A$4</c:f>
              <c:strCache>
                <c:ptCount val="3"/>
                <c:pt idx="0">
                  <c:v>基本支出</c:v>
                </c:pt>
                <c:pt idx="1">
                  <c:v>项目支出</c:v>
                </c:pt>
                <c:pt idx="2">
                  <c:v>经营支出</c:v>
                </c:pt>
              </c:strCache>
            </c:strRef>
          </c:cat>
          <c:val>
            <c:numRef>
              <c:f>Sheet1!$B$2:$B$4</c:f>
              <c:numCache>
                <c:formatCode>General</c:formatCode>
                <c:ptCount val="3"/>
                <c:pt idx="0">
                  <c:v>11.98</c:v>
                </c:pt>
                <c:pt idx="1">
                  <c:v>355.85</c:v>
                </c:pt>
                <c:pt idx="2">
                  <c:v>22.91</c:v>
                </c:pt>
              </c:numCache>
            </c:numRef>
          </c:val>
        </c:ser>
        <c:dLbls>
          <c:showLegendKey val="false"/>
          <c:showVal val="false"/>
          <c:showCatName val="false"/>
          <c:showSerName val="false"/>
          <c:showPercent val="true"/>
          <c:showBubbleSize val="false"/>
          <c:showLeaderLines val="true"/>
        </c:dLbls>
        <c:firstSliceAng val="0"/>
      </c:pieChart>
      <c:spPr>
        <a:noFill/>
        <a:ln>
          <a:noFill/>
        </a:ln>
        <a:effectLst/>
      </c:spPr>
    </c:plotArea>
    <c:legend>
      <c:legendPos val="t"/>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layout/>
      <c:overlay val="false"/>
      <c:spPr>
        <a:noFill/>
        <a:ln>
          <a:noFill/>
        </a:ln>
        <a:effectLst/>
      </c:spPr>
      <c:txPr>
        <a:bodyPr rot="0" spcFirstLastPara="0" vertOverflow="ellipsis" vert="horz" wrap="square" anchor="ctr" anchorCtr="true"/>
        <a:lstStyle/>
        <a:p>
          <a:pPr>
            <a:defRPr lang="zh-CN" sz="1400" b="1" i="0" u="none" strike="noStrike" kern="1200" baseline="0">
              <a:solidFill>
                <a:schemeClr val="tx1">
                  <a:lumMod val="75000"/>
                  <a:lumOff val="25000"/>
                </a:schemeClr>
              </a:solidFill>
              <a:latin typeface="+mn-lt"/>
              <a:ea typeface="+mn-ea"/>
              <a:cs typeface="+mn-cs"/>
            </a:defRPr>
          </a:pPr>
        </a:p>
      </c:txPr>
    </c:title>
    <c:autoTitleDeleted val="false"/>
    <c:plotArea>
      <c:layout/>
      <c:barChart>
        <c:barDir val="col"/>
        <c:grouping val="clustered"/>
        <c:varyColors val="false"/>
        <c:ser>
          <c:idx val="0"/>
          <c:order val="0"/>
          <c:tx>
            <c:strRef>
              <c:f>Sheet1!$B$1</c:f>
              <c:strCache>
                <c:ptCount val="1"/>
                <c:pt idx="0">
                  <c:v>财政拨款收、支决算总计变动情况（单位：万元）</c:v>
                </c:pt>
              </c:strCache>
            </c:strRef>
          </c:tx>
          <c:spPr>
            <a:solidFill>
              <a:schemeClr val="accent1"/>
            </a:solidFill>
            <a:ln>
              <a:noFill/>
            </a:ln>
            <a:effectLst/>
          </c:spPr>
          <c:invertIfNegative val="false"/>
          <c:dLbls>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Sheet1!$A$2:$A$3</c:f>
              <c:strCache>
                <c:ptCount val="2"/>
                <c:pt idx="0">
                  <c:v>2023年</c:v>
                </c:pt>
                <c:pt idx="1">
                  <c:v>2024年</c:v>
                </c:pt>
              </c:strCache>
            </c:strRef>
          </c:cat>
          <c:val>
            <c:numRef>
              <c:f>Sheet1!$B$2:$B$3</c:f>
              <c:numCache>
                <c:formatCode>General</c:formatCode>
                <c:ptCount val="2"/>
                <c:pt idx="0">
                  <c:v>0</c:v>
                </c:pt>
                <c:pt idx="1">
                  <c:v>367.83</c:v>
                </c:pt>
              </c:numCache>
            </c:numRef>
          </c:val>
        </c:ser>
        <c:dLbls>
          <c:showLegendKey val="false"/>
          <c:showVal val="true"/>
          <c:showCatName val="false"/>
          <c:showSerName val="false"/>
          <c:showPercent val="false"/>
          <c:showBubbleSize val="false"/>
        </c:dLbls>
        <c:gapWidth val="246"/>
        <c:overlap val="-28"/>
        <c:axId val="513618473"/>
        <c:axId val="171062264"/>
      </c:barChart>
      <c:catAx>
        <c:axId val="513618473"/>
        <c:scaling>
          <c:orientation val="minMax"/>
        </c:scaling>
        <c:delete val="false"/>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171062264"/>
        <c:crosses val="autoZero"/>
        <c:auto val="true"/>
        <c:lblAlgn val="ctr"/>
        <c:lblOffset val="100"/>
        <c:noMultiLvlLbl val="false"/>
      </c:catAx>
      <c:valAx>
        <c:axId val="171062264"/>
        <c:scaling>
          <c:orientation val="minMax"/>
        </c:scaling>
        <c:delete val="false"/>
        <c:axPos val="l"/>
        <c:majorGridlines>
          <c:spPr>
            <a:ln w="9525" cap="flat" cmpd="sng" algn="ctr">
              <a:solidFill>
                <a:schemeClr val="lt1">
                  <a:lumMod val="90200"/>
                </a:schemeClr>
              </a:solidFill>
              <a:round/>
            </a:ln>
            <a:effectLst/>
          </c:spPr>
        </c:majorGridlines>
        <c:numFmt formatCode="General"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513618473"/>
        <c:crosses val="autoZero"/>
        <c:crossBetween val="between"/>
      </c:valAx>
      <c:spPr>
        <a:noFill/>
        <a:ln>
          <a:noFill/>
        </a:ln>
        <a:effectLst/>
      </c:spPr>
    </c:plotArea>
    <c:legend>
      <c:legendPos val="b"/>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1" i="0" u="none" strike="noStrike" kern="1200" baseline="0">
                <a:solidFill>
                  <a:schemeClr val="tx1">
                    <a:lumMod val="75000"/>
                    <a:lumOff val="25000"/>
                  </a:schemeClr>
                </a:solidFill>
                <a:latin typeface="+mn-lt"/>
                <a:ea typeface="+mn-ea"/>
                <a:cs typeface="+mn-cs"/>
              </a:defRPr>
            </a:pPr>
            <a:r>
              <a:t>一般公共预算财政拨款支出决算变动情况</a:t>
            </a:r>
          </a:p>
          <a:p>
            <a:pPr defTabSz="914400">
              <a:defRPr lang="zh-CN" sz="1400" b="1" i="0" u="none" strike="noStrike" kern="1200" baseline="0">
                <a:solidFill>
                  <a:schemeClr val="tx1">
                    <a:lumMod val="75000"/>
                    <a:lumOff val="25000"/>
                  </a:schemeClr>
                </a:solidFill>
                <a:latin typeface="+mn-lt"/>
                <a:ea typeface="+mn-ea"/>
                <a:cs typeface="+mn-cs"/>
              </a:defRPr>
            </a:pPr>
            <a:r>
              <a:t>（单位：万元）</a:t>
            </a:r>
          </a:p>
        </c:rich>
      </c:tx>
      <c:layout/>
      <c:overlay val="false"/>
      <c:spPr>
        <a:noFill/>
        <a:ln>
          <a:noFill/>
        </a:ln>
        <a:effectLst/>
      </c:spPr>
    </c:title>
    <c:autoTitleDeleted val="false"/>
    <c:plotArea>
      <c:layout/>
      <c:barChart>
        <c:barDir val="col"/>
        <c:grouping val="clustered"/>
        <c:varyColors val="false"/>
        <c:ser>
          <c:idx val="0"/>
          <c:order val="0"/>
          <c:tx>
            <c:strRef>
              <c:f>Sheet1!$B$1</c:f>
              <c:strCache>
                <c:ptCount val="1"/>
                <c:pt idx="0">
                  <c:v>一般公共预算财政拨款支出决算变动情况（单位：万元）</c:v>
                </c:pt>
              </c:strCache>
            </c:strRef>
          </c:tx>
          <c:spPr>
            <a:solidFill>
              <a:schemeClr val="accent1"/>
            </a:solidFill>
            <a:ln>
              <a:noFill/>
            </a:ln>
            <a:effectLst/>
          </c:spPr>
          <c:invertIfNegative val="false"/>
          <c:dLbls>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Sheet1!$A$2:$A$3</c:f>
              <c:strCache>
                <c:ptCount val="2"/>
                <c:pt idx="0">
                  <c:v>2023年</c:v>
                </c:pt>
                <c:pt idx="1">
                  <c:v>2024年</c:v>
                </c:pt>
              </c:strCache>
            </c:strRef>
          </c:cat>
          <c:val>
            <c:numRef>
              <c:f>Sheet1!$B$2:$B$3</c:f>
              <c:numCache>
                <c:formatCode>General</c:formatCode>
                <c:ptCount val="2"/>
                <c:pt idx="0">
                  <c:v>0</c:v>
                </c:pt>
                <c:pt idx="1">
                  <c:v>367.83</c:v>
                </c:pt>
              </c:numCache>
            </c:numRef>
          </c:val>
        </c:ser>
        <c:dLbls>
          <c:showLegendKey val="false"/>
          <c:showVal val="true"/>
          <c:showCatName val="false"/>
          <c:showSerName val="false"/>
          <c:showPercent val="false"/>
          <c:showBubbleSize val="false"/>
        </c:dLbls>
        <c:gapWidth val="246"/>
        <c:overlap val="-28"/>
        <c:axId val="513618473"/>
        <c:axId val="171062264"/>
      </c:barChart>
      <c:catAx>
        <c:axId val="513618473"/>
        <c:scaling>
          <c:orientation val="minMax"/>
        </c:scaling>
        <c:delete val="false"/>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171062264"/>
        <c:crosses val="autoZero"/>
        <c:auto val="true"/>
        <c:lblAlgn val="ctr"/>
        <c:lblOffset val="100"/>
        <c:noMultiLvlLbl val="false"/>
      </c:catAx>
      <c:valAx>
        <c:axId val="171062264"/>
        <c:scaling>
          <c:orientation val="minMax"/>
        </c:scaling>
        <c:delete val="false"/>
        <c:axPos val="l"/>
        <c:majorGridlines>
          <c:spPr>
            <a:ln w="9525" cap="flat" cmpd="sng" algn="ctr">
              <a:solidFill>
                <a:schemeClr val="lt1">
                  <a:lumMod val="90200"/>
                </a:schemeClr>
              </a:solidFill>
              <a:round/>
            </a:ln>
            <a:effectLst/>
          </c:spPr>
        </c:majorGridlines>
        <c:numFmt formatCode="General"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513618473"/>
        <c:crosses val="autoZero"/>
        <c:crossBetween val="between"/>
      </c:valAx>
      <c:spPr>
        <a:noFill/>
        <a:ln>
          <a:noFill/>
        </a:ln>
        <a:effectLst/>
      </c:spPr>
    </c:plotArea>
    <c:legend>
      <c:legendPos val="b"/>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1" i="0" u="none" strike="noStrike" kern="1200" baseline="0">
                <a:solidFill>
                  <a:schemeClr val="tx1">
                    <a:lumMod val="75000"/>
                    <a:lumOff val="25000"/>
                  </a:schemeClr>
                </a:solidFill>
                <a:latin typeface="+mn-lt"/>
                <a:ea typeface="+mn-ea"/>
                <a:cs typeface="+mn-cs"/>
              </a:defRPr>
            </a:pPr>
            <a:r>
              <a:t>一般公共预算财政拨款支出决算结构</a:t>
            </a:r>
          </a:p>
        </c:rich>
      </c:tx>
      <c:layout/>
      <c:overlay val="false"/>
      <c:spPr>
        <a:noFill/>
        <a:ln>
          <a:noFill/>
        </a:ln>
        <a:effectLst/>
      </c:spPr>
    </c:title>
    <c:autoTitleDeleted val="false"/>
    <c:plotArea>
      <c:layout/>
      <c:pieChart>
        <c:varyColors val="true"/>
        <c:ser>
          <c:idx val="0"/>
          <c:order val="0"/>
          <c:spPr/>
          <c:explosion val="0"/>
          <c:dPt>
            <c:idx val="0"/>
            <c:bubble3D val="false"/>
            <c:spPr>
              <a:solidFill>
                <a:schemeClr val="accent1"/>
              </a:solidFill>
              <a:ln>
                <a:solidFill>
                  <a:schemeClr val="bg1"/>
                </a:solidFill>
              </a:ln>
              <a:effectLst/>
            </c:spPr>
          </c:dPt>
          <c:dPt>
            <c:idx val="1"/>
            <c:bubble3D val="false"/>
            <c:spPr>
              <a:solidFill>
                <a:schemeClr val="accent2"/>
              </a:solidFill>
              <a:ln>
                <a:solidFill>
                  <a:schemeClr val="bg1"/>
                </a:solidFill>
              </a:ln>
              <a:effectLst/>
            </c:spPr>
          </c:dPt>
          <c:dLbls>
            <c:dLbl>
              <c:idx val="0"/>
              <c:layout/>
              <c:tx>
                <c:rich>
                  <a:bodyPr rot="0" spcFirstLastPara="0" vertOverflow="ellipsis" vert="horz" wrap="square" lIns="38100" tIns="19050" rIns="38100" bIns="19050" anchor="ctr" anchorCtr="true"/>
                  <a:lstStyle/>
                  <a:p>
                    <a:pPr defTabSz="914400">
                      <a:defRPr lang="zh-CN" sz="1000" b="0" i="0" u="none" strike="noStrike" kern="1200" baseline="0">
                        <a:solidFill>
                          <a:schemeClr val="tx1">
                            <a:lumMod val="75000"/>
                            <a:lumOff val="25000"/>
                          </a:schemeClr>
                        </a:solidFill>
                        <a:latin typeface="+mn-lt"/>
                        <a:ea typeface="+mn-ea"/>
                        <a:cs typeface="+mn-cs"/>
                      </a:defRPr>
                    </a:pPr>
                    <a:r>
                      <a:t>1.</a:t>
                    </a:r>
                    <a:r>
                      <a:rPr lang="en-US" altLang="zh-CN"/>
                      <a:t>2</a:t>
                    </a:r>
                    <a:r>
                      <a:t>%</a:t>
                    </a:r>
                  </a:p>
                </c:rich>
              </c:tx>
              <c:dLblPos val="bestFit"/>
              <c:showLegendKey val="false"/>
              <c:showVal val="false"/>
              <c:showCatName val="false"/>
              <c:showSerName val="false"/>
              <c:showPercent val="true"/>
              <c:showBubbleSize val="false"/>
              <c:extLst>
                <c:ext xmlns:c15="http://schemas.microsoft.com/office/drawing/2012/chart" uri="{CE6537A1-D6FC-4f65-9D91-7224C49458BB}"/>
              </c:extLst>
            </c:dLbl>
            <c:dLbl>
              <c:idx val="1"/>
              <c:layout/>
              <c:tx>
                <c:rich>
                  <a:bodyPr rot="0" spcFirstLastPara="0" vertOverflow="ellipsis" vert="horz" wrap="square" lIns="38100" tIns="19050" rIns="38100" bIns="19050" anchor="ctr" anchorCtr="true"/>
                  <a:lstStyle/>
                  <a:p>
                    <a:pPr defTabSz="914400">
                      <a:defRPr lang="zh-CN" sz="1000" b="0" i="0" u="none" strike="noStrike" kern="1200" baseline="0">
                        <a:solidFill>
                          <a:schemeClr val="tx1">
                            <a:lumMod val="75000"/>
                            <a:lumOff val="25000"/>
                          </a:schemeClr>
                        </a:solidFill>
                        <a:latin typeface="+mn-lt"/>
                        <a:ea typeface="+mn-ea"/>
                        <a:cs typeface="+mn-cs"/>
                      </a:defRPr>
                    </a:pPr>
                    <a:r>
                      <a:t>98.8%</a:t>
                    </a:r>
                  </a:p>
                </c:rich>
              </c:tx>
              <c:dLblPos val="bestFit"/>
              <c:showLegendKey val="false"/>
              <c:showVal val="false"/>
              <c:showCatName val="false"/>
              <c:showSerName val="false"/>
              <c:showPercent val="true"/>
              <c:showBubbleSize val="false"/>
              <c:extLst>
                <c:ext xmlns:c15="http://schemas.microsoft.com/office/drawing/2012/chart" uri="{CE6537A1-D6FC-4f65-9D91-7224C49458BB}"/>
              </c:extLst>
            </c:dLbl>
            <c:numFmt formatCode="0.00%" sourceLinked="false"/>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false"/>
            <c:showVal val="false"/>
            <c:showCatName val="false"/>
            <c:showSerName val="false"/>
            <c:showPercent val="tru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Sheet1!$A$2:$A$3</c:f>
              <c:strCache>
                <c:ptCount val="2"/>
                <c:pt idx="0">
                  <c:v>科学技术支出</c:v>
                </c:pt>
                <c:pt idx="1">
                  <c:v>资源勘探工业信息等支出</c:v>
                </c:pt>
              </c:strCache>
            </c:strRef>
          </c:cat>
          <c:val>
            <c:numRef>
              <c:f>Sheet1!$B$2:$B$3</c:f>
              <c:numCache>
                <c:formatCode>General</c:formatCode>
                <c:ptCount val="2"/>
                <c:pt idx="0">
                  <c:v>4.26</c:v>
                </c:pt>
                <c:pt idx="1">
                  <c:v>363.57</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t"/>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1" i="0" u="none" strike="noStrike" kern="1200" baseline="0">
                <a:solidFill>
                  <a:schemeClr val="tx1">
                    <a:lumMod val="75000"/>
                    <a:lumOff val="25000"/>
                  </a:schemeClr>
                </a:solidFill>
                <a:latin typeface="+mn-lt"/>
                <a:ea typeface="+mn-ea"/>
                <a:cs typeface="+mn-cs"/>
              </a:defRPr>
            </a:pPr>
            <a:r>
              <a:t>“三公”经费财政拨款支出结构</a:t>
            </a:r>
          </a:p>
        </c:rich>
      </c:tx>
      <c:layout/>
      <c:overlay val="false"/>
      <c:spPr>
        <a:noFill/>
        <a:ln>
          <a:noFill/>
        </a:ln>
        <a:effectLst/>
      </c:spPr>
    </c:title>
    <c:autoTitleDeleted val="false"/>
    <c:plotArea>
      <c:layout/>
      <c:pieChart>
        <c:varyColors val="true"/>
        <c:ser>
          <c:idx val="0"/>
          <c:order val="0"/>
          <c:tx>
            <c:strRef>
              <c:f>Sheet1!$B$1</c:f>
              <c:strCache>
                <c:ptCount val="1"/>
                <c:pt idx="0">
                  <c:v>“三公”经费财政拨款支出结构</c:v>
                </c:pt>
              </c:strCache>
            </c:strRef>
          </c:tx>
          <c:spPr/>
          <c:explosion val="0"/>
          <c:dPt>
            <c:idx val="0"/>
            <c:bubble3D val="false"/>
            <c:spPr>
              <a:solidFill>
                <a:schemeClr val="accent1"/>
              </a:solidFill>
              <a:ln>
                <a:solidFill>
                  <a:schemeClr val="bg1"/>
                </a:solidFill>
              </a:ln>
              <a:effectLst/>
            </c:spPr>
          </c:dPt>
          <c:dLbls>
            <c:dLbl>
              <c:idx val="0"/>
              <c:layout>
                <c:manualLayout>
                  <c:x val="-0.00181279832990445"/>
                  <c:y val="-0.260774235219208"/>
                </c:manualLayout>
              </c:layout>
              <c:dLblPos val="bestFit"/>
              <c:showLegendKey val="false"/>
              <c:showVal val="false"/>
              <c:showCatName val="false"/>
              <c:showSerName val="false"/>
              <c:showPercent val="true"/>
              <c:showBubbleSize val="false"/>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false"/>
            <c:showVal val="false"/>
            <c:showCatName val="false"/>
            <c:showSerName val="false"/>
            <c:showPercent val="tru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c:f>
              <c:strCache>
                <c:ptCount val="1"/>
                <c:pt idx="0">
                  <c:v>公务用车购置及运行维护费支出决算</c:v>
                </c:pt>
              </c:strCache>
            </c:strRef>
          </c:cat>
          <c:val>
            <c:numRef>
              <c:f>Sheet1!$B$2</c:f>
              <c:numCache>
                <c:formatCode>General</c:formatCode>
                <c:ptCount val="1"/>
                <c:pt idx="0">
                  <c:v>0.92</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t"/>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25</Pages>
  <Words>1299</Words>
  <Characters>7410</Characters>
  <Lines>61</Lines>
  <Paragraphs>17</Paragraphs>
  <TotalTime>13</TotalTime>
  <ScaleCrop>false</ScaleCrop>
  <LinksUpToDate>false</LinksUpToDate>
  <CharactersWithSpaces>8692</CharactersWithSpaces>
  <Application>WPS Office_11.8.2.9793_F1E327BC-269C-435d-A152-05C5408002CA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2020-08-14T09:49:00Z</dcterms:created>
  <dc:creator>曹颖</dc:creator>
  <cp:lastModifiedBy>user</cp:lastModifiedBy>
  <cp:lastPrinted>2025-08-11T17:34:00Z</cp:lastPrinted>
  <dcterms:modified xsi:type="dcterms:W3CDTF">2025-09-10T15:36:38Z</dcterms:modified>
  <dc:title>四川省***</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2052-11.8.2.9793</vt:lpwstr>
  </property>
  <property fmtid="{D5CDD505-2E9C-101B-9397-08002B2CF9AE}" pid="3" name="ICV">
    <vt:lpwstr>226ADDEE9ACAE02E8C26C16860033B99_43</vt:lpwstr>
  </property>
</Properties>
</file>