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四川省</w:t>
      </w:r>
      <w:r>
        <w:rPr>
          <w:rFonts w:ascii="Times New Roman" w:hAnsi="Times New Roman" w:eastAsia="方正小标宋简体" w:cs="Times New Roman"/>
          <w:sz w:val="44"/>
          <w:szCs w:val="44"/>
        </w:rPr>
        <w:t>激励大企业大集团跨越发展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暂行办法</w:t>
      </w:r>
    </w:p>
    <w:bookmarkEnd w:id="0"/>
    <w:p>
      <w:pPr>
        <w:spacing w:line="600" w:lineRule="exact"/>
        <w:ind w:firstLine="3200" w:firstLineChars="10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征求意见稿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为贯彻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省委、省政府决策部署，落实《中共四川省委四川省人民政府关于加快构建“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5+1”现代产业体系推动工业高质量发展的意见》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（川委发〔2018〕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《中共四川省委四川省人民政府关于促进民营经济健康发展的意见》（川委发〔2018〕30号）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中共四川省委四川省人民政府关于推动制造业高质量发展的意见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》（川委发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）精神与要求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加快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做大做强大企业大集团，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发展一批“领航”企业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推动全省经济高质量发展，特制定如下办法。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第一条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激励对象。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本办法规定的激励政策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适用于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如下标准的四川企业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（一）首次进入“世界企业500强”“中国企业500强”和“中国民营企业500强”榜单的大企业大集团。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（二）年度营业收入每新跨100亿元台阶以上（含100亿元）的大企业大集团。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（三）主业突出，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主营业务聚焦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省委、省政府确定的重点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产业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发展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方向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大企业大集团。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 xml:space="preserve">第二条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榜单采信依据。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“世界企业500强”以《财富》杂志当年发布的排行榜为准；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（二）“中国企业500强”以中国企业联合会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中国企业家协会当年发布的排行榜为准；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（三）“中国民营企业500强”以中华全国工商业联合会当年发布的排行榜为准。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 xml:space="preserve">第三条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激励方式。</w:t>
      </w:r>
    </w:p>
    <w:p>
      <w:pPr>
        <w:ind w:firstLine="480" w:firstLineChars="15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（一）入榜奖励。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1.对新晋“世界企业500强”企业给予一次性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1000万元激励；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2.对新晋“中国企业500强”企业给予一次性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300万元激励；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pacing w:val="-7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auto"/>
          <w:spacing w:val="-7"/>
          <w:sz w:val="32"/>
          <w:szCs w:val="32"/>
        </w:rPr>
        <w:t>对新晋“中国民营企业500强”企业给予一次性</w:t>
      </w:r>
      <w:r>
        <w:rPr>
          <w:rFonts w:hint="eastAsia" w:ascii="Times New Roman" w:hAnsi="Times New Roman" w:eastAsia="仿宋_GB2312" w:cs="Times New Roman"/>
          <w:color w:val="auto"/>
          <w:spacing w:val="-7"/>
          <w:sz w:val="32"/>
          <w:szCs w:val="32"/>
          <w:lang w:eastAsia="zh-CN"/>
        </w:rPr>
        <w:t>不超过</w:t>
      </w:r>
      <w:r>
        <w:rPr>
          <w:rFonts w:ascii="Times New Roman" w:hAnsi="Times New Roman" w:eastAsia="仿宋_GB2312" w:cs="Times New Roman"/>
          <w:color w:val="auto"/>
          <w:spacing w:val="-7"/>
          <w:sz w:val="32"/>
          <w:szCs w:val="32"/>
        </w:rPr>
        <w:t>200万元激励；</w:t>
      </w:r>
    </w:p>
    <w:p>
      <w:pPr>
        <w:ind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（二）跨台阶奖励。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4.企业当年营业收入每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跨过一个100亿元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台阶，给予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200万元奖励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（不及或持平以往年度台阶水平的不予以奖励）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其中，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一次性跨过多个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100亿元级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台阶的企业，按照不超过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300万元给予奖励。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营业收入首次跨过1000亿元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台阶的，一次性奖励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500万元。</w:t>
      </w:r>
    </w:p>
    <w:p>
      <w:pPr>
        <w:ind w:firstLine="640" w:firstLineChars="200"/>
        <w:rPr>
          <w:rFonts w:ascii="Times New Roman" w:hAnsi="Times New Roman" w:eastAsia="宋体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（三）企业同时符合跨台阶奖励和入榜奖励中任意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子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项的，不重复奖励，采取就高原则给予激励。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第四条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资金管理。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奖励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资金遵循“自愿申请、公开透明、据实奖补”的原则，由省级财政预算安排，在省级工业发展资金中统筹列支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财政厅、经济和信息化厅共同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对奖励资金的使用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实施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监督和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管理。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第五条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企业条件。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（一）在四川省内注册登记，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1年，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具有独立法人资格的大企业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集团（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即符合国家大型企业划型标准的各类所有制企业，涵盖其合并报表中的全资子公司、全资分公司及控股公司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）或省外企业在川设立的分公司。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符合国家和省产业规划发展方向。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依法合规经营，依法纳税，如实提供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第三方会计师事务所出具的完整审计报告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等数据资料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）当年营业收入、利润总额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和税收同比有增长（全球重大经济危机、突发性公共危机等不可控因素可除外）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履行社会责任，信用良好。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大企业大集团及其合并报表中的全资子公司、全资分公司及控股公司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在当年无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重大质量事故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重大及以上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安全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生产事故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重大及以上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环境污染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事件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；无拖欠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中小企业账款、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职工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（含农民工）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的投诉并查实；无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欠缴各项社会保险费用；未发生影响社会稳定的群体性事件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；无逾期不良贷款；未被列入“信用中国”网上公布的“失信黑名单”和“重点关注名单”，“国家企业信用信息公示系统”中“经营异常目录”和“严重违法失信企业名单”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第六条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工作程序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企业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申请。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按管理权限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属地化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和自愿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原则，省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国资委监管企业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向省国资委提出申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请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其余省属国有企业向省级主管部门提出申请，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其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它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在川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大企业大集团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向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注册地市（州）、县（市、区）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经济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和信息化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主管部门提出申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请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初审上报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省国资委监管企业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经省国资委审核后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送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经济和信息化厅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，其余省属国有企业经省级主管部门审核后送经济和信息化厅，其它大企业大集团由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各市（州）经济和信息化主管部门初审后报经济和信息化厅。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企业申报资料中须包括但不限于年度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无重特大质量、安全生产、环境污染事故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无拖欠职工工资和欠缴各项社会保险费用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未发生影响社会稳定的群体性事件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的属地职能部门证明材料，税收完税证明材料，信用信息（含人行征信中心企业信用报告）等，具体详见当年申报通知。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部门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会商。经济和信息化厅、财政厅、省国资委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、省属国有企业主管部门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共同组织专家，对企业的财务资料进行核定。企业履行社会责任、社会信用等情况，会商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省委政法委、省法院、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人力资源社会保障厅、生态环境厅、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住房城乡建设厅、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商务厅、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应急厅、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省市场监管局、省统计局、省工商联、四川省税务局、人民银行成都分行等部门后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经济和信息化厅、财政厅共同提出拟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激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励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的企业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名单。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社会公示。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经济和信息化厅将部门会商无异议的企业名单向社会公示5个工作日。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实施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激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励。经公示无异议，由经济和信息化厅</w:t>
      </w:r>
      <w:r>
        <w:rPr>
          <w:rFonts w:hint="eastAsia" w:ascii="Times New Roman" w:hAnsi="Times New Roman" w:eastAsia="仿宋_GB2312" w:cs="Times New Roman"/>
          <w:bCs w:val="0"/>
          <w:color w:val="auto"/>
          <w:sz w:val="32"/>
          <w:szCs w:val="32"/>
          <w:lang w:eastAsia="zh-CN"/>
        </w:rPr>
        <w:t>会同财政厅提出激励资金分配方案，报省政府审定同意后予以</w:t>
      </w:r>
      <w:r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  <w:t>奖励。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符合上述激励条件的大企业大集团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若在当年已获得省级财政支持的，仍可享受本办法的激励政策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（同年度已享受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类似榜单激励政策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的除外）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符合入榜激励标准，但在自主申请期终止前，未提交申请材料的大企业大集团，不纳入本年度奖励范围。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激励的时间段以上年度发布的榜单、发生的数据信息为准。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第九条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企业应当依法依规使用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奖励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奖金，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用于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促进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企业扩大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规模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、提质增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等发展事项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 xml:space="preserve">第十条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暂行办法相关内容由经济和信息化厅、财政厅负责解释。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第十一条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color w:val="FF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本文件自发布之日起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30日后施行</w:t>
      </w:r>
      <w:r>
        <w:rPr>
          <w:rFonts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D10D6"/>
    <w:rsid w:val="246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2021-02-23T06:50:00Z</dcterms:created>
  <dc:creator>WPS_1494562550</dc:creator>
  <cp:lastModifiedBy>WPS_1494562550</cp:lastModifiedBy>
  <dcterms:modified xsi:type="dcterms:W3CDTF">2021-02-23T06:51:44Z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