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黑体" w:hAnsi="黑体" w:eastAsia="黑体" w:cs="黑体"/>
          <w:color w:val="000000"/>
          <w:kern w:val="0"/>
          <w:sz w:val="32"/>
          <w:szCs w:val="32"/>
          <w:lang w:eastAsia="zh-CN"/>
        </w:rPr>
      </w:pPr>
      <w:bookmarkStart w:id="0" w:name="_GoBack"/>
      <w:bookmarkEnd w:id="0"/>
      <w:r>
        <w:rPr>
          <w:rFonts w:hint="eastAsia" w:ascii="黑体" w:hAnsi="黑体" w:eastAsia="黑体" w:cs="黑体"/>
          <w:color w:val="000000"/>
          <w:kern w:val="0"/>
          <w:sz w:val="32"/>
          <w:szCs w:val="32"/>
          <w:lang w:eastAsia="zh-CN"/>
        </w:rPr>
        <w:t>附件</w:t>
      </w: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lang w:val="en-US" w:eastAsia="zh-CN"/>
        </w:rPr>
        <w:t>经济和信息化厅</w:t>
      </w:r>
      <w:r>
        <w:rPr>
          <w:rFonts w:hint="eastAsia" w:ascii="Times New Roman" w:hAnsi="Times New Roman" w:eastAsia="方正小标宋简体" w:cs="Times New Roman"/>
          <w:b w:val="0"/>
          <w:bCs/>
          <w:color w:val="auto"/>
          <w:sz w:val="44"/>
          <w:szCs w:val="44"/>
          <w:lang w:eastAsia="zh-CN"/>
        </w:rPr>
        <w:t>权责</w:t>
      </w:r>
      <w:r>
        <w:rPr>
          <w:rFonts w:hint="default" w:ascii="Times New Roman" w:hAnsi="Times New Roman" w:eastAsia="方正小标宋简体" w:cs="Times New Roman"/>
          <w:b w:val="0"/>
          <w:bCs/>
          <w:color w:val="auto"/>
          <w:sz w:val="44"/>
          <w:szCs w:val="44"/>
          <w:lang w:eastAsia="zh-CN"/>
        </w:rPr>
        <w:t>清单</w:t>
      </w: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方正小标宋简体" w:cs="Times New Roman"/>
          <w:b w:val="0"/>
          <w:bCs/>
          <w:color w:val="auto"/>
          <w:sz w:val="44"/>
          <w:szCs w:val="44"/>
          <w:lang w:eastAsia="zh-CN"/>
        </w:rPr>
      </w:pPr>
    </w:p>
    <w:tbl>
      <w:tblPr>
        <w:tblStyle w:val="3"/>
        <w:tblW w:w="14778"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18"/>
        <w:gridCol w:w="1300"/>
        <w:gridCol w:w="1693"/>
        <w:gridCol w:w="752"/>
        <w:gridCol w:w="3822"/>
        <w:gridCol w:w="1504"/>
        <w:gridCol w:w="1791"/>
        <w:gridCol w:w="160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55"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8"/>
                <w:szCs w:val="28"/>
                <w:lang w:val="en-US" w:eastAsia="zh-CN" w:bidi="ar-SA"/>
              </w:rPr>
            </w:pPr>
            <w:r>
              <w:rPr>
                <w:rFonts w:hint="default" w:ascii="Times New Roman" w:hAnsi="Times New Roman" w:eastAsia="黑体" w:cs="Times New Roman"/>
                <w:b w:val="0"/>
                <w:bCs/>
                <w:color w:val="auto"/>
                <w:kern w:val="2"/>
                <w:sz w:val="21"/>
                <w:szCs w:val="21"/>
                <w:lang w:val="en-US" w:eastAsia="zh-CN" w:bidi="ar-SA"/>
              </w:rPr>
              <w:t>序号</w:t>
            </w:r>
          </w:p>
        </w:tc>
        <w:tc>
          <w:tcPr>
            <w:tcW w:w="3811"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权力清单</w:t>
            </w:r>
          </w:p>
        </w:tc>
        <w:tc>
          <w:tcPr>
            <w:tcW w:w="9474" w:type="dxa"/>
            <w:gridSpan w:val="5"/>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责任清单</w:t>
            </w:r>
          </w:p>
        </w:tc>
        <w:tc>
          <w:tcPr>
            <w:tcW w:w="838"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55" w:type="dxa"/>
            <w:vMerge w:val="continue"/>
            <w:vAlign w:val="center"/>
          </w:tcPr>
          <w:p>
            <w:pPr>
              <w:keepNext w:val="0"/>
              <w:keepLines w:val="0"/>
              <w:pageBreakBefore w:val="0"/>
              <w:kinsoku/>
              <w:wordWrap/>
              <w:overflowPunct/>
              <w:topLinePunct w:val="0"/>
              <w:autoSpaceDE/>
              <w:autoSpaceDN/>
              <w:bidi w:val="0"/>
              <w:spacing w:line="280" w:lineRule="exact"/>
              <w:ind w:firstLine="0" w:firstLineChars="0"/>
              <w:jc w:val="center"/>
              <w:rPr>
                <w:rFonts w:hint="default" w:ascii="Times New Roman" w:hAnsi="Times New Roman" w:cs="Times New Roman"/>
                <w:color w:val="auto"/>
                <w:sz w:val="28"/>
                <w:szCs w:val="28"/>
              </w:rPr>
            </w:pPr>
          </w:p>
        </w:tc>
        <w:tc>
          <w:tcPr>
            <w:tcW w:w="81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权力类型</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权力名称</w:t>
            </w:r>
          </w:p>
        </w:tc>
        <w:tc>
          <w:tcPr>
            <w:tcW w:w="1693"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设定依据</w:t>
            </w:r>
          </w:p>
        </w:tc>
        <w:tc>
          <w:tcPr>
            <w:tcW w:w="75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责任主体</w:t>
            </w:r>
          </w:p>
        </w:tc>
        <w:tc>
          <w:tcPr>
            <w:tcW w:w="38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责任事项</w:t>
            </w:r>
          </w:p>
        </w:tc>
        <w:tc>
          <w:tcPr>
            <w:tcW w:w="150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问责依据</w:t>
            </w:r>
          </w:p>
        </w:tc>
        <w:tc>
          <w:tcPr>
            <w:tcW w:w="179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追责情形</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及免责情形</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监督方式</w:t>
            </w:r>
          </w:p>
        </w:tc>
        <w:tc>
          <w:tcPr>
            <w:tcW w:w="838" w:type="dxa"/>
            <w:vMerge w:val="continue"/>
            <w:vAlign w:val="top"/>
          </w:tcPr>
          <w:p>
            <w:pPr>
              <w:keepNext w:val="0"/>
              <w:keepLines w:val="0"/>
              <w:pageBreakBefore w:val="0"/>
              <w:kinsoku/>
              <w:wordWrap/>
              <w:overflowPunct/>
              <w:topLinePunct w:val="0"/>
              <w:autoSpaceDE/>
              <w:autoSpaceDN/>
              <w:bidi w:val="0"/>
              <w:spacing w:line="280" w:lineRule="exact"/>
              <w:ind w:firstLine="0" w:firstLineChars="0"/>
              <w:jc w:val="left"/>
              <w:rPr>
                <w:rFonts w:hint="default" w:ascii="Times New Roman" w:hAnsi="Times New Roman" w:eastAsia="方正仿宋简体" w:cs="Times New Roman"/>
                <w:b w:val="0"/>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i w:val="0"/>
                <w:color w:val="auto"/>
                <w:kern w:val="0"/>
                <w:sz w:val="21"/>
                <w:szCs w:val="21"/>
                <w:u w:val="none"/>
                <w:lang w:val="en-US" w:eastAsia="zh-CN" w:bidi="ar"/>
              </w:rPr>
              <w:t>4</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企业投资项目核准</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1.《企业投资项目核准和备案管理条例》第三条。</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2.《企业投资项目核准和备案管理办法》第三条、第四条。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技术改造处、材料工业处</w:t>
            </w:r>
          </w:p>
        </w:tc>
        <w:tc>
          <w:tcPr>
            <w:tcW w:w="3822" w:type="dxa"/>
            <w:vAlign w:val="center"/>
          </w:tcPr>
          <w:p>
            <w:pPr>
              <w:keepNext w:val="0"/>
              <w:keepLines w:val="0"/>
              <w:pageBreakBefore w:val="0"/>
              <w:numPr>
                <w:ilvl w:val="0"/>
                <w:numId w:val="1"/>
              </w:numPr>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受理责任：公示申请条件和应提交材料、办理程序，一次性告知补正材料，依法受理或不予受理并告知理由。</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按照法律法规、发展规划、产业政策、资源利用、准入标准等规定，从维护经济安全、合理开发利用资源、保护生态环境、优化重大布局、保障公共利益等方面，对书面申请材料进行审查，作出是否予以核准的决定；企业对提供技术改造项目资料及信息的真实、准确、完整和合法进行承诺；项目涉及有关行业管理部门或者项目所在地地方人民政府职责的，或者需要征求项目所在地地方人民政府意见的，应当商请有关行业管理部门或者地方人民政府出具书面审查意见；需要评估的项目，应按照有关规定委托评估；对于可能会对公众利益构成重大影响的项目，应当采取适当方式征求公众意见。对于特别重大的项目，可以实行专家评议制度。</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3.决定责任：在规定时限内，作出是否核准的决定，经同意核准的，出具项目核准文件；不同意核准的，发送不予核准决定书，并说明理由。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4.事后监管责任：按照谁审批谁监管、谁主管谁监管的原则，采取在线监测、现场核查等方式，依法加强对项目的事中事后监管。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第七十二条、第七十三条、第七十四条、第七十五条以及其他</w:t>
            </w:r>
            <w:r>
              <w:rPr>
                <w:rFonts w:hint="eastAsia" w:ascii="Times New Roman" w:hAnsi="Times New Roman" w:eastAsia="方正仿宋简体" w:cs="Times New Roman"/>
                <w:color w:val="auto"/>
                <w:kern w:val="0"/>
                <w:sz w:val="21"/>
                <w:szCs w:val="21"/>
                <w:lang w:eastAsia="zh-CN"/>
              </w:rPr>
              <w:t>依法</w:t>
            </w:r>
            <w:r>
              <w:rPr>
                <w:rFonts w:hint="default" w:ascii="Times New Roman" w:hAnsi="Times New Roman" w:eastAsia="方正仿宋简体" w:cs="Times New Roman"/>
                <w:color w:val="auto"/>
                <w:kern w:val="0"/>
                <w:sz w:val="21"/>
                <w:szCs w:val="21"/>
                <w:lang w:eastAsia="zh-CN"/>
              </w:rPr>
              <w:t>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技术改造类；扩权试点县（市）执行市级权限[跨县（市、区）的项目除外]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5</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固定资产投资项目节能审查（企业技术改造项目）</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1.《中华人民共和国节约能源法》第十五条。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2.《国务院关于加强节能工作的决定》第二十三条。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3.《固定资产投资项目节能审查办法》第五条。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4.《四川省&lt;中华人民共和国节约能源法&gt;实施办法》第十二条。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环境和资源综合利用处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1.受理责任：公示申请条件和应提交材料、办理程序，一次性告知补正材料，依法受理或不予受理并告知理由。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委托第三方机构进行专家评审，按照法律法规、发展规划、产业政策、节约能源相关要求及标准等，从固定资产投资项目是否符合节能有关法律法规、标准规范、政策，项目用能分析是否客观准确、方法是否科学、结论是否准确，节能措施是否合理可行，项目能源消费量和能效水平是否满足本地区能耗总量和强度“双控”管理要求等方面对项目节能报告进行审查，并提出是否通过节能审查的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3.决定责任：作出行政许可或者不予行政许可的决定，法定告知（不予许可的应当书面告知理由）。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4.事后监管责任：加强对固定资产投资项目（企业技术改造项目）落实节能措施情况的监督管理，项目建成后依法纳入节能监察范围，对违反节能法律法规有关规定的依法采取相关处置措施。</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第七十二条、第七十三条、第七十四条、第七十五条以及其他</w:t>
            </w:r>
            <w:r>
              <w:rPr>
                <w:rFonts w:hint="eastAsia" w:ascii="Times New Roman" w:hAnsi="Times New Roman" w:eastAsia="方正仿宋简体" w:cs="Times New Roman"/>
                <w:color w:val="auto"/>
                <w:kern w:val="0"/>
                <w:sz w:val="21"/>
                <w:szCs w:val="21"/>
                <w:lang w:eastAsia="zh-CN"/>
              </w:rPr>
              <w:t>依法</w:t>
            </w:r>
            <w:r>
              <w:rPr>
                <w:rFonts w:hint="default" w:ascii="Times New Roman" w:hAnsi="Times New Roman" w:eastAsia="方正仿宋简体" w:cs="Times New Roman"/>
                <w:color w:val="auto"/>
                <w:kern w:val="0"/>
                <w:sz w:val="21"/>
                <w:szCs w:val="21"/>
                <w:lang w:eastAsia="zh-CN"/>
              </w:rPr>
              <w:t>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6</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新建、扩建或改建用于生产第二、三类监控化学品和第四类监控化学品中含磷、硫、氟的特定有机化学品的设施建设初审</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1.《中华人民共和国监控化学品管理条例》第八条。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2.《〈中华人民共和国监控化学品管理条例〉实施细则》第六条。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1.受理责任：公示申请条件和应提交材料、办理程序，一次性告知补正材料，依法受理或不予受理（不予受理的应当告知理由）。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2.审查责任：根据《中华人民共和国监控化学品管理条例》《〈中华人民共和国监控化学品管理条例〉实施细则》，对书面申请材料进行审查，提出是否同意的审批意见。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3.决定责任：作出行政许可或者不予行政许可的决定，告知当事人（不予许可的书面告知理由）。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 xml:space="preserve">4.事后监督责任：加强对监控化学品生产设施的监管，开展定期和不定期检查。 </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第七十二条、第七十三条、第七十四条、第七十五条以及其他</w:t>
            </w:r>
            <w:r>
              <w:rPr>
                <w:rFonts w:hint="eastAsia" w:ascii="Times New Roman" w:hAnsi="Times New Roman" w:eastAsia="方正仿宋简体" w:cs="Times New Roman"/>
                <w:color w:val="auto"/>
                <w:kern w:val="0"/>
                <w:sz w:val="21"/>
                <w:szCs w:val="21"/>
                <w:lang w:eastAsia="zh-CN"/>
              </w:rPr>
              <w:t>依法</w:t>
            </w:r>
            <w:r>
              <w:rPr>
                <w:rFonts w:hint="default" w:ascii="Times New Roman" w:hAnsi="Times New Roman" w:eastAsia="方正仿宋简体" w:cs="Times New Roman"/>
                <w:color w:val="auto"/>
                <w:kern w:val="0"/>
                <w:sz w:val="21"/>
                <w:szCs w:val="21"/>
                <w:lang w:eastAsia="zh-CN"/>
              </w:rPr>
              <w:t>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7</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第二类、第三类和第四类监控化学品中含硫、磷、氟的特定有机化学品生产特别许可</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1.《中华人民共和国监控化学品管理条例》第七条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2.《〈中华人民共和国监控化学品管理条例〉实施细则》第九条、第十一条、第十二条、第十三条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3.《国务院关于深化“证照分离”改革进一步激发市场主体发展活力的通知》</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4.工业和信息化部《关于深化“证照分离改革”的通告》</w:t>
            </w:r>
            <w:r>
              <w:rPr>
                <w:rFonts w:hint="default" w:ascii="Times New Roman" w:hAnsi="Times New Roman" w:eastAsia="方正仿宋简体" w:cs="Times New Roman"/>
                <w:color w:val="auto"/>
                <w:kern w:val="0"/>
                <w:szCs w:val="21"/>
                <w:lang w:eastAsia="zh-CN"/>
              </w:rPr>
              <w:t>。</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1.受理责任：公示申请条件和应提交材料、办理程序，一次性告知补正材料，依法受理或不予受理（不予受理的应当告知理由）。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2.审查责任：根据《中华人民共和国监控化学品管理条例》《〈中华人民共和国监控化学品管理条例〉实施细则》，对书面申请材料进行审查，提出是否同意的审批意见。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3.决定责任：作出行政许可或者不予行政许可的决定，告知当事人（不予许可的书面告知理由）。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 xml:space="preserve">4.事后监督责任：加强对监控化学品生产企业的监管，开展定期和不定期检查。 </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第二类监控化学品使用许可</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1.《中华人民共和国监控化学品管理条例》第十三条。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2.《〈中华人民共和国监控化学品管理条例〉实施细则》第二十五条、第二十六条、第二十七条。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1.受理责任：公示申请条件和应提交材料、办理程序，一次性告知补正材料，依法受理或不予受理（不予受理的应当告知理由）。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2.审查责任：根据《中华人民共和国监控化学品管理条例》《〈中华人民共和国监控化学品管理条例〉实施细则》，对书面申请材料进行审查，提出是否同意的审批意见。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3.决定责任：作出行政许可或者不予行政许可的决定，告知当事人（不予许可的书面告知理由）。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 xml:space="preserve">4.事后监督责任：加强对监控化学品使用企业的监管，开展定期和不定期检查。 </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9</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变质或者过期失效的监控化学品处理方案批准</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《中华人民共和国监控化学品管理条例》第十一条。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1.受理责任：公示申请条件和应提交材料、办理程序，一次性告知补正材料，依法受理或不予受理（不予受理的应当告知理由）。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2.审查责任：根据《中华人民共和国监控化学品管理条例》，对书面申请材料进行审查，提出是否同意的审批意见。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3.决定责任：作出行政许可或者不予行政许可的决定，告知当事人（不予许可的书面告知理由）。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4.事后监督责任：加强对监控化学品处理方案实施的监管，监督企业按照批准方案处理变质或者过期失效的监控化学品。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10</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建立卫星通信网和设置卫星地球站审批</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1.《中华人民共和国无线电管理条例》第三十</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w:t>
            </w:r>
            <w:r>
              <w:rPr>
                <w:rFonts w:hint="default" w:ascii="Times New Roman" w:hAnsi="Times New Roman" w:eastAsia="方正仿宋简体" w:cs="Times New Roman"/>
                <w:color w:val="auto"/>
                <w:kern w:val="0"/>
                <w:szCs w:val="21"/>
                <w:lang w:eastAsia="zh-CN"/>
              </w:rPr>
              <w:t>第</w:t>
            </w:r>
            <w:r>
              <w:rPr>
                <w:rFonts w:hint="default" w:ascii="Times New Roman" w:hAnsi="Times New Roman" w:eastAsia="方正仿宋简体" w:cs="Times New Roman"/>
                <w:color w:val="auto"/>
                <w:kern w:val="0"/>
                <w:szCs w:val="21"/>
              </w:rPr>
              <w:t>三十一条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2.《建立卫星通信网和设置使用地球站管理规定》第四</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w:t>
            </w:r>
            <w:r>
              <w:rPr>
                <w:rFonts w:hint="default" w:ascii="Times New Roman" w:hAnsi="Times New Roman" w:eastAsia="方正仿宋简体" w:cs="Times New Roman"/>
                <w:color w:val="auto"/>
                <w:kern w:val="0"/>
                <w:szCs w:val="21"/>
                <w:lang w:eastAsia="zh-CN"/>
              </w:rPr>
              <w:t>第</w:t>
            </w:r>
            <w:r>
              <w:rPr>
                <w:rFonts w:hint="default" w:ascii="Times New Roman" w:hAnsi="Times New Roman" w:eastAsia="方正仿宋简体" w:cs="Times New Roman"/>
                <w:color w:val="auto"/>
                <w:kern w:val="0"/>
                <w:szCs w:val="21"/>
              </w:rPr>
              <w:t>十七条</w:t>
            </w:r>
            <w:r>
              <w:rPr>
                <w:rFonts w:hint="default" w:ascii="Times New Roman" w:hAnsi="Times New Roman" w:eastAsia="方正仿宋简体" w:cs="Times New Roman"/>
                <w:color w:val="auto"/>
                <w:kern w:val="0"/>
                <w:szCs w:val="21"/>
                <w:lang w:eastAsia="zh-CN"/>
              </w:rPr>
              <w:t>。</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无线电频率台站管理处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1.受理责任：公示申请条件和应提交材料、办理程序，一次性告知补正材料，依法受理或不予受理并告知理由。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2审查责任：对书面申请材料和技术审查结果进行审查，提出是否同意的初审意见。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4.事后监管责任：加强日常监督检查，督促行政相对人依照法律、法规等规定使用无线电设备。</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11</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无线电台（站）设置审批</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1.《中华人民共和国无线电管理条例》第十</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、第十四</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、第十五</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、第十六</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、第十八</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、第十九</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、第二十七</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、第二十八</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、第二十九</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、第三十</w:t>
            </w:r>
            <w:r>
              <w:rPr>
                <w:rFonts w:hint="default" w:ascii="Times New Roman" w:hAnsi="Times New Roman" w:eastAsia="方正仿宋简体" w:cs="Times New Roman"/>
                <w:color w:val="auto"/>
                <w:kern w:val="0"/>
                <w:szCs w:val="21"/>
                <w:lang w:eastAsia="zh-CN"/>
              </w:rPr>
              <w:t>条</w:t>
            </w:r>
            <w:r>
              <w:rPr>
                <w:rFonts w:hint="default" w:ascii="Times New Roman" w:hAnsi="Times New Roman" w:eastAsia="方正仿宋简体" w:cs="Times New Roman"/>
                <w:color w:val="auto"/>
                <w:kern w:val="0"/>
                <w:szCs w:val="21"/>
              </w:rPr>
              <w:t>、三十一条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2.《无线电台执照管理规定》第六条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3.《无线电频率使用许可管理办法》第四条、第五条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4.《业余无线电台管理办法》第四条、第三十二条</w:t>
            </w:r>
            <w:r>
              <w:rPr>
                <w:rFonts w:hint="default" w:ascii="Times New Roman" w:hAnsi="Times New Roman" w:eastAsia="方正仿宋简体" w:cs="Times New Roman"/>
                <w:color w:val="auto"/>
                <w:kern w:val="0"/>
                <w:szCs w:val="21"/>
                <w:lang w:eastAsia="zh-CN"/>
              </w:rPr>
              <w:t>。</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无线电频率台站管理处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1.受理责任：公示申请条件和应提交材料、办理程序，一次性告知补正材料，依法受理或不予受理并告知理由。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2审查责任：对书面申请材料和技术审查结果进行审查，提出是否同意的初审意见。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3.决定责任：作出行政许可或者不予行政许可的决定；法定告知（不予许可的应当书面告知理由）。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4.事后监管责任：加强无线电监测和日常监督检查，督促行政相对人依照法律、法规等规定使用无线电频率，设置无线电台站，防止无线电干扰。</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无线电设备进关核准</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Cs w:val="21"/>
              </w:rPr>
            </w:pPr>
            <w:r>
              <w:rPr>
                <w:rFonts w:hint="default" w:ascii="Times New Roman" w:hAnsi="Times New Roman" w:eastAsia="方正仿宋简体" w:cs="Times New Roman"/>
                <w:color w:val="auto"/>
                <w:kern w:val="0"/>
                <w:szCs w:val="21"/>
              </w:rPr>
              <w:t>1.《中华人民共和国无线电管理条例》第二条、第四十四条、第四十七条</w:t>
            </w:r>
            <w:r>
              <w:rPr>
                <w:rFonts w:hint="default" w:ascii="Times New Roman" w:hAnsi="Times New Roman" w:eastAsia="方正仿宋简体" w:cs="Times New Roman"/>
                <w:color w:val="auto"/>
                <w:kern w:val="0"/>
                <w:szCs w:val="21"/>
                <w:lang w:eastAsia="zh-CN"/>
              </w:rPr>
              <w:t>。</w:t>
            </w:r>
          </w:p>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2.《进口无线电发射设备的管理规定》第八条、第十条、第十二条</w:t>
            </w:r>
            <w:r>
              <w:rPr>
                <w:rFonts w:hint="default" w:ascii="Times New Roman" w:hAnsi="Times New Roman" w:eastAsia="方正仿宋简体" w:cs="Times New Roman"/>
                <w:color w:val="auto"/>
                <w:kern w:val="0"/>
                <w:szCs w:val="21"/>
                <w:lang w:eastAsia="zh-CN"/>
              </w:rPr>
              <w:t>。</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无线电频率台站管理处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1.受理责任：公示申请条件和应提交材料、办理程序，一次性告知补正材料，依法受理或不予受理并告知理由。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2审查责任：对书面申请材料和技术审查结果进行审查，提出是否同意的初审意见。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4.事后监管责任：加强日常监督检查，督促行政相对人依照法律、法规等规定使用无线电设备。</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sz w:val="21"/>
                <w:szCs w:val="21"/>
                <w:lang w:val="en-US" w:eastAsia="zh-CN"/>
              </w:rPr>
              <w:t>14</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食盐定点批发许可</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《食盐专营办法》第十三条。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受理责任：公示申请条件和应提交材料、办理程序，一次性告知补证材料，依法受理或不予受理并告知理由；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审查责任：按照工信部《食盐定点生产企业和食盐定点批发企业规范条件》，组织相关专家组成审核专家组，对书面申请材料和现场情况进行审查，提出是否同意的初审意见；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决定责任：根据审核专家组意见，作出行政许可或者不予行政许可的决定，法定告知（不予许可的应当书面告知理由）；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事后监管责任：加强对食盐定点批发许可企业的日常监督管理，督促行政相对人依照法律、法规等规定批发食盐；</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其他责任：法律法规规章规定应履行的其他责任。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1.《中华人民共和国行政许可法》第七十二条、第七十三条、第七十四条、第七十五条。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2.《食盐专营办法》第三十三条</w:t>
            </w:r>
            <w:r>
              <w:rPr>
                <w:rFonts w:hint="eastAsia" w:ascii="Times New Roman" w:hAnsi="Times New Roman" w:eastAsia="方正仿宋简体" w:cs="Times New Roman"/>
                <w:color w:val="auto"/>
                <w:kern w:val="0"/>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3.其他依法应当</w:t>
            </w:r>
            <w:r>
              <w:rPr>
                <w:rFonts w:hint="default" w:ascii="Times New Roman" w:hAnsi="Times New Roman" w:eastAsia="方正仿宋简体" w:cs="Times New Roman"/>
                <w:color w:val="auto"/>
                <w:kern w:val="0"/>
                <w:sz w:val="21"/>
                <w:szCs w:val="21"/>
                <w:lang w:val="en-US"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sz w:val="21"/>
                <w:szCs w:val="21"/>
                <w:lang w:val="en-US" w:eastAsia="zh-CN"/>
              </w:rPr>
              <w:t>15</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食盐定点生产企业审批</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《食盐专营办法》第九条。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1.受理责任：公示申请条件和应提交材料、办理程序，一次性告知补证材料，依法受理或不予受理并告知理由；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2.审查责任：按照工信部《食盐定点生产企业和食盐定点批发企业规范条件》，组织相关专家组成审核专家组，对书面申请材料和现场情况进行审查，提出是否同意的初审意见；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3.决定责任：根据审核专家组意见，作出行政许可或者不予行政许可的决定，法定告知（不予许可的应当书面告知理由）；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4.事后监管责任：加强对食盐定点生产许可企业的日常监督管理，督促行政相对人依照法律、法规等规定生产食盐；</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1.《中华人民共和国行政许可法》第七十二条、第七十三条、第七十四条、第七十五条。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2.《食盐专营办法》第三十三条</w:t>
            </w:r>
            <w:r>
              <w:rPr>
                <w:rFonts w:hint="eastAsia" w:ascii="Times New Roman" w:hAnsi="Times New Roman" w:eastAsia="方正仿宋简体" w:cs="Times New Roman"/>
                <w:color w:val="auto"/>
                <w:kern w:val="0"/>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3.其他依法应当</w:t>
            </w:r>
            <w:r>
              <w:rPr>
                <w:rFonts w:hint="default" w:ascii="Times New Roman" w:hAnsi="Times New Roman" w:eastAsia="方正仿宋简体" w:cs="Times New Roman"/>
                <w:color w:val="auto"/>
                <w:kern w:val="0"/>
                <w:sz w:val="21"/>
                <w:szCs w:val="21"/>
                <w:lang w:val="en-US"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rPr>
              <w:t>16</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行政许可</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第二类监控化学品经营许可</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《〈中华人民共和国监控化学品管理条例〉实施细则》第十七条、第十九条、第二十条。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1.受理责任：公示申请条件和应提交材料、办理程序，一次性告知补正材料，依法受理或不予受理（不予受理的应当告知理由）。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2.审查责任：根据《〈中华人民共和国监控化学品管理条例〉实施细则》，对书面申请材料进行审查，提出是否同意的审批意见。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3.决定责任：作出行政许可或者不予行政许可的决定，告知当事人（不予许可的书面告知理由）。</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 xml:space="preserve">4.事后监督责任：加强对监控化学品经营企业的监管，开展定期和不定期检查。 </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w:t>
            </w:r>
            <w:r>
              <w:rPr>
                <w:rFonts w:hint="default" w:ascii="Times New Roman" w:hAnsi="Times New Roman" w:eastAsia="方正仿宋简体" w:cs="Times New Roman"/>
                <w:color w:val="auto"/>
                <w:kern w:val="0"/>
                <w:sz w:val="21"/>
                <w:szCs w:val="21"/>
              </w:rPr>
              <w:t>《中华人民共和国行政许可法》</w:t>
            </w:r>
            <w:r>
              <w:rPr>
                <w:rFonts w:hint="default" w:ascii="Times New Roman" w:hAnsi="Times New Roman" w:eastAsia="方正仿宋简体" w:cs="Times New Roman"/>
                <w:color w:val="auto"/>
                <w:kern w:val="0"/>
                <w:sz w:val="21"/>
                <w:szCs w:val="21"/>
                <w:lang w:eastAsia="zh-CN"/>
              </w:rPr>
              <w:t>第七十二条、第七十三条、第七十四条、第七十五条以及</w:t>
            </w:r>
            <w:r>
              <w:rPr>
                <w:rFonts w:hint="eastAsia" w:ascii="Times New Roman" w:hAnsi="Times New Roman" w:eastAsia="方正仿宋简体" w:cs="Times New Roman"/>
                <w:color w:val="auto"/>
                <w:kern w:val="0"/>
                <w:sz w:val="21"/>
                <w:szCs w:val="21"/>
                <w:lang w:eastAsia="zh-CN"/>
              </w:rPr>
              <w:t>其他依法应当</w:t>
            </w:r>
            <w:r>
              <w:rPr>
                <w:rFonts w:hint="default" w:ascii="Times New Roman" w:hAnsi="Times New Roman" w:eastAsia="方正仿宋简体" w:cs="Times New Roman"/>
                <w:color w:val="auto"/>
                <w:kern w:val="0"/>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color w:val="auto"/>
                <w:kern w:val="0"/>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b w:val="0"/>
                <w:bCs/>
                <w:color w:val="auto"/>
                <w:sz w:val="21"/>
                <w:szCs w:val="21"/>
                <w:lang w:val="en-US" w:eastAsia="zh-CN"/>
              </w:rPr>
              <w:t>31</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rPr>
              <w:t>对违反节约能源管理有关规定的</w:t>
            </w:r>
            <w:r>
              <w:rPr>
                <w:rFonts w:hint="default" w:ascii="Times New Roman" w:hAnsi="Times New Roman" w:eastAsia="方正仿宋简体" w:cs="Times New Roman"/>
                <w:color w:val="auto"/>
                <w:kern w:val="0"/>
                <w:sz w:val="21"/>
                <w:szCs w:val="21"/>
                <w:lang w:eastAsia="zh-CN"/>
              </w:rPr>
              <w:t>行政</w:t>
            </w:r>
            <w:r>
              <w:rPr>
                <w:rFonts w:hint="default" w:ascii="Times New Roman" w:hAnsi="Times New Roman" w:eastAsia="方正仿宋简体" w:cs="Times New Roman"/>
                <w:color w:val="auto"/>
                <w:kern w:val="0"/>
                <w:sz w:val="21"/>
                <w:szCs w:val="21"/>
              </w:rPr>
              <w:t>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rPr>
              <w:t>《中华人民共和国节约能源法》</w:t>
            </w:r>
            <w:r>
              <w:rPr>
                <w:rFonts w:hint="default" w:ascii="Times New Roman" w:hAnsi="Times New Roman" w:eastAsia="方正仿宋简体" w:cs="Times New Roman"/>
                <w:color w:val="auto"/>
                <w:kern w:val="0"/>
                <w:sz w:val="21"/>
                <w:szCs w:val="21"/>
                <w:lang w:val="en-US" w:eastAsia="zh-CN"/>
              </w:rPr>
              <w:t>（中华人民共和国主席令第十六号）</w:t>
            </w:r>
            <w:r>
              <w:rPr>
                <w:rFonts w:hint="default" w:ascii="Times New Roman" w:hAnsi="Times New Roman" w:eastAsia="方正仿宋简体" w:cs="Times New Roman"/>
                <w:color w:val="auto"/>
                <w:kern w:val="0"/>
                <w:sz w:val="21"/>
                <w:szCs w:val="21"/>
              </w:rPr>
              <w:t>第五十四条</w:t>
            </w:r>
            <w:r>
              <w:rPr>
                <w:rFonts w:hint="default" w:ascii="Times New Roman" w:hAnsi="Times New Roman" w:eastAsia="方正仿宋简体" w:cs="Times New Roman"/>
                <w:color w:val="auto"/>
                <w:kern w:val="0"/>
                <w:sz w:val="21"/>
                <w:szCs w:val="21"/>
                <w:lang w:eastAsia="zh-CN"/>
              </w:rPr>
              <w:t>、</w:t>
            </w:r>
            <w:r>
              <w:rPr>
                <w:rFonts w:hint="default" w:ascii="Times New Roman" w:hAnsi="Times New Roman" w:eastAsia="方正仿宋简体" w:cs="Times New Roman"/>
                <w:color w:val="auto"/>
                <w:kern w:val="0"/>
                <w:sz w:val="21"/>
                <w:szCs w:val="21"/>
                <w:lang w:val="en-US" w:eastAsia="zh-CN"/>
              </w:rPr>
              <w:t>五十五条、</w:t>
            </w:r>
            <w:r>
              <w:rPr>
                <w:rFonts w:hint="default" w:ascii="Times New Roman" w:hAnsi="Times New Roman" w:eastAsia="方正仿宋简体" w:cs="Times New Roman"/>
                <w:color w:val="auto"/>
                <w:kern w:val="0"/>
                <w:sz w:val="21"/>
                <w:szCs w:val="21"/>
              </w:rPr>
              <w:t>第六十八条</w:t>
            </w:r>
            <w:r>
              <w:rPr>
                <w:rFonts w:hint="default" w:ascii="Times New Roman" w:hAnsi="Times New Roman" w:eastAsia="方正仿宋简体" w:cs="Times New Roman"/>
                <w:color w:val="auto"/>
                <w:kern w:val="0"/>
                <w:sz w:val="21"/>
                <w:szCs w:val="21"/>
                <w:lang w:eastAsia="zh-CN"/>
              </w:rPr>
              <w:t>、第七十一条、</w:t>
            </w:r>
            <w:r>
              <w:rPr>
                <w:rFonts w:hint="default" w:ascii="Times New Roman" w:hAnsi="Times New Roman" w:eastAsia="方正仿宋简体" w:cs="Times New Roman"/>
                <w:color w:val="auto"/>
                <w:kern w:val="0"/>
                <w:sz w:val="21"/>
                <w:szCs w:val="21"/>
                <w:lang w:val="en-US" w:eastAsia="zh-CN"/>
              </w:rPr>
              <w:t>第七十二条、第七十六条、第七十七条、</w:t>
            </w:r>
            <w:r>
              <w:rPr>
                <w:rFonts w:hint="default" w:ascii="Times New Roman" w:hAnsi="Times New Roman" w:eastAsia="方正仿宋简体" w:cs="Times New Roman"/>
                <w:color w:val="auto"/>
                <w:kern w:val="0"/>
                <w:sz w:val="21"/>
                <w:szCs w:val="21"/>
                <w:lang w:eastAsia="zh-CN"/>
              </w:rPr>
              <w:t>第八十二条、</w:t>
            </w:r>
            <w:r>
              <w:rPr>
                <w:rFonts w:hint="default" w:ascii="Times New Roman" w:hAnsi="Times New Roman" w:eastAsia="方正仿宋简体" w:cs="Times New Roman"/>
                <w:color w:val="auto"/>
                <w:kern w:val="0"/>
                <w:sz w:val="21"/>
                <w:szCs w:val="21"/>
              </w:rPr>
              <w:t>第八十三条</w:t>
            </w:r>
            <w:r>
              <w:rPr>
                <w:rFonts w:hint="default" w:ascii="Times New Roman" w:hAnsi="Times New Roman" w:eastAsia="方正仿宋简体" w:cs="Times New Roman"/>
                <w:color w:val="auto"/>
                <w:kern w:val="0"/>
                <w:sz w:val="21"/>
                <w:szCs w:val="21"/>
                <w:lang w:eastAsia="zh-CN"/>
              </w:rPr>
              <w:t>、</w:t>
            </w:r>
            <w:r>
              <w:rPr>
                <w:rFonts w:hint="default" w:ascii="Times New Roman" w:hAnsi="Times New Roman" w:eastAsia="方正仿宋简体" w:cs="Times New Roman"/>
                <w:color w:val="auto"/>
                <w:kern w:val="0"/>
                <w:sz w:val="21"/>
                <w:szCs w:val="21"/>
                <w:lang w:val="en-US" w:eastAsia="zh-CN"/>
              </w:rPr>
              <w:t>第八十四条。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rPr>
              <w:t>环境</w:t>
            </w:r>
            <w:r>
              <w:rPr>
                <w:rFonts w:hint="default" w:ascii="Times New Roman" w:hAnsi="Times New Roman" w:eastAsia="方正仿宋简体" w:cs="Times New Roman"/>
                <w:color w:val="auto"/>
                <w:kern w:val="0"/>
                <w:sz w:val="21"/>
                <w:szCs w:val="21"/>
                <w:lang w:eastAsia="zh-CN"/>
              </w:rPr>
              <w:t>和</w:t>
            </w:r>
            <w:r>
              <w:rPr>
                <w:rFonts w:hint="default" w:ascii="Times New Roman" w:hAnsi="Times New Roman" w:eastAsia="方正仿宋简体" w:cs="Times New Roman"/>
                <w:color w:val="auto"/>
                <w:kern w:val="0"/>
                <w:sz w:val="21"/>
                <w:szCs w:val="21"/>
              </w:rPr>
              <w:t>资源综合利用处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rPr>
              <w:t>立案责任：发现涉嫌违反《中华人民共和国节约能源法》及相关条例的行为，予以审查，决定是否立案。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2.调查责任：对立案的案件，指定专人负责，及时组织调查取证，与当事人有直接利害关系的应当回避。执法人员不得少于两人，调查时应出示证件，允许当事人辩解。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3.审查责任：对调查结果进行审查，对案件违法事实、证据、调查取证程序、法律适用、处罚种类和幅度、当事人陈述和申辩，提出处理意见。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4.告知责任：作出行政处罚决定前，应制作《行政处罚告知书》送达当事人，符合听证规定的，制作并送达《行政处罚听证告知书》。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5.决定责任：作出处罚决定，制作《行政处罚决定书》，并载明行政处罚告知、当事人陈述申辩或者听证情况等内容。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7.执行责任：依照生效的行政处罚决定实施处罚，或按规定移交相关部门。</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b w:val="0"/>
                <w:bCs/>
                <w:color w:val="auto"/>
                <w:sz w:val="21"/>
                <w:szCs w:val="21"/>
                <w:lang w:val="en-US" w:eastAsia="zh-CN"/>
              </w:rPr>
              <w:t>32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eastAsia="zh-CN"/>
              </w:rPr>
              <w:t>对违反监控化学品管理规定的行政处罚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1.《中华人民共和国监控化学品管理条例》第二十一条、第二十二条、第二十三条、第二十四条、第二十五条。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val="en-US" w:eastAsia="zh-CN"/>
              </w:rPr>
              <w:t>2.《〈中华人民共和国监控化学品管理条例〉实施细则》第四十六条、第四十七条、第四十八条、第四九条、第五十条、第五十一条、第五十三条、第五十四条、第五十五</w:t>
            </w:r>
            <w:r>
              <w:rPr>
                <w:rFonts w:hint="default" w:ascii="Times New Roman" w:hAnsi="Times New Roman" w:eastAsia="方正仿宋简体" w:cs="Times New Roman"/>
                <w:color w:val="auto"/>
                <w:kern w:val="0"/>
                <w:sz w:val="21"/>
                <w:szCs w:val="21"/>
                <w:lang w:eastAsia="zh-CN"/>
              </w:rPr>
              <w:t>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1.立案责任：发现涉嫌违反监控化学品管理规定的行为，予以审查，决定是否立案。</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3.审查责任：对调查结果进行审查，对案件违法事实、证据、调查取证程序、法律适用、处罚种类和幅度、当事人陈述和申辩，提出处理意见。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4.告知责任：作出行政处罚决定前，应制作《行政处罚告知书》送达当事人，符合听证规定的，制作并送达《行政处罚听证告知书》。</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5.决定责任：作出处罚决定，制作《行政处罚决定书》，并载明行政处罚告知、当事人陈述申辩或者听证情况等内容。</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6.送达责任：按法律规定的方式将行政处罚决定送达当事人。</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7.执行责任：依照生效的行政处罚决定进行处罚，或按规定移交相关部门。</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lang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33</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对违反电力设施保护和供用电秩序维护的行政处罚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1.《中华人民共和国电力法》第</w:t>
            </w:r>
            <w:r>
              <w:rPr>
                <w:rFonts w:hint="default" w:ascii="Times New Roman" w:hAnsi="Times New Roman" w:eastAsia="方正仿宋简体" w:cs="Times New Roman"/>
                <w:color w:val="auto"/>
                <w:kern w:val="0"/>
                <w:sz w:val="21"/>
                <w:szCs w:val="21"/>
                <w:lang w:val="en-US" w:eastAsia="zh-CN"/>
              </w:rPr>
              <w:t>六十四条</w:t>
            </w:r>
            <w:r>
              <w:rPr>
                <w:rFonts w:hint="default" w:ascii="Times New Roman" w:hAnsi="Times New Roman" w:eastAsia="方正仿宋简体" w:cs="Times New Roman"/>
                <w:color w:val="auto"/>
                <w:kern w:val="0"/>
                <w:sz w:val="21"/>
                <w:szCs w:val="21"/>
                <w:lang w:eastAsia="zh-CN"/>
              </w:rPr>
              <w:t>、第六十八条、第七十一条。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2.《电力设施保护条例》第</w:t>
            </w:r>
            <w:r>
              <w:rPr>
                <w:rFonts w:hint="default" w:ascii="Times New Roman" w:hAnsi="Times New Roman" w:eastAsia="方正仿宋简体" w:cs="Times New Roman"/>
                <w:color w:val="auto"/>
                <w:kern w:val="0"/>
                <w:sz w:val="21"/>
                <w:szCs w:val="21"/>
                <w:lang w:val="en-US" w:eastAsia="zh-CN"/>
              </w:rPr>
              <w:t>二十六条、第二十八</w:t>
            </w:r>
            <w:r>
              <w:rPr>
                <w:rFonts w:hint="default" w:ascii="Times New Roman" w:hAnsi="Times New Roman" w:eastAsia="方正仿宋简体" w:cs="Times New Roman"/>
                <w:color w:val="auto"/>
                <w:kern w:val="0"/>
                <w:sz w:val="21"/>
                <w:szCs w:val="21"/>
                <w:lang w:eastAsia="zh-CN"/>
              </w:rPr>
              <w:t>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3.《电力供应与使用条例》第</w:t>
            </w:r>
            <w:r>
              <w:rPr>
                <w:rFonts w:hint="default" w:ascii="Times New Roman" w:hAnsi="Times New Roman" w:eastAsia="方正仿宋简体" w:cs="Times New Roman"/>
                <w:color w:val="auto"/>
                <w:kern w:val="0"/>
                <w:sz w:val="21"/>
                <w:szCs w:val="21"/>
                <w:lang w:val="en-US" w:eastAsia="zh-CN"/>
              </w:rPr>
              <w:t>四十一</w:t>
            </w:r>
            <w:r>
              <w:rPr>
                <w:rFonts w:hint="default" w:ascii="Times New Roman" w:hAnsi="Times New Roman" w:eastAsia="方正仿宋简体" w:cs="Times New Roman"/>
                <w:color w:val="auto"/>
                <w:kern w:val="0"/>
                <w:sz w:val="21"/>
                <w:szCs w:val="21"/>
                <w:lang w:eastAsia="zh-CN"/>
              </w:rPr>
              <w:t>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4.《四川省电力设施保护和供用电秩序维护条例》第</w:t>
            </w:r>
            <w:r>
              <w:rPr>
                <w:rFonts w:hint="default" w:ascii="Times New Roman" w:hAnsi="Times New Roman" w:eastAsia="方正仿宋简体" w:cs="Times New Roman"/>
                <w:color w:val="auto"/>
                <w:kern w:val="0"/>
                <w:sz w:val="21"/>
                <w:szCs w:val="21"/>
                <w:lang w:val="en-US" w:eastAsia="zh-CN"/>
              </w:rPr>
              <w:t>五十</w:t>
            </w:r>
            <w:r>
              <w:rPr>
                <w:rFonts w:hint="default" w:ascii="Times New Roman" w:hAnsi="Times New Roman" w:eastAsia="方正仿宋简体" w:cs="Times New Roman"/>
                <w:color w:val="auto"/>
                <w:kern w:val="0"/>
                <w:sz w:val="21"/>
                <w:szCs w:val="21"/>
                <w:lang w:eastAsia="zh-CN"/>
              </w:rPr>
              <w:t>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电力处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eastAsia="zh-CN"/>
              </w:rPr>
              <w:t>立案责任：发现涉嫌违反电力设施保护和供用电秩序维护的行为，予以审查，决定是否立案。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3.审查责任：对调查结果进行审查，对案件违法事实、证据、调查取证程序、法律适用、处罚种类和幅度、当事人陈述和申辩，提出处理意见。</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4.告知责任：作出行政处罚决定前， 应制作《行政处罚告知书》送达当事人，符合听证规定的，制作并送达《行政处罚听证告知书》。</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5.决定责任：作出处罚决定，制作《行政处罚决定书》，并载明行政处罚告知、当事人陈述申辩或者听证情况等内容。</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6.送达责任：按法律规定的方式将行政处罚决定送达当事人。</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7.执行责任：依照生效的行政处罚决定执行，或按规定移交相关部门。</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34</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对未经许可擅自使用无线电频率，或者擅自设置、使用无线电台（站）的行政处罚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立案责任：对未经许可擅自使用无线电频率，或者擅自设置、使用无线电台（站）的行为，予以审查，决定是否立案。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35</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对擅自转让无线电频率的行政处罚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《中华人民共和国无线电管理条例》第七十一条。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立案责任：对擅自转让无线电频率的行为，予以审查，决定是否立案。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36</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对不按照无线电台执照规定的许可事项和要求设置、使用无线电台（站）；故意收发无线电台执照许可事项之外的无线电信号，传播、公布或者利用无意接收的信息；擅自编制、使用无线电台识别码的行政处罚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《中华人民共和国无线电管理条例》第七十二条。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不按照无线电台执照规定的许可事项和要求设置、使用无线电台（站）；故意收发无线电台执照许可事项之外的无线电信号，传播、公布或者利用无意接收的信息；擅自编制、使用无线电台识别码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37</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对使用无线电发射设备、辐射无线电波的非无线电设备干扰无线电业务正常进行的行政处罚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《中华人民共和国无线电管理条例》第七十三条。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立案责任：对使用无线电发射设备、辐射无线电波的非无线电设备干扰无线电业务正常进行的行为，予以审查，决定是否立案。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38</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对未按照国家有关规定缴纳无线电频率占用费的行政处罚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《中华人民共和国无线电管理条例》第七十四条。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立案责任：对未按照国家有关规定缴纳无线电频率占用费的行为，予以审查，决定是否立案。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39</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研制、生产、销售和维修大功率无线电发射设备，未采取有效措施抑制电波发射；境外组织或者个人在我国境内进行电波参数测试或者电波监测；向境外组织或者个人提供涉及国家安全的境内电波参数资料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《中华人民共和国无线电管理条例》第七十五条。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研制、生产、销售和维修大功率无线电发射设备，未采取有效措施抑制电波发射；境外组织或者个人在我国境内进行电波参数测试或者电波监测；向境外组织或者个人提供涉及国家安全的境内电波参数资料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40</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对生产或者进口在国内销售、使用的无线电发射设备未取得型号核准的行政处罚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《中华人民共和国无线电管理条例》第七十六条。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立案责任：对生产或者进口在国内销售、使用的无线电发射设备未取得型号核准的行为，予以审查，决定是否立案。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41</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对销售依照规定应当取得型号核准的无线电发射设备未向无线电管理机构办理销售备案的行政处罚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《中华人民共和国无线电管理条例》第七十七条。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立案责任：对销售依照规定应当取得型号核准的无线电发射设备未向无线电管理机构办理销售备案的行为，予以审查，决定是否立案。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42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对销售依照规定应当取得型号核准而未取得型号核准的无线电发射设备的行政处罚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《中华人民共和国无线电管理条例》第七十八条。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立案责任：对销售依照规定应当取得型号核准而未取得型号核准的无线电发射设备的行为，予以审查，决定是否立案。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b w:val="0"/>
                <w:bCs/>
                <w:color w:val="auto"/>
                <w:sz w:val="21"/>
                <w:szCs w:val="21"/>
              </w:rPr>
            </w:pPr>
            <w:r>
              <w:rPr>
                <w:rFonts w:hint="default" w:ascii="Times New Roman" w:hAnsi="Times New Roman" w:eastAsia="方正仿宋简体" w:cs="Times New Roman"/>
                <w:i w:val="0"/>
                <w:color w:val="auto"/>
                <w:kern w:val="0"/>
                <w:sz w:val="21"/>
                <w:szCs w:val="21"/>
                <w:u w:val="none"/>
                <w:lang w:val="en-US" w:eastAsia="zh-CN" w:bidi="ar"/>
              </w:rPr>
              <w:t>43</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对维修无线电发射设备改变无线电发射设备型号核准证核定的技术指标的行政处罚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《中华人民共和国无线电管理条例》第七十九条。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立案责任：对维修无线电发射设备改变无线电发射设备型号核准证核定的技术指标的行为，予以审查，决定是否立案。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44</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对非食盐定点企业生产或批发食盐的行政处罚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《食盐专营办法》第八条、第十二条、第二十六条。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立案责任：发现涉嫌违反《食盐专营办法》有关规定的行为，予以审查，决定是否立案。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执行责任：依照生效的行政处罚决定进行处罚，或按照规定移交相关部门。</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eastAsia="zh-CN"/>
              </w:rPr>
            </w:pPr>
            <w:r>
              <w:rPr>
                <w:rFonts w:hint="default"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color w:val="auto"/>
                <w:kern w:val="0"/>
                <w:sz w:val="21"/>
                <w:szCs w:val="21"/>
                <w:highlight w:val="none"/>
                <w:lang w:val="en-US" w:eastAsia="zh-CN"/>
              </w:rPr>
              <w:t>《中华人民共和国行政处罚法》第七十六条、第七十七条、第七十八条、第七十九条、第八十二条、第八十三条。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3.</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45</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对违反规定生产或批发食盐、非食用盐的行政处罚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《食盐专营办法》第十条、第十四条、第十五条、第十九条、第二十七条。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立案责任：发现涉嫌违反《食盐专营办法》有关规定的行为，予以审查，决定是否立案。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7.执行责任：依照生效的行政处罚决定进行处罚，或按照规定移交相关部门。</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eastAsia="zh-CN"/>
              </w:rPr>
            </w:pPr>
            <w:r>
              <w:rPr>
                <w:rFonts w:hint="default"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color w:val="auto"/>
                <w:kern w:val="0"/>
                <w:sz w:val="21"/>
                <w:szCs w:val="21"/>
                <w:highlight w:val="none"/>
                <w:lang w:val="en-US" w:eastAsia="zh-CN"/>
              </w:rPr>
              <w:t>《中华人民共和国行政处罚法》第七十六条、第七十七条、第七十八条、第七十九条、第八十二条、第八十三条。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3.</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46</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对违反规定购进食盐的行政处罚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《食盐专营办法》第十四条、第十六条、第二十八条。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立案责任：发现涉嫌违反《食盐专营办法》有关规定的行为，予以审查，决定是否立案。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执行责任：依照生效的行政处罚决定进行处罚，或按照规定移交相关部门。</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eastAsia="zh-CN"/>
              </w:rPr>
            </w:pPr>
            <w:r>
              <w:rPr>
                <w:rFonts w:hint="default"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color w:val="auto"/>
                <w:kern w:val="0"/>
                <w:sz w:val="21"/>
                <w:szCs w:val="21"/>
                <w:highlight w:val="none"/>
                <w:lang w:val="en-US" w:eastAsia="zh-CN"/>
              </w:rPr>
              <w:t>《中华人民共和国行政处罚法》第七十六条、第七十七条、第七十八条、第七十九条、第八十二条、第八十三条。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3.</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47</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对未按规定作出食盐或非食用盐标识的行政处罚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《食盐专营办法》第十条、第二十九条。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立案责任：发现涉嫌违反《食盐专营办法》有关规定的行为，予以审查，决定是否立案。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7.</w:t>
            </w:r>
            <w:r>
              <w:rPr>
                <w:rFonts w:hint="default" w:ascii="Times New Roman" w:hAnsi="Times New Roman" w:eastAsia="方正仿宋简体" w:cs="Times New Roman"/>
                <w:color w:val="auto"/>
                <w:kern w:val="0"/>
                <w:sz w:val="21"/>
                <w:szCs w:val="21"/>
                <w:lang w:val="en-US" w:eastAsia="zh-CN"/>
              </w:rPr>
              <w:t>执行责任：依照生效的行政处罚决定进行处罚，或按照规定移交相关部门。</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eastAsia="zh-CN"/>
              </w:rPr>
            </w:pPr>
            <w:r>
              <w:rPr>
                <w:rFonts w:hint="default"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color w:val="auto"/>
                <w:kern w:val="0"/>
                <w:sz w:val="21"/>
                <w:szCs w:val="21"/>
                <w:highlight w:val="none"/>
                <w:lang w:val="en-US" w:eastAsia="zh-CN"/>
              </w:rPr>
              <w:t>《中华人民共和国行政处罚法》第七十六条、第七十七条、第七十八条、第七十九条、第八十二条、第八十三条。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3.</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48</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对食盐定点企业违反规定聘用禁业限制人员的行政处罚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《食盐专营办法》第三十一条。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立案责任：发现涉嫌违反《食盐专营办法》有关规定的行为，予以审查，决定是否立案。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7.执行责任：依照生效的行政处罚决定进行处罚，或按照规定移交相关部门。</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eastAsia="zh-CN"/>
              </w:rPr>
            </w:pPr>
            <w:r>
              <w:rPr>
                <w:rFonts w:hint="default"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color w:val="auto"/>
                <w:kern w:val="0"/>
                <w:sz w:val="21"/>
                <w:szCs w:val="21"/>
                <w:highlight w:val="none"/>
                <w:lang w:val="en-US" w:eastAsia="zh-CN"/>
              </w:rPr>
              <w:t>《中华人民共和国行政处罚法》第七十六条、第七十七条、第七十八条、第七十九条、第八十二条、第八十三条。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2.《食盐专营办法》第三十三条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3.</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49</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对机动车生产企业违反《报废机动车回收管理办法实施细则》        第七条第二款规定的行政处罚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《报废机动车回收管理办法实施细则》第七条第二款、第四十条第二款。</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环境</w:t>
            </w:r>
            <w:r>
              <w:rPr>
                <w:rFonts w:hint="default" w:ascii="Times New Roman" w:hAnsi="Times New Roman" w:eastAsia="方正仿宋简体" w:cs="Times New Roman"/>
                <w:color w:val="auto"/>
                <w:kern w:val="0"/>
                <w:sz w:val="21"/>
                <w:szCs w:val="21"/>
                <w:lang w:eastAsia="zh-CN"/>
              </w:rPr>
              <w:t>和</w:t>
            </w:r>
            <w:r>
              <w:rPr>
                <w:rFonts w:hint="default" w:ascii="Times New Roman" w:hAnsi="Times New Roman" w:eastAsia="方正仿宋简体" w:cs="Times New Roman"/>
                <w:color w:val="auto"/>
                <w:kern w:val="0"/>
                <w:sz w:val="21"/>
                <w:szCs w:val="21"/>
              </w:rPr>
              <w:t>资源综合利用处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rPr>
              <w:t>立案责任：发现涉嫌违反</w:t>
            </w:r>
            <w:r>
              <w:rPr>
                <w:rFonts w:hint="default" w:ascii="Times New Roman" w:hAnsi="Times New Roman" w:eastAsia="方正仿宋简体" w:cs="Times New Roman"/>
                <w:color w:val="auto"/>
                <w:kern w:val="0"/>
                <w:sz w:val="21"/>
                <w:szCs w:val="21"/>
                <w:lang w:val="en-US" w:eastAsia="zh-CN"/>
              </w:rPr>
              <w:t>《报废机动车回收管理办法实施细则》第七条第二款规定</w:t>
            </w:r>
            <w:r>
              <w:rPr>
                <w:rFonts w:hint="default" w:ascii="Times New Roman" w:hAnsi="Times New Roman" w:eastAsia="方正仿宋简体" w:cs="Times New Roman"/>
                <w:color w:val="auto"/>
                <w:kern w:val="0"/>
                <w:sz w:val="21"/>
                <w:szCs w:val="21"/>
              </w:rPr>
              <w:t>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3.审查责任：对调查结果进行审查，对案件违法事实、证据、调查取证程序、法律适用、处罚种类和幅度、当事人陈述和申辩，提出处理意见。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4.告知责任：作出行政处罚决定前，应制作《行政处罚告知书》送达当事人，符合听证规定的，制作并送达《行政处罚听证告知书》。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5.决定责任：作出处罚决定，制作《行政处罚决定书》，并载明行政处罚告知、当事人陈述申辩或者听证情况等内容。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rPr>
              <w:t>7.执行责任：依照生效的行政处罚决定实施处罚，或按规定移交相关部门。</w:t>
            </w:r>
            <w:r>
              <w:rPr>
                <w:rFonts w:hint="default" w:ascii="Times New Roman" w:hAnsi="Times New Roman" w:eastAsia="方正仿宋简体" w:cs="Times New Roman"/>
                <w:color w:val="auto"/>
                <w:kern w:val="0"/>
                <w:sz w:val="21"/>
                <w:szCs w:val="21"/>
              </w:rPr>
              <w:br w:type="textWrapping"/>
            </w:r>
            <w:r>
              <w:rPr>
                <w:rFonts w:hint="default" w:ascii="Times New Roman" w:hAnsi="Times New Roman" w:eastAsia="方正仿宋简体" w:cs="Times New Roman"/>
                <w:color w:val="auto"/>
                <w:kern w:val="0"/>
                <w:sz w:val="21"/>
                <w:szCs w:val="21"/>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《中华人民共和国行政处罚法》第七十六条、第七十七条、第七十八条、第七十九条、第八十二条、第八十三条。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追责情形：《中华人民共和国行政处罚法》第七十六条、第七十七条、第七十八条、第七十九条、第八十二条、第八十三条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50</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对企业以分拆项目、隐瞒有关情况或者提供虚假申报材料等不正当手段申请项目核准、备案的行政处罚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《企业投资项目核准和备案管理办法》第五十五条。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技术改造处、材料工业处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立案责任：对企业分拆项目、隐瞒有关情况或者提供虚假申报材料等不正当手段申请项目核准、备案的行为，予以审查，决定是否立案。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5.</w:t>
            </w:r>
            <w:r>
              <w:rPr>
                <w:rFonts w:hint="default" w:ascii="Times New Roman" w:hAnsi="Times New Roman" w:eastAsia="方正仿宋简体" w:cs="Times New Roman"/>
                <w:color w:val="auto"/>
                <w:kern w:val="0"/>
                <w:sz w:val="21"/>
                <w:szCs w:val="21"/>
                <w:lang w:val="en-US" w:eastAsia="zh-CN"/>
              </w:rPr>
              <w:t>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6.</w:t>
            </w:r>
            <w:r>
              <w:rPr>
                <w:rFonts w:hint="default" w:ascii="Times New Roman" w:hAnsi="Times New Roman" w:eastAsia="方正仿宋简体" w:cs="Times New Roman"/>
                <w:color w:val="auto"/>
                <w:kern w:val="0"/>
                <w:sz w:val="21"/>
                <w:szCs w:val="21"/>
                <w:lang w:val="en-US" w:eastAsia="zh-CN"/>
              </w:rPr>
              <w:t>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4.</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51</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对企业未依法办理核准手续开工建设或者未按照核准的建设地点、建设规模、建设内容等进行建设；以欺骗、贿赂等不正当手段取得项目核准文件的行政处罚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《企业投资项目核准和备案管理条例》第十八条。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技术改造处、材料工业处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立案责任：对企业未依法办理核准手续开工建设或者未按照核准的建设地点、建设规模、建设内容等进行建设的行为，予以审查，决定是否立案。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eastAsia"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4.</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技术改造类；扩权试点县（市）执行市级权限[跨县（市、区）的项目除外]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对企业未依法将备案制项目信息或者已备案项目信息变更情况告知备案机关，或者向备案机关提供虚假信息的行政处罚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《企业投资项目核准和备案管理条例》第十九条。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技术改造处、材料工业处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立案责任：对企业未依法将备案制项目信息或者已备案项目信息变更情况告知备案机关，或者向备案机关提供虚假信息的行为，予以审查，决定是否立案。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3.</w:t>
            </w:r>
            <w:r>
              <w:rPr>
                <w:rFonts w:hint="default" w:ascii="Times New Roman" w:hAnsi="Times New Roman" w:eastAsia="方正仿宋简体" w:cs="Times New Roman"/>
                <w:color w:val="auto"/>
                <w:kern w:val="0"/>
                <w:sz w:val="21"/>
                <w:szCs w:val="21"/>
                <w:lang w:val="en-US" w:eastAsia="zh-CN"/>
              </w:rPr>
              <w:t>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4.</w:t>
            </w:r>
            <w:r>
              <w:rPr>
                <w:rFonts w:hint="default" w:ascii="Times New Roman" w:hAnsi="Times New Roman" w:eastAsia="方正仿宋简体" w:cs="Times New Roman"/>
                <w:color w:val="auto"/>
                <w:kern w:val="0"/>
                <w:sz w:val="21"/>
                <w:szCs w:val="21"/>
                <w:lang w:val="en-US" w:eastAsia="zh-CN"/>
              </w:rPr>
              <w:t>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5.决定责任：作出处罚决定，制作《行政处罚决定书》，并载明行政处罚告知、当事人陈述申辩或者听证情况等内容。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4.</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53</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行政处罚</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对企业投资建设产业政策禁止投资建设项目的行政处罚</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《企业投资项目核准和备案管理条例》第二十条。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技术改造处、材料工业处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立案责任：对企业投资建设产业政策禁止投资建设项目的行为，予以审查，决定是否立案。</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2.</w:t>
            </w:r>
            <w:r>
              <w:rPr>
                <w:rFonts w:hint="default" w:ascii="Times New Roman" w:hAnsi="Times New Roman" w:eastAsia="方正仿宋简体" w:cs="Times New Roman"/>
                <w:color w:val="auto"/>
                <w:kern w:val="0"/>
                <w:sz w:val="21"/>
                <w:szCs w:val="21"/>
                <w:lang w:val="en-US" w:eastAsia="zh-CN"/>
              </w:rPr>
              <w:t>调查责任：对立案的案件，指定专人负责，及时组织调查取证，与当事人有直接利害关系的应当回避。执法人员不得少于两人，调查时应出示证件，允许当事人辩解。</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3.审查责任：对调查结果进行审查，对案件违法事实、证据、调查取证程序、法律适用、处罚种类和幅度、当事人陈述和申辩，提出处理意见。</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4.告知责任：作出行政处罚决定前，应制作《行政处罚告知书》送达当事人，符合听证规定的，制作并送达《行政处罚听证告知书》。</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5.决定责任：作出处罚决定，制作《行政处罚决定书》，并载明行政处罚告知、当事人陈述申辩或者听证情况等内容。</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6.送达责任：按法律规定的方式将行政处罚决定送达当事人。</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7.执行责任：依照生效的行政处罚决定执行，对拒不履行《行政处罚决定书》的，填写《强制执行申请书》，向人民法院申请强制执行。</w:t>
            </w:r>
          </w:p>
          <w:p>
            <w:pPr>
              <w:keepNext w:val="0"/>
              <w:keepLines w:val="0"/>
              <w:pageBreakBefore w:val="0"/>
              <w:numPr>
                <w:ilvl w:val="0"/>
                <w:numId w:val="0"/>
              </w:numPr>
              <w:kinsoku/>
              <w:wordWrap/>
              <w:overflowPunct/>
              <w:topLinePunct w:val="0"/>
              <w:autoSpaceDE/>
              <w:autoSpaceDN/>
              <w:bidi w:val="0"/>
              <w:adjustRightInd/>
              <w:snapToGrid w:val="0"/>
              <w:spacing w:line="280" w:lineRule="exact"/>
              <w:ind w:left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8.其他责任：法律法规规章文件规定应履行的其他责任。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1.《中华人民共和国行政处罚法》第七十六条、第七十七条、第七十八条、第七十九条、第八十二条、第八十三条。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2.《企业投资项目核准和备案管理条例》第二十一条。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3.《企业投资项目核准和备案管理办法》第五十二条、第五十三条、第五十四条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4.</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行政征收</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无线电频率占用费的征收</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《中华人民共和国无线电管理条例》第二十一条。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受理责任：公示告知无线电频率占用费征收的依据，收费标准、征收方式、免缴及减缴无线电频率占用费条件、需要提交的全部材料，并按申请人的要求进行相关解释说明。</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2.审核责任：审核无线电频率占用费申报表及相关材料，核查频率使用者的无线电系统技术体系等情况，确定频率占用费的征收金额，审查免缴、减缴频率占用费的理由，确定减缴幅度及金额等。</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3.决定责任：做出审核决定，填写频率占用费计征表，确定频率使用者频率占用费收费明细和应征数额，制发无线电频率占用费缴费通知书，开具四川省行政事业性收费非税发票。</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4.事后监管责任：督促频率使用者按照时限和确定的数额及时缴纳频率占用费，及时足额上缴财政。</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《中华人民共和国无线电管理条例》第八十二条。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追责情形：《中华人民共和国无线电管理条例》第八十二条以及其他依法应当追究的情形。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1</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行政强制</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对违反无线电管理有关规定的强制</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《中华人民共和国无线电管理条例》第六十七条。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1.</w:t>
            </w:r>
            <w:r>
              <w:rPr>
                <w:rFonts w:hint="default" w:ascii="Times New Roman" w:hAnsi="Times New Roman" w:eastAsia="方正仿宋简体" w:cs="Times New Roman"/>
                <w:color w:val="auto"/>
                <w:kern w:val="0"/>
                <w:sz w:val="21"/>
                <w:szCs w:val="21"/>
                <w:highlight w:val="none"/>
                <w:lang w:val="en-US" w:eastAsia="zh-CN"/>
              </w:rPr>
              <w:t>催告责任：负有无线电监督管理职责的部门可以采取通知有关单位和个人停止非法使用、安装及生产经营的单位履行决定。通知应当采用书面形式下达通知书，履行催告义务。</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2.决定责任：负有无线电监督管理职责的部门依法对存在非法使用、安装及生产经营单位和个人作出没收，停产停业、停止使用相关设施或者设备的决定，生产经营单位应当依法执行。</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3.执行责任：负有无线电监督管理职责的部门依法对存在的生产经营单位作出停产停业、停止使用相关设施或者设备的决定，生产经营单位应当依法执行，及时整改。</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4.事后监管责任：建立实施监督检查的运行机制和管理制度， 开展定期和不定期检查，依法采取相关处置措施。</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5.其他责任：其他法律法规规章文件规定应履行的责任。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《中华人民共和国行政强制法》第六十一条、第六十二条、第六十三条、第六十四条、第六十八条。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追责情形：《中华人民共和国行政强制法》第六十一条、第六十二条、第六十三条、第六十四条、第六十八条以及其他依法应当追究的情形。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行政强制</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查封、扣押涉嫌盐业违法行为有关的物品或查封场所</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《食盐专营办法》第二十三条。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催告责任：负有盐业监督管理职责的部门可以采取通知有关单位和个人履行决定。通知应当采用书面形式下达通知书，履行催告义务。</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2.决定责任：负有盐业监督管理职责的部门依法对涉嫌盐业违法行为有关的物品或场所作出查封扣押决定，非法生产经营单位或个人应当依法执行。</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3.执行责任：查封或者扣押的物品，行政处罚决定没收的，及时变折价处理；移送公安机关的，随案移送；不构成违法行为或行政处罚决定不予没收的，解除查封、扣押。</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4.事后监管责任：建立实施监督检查的运行机制和管理制度， 开展定期和不定期检查，依法采取相关处置措施。</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5.其他责任：其他法律法规规章文件规定应履行的责任。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《中华人民共和国行政强制法》第六十一条、第六十二条、第六十三条、第六十四条、第六十八条。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追责情形：《中华人民共和国行政强制法》第六十一条、第六十二条、第六十三条、第六十四条、第六十八条以及其他依法应当追究的情形。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highlight w:val="none"/>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行政检查</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对法人或者非法人组织从事监控化学品生产、经营、使用以及进出口单位的监控化学品有关情况的监督检查</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1.《中华人民共和国监控化学品管理条例》第四条、第五条。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2.《〈中华人民共和国监控化学品管理条例〉实施细则》第四十四条。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化工产业处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检查责任：对监控化学品生产和使用企业，检查国际视察准备工作、生产使用原始记录、原料出入库记录、记录保存期限及完整性、年度数据宣布等；对经营企业，检查运输和储存全过程管理能力、管理制度、经营记录等。</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2.处置责任：根据检查情况，按照《中华人民共和国监控化学品管理条例》《〈中华人民共和国监控化学品管理条例〉实施细则》，采取相应处置措施。</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3.信息公开责任：按照相关规定办理信息公开事项。</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《四川省行政执法监督条例》第四十五条。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追责情形：《四川省行政执法监督条例》第四十五条</w:t>
            </w:r>
            <w:r>
              <w:rPr>
                <w:rFonts w:hint="default" w:ascii="Times New Roman" w:hAnsi="Times New Roman" w:eastAsia="方正仿宋简体" w:cs="Times New Roman"/>
                <w:b w:val="0"/>
                <w:bCs/>
                <w:color w:val="auto"/>
                <w:sz w:val="21"/>
                <w:szCs w:val="21"/>
                <w:lang w:eastAsia="zh-CN"/>
              </w:rPr>
              <w:t>以及</w:t>
            </w:r>
            <w:r>
              <w:rPr>
                <w:rFonts w:hint="eastAsia" w:ascii="Times New Roman" w:hAnsi="Times New Roman" w:eastAsia="方正仿宋简体" w:cs="Times New Roman"/>
                <w:b w:val="0"/>
                <w:bCs/>
                <w:color w:val="auto"/>
                <w:sz w:val="21"/>
                <w:szCs w:val="21"/>
                <w:lang w:eastAsia="zh-CN"/>
              </w:rPr>
              <w:t>其他依法应当</w:t>
            </w:r>
            <w:r>
              <w:rPr>
                <w:rFonts w:hint="default" w:ascii="Times New Roman" w:hAnsi="Times New Roman" w:eastAsia="方正仿宋简体" w:cs="Times New Roman"/>
                <w:b w:val="0"/>
                <w:bCs/>
                <w:color w:val="auto"/>
                <w:sz w:val="21"/>
                <w:szCs w:val="21"/>
                <w:lang w:eastAsia="zh-CN"/>
              </w:rPr>
              <w:t>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行政检查</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对涉盐生产经营有关单位、个人开展监督检查</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《食盐专营办法》第二十三条。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盐业处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检查责任：加强对涉盐生产经营有关单位、个人的监督检查，向有关单位和个人了解情况，查阅或者复制有关合同、票据、账簿、购销记录及其他有关资料。对涉盐生产经营有关单位、个人实行监督检查时，应当记录监督检查的情况和处理结果，由监督检查人员和被检查人签字后归档。</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2.处置责任：根据检查情况，依法依规采取相应处置措施。</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3.信息公开责任：按照相关规定办理信息公开事项。</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4.其他责任：法律法规规章文件规定应履行的其他责任。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color w:val="auto"/>
                <w:kern w:val="0"/>
                <w:sz w:val="21"/>
                <w:szCs w:val="21"/>
                <w:lang w:val="en-US" w:eastAsia="zh-CN" w:bidi="ar-SA"/>
              </w:rPr>
              <w:t>《食盐专营办法》第三十三条。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追责情形：《食盐专营办法》第三十三条以及其他依法应当追究的情形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行政检查</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对无线电频率使用情况和在用的无线电台（站）的检查检测</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Cs w:val="21"/>
              </w:rPr>
              <w:t>《中华人民共和国无线电管理条例》第五十六条</w:t>
            </w:r>
            <w:r>
              <w:rPr>
                <w:rFonts w:hint="default" w:ascii="Times New Roman" w:hAnsi="Times New Roman" w:eastAsia="方正仿宋简体" w:cs="Times New Roman"/>
                <w:color w:val="auto"/>
                <w:kern w:val="0"/>
                <w:szCs w:val="21"/>
                <w:lang w:eastAsia="zh-CN"/>
              </w:rPr>
              <w:t>。</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无线电频率台站管理处</w:t>
            </w:r>
          </w:p>
        </w:tc>
        <w:tc>
          <w:tcPr>
            <w:tcW w:w="382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1.检查责任：根据监管需要，对无线电频率的使用情况和在用的无线电台（站）进行定期或者不定期检查和检测。</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2.处置责任：根据检查情况，依法依规采取相应处置措施。</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3.信息公开责任：按照相关规定办理信息公开事项。</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《中华人民共和国无线电管理条例》第八十二条。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追责情形：《中华人民共和国无线电管理条例》第八十二条以及其他依法应当追究的情形。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行政检查</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对生产、销售无线电发射设备的监督检查</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《中华人民共和国无线电管理条例》第六十八条。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无线电监督检查处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1.</w:t>
            </w:r>
            <w:r>
              <w:rPr>
                <w:rFonts w:hint="default" w:ascii="Times New Roman" w:hAnsi="Times New Roman" w:eastAsia="方正仿宋简体" w:cs="Times New Roman"/>
                <w:color w:val="auto"/>
                <w:kern w:val="0"/>
                <w:sz w:val="21"/>
                <w:szCs w:val="21"/>
                <w:highlight w:val="none"/>
                <w:lang w:val="en-US" w:eastAsia="zh-CN"/>
              </w:rPr>
              <w:t>检查责任：根据监管需要，对生产、销售的无线电发射设备型号核准、销售备案等情况进行不定期监督检查。</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2.处置责任：根据检查情况，依法依规采取相应处置措施。</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3.信息公开责任：按照相关规定办理信息公开事项。</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4.其他责任：法律法规规章文件规定应履行的其他责任。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《中华人民共和国无线电管理条例》第八十二条。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追责情形：《中华人民共和国无线电管理条例》第八十二条以及其他依法应当追究的情形。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行政奖励</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对维护电力设施安全和反窃电行为的奖励</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1.《四川省电力设施保护和供用电秩序维护条例》第七条。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2.《电力设施保护条例》第二十五条。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3.《电力设施保护条例实施细则》第十九条。4.《四川省反窃电管理办法》第七条。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5.《四川省电力设施保护实施办法》第八条。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电力处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制定方案责任：根据电力设施保护和供用电秩序维护工作成效情况，决定是否开展年度表彰奖励。制定评选、表彰、奖励活动实施方案，并组织实施。</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2.组织推荐责任：按照方案规定的条件、程序开展组织推荐工作，对推荐对象进行初审。</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3.审核公示责任：对符合条件的推荐对象进行审核，报经批准后予以公示。评审实行回避制度。</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4.表彰责任：公示无异议或者异议不成立的，给予精神或物质奖励。</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《四川省反窃电管理办法》第二十七条。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追责情形：《四川省反窃电管理办法》第二十七条以及其他依法应当追究的情形。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免责情形：《中华人民共和国公务员法》第六十条、第六十一条以及其他依法应当免责的情形。</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7</w:t>
            </w:r>
          </w:p>
        </w:tc>
        <w:tc>
          <w:tcPr>
            <w:tcW w:w="81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其他行政权力</w:t>
            </w:r>
          </w:p>
        </w:tc>
        <w:tc>
          <w:tcPr>
            <w:tcW w:w="1300"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企业投资项目备案</w:t>
            </w:r>
          </w:p>
        </w:tc>
        <w:tc>
          <w:tcPr>
            <w:tcW w:w="1693"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1.《企业投资项目核准和备案管理条例》第三条。</w:t>
            </w:r>
            <w:r>
              <w:rPr>
                <w:rFonts w:hint="default" w:ascii="Times New Roman" w:hAnsi="Times New Roman" w:eastAsia="方正仿宋简体" w:cs="Times New Roman"/>
                <w:color w:val="auto"/>
                <w:kern w:val="0"/>
                <w:sz w:val="21"/>
                <w:szCs w:val="21"/>
                <w:lang w:val="en-US" w:eastAsia="zh-CN"/>
              </w:rPr>
              <w:br w:type="textWrapping"/>
            </w:r>
            <w:r>
              <w:rPr>
                <w:rFonts w:hint="default" w:ascii="Times New Roman" w:hAnsi="Times New Roman" w:eastAsia="方正仿宋简体" w:cs="Times New Roman"/>
                <w:color w:val="auto"/>
                <w:kern w:val="0"/>
                <w:sz w:val="21"/>
                <w:szCs w:val="21"/>
                <w:lang w:val="en-US" w:eastAsia="zh-CN"/>
              </w:rPr>
              <w:t>2.《企业投资项目核准和备案管理办法》第三条、第四条。</w:t>
            </w:r>
          </w:p>
        </w:tc>
        <w:tc>
          <w:tcPr>
            <w:tcW w:w="752"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技术改造处、材料工业处</w:t>
            </w:r>
          </w:p>
        </w:tc>
        <w:tc>
          <w:tcPr>
            <w:tcW w:w="3822" w:type="dxa"/>
            <w:vAlign w:val="center"/>
          </w:tcPr>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1.</w:t>
            </w:r>
            <w:r>
              <w:rPr>
                <w:rFonts w:hint="default" w:ascii="Times New Roman" w:hAnsi="Times New Roman" w:eastAsia="方正仿宋简体" w:cs="Times New Roman"/>
                <w:color w:val="auto"/>
                <w:kern w:val="0"/>
                <w:sz w:val="21"/>
                <w:szCs w:val="21"/>
                <w:lang w:val="en-US" w:eastAsia="zh-CN"/>
              </w:rPr>
              <w:t>受理责任：依托四川一体化在线省政务服务平台，公示项目备案需要填报的信息。</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审查责任：企业对提供技术改造项目资料及信息的真实、准确、完整和合法进行承诺；项目备案信息不完整的，备案机关应当在收到备案信息后3个工作日内通过在线平台提醒和指导项目单位补正；项目属产业政策禁止投资建设或者依法应实行核准管理，以及不属于固定资产投资项目、依法应实施审批管理、不属于本备案机关权限等情形的，应当在收到备案信息后5个工作日内通过在线平台告知项目单位予以纠正或依法另行申请办理相关手续，已备案、已取得项目代码的项目，项目备案机关应当撤销备案。</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3.决定责任：对属于本级备案机关权限内的项目，收到规定的全部信息即为备案。</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4.事后监管责任：按照谁审批谁监管、谁主管谁监管的原则，采取在线监测、现场核查等方式，依法加强对项目的事中事后监管。</w:t>
            </w:r>
          </w:p>
          <w:p>
            <w:pPr>
              <w:keepNext w:val="0"/>
              <w:keepLines w:val="0"/>
              <w:pageBreakBefore w:val="0"/>
              <w:numPr>
                <w:ilvl w:val="0"/>
                <w:numId w:val="0"/>
              </w:numPr>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5.其他责任：法律法规规章文件规定应履行的其他责任。</w:t>
            </w:r>
          </w:p>
        </w:tc>
        <w:tc>
          <w:tcPr>
            <w:tcW w:w="1504"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b w:val="0"/>
                <w:bCs/>
                <w:color w:val="auto"/>
                <w:sz w:val="21"/>
                <w:szCs w:val="21"/>
                <w:lang w:val="en-US" w:eastAsia="zh-CN"/>
              </w:rPr>
              <w:t>.《企业投资项目核准和备案管理条例》第二十一条。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b w:val="0"/>
                <w:bCs/>
                <w:color w:val="auto"/>
                <w:sz w:val="21"/>
                <w:szCs w:val="21"/>
                <w:lang w:val="en-US" w:eastAsia="zh-CN"/>
              </w:rPr>
              <w:t>2</w:t>
            </w:r>
            <w:r>
              <w:rPr>
                <w:rFonts w:hint="default" w:ascii="Times New Roman" w:hAnsi="Times New Roman" w:eastAsia="方正仿宋简体" w:cs="Times New Roman"/>
                <w:b w:val="0"/>
                <w:bCs/>
                <w:color w:val="auto"/>
                <w:sz w:val="21"/>
                <w:szCs w:val="21"/>
                <w:lang w:val="en-US" w:eastAsia="zh-CN"/>
              </w:rPr>
              <w:t>.《企业投资项目核准和备案管理办法》第五十二条、第五十三条、第五十四条。</w:t>
            </w:r>
          </w:p>
        </w:tc>
        <w:tc>
          <w:tcPr>
            <w:tcW w:w="1791"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default" w:ascii="Times New Roman" w:hAnsi="Times New Roman" w:eastAsia="方正仿宋简体" w:cs="Times New Roman"/>
                <w:b w:val="0"/>
                <w:bCs/>
                <w:color w:val="auto"/>
                <w:sz w:val="21"/>
                <w:szCs w:val="21"/>
                <w:lang w:val="en-US" w:eastAsia="zh-CN"/>
              </w:rPr>
              <w:t>追责情形：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1</w:t>
            </w:r>
            <w:r>
              <w:rPr>
                <w:rFonts w:hint="default" w:ascii="Times New Roman" w:hAnsi="Times New Roman" w:eastAsia="方正仿宋简体" w:cs="Times New Roman"/>
                <w:b w:val="0"/>
                <w:bCs/>
                <w:color w:val="auto"/>
                <w:sz w:val="21"/>
                <w:szCs w:val="21"/>
                <w:lang w:val="en-US" w:eastAsia="zh-CN"/>
              </w:rPr>
              <w:t>.《企业投资项目核准和备案管理条例》第二十一条。</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2</w:t>
            </w:r>
            <w:r>
              <w:rPr>
                <w:rFonts w:hint="default" w:ascii="Times New Roman" w:hAnsi="Times New Roman" w:eastAsia="方正仿宋简体" w:cs="Times New Roman"/>
                <w:b w:val="0"/>
                <w:bCs/>
                <w:color w:val="auto"/>
                <w:sz w:val="21"/>
                <w:szCs w:val="21"/>
                <w:lang w:val="en-US" w:eastAsia="zh-CN"/>
              </w:rPr>
              <w:t>.《企业投资项目核准和备案管理办法》第五十二条、第五十三条、第五十四条</w:t>
            </w:r>
            <w:r>
              <w:rPr>
                <w:rFonts w:hint="eastAsia" w:ascii="Times New Roman" w:hAnsi="Times New Roman" w:eastAsia="方正仿宋简体" w:cs="Times New Roman"/>
                <w:b w:val="0"/>
                <w:bCs/>
                <w:color w:val="auto"/>
                <w:sz w:val="21"/>
                <w:szCs w:val="21"/>
                <w:lang w:val="en-US" w:eastAsia="zh-CN"/>
              </w:rPr>
              <w:t>。</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b w:val="0"/>
                <w:bCs/>
                <w:color w:val="auto"/>
                <w:sz w:val="21"/>
                <w:szCs w:val="21"/>
                <w:lang w:val="en-US" w:eastAsia="zh-CN"/>
              </w:rPr>
            </w:pPr>
            <w:r>
              <w:rPr>
                <w:rFonts w:hint="eastAsia" w:ascii="Times New Roman" w:hAnsi="Times New Roman" w:eastAsia="方正仿宋简体" w:cs="Times New Roman"/>
                <w:b w:val="0"/>
                <w:bCs/>
                <w:color w:val="auto"/>
                <w:sz w:val="21"/>
                <w:szCs w:val="21"/>
                <w:lang w:val="en-US" w:eastAsia="zh-CN"/>
              </w:rPr>
              <w:t>3.</w:t>
            </w:r>
            <w:r>
              <w:rPr>
                <w:rFonts w:hint="default" w:ascii="Times New Roman" w:hAnsi="Times New Roman" w:eastAsia="方正仿宋简体" w:cs="Times New Roman"/>
                <w:b w:val="0"/>
                <w:bCs/>
                <w:color w:val="auto"/>
                <w:sz w:val="21"/>
                <w:szCs w:val="21"/>
                <w:lang w:val="en-US" w:eastAsia="zh-CN"/>
              </w:rPr>
              <w:t>其他依法应当追究的情形。</w:t>
            </w:r>
          </w:p>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b w:val="0"/>
                <w:bCs/>
                <w:color w:val="auto"/>
                <w:sz w:val="21"/>
                <w:szCs w:val="21"/>
                <w:lang w:val="en-US" w:eastAsia="zh-CN"/>
              </w:rPr>
              <w:t>免责情形：《中华人民共和国公务员法》第六十条、第六十一条以及其他依法应当免责的情形</w:t>
            </w:r>
            <w:r>
              <w:rPr>
                <w:rFonts w:hint="default" w:ascii="Times New Roman" w:hAnsi="Times New Roman" w:eastAsia="方正仿宋简体" w:cs="Times New Roman"/>
                <w:b w:val="0"/>
                <w:bCs/>
                <w:color w:val="auto"/>
                <w:sz w:val="21"/>
                <w:szCs w:val="21"/>
              </w:rPr>
              <w:t>。</w:t>
            </w:r>
          </w:p>
        </w:tc>
        <w:tc>
          <w:tcPr>
            <w:tcW w:w="1605"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监督电话：</w:t>
            </w:r>
            <w:r>
              <w:rPr>
                <w:rFonts w:hint="default" w:ascii="Times New Roman" w:hAnsi="Times New Roman" w:eastAsia="方正仿宋简体" w:cs="Times New Roman"/>
                <w:color w:val="auto"/>
                <w:kern w:val="0"/>
                <w:sz w:val="21"/>
                <w:szCs w:val="21"/>
              </w:rPr>
              <w:t>028-86262040</w:t>
            </w:r>
          </w:p>
        </w:tc>
        <w:tc>
          <w:tcPr>
            <w:tcW w:w="838" w:type="dxa"/>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技术改造类</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rPr>
      </w:pPr>
      <w:r>
        <w:rPr>
          <w:rFonts w:hint="default" w:ascii="Times New Roman" w:hAnsi="Times New Roman" w:eastAsia="方正仿宋简体" w:cs="Times New Roman"/>
          <w:lang w:eastAsia="zh-CN"/>
        </w:rPr>
        <w:tab/>
      </w:r>
      <w:r>
        <w:rPr>
          <w:rFonts w:hint="default" w:ascii="Times New Roman" w:hAnsi="Times New Roman" w:eastAsia="方正仿宋简体" w:cs="Times New Roman"/>
          <w:lang w:eastAsia="zh-CN"/>
        </w:rPr>
        <w:tab/>
      </w:r>
      <w:r>
        <w:rPr>
          <w:rFonts w:hint="default" w:ascii="Times New Roman" w:hAnsi="Times New Roman" w:eastAsia="方正仿宋简体" w:cs="Times New Roman"/>
          <w:lang w:eastAsia="zh-CN"/>
        </w:rPr>
        <w:tab/>
      </w:r>
      <w:r>
        <w:rPr>
          <w:rFonts w:hint="default" w:ascii="Times New Roman" w:hAnsi="Times New Roman" w:eastAsia="方正仿宋简体" w:cs="Times New Roman"/>
          <w:lang w:eastAsia="zh-CN"/>
        </w:rPr>
        <w:tab/>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rPr>
      </w:pPr>
    </w:p>
    <w:p>
      <w:pPr>
        <w:sectPr>
          <w:footerReference r:id="rId3" w:type="default"/>
          <w:pgSz w:w="16838" w:h="11906" w:orient="landscape"/>
          <w:pgMar w:top="1531" w:right="1531" w:bottom="1474" w:left="1531" w:header="851" w:footer="992" w:gutter="0"/>
          <w:cols w:space="0" w:num="1"/>
          <w:rtlGutter w:val="0"/>
          <w:docGrid w:type="lines" w:linePitch="312" w:charSpace="0"/>
        </w:sectPr>
      </w:pPr>
    </w:p>
    <w:p/>
    <w:p/>
    <w:p/>
    <w:p/>
    <w:p/>
    <w:p/>
    <w:p/>
    <w:p/>
    <w:p/>
    <w:p/>
    <w:p/>
    <w:p/>
    <w:p/>
    <w:p/>
    <w:p/>
    <w:p/>
    <w:p/>
    <w:p/>
    <w:p/>
    <w:p/>
    <w:p/>
    <w:p/>
    <w:p/>
    <w:p/>
    <w:p/>
    <w:p/>
    <w:p/>
    <w:p/>
    <w:p/>
    <w:p/>
    <w:p/>
    <w:p/>
    <w:p/>
    <w:p/>
    <w:p/>
    <w:p/>
    <w:p/>
    <w:p/>
    <w:p/>
    <w:p/>
    <w:p/>
    <w:p/>
    <w:p>
      <w:pPr>
        <w:rPr>
          <w:rFonts w:hint="eastAsia" w:ascii="方正小标宋简体" w:hAnsi="方正小标宋简体" w:eastAsia="方正小标宋简体" w:cs="方正小标宋简体"/>
          <w:sz w:val="28"/>
          <w:szCs w:val="28"/>
          <w:lang w:eastAsia="zh-CN"/>
        </w:rPr>
      </w:pPr>
      <w:r>
        <w:rPr>
          <w:rFonts w:hint="eastAsia" w:ascii="黑体" w:hAnsi="黑体" w:eastAsia="黑体" w:cs="黑体"/>
          <w:sz w:val="28"/>
          <w:szCs w:val="28"/>
          <w:lang w:eastAsia="zh-CN"/>
        </w:rPr>
        <w:t>信息公开选项：</w:t>
      </w:r>
      <w:r>
        <w:rPr>
          <w:rFonts w:hint="eastAsia" w:ascii="方正小标宋简体" w:hAnsi="方正小标宋简体" w:eastAsia="方正小标宋简体" w:cs="方正小标宋简体"/>
          <w:sz w:val="28"/>
          <w:szCs w:val="28"/>
          <w:lang w:eastAsia="zh-CN"/>
        </w:rPr>
        <w:t>主动公开</w:t>
      </w:r>
    </w:p>
    <w:sectPr>
      <w:pgSz w:w="11906" w:h="16838"/>
      <w:pgMar w:top="1531" w:right="1474" w:bottom="1531" w:left="1531"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B7157"/>
    <w:multiLevelType w:val="singleLevel"/>
    <w:tmpl w:val="FF1B71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F272B"/>
    <w:rsid w:val="1A8F272B"/>
    <w:rsid w:val="3DF693E1"/>
    <w:rsid w:val="4B455AF1"/>
    <w:rsid w:val="4FFFCFC6"/>
    <w:rsid w:val="5EB80920"/>
    <w:rsid w:val="5FBB5541"/>
    <w:rsid w:val="5FBE984D"/>
    <w:rsid w:val="777FDB9C"/>
    <w:rsid w:val="7AF91F05"/>
    <w:rsid w:val="7B602B48"/>
    <w:rsid w:val="7FDD0FEC"/>
    <w:rsid w:val="AF5DA771"/>
    <w:rsid w:val="DFFF1898"/>
    <w:rsid w:val="EBF7E9EA"/>
    <w:rsid w:val="F7F82BD6"/>
    <w:rsid w:val="FBBFA1EE"/>
    <w:rsid w:val="FCB7F2B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2022-01-18T16:07:00Z</dcterms:created>
  <dc:creator>hp001</dc:creator>
  <cp:lastModifiedBy>GYT</cp:lastModifiedBy>
  <cp:lastPrinted>2022-01-19T15:32:00Z</cp:lastPrinted>
  <dcterms:modified xsi:type="dcterms:W3CDTF">2022-01-19T08:22:54Z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3BDA319AE4AF4FFAB67EE1C15AE8A64E</vt:lpwstr>
  </property>
</Properties>
</file>