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2021年四川省工业互联网试点示范项目名单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5"/>
        <w:gridCol w:w="4155"/>
        <w:gridCol w:w="3645"/>
        <w:gridCol w:w="324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blHeader/>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_GB2312" w:hAnsi="楷体_GB2312" w:eastAsia="楷体_GB2312" w:cs="楷体_GB2312"/>
                <w:b w:val="0"/>
                <w:bCs w:val="0"/>
                <w:i w:val="0"/>
                <w:color w:val="000000"/>
                <w:sz w:val="24"/>
                <w:szCs w:val="24"/>
                <w:u w:val="none"/>
                <w:lang w:eastAsia="zh-CN"/>
              </w:rPr>
            </w:pPr>
            <w:r>
              <w:rPr>
                <w:rFonts w:hint="eastAsia" w:ascii="楷体_GB2312" w:hAnsi="楷体_GB2312" w:eastAsia="楷体_GB2312" w:cs="楷体_GB2312"/>
                <w:b w:val="0"/>
                <w:bCs w:val="0"/>
                <w:i w:val="0"/>
                <w:color w:val="000000"/>
                <w:sz w:val="24"/>
                <w:szCs w:val="24"/>
                <w:u w:val="none"/>
                <w:lang w:eastAsia="zh-CN"/>
              </w:rPr>
              <w:t>序号</w:t>
            </w: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_GB2312" w:hAnsi="楷体_GB2312" w:eastAsia="楷体_GB2312" w:cs="楷体_GB2312"/>
                <w:b w:val="0"/>
                <w:bCs w:val="0"/>
                <w:i w:val="0"/>
                <w:color w:val="000000"/>
                <w:sz w:val="24"/>
                <w:szCs w:val="24"/>
                <w:u w:val="none"/>
              </w:rPr>
            </w:pPr>
            <w:r>
              <w:rPr>
                <w:rStyle w:val="6"/>
                <w:rFonts w:hint="eastAsia" w:ascii="楷体_GB2312" w:hAnsi="楷体_GB2312" w:eastAsia="楷体_GB2312" w:cs="楷体_GB2312"/>
                <w:b w:val="0"/>
                <w:bCs w:val="0"/>
                <w:sz w:val="24"/>
                <w:szCs w:val="24"/>
              </w:rPr>
              <w:t>项目名称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_GB2312" w:hAnsi="楷体_GB2312" w:eastAsia="楷体_GB2312" w:cs="楷体_GB2312"/>
                <w:b w:val="0"/>
                <w:bCs w:val="0"/>
                <w:i w:val="0"/>
                <w:color w:val="000000"/>
                <w:sz w:val="24"/>
                <w:szCs w:val="24"/>
                <w:u w:val="none"/>
              </w:rPr>
            </w:pPr>
            <w:r>
              <w:rPr>
                <w:rStyle w:val="6"/>
                <w:rFonts w:hint="eastAsia" w:ascii="楷体_GB2312" w:hAnsi="楷体_GB2312" w:eastAsia="楷体_GB2312" w:cs="楷体_GB2312"/>
                <w:b w:val="0"/>
                <w:bCs w:val="0"/>
                <w:sz w:val="24"/>
                <w:szCs w:val="24"/>
              </w:rPr>
              <w:t>申报单位</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_GB2312" w:hAnsi="楷体_GB2312" w:eastAsia="楷体_GB2312" w:cs="楷体_GB2312"/>
                <w:b w:val="0"/>
                <w:bCs w:val="0"/>
                <w:i w:val="0"/>
                <w:color w:val="000000"/>
                <w:sz w:val="24"/>
                <w:szCs w:val="24"/>
                <w:u w:val="none"/>
              </w:rPr>
            </w:pPr>
            <w:r>
              <w:rPr>
                <w:rStyle w:val="6"/>
                <w:rFonts w:hint="eastAsia" w:ascii="楷体_GB2312" w:hAnsi="楷体_GB2312" w:eastAsia="楷体_GB2312" w:cs="楷体_GB2312"/>
                <w:b w:val="0"/>
                <w:bCs w:val="0"/>
                <w:sz w:val="24"/>
                <w:szCs w:val="24"/>
              </w:rPr>
              <w:t>申报方向</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_GB2312" w:hAnsi="楷体_GB2312" w:eastAsia="楷体_GB2312" w:cs="楷体_GB2312"/>
                <w:b w:val="0"/>
                <w:bCs w:val="0"/>
                <w:i w:val="0"/>
                <w:color w:val="000000"/>
                <w:kern w:val="2"/>
                <w:sz w:val="24"/>
                <w:szCs w:val="24"/>
                <w:u w:val="none"/>
                <w:lang w:val="en-US" w:eastAsia="zh-CN" w:bidi="ar-SA"/>
              </w:rPr>
            </w:pPr>
            <w:r>
              <w:rPr>
                <w:rStyle w:val="6"/>
                <w:rFonts w:hint="eastAsia" w:ascii="楷体_GB2312" w:hAnsi="楷体_GB2312" w:eastAsia="楷体_GB2312" w:cs="楷体_GB2312"/>
                <w:b w:val="0"/>
                <w:bCs w:val="0"/>
                <w:sz w:val="24"/>
                <w:szCs w:val="24"/>
              </w:rPr>
              <w:t>所属市（州）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基于工业互联网的乳品供应链协同解决方案</w:t>
            </w:r>
            <w:bookmarkStart w:id="0" w:name="_GoBack"/>
            <w:bookmarkEnd w:id="0"/>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新希望集团有限公司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供应链协同解决方案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智慧能源管理综合解决方案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川开电气有限公司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绿色低碳解决方案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面向化工园区的工业互联网安全生产应用管理平台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工业云制造（四川）创新中心有限公司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互联网</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智慧燃气</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安全管理平台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成都千嘉科技有限公司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rPr>
              <w:t>基于密码技术的工业控制系统和智能设备网络安全解决方案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中国电子科技网络信息安全有限公司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设备与控制安全</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基于工业物联技术的汽车的数字化生产管理方案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四川领吉汽车制造有限公司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基于物联网</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五域三体系</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架构打造的智慧工厂质量管理解决方案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成都秦川物联网科技股份有限公司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智慧大脑</w:t>
            </w:r>
            <w:r>
              <w:rPr>
                <w:rStyle w:val="8"/>
                <w:rFonts w:hint="eastAsia" w:ascii="仿宋_GB2312" w:hAnsi="仿宋_GB2312" w:eastAsia="仿宋_GB2312" w:cs="仿宋_GB2312"/>
                <w:sz w:val="24"/>
                <w:szCs w:val="24"/>
              </w:rPr>
              <w:t>+</w:t>
            </w:r>
            <w:r>
              <w:rPr>
                <w:rStyle w:val="8"/>
                <w:rFonts w:hint="default" w:ascii="Times New Roman" w:hAnsi="Times New Roman" w:eastAsia="仿宋_GB2312" w:cs="Times New Roman"/>
                <w:sz w:val="24"/>
                <w:szCs w:val="24"/>
              </w:rPr>
              <w:t>E</w:t>
            </w:r>
            <w:r>
              <w:rPr>
                <w:rStyle w:val="7"/>
                <w:rFonts w:hint="eastAsia" w:ascii="仿宋_GB2312" w:hAnsi="仿宋_GB2312" w:eastAsia="仿宋_GB2312" w:cs="仿宋_GB2312"/>
                <w:sz w:val="24"/>
                <w:szCs w:val="24"/>
              </w:rPr>
              <w:t>碳超市</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国网四川省电力公司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绿色低碳解决方案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天府智能制造产业园五网融合工业互联网新模式园区</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成都市新津区天府智能制造产业园管委会</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工业互联网园区融合应用新模式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成渝经济圈汽车产业链供需信息对接平台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益企云科技股份有限公司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供应链协同解决方案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面向国内外余热发电行业电子化采购与供应链协同平台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四川林飞数码科技有限公司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供应链协同解决方案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接触网运行状态检测系统</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成都国铁电气设备有限公司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基于工业互联网的高端电子制造企业敏捷智慧质量管控整体解决方案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中电九天智能科技有限公司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通威股份农牧板块智能工厂解决方案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通威股份有限公司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供应链协同解决方案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泸州航空航天工业互联网</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电子信息产业集群项目</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泸州航空航天产业园区</w:t>
            </w:r>
            <w:r>
              <w:rPr>
                <w:rStyle w:val="7"/>
                <w:rFonts w:hint="eastAsia" w:ascii="仿宋_GB2312" w:hAnsi="仿宋_GB2312" w:eastAsia="仿宋_GB2312" w:cs="仿宋_GB2312"/>
                <w:sz w:val="24"/>
                <w:szCs w:val="24"/>
                <w:lang w:eastAsia="zh-CN"/>
              </w:rPr>
              <w:t>管理委员会、</w:t>
            </w:r>
            <w:r>
              <w:rPr>
                <w:rStyle w:val="7"/>
                <w:rFonts w:hint="eastAsia" w:ascii="仿宋_GB2312" w:hAnsi="仿宋_GB2312" w:eastAsia="仿宋_GB2312" w:cs="仿宋_GB2312"/>
                <w:sz w:val="24"/>
                <w:szCs w:val="24"/>
              </w:rPr>
              <w:t>泸州空港产业促进中心</w:t>
            </w:r>
            <w:r>
              <w:rPr>
                <w:rStyle w:val="8"/>
                <w:rFonts w:hint="eastAsia" w:ascii="仿宋_GB2312" w:hAnsi="仿宋_GB2312" w:eastAsia="仿宋_GB2312" w:cs="仿宋_GB2312"/>
                <w:sz w:val="24"/>
                <w:szCs w:val="24"/>
              </w:rPr>
              <w:t xml:space="preserve"> </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园区</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产业集群解决方案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精密超小型电磁继电器数字化车间建设</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三化</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融合示范项目</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四川宏发电声有限公司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工业数码电子雷管</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工业互联网</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应用</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雅化集团绵阳实业有限公司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基于工业互联网平台的产品全生命周期质量管理解决方案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四川长虹电子控股集团有限公司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惠科第</w:t>
            </w:r>
            <w:r>
              <w:rPr>
                <w:rStyle w:val="8"/>
                <w:rFonts w:hint="default" w:ascii="Times New Roman" w:hAnsi="Times New Roman" w:eastAsia="仿宋_GB2312" w:cs="Times New Roman"/>
                <w:sz w:val="24"/>
                <w:szCs w:val="24"/>
              </w:rPr>
              <w:t>8.6</w:t>
            </w:r>
            <w:r>
              <w:rPr>
                <w:rStyle w:val="7"/>
                <w:rFonts w:hint="eastAsia" w:ascii="仿宋_GB2312" w:hAnsi="仿宋_GB2312" w:eastAsia="仿宋_GB2312" w:cs="仿宋_GB2312"/>
                <w:sz w:val="24"/>
                <w:szCs w:val="24"/>
              </w:rPr>
              <w:t>代高端显示面板绿色集约生产与能耗排放管控方案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绵阳惠科光电科技有限公司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绿色低碳解决方案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互联网助力工业炸药安全生产</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雅化集团三台化工有限公司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工业互联网平台</w:t>
            </w:r>
            <w:r>
              <w:rPr>
                <w:rStyle w:val="8"/>
                <w:rFonts w:hint="eastAsia" w:ascii="仿宋_GB2312" w:hAnsi="仿宋_GB2312" w:eastAsia="仿宋_GB2312" w:cs="仿宋_GB2312"/>
                <w:sz w:val="24"/>
                <w:szCs w:val="24"/>
                <w:highlight w:val="none"/>
              </w:rPr>
              <w:t>+</w:t>
            </w:r>
            <w:r>
              <w:rPr>
                <w:rStyle w:val="7"/>
                <w:rFonts w:hint="eastAsia" w:ascii="仿宋_GB2312" w:hAnsi="仿宋_GB2312" w:eastAsia="仿宋_GB2312" w:cs="仿宋_GB2312"/>
                <w:sz w:val="24"/>
                <w:szCs w:val="24"/>
                <w:highlight w:val="none"/>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园区集成创新试点示范</w:t>
            </w:r>
            <w:r>
              <w:rPr>
                <w:rStyle w:val="7"/>
                <w:rFonts w:hint="eastAsia" w:ascii="仿宋_GB2312" w:hAnsi="仿宋_GB2312" w:eastAsia="仿宋_GB2312" w:cs="仿宋_GB2312"/>
                <w:sz w:val="24"/>
                <w:szCs w:val="24"/>
                <w:lang w:eastAsia="zh-CN"/>
              </w:rPr>
              <w:t>“</w:t>
            </w: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园区</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游仙高新区</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智慧园区</w:t>
            </w:r>
            <w:r>
              <w:rPr>
                <w:rStyle w:val="8"/>
                <w:rFonts w:hint="eastAsia" w:ascii="仿宋_GB2312" w:hAnsi="仿宋_GB2312" w:eastAsia="仿宋_GB2312" w:cs="仿宋_GB2312"/>
                <w:sz w:val="24"/>
                <w:szCs w:val="24"/>
              </w:rPr>
              <w:t>”</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lang w:eastAsia="zh-CN"/>
              </w:rPr>
              <w:t>游仙高新技术产业园区管理委员会、</w:t>
            </w:r>
            <w:r>
              <w:rPr>
                <w:rStyle w:val="7"/>
                <w:rFonts w:hint="eastAsia" w:ascii="仿宋_GB2312" w:hAnsi="仿宋_GB2312" w:eastAsia="仿宋_GB2312" w:cs="仿宋_GB2312"/>
                <w:sz w:val="24"/>
                <w:szCs w:val="24"/>
              </w:rPr>
              <w:t>绵阳富乐投资有限公司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园区/产业集群解决方案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爱因特</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工业互联网</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四川爱因特科技有限公司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工业互联网平台+安全生产解决方案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遂宁市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产品全生命周期管理</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内江金鸿曲轴有限公司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质量管理解决方案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内江市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highlight w:val="none"/>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基于工业互联网的氯碱化工安全生产</w:t>
            </w:r>
            <w:r>
              <w:rPr>
                <w:rStyle w:val="8"/>
                <w:rFonts w:hint="eastAsia" w:ascii="Times New Roman" w:hAnsi="Times New Roman" w:eastAsia="仿宋_GB2312" w:cs="Times New Roman"/>
                <w:sz w:val="24"/>
                <w:szCs w:val="24"/>
              </w:rPr>
              <w:t>S</w:t>
            </w:r>
            <w:r>
              <w:rPr>
                <w:rStyle w:val="8"/>
                <w:rFonts w:hint="eastAsia" w:ascii="Times New Roman" w:hAnsi="Times New Roman" w:eastAsia="仿宋_GB2312" w:cs="Times New Roman"/>
                <w:sz w:val="24"/>
                <w:szCs w:val="24"/>
                <w:lang w:val="en-US" w:eastAsia="zh-CN"/>
              </w:rPr>
              <w:t>aa</w:t>
            </w:r>
            <w:r>
              <w:rPr>
                <w:rStyle w:val="8"/>
                <w:rFonts w:hint="eastAsia" w:ascii="Times New Roman" w:hAnsi="Times New Roman" w:eastAsia="仿宋_GB2312" w:cs="Times New Roman"/>
                <w:sz w:val="24"/>
                <w:szCs w:val="24"/>
              </w:rPr>
              <w:t>S</w:t>
            </w:r>
            <w:r>
              <w:rPr>
                <w:rStyle w:val="7"/>
                <w:rFonts w:hint="eastAsia" w:ascii="仿宋_GB2312" w:hAnsi="仿宋_GB2312" w:eastAsia="仿宋_GB2312" w:cs="仿宋_GB2312"/>
                <w:sz w:val="24"/>
                <w:szCs w:val="24"/>
                <w:highlight w:val="none"/>
              </w:rPr>
              <w:t>化服务平台</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四川海云天智物联科技有限公司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工业互联网平台</w:t>
            </w:r>
            <w:r>
              <w:rPr>
                <w:rStyle w:val="8"/>
                <w:rFonts w:hint="eastAsia" w:ascii="仿宋_GB2312" w:hAnsi="仿宋_GB2312" w:eastAsia="仿宋_GB2312" w:cs="仿宋_GB2312"/>
                <w:sz w:val="24"/>
                <w:szCs w:val="24"/>
                <w:highlight w:val="none"/>
              </w:rPr>
              <w:t>+</w:t>
            </w:r>
            <w:r>
              <w:rPr>
                <w:rStyle w:val="7"/>
                <w:rFonts w:hint="eastAsia" w:ascii="仿宋_GB2312" w:hAnsi="仿宋_GB2312" w:eastAsia="仿宋_GB2312" w:cs="仿宋_GB2312"/>
                <w:sz w:val="24"/>
                <w:szCs w:val="24"/>
                <w:highlight w:val="none"/>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Style w:val="7"/>
                <w:rFonts w:hint="eastAsia" w:ascii="仿宋_GB2312" w:hAnsi="仿宋_GB2312" w:eastAsia="仿宋_GB2312" w:cs="仿宋_GB2312"/>
                <w:sz w:val="24"/>
                <w:szCs w:val="24"/>
                <w:highlight w:val="none"/>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基于德恩工业互联网标识解析行业节点及应用服务平台的供应链协同解决方案</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四川德恩精工科技股份有限公司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供应链协同解决方案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113" w:firstLineChars="0"/>
              <w:jc w:val="center"/>
              <w:textAlignment w:val="center"/>
              <w:rPr>
                <w:rFonts w:hint="default" w:ascii="Times New Roman" w:hAnsi="Times New Roman" w:eastAsia="宋体" w:cs="Times New Roman"/>
                <w:i w:val="0"/>
                <w:color w:val="000000"/>
                <w:sz w:val="24"/>
                <w:szCs w:val="24"/>
                <w:u w:val="none"/>
              </w:rPr>
            </w:pPr>
          </w:p>
        </w:tc>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无信号地区低功耗自组异构物联网络及其智慧应用</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国网四川甘孜州电力有限责任公司</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rPr>
              <w:t>工业互联网平台</w:t>
            </w:r>
            <w:r>
              <w:rPr>
                <w:rStyle w:val="8"/>
                <w:rFonts w:hint="eastAsia" w:ascii="仿宋_GB2312" w:hAnsi="仿宋_GB2312" w:eastAsia="仿宋_GB2312" w:cs="仿宋_GB2312"/>
                <w:sz w:val="24"/>
                <w:szCs w:val="24"/>
              </w:rPr>
              <w:t>+</w:t>
            </w:r>
            <w:r>
              <w:rPr>
                <w:rStyle w:val="7"/>
                <w:rFonts w:hint="eastAsia" w:ascii="仿宋_GB2312" w:hAnsi="仿宋_GB2312" w:eastAsia="仿宋_GB2312" w:cs="仿宋_GB2312"/>
                <w:sz w:val="24"/>
                <w:szCs w:val="24"/>
              </w:rPr>
              <w:t>安全生产解决方案</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Style w:val="7"/>
                <w:rFonts w:hint="eastAsia" w:ascii="仿宋_GB2312" w:hAnsi="仿宋_GB2312" w:eastAsia="仿宋_GB2312" w:cs="仿宋_GB2312"/>
                <w:sz w:val="24"/>
                <w:szCs w:val="24"/>
                <w:lang w:val="en-US" w:eastAsia="zh-CN"/>
              </w:rPr>
              <w:t>甘孜州</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4800" w:firstLineChars="1500"/>
        <w:textAlignment w:val="auto"/>
        <w:rPr>
          <w:rFonts w:hint="eastAsia" w:ascii="仿宋_GB2312" w:hAnsi="仿宋_GB2312" w:eastAsia="仿宋_GB2312" w:cs="仿宋_GB2312"/>
          <w:sz w:val="32"/>
          <w:szCs w:val="32"/>
          <w:lang w:val="en-US" w:eastAsia="zh-CN"/>
        </w:rPr>
      </w:pP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3F6C"/>
    <w:multiLevelType w:val="singleLevel"/>
    <w:tmpl w:val="D17A3F6C"/>
    <w:lvl w:ilvl="0" w:tentative="0">
      <w:start w:val="1"/>
      <w:numFmt w:val="decimal"/>
      <w:lvlText w:val="%1"/>
      <w:lvlJc w:val="left"/>
      <w:pPr>
        <w:tabs>
          <w:tab w:val="left" w:pos="227"/>
        </w:tabs>
        <w:ind w:left="0" w:firstLine="1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F5653"/>
    <w:rsid w:val="4E87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line="580" w:lineRule="exact"/>
      <w:ind w:left="200" w:leftChars="200" w:hanging="200" w:hangingChars="200"/>
    </w:pPr>
    <w:rPr>
      <w:rFonts w:eastAsia="方正仿宋_GBK"/>
      <w:sz w:val="32"/>
      <w:szCs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hint="eastAsia" w:ascii="黑体" w:hAnsi="宋体" w:eastAsia="黑体" w:cs="黑体"/>
      <w:color w:val="000000"/>
      <w:sz w:val="22"/>
      <w:szCs w:val="22"/>
      <w:u w:val="none"/>
    </w:rPr>
  </w:style>
  <w:style w:type="character" w:customStyle="1" w:styleId="7">
    <w:name w:val="font61"/>
    <w:basedOn w:val="5"/>
    <w:qFormat/>
    <w:uiPriority w:val="0"/>
    <w:rPr>
      <w:rFonts w:hint="eastAsia" w:ascii="方正仿宋简体" w:hAnsi="方正仿宋简体" w:eastAsia="方正仿宋简体" w:cs="方正仿宋简体"/>
      <w:color w:val="000000"/>
      <w:sz w:val="28"/>
      <w:szCs w:val="28"/>
      <w:u w:val="none"/>
    </w:rPr>
  </w:style>
  <w:style w:type="character" w:customStyle="1" w:styleId="8">
    <w:name w:val="font5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87960</dc:creator>
  <cp:lastModifiedBy>user</cp:lastModifiedBy>
  <dcterms:modified xsi:type="dcterms:W3CDTF">2022-02-21T16:10:32Z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E796F1F6830A47E7A9F1B3954AC04111</vt:lpwstr>
  </property>
</Properties>
</file>