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市（州）核查结果报告编写提纲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专项整治行动组织开展总体情况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括工作任务分解布置情况；稀土开采、冶炼分离（含综合利用）、贸易等企业核查基本情况，特别是重点核查企业核实情况；地方政府责任落实情况；存在问题的企业或地方的处置和整改情况，总结好的经验做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存在的问题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工作中遇到的困难及需要协调解决的问题。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下一步工作安排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将整治工作制度化、常态化的工作安排。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有关建议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对规范稀土市场秩序、促进行业持续健康发展的建议。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E7338A"/>
    <w:multiLevelType w:val="singleLevel"/>
    <w:tmpl w:val="86E7338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5648F"/>
    <w:rsid w:val="000F1815"/>
    <w:rsid w:val="227F743E"/>
    <w:rsid w:val="39113861"/>
    <w:rsid w:val="3AC0212B"/>
    <w:rsid w:val="4C65648F"/>
    <w:rsid w:val="561C3AFC"/>
    <w:rsid w:val="7E2647F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2019-05-31T02:30:00Z</dcterms:created>
  <dc:creator>Administrator</dc:creator>
  <cp:lastModifiedBy>hp-01</cp:lastModifiedBy>
  <cp:lastPrinted>2019-05-31T02:51:48Z</cp:lastPrinted>
  <dcterms:modified xsi:type="dcterms:W3CDTF">2019-05-31T03:05:29Z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