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B" w:rsidRDefault="0050692B" w:rsidP="0050692B">
      <w:pPr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50692B" w:rsidRDefault="0050692B" w:rsidP="0050692B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社会公众意见建议及采纳处理情况</w:t>
      </w:r>
    </w:p>
    <w:bookmarkEnd w:id="0"/>
    <w:p w:rsidR="0050692B" w:rsidRDefault="0050692B" w:rsidP="0050692B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5382"/>
        <w:gridCol w:w="1093"/>
        <w:gridCol w:w="1636"/>
      </w:tblGrid>
      <w:tr w:rsidR="0050692B" w:rsidTr="0082765B">
        <w:trPr>
          <w:trHeight w:hRule="exact" w:val="397"/>
          <w:tblHeader/>
          <w:jc w:val="center"/>
        </w:trPr>
        <w:tc>
          <w:tcPr>
            <w:tcW w:w="982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280" w:lineRule="exact"/>
              <w:jc w:val="center"/>
              <w:rPr>
                <w:rFonts w:ascii="仿宋_GB2312" w:eastAsia="仿宋_GB2312" w:hAnsi="方正小标宋简体" w:cs="方正小标宋简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部门</w:t>
            </w:r>
          </w:p>
        </w:tc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280" w:lineRule="exact"/>
              <w:jc w:val="center"/>
              <w:rPr>
                <w:rFonts w:ascii="仿宋_GB2312" w:eastAsia="仿宋_GB2312" w:hAnsi="方正小标宋简体" w:cs="方正小标宋简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意见建议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280" w:lineRule="exact"/>
              <w:jc w:val="center"/>
              <w:rPr>
                <w:rFonts w:ascii="仿宋_GB2312" w:eastAsia="仿宋_GB2312" w:hAnsi="方正小标宋简体" w:cs="方正小标宋简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采纳情况</w:t>
            </w:r>
          </w:p>
        </w:tc>
        <w:tc>
          <w:tcPr>
            <w:tcW w:w="1636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方正小标宋简体" w:cs="方正小标宋简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未采纳理由</w:t>
            </w:r>
          </w:p>
        </w:tc>
      </w:tr>
      <w:tr w:rsidR="0050692B" w:rsidTr="0082765B">
        <w:trPr>
          <w:trHeight w:hRule="exact" w:val="8096"/>
          <w:jc w:val="center"/>
        </w:trPr>
        <w:tc>
          <w:tcPr>
            <w:tcW w:w="982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1.四川宏基工程管理股份有限公司 </w:t>
            </w:r>
          </w:p>
        </w:tc>
        <w:tc>
          <w:tcPr>
            <w:tcW w:w="5382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320" w:lineRule="exact"/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  <w:t>（四）促进市场公平竞争。严格落实公平竞争审查制度，开展公平竞争审查第三方评估，营造公平、开放、透明的市场环境，清理废除妨碍统一市场和公平竞争的各种规定和做法。开展招投标专项整治，消除各类不合理限制和壁垒。</w:t>
            </w:r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  <w:u w:val="single"/>
              </w:rPr>
              <w:t>严格按照《四川省政府投资工程建设项目比选办法》（省政府197号令）采用随机方式或者比选方式选择中介机构；不得以投标人的所有制形式、组织形式或者股权结构，对投标人实施差别待遇或者歧视待遇，对民营企业设置不平等条款，对内资企业和外资企业在中国境内生产的产品、提供的服务区别对待；不得通过入围方式设置备选库、名录库、资格</w:t>
            </w:r>
            <w:proofErr w:type="gramStart"/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  <w:u w:val="single"/>
              </w:rPr>
              <w:t>库作为</w:t>
            </w:r>
            <w:proofErr w:type="gramEnd"/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  <w:u w:val="single"/>
              </w:rPr>
              <w:t>参与招标投标活动的资格条件；不得要求投标人在招标投标活动前进行不必要的登记、注册，或者要求设立分支机构，设置或者变相设置进入招标投标市场的障碍；不得设置或者变相设置投标人规模、成立年限等门槛，限制投标人参与招标投标活动；不得设置未经</w:t>
            </w:r>
            <w:proofErr w:type="gramStart"/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  <w:u w:val="single"/>
              </w:rPr>
              <w:t>人社部门</w:t>
            </w:r>
            <w:proofErr w:type="gramEnd"/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  <w:u w:val="single"/>
              </w:rPr>
              <w:t>或其他行政主管部门批准设立的从业资格证；不得违反法律法规相关规定的其他妨碍公平竞争的情形。</w:t>
            </w:r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  <w:t>加强反垄断执法和垄断行业监管，开展不正当竞争行为专项治理。</w:t>
            </w:r>
          </w:p>
          <w:p w:rsidR="0050692B" w:rsidRDefault="0050692B" w:rsidP="0082765B">
            <w:pPr>
              <w:spacing w:line="320" w:lineRule="exact"/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黑体" w:cs="黑体" w:hint="eastAsia"/>
                <w:b/>
                <w:kern w:val="0"/>
                <w:szCs w:val="21"/>
              </w:rPr>
              <w:t>下划线部分为建议增加内容，原因是目前四川省各地招标投标存在政策不一，省上存在多头管理。如果这个以省政府名义出台政策文件不定总调，则会出现同类问题在各地市州和各行业主管部门则会出现不同结果。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未采纳</w:t>
            </w:r>
          </w:p>
        </w:tc>
        <w:tc>
          <w:tcPr>
            <w:tcW w:w="1636" w:type="dxa"/>
            <w:tcMar>
              <w:left w:w="0" w:type="dxa"/>
              <w:right w:w="0" w:type="dxa"/>
            </w:tcMar>
            <w:vAlign w:val="center"/>
          </w:tcPr>
          <w:p w:rsidR="0050692B" w:rsidRDefault="0050692B" w:rsidP="0082765B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黑体" w:hint="eastAsia"/>
                <w:bCs/>
                <w:kern w:val="0"/>
                <w:szCs w:val="21"/>
              </w:rPr>
              <w:t>“开展招投标专项整治，消除各类不合理限制和壁垒”已涵盖，不宜单一列举某一领域。</w:t>
            </w:r>
          </w:p>
        </w:tc>
      </w:tr>
    </w:tbl>
    <w:p w:rsidR="0050692B" w:rsidRDefault="0050692B" w:rsidP="0050692B">
      <w:pPr>
        <w:pStyle w:val="2"/>
      </w:pPr>
    </w:p>
    <w:p w:rsidR="00501553" w:rsidRPr="0050692B" w:rsidRDefault="00501553"/>
    <w:sectPr w:rsidR="00501553" w:rsidRPr="0050692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64A9">
    <w:pPr>
      <w:pStyle w:val="a3"/>
      <w:ind w:rightChars="200" w:right="420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6" o:spid="_x0000_s1025" type="#_x0000_t202" style="position:absolute;left:0;text-align:left;margin-left:18.25pt;margin-top:0;width:58.25pt;height:16.1pt;z-index:251660288;mso-position-horizontal:outside;mso-position-horizontal-relative:margin" o:gfxdata="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VdZPrVAAAABAEA&#10;AA8AAAAAAAAAAQAgAAAAIgAAAGRycy9kb3ducmV2LnhtbFBLAQIUABQAAAAIAIdO4kAfAKiOqwEA&#10;AC8DAAAOAAAAAAAAAAEAIAAAACQBAABkcnMvZTJvRG9jLnhtbFBLBQYAAAAABgAGAFkBAABBBQAA&#10;AAA=&#10;" filled="f" stroked="f">
          <v:textbox inset="0,0,0,0">
            <w:txbxContent>
              <w:p w:rsidR="00000000" w:rsidRDefault="00BD64A9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0692B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0692B"/>
    <w:rsid w:val="00501553"/>
    <w:rsid w:val="0050692B"/>
    <w:rsid w:val="00BD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069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692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5069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50692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樊英</dc:creator>
  <cp:lastModifiedBy>樊英</cp:lastModifiedBy>
  <cp:revision>1</cp:revision>
  <dcterms:created xsi:type="dcterms:W3CDTF">2019-11-19T06:30:00Z</dcterms:created>
  <dcterms:modified xsi:type="dcterms:W3CDTF">2019-11-19T06:30:00Z</dcterms:modified>
</cp:coreProperties>
</file>