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80" w:lineRule="exact"/>
        <w:jc w:val="both"/>
        <w:rPr>
          <w:rFonts w:hint="eastAsia" w:ascii="方正小标宋简体" w:eastAsia="方正小标宋简体"/>
          <w:b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工业旅游示范基地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一、基本条件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b w:val="0"/>
          <w:bCs/>
          <w:kern w:val="0"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工业旅游示范基地</w:t>
      </w:r>
      <w:r>
        <w:rPr>
          <w:rFonts w:eastAsia="仿宋_GB2312"/>
          <w:b w:val="0"/>
          <w:bCs/>
          <w:sz w:val="32"/>
          <w:szCs w:val="32"/>
        </w:rPr>
        <w:t>是指</w:t>
      </w:r>
      <w:r>
        <w:rPr>
          <w:rFonts w:hint="eastAsia" w:eastAsia="仿宋_GB2312"/>
          <w:b w:val="0"/>
          <w:bCs/>
          <w:sz w:val="32"/>
          <w:szCs w:val="32"/>
        </w:rPr>
        <w:t>以运营中的工厂、企业、工程等为主要吸引物，提供必要的旅游设施与服务，适合组织开展参观、游览、体验、购物等活动，</w:t>
      </w:r>
      <w:r>
        <w:rPr>
          <w:rFonts w:eastAsia="仿宋_GB2312"/>
          <w:b w:val="0"/>
          <w:bCs/>
          <w:sz w:val="32"/>
          <w:szCs w:val="32"/>
        </w:rPr>
        <w:t>符合《</w:t>
      </w:r>
      <w:r>
        <w:rPr>
          <w:rFonts w:hint="eastAsia" w:eastAsia="仿宋_GB2312"/>
          <w:b w:val="0"/>
          <w:bCs/>
          <w:sz w:val="32"/>
          <w:szCs w:val="32"/>
        </w:rPr>
        <w:t>国家工业旅游示范基地规范与评价（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LB/T 067—2017</w:t>
      </w:r>
      <w:r>
        <w:rPr>
          <w:rFonts w:ascii="黑体" w:eastAsia="黑体" w:cs="黑体"/>
          <w:b w:val="0"/>
          <w:bCs/>
          <w:kern w:val="0"/>
          <w:sz w:val="28"/>
          <w:szCs w:val="28"/>
        </w:rPr>
        <w:t>）</w:t>
      </w:r>
      <w:r>
        <w:rPr>
          <w:rFonts w:hint="eastAsia" w:eastAsia="仿宋_GB2312"/>
          <w:b w:val="0"/>
          <w:bCs/>
          <w:sz w:val="32"/>
          <w:szCs w:val="32"/>
        </w:rPr>
        <w:t>》</w:t>
      </w:r>
      <w:r>
        <w:rPr>
          <w:rFonts w:eastAsia="仿宋_GB2312"/>
          <w:b w:val="0"/>
          <w:bCs/>
          <w:sz w:val="32"/>
          <w:szCs w:val="32"/>
        </w:rPr>
        <w:t>（以下简称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“</w:t>
      </w:r>
      <w:r>
        <w:rPr>
          <w:rFonts w:eastAsia="仿宋_GB2312"/>
          <w:b w:val="0"/>
          <w:bCs/>
          <w:sz w:val="32"/>
          <w:szCs w:val="32"/>
        </w:rPr>
        <w:t>标准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”</w:t>
      </w:r>
      <w:r>
        <w:rPr>
          <w:rFonts w:eastAsia="仿宋_GB2312"/>
          <w:b w:val="0"/>
          <w:bCs/>
          <w:sz w:val="32"/>
          <w:szCs w:val="32"/>
        </w:rPr>
        <w:t>）相关要求</w:t>
      </w:r>
      <w:r>
        <w:rPr>
          <w:rFonts w:hint="eastAsia" w:eastAsia="仿宋_GB2312"/>
          <w:b w:val="0"/>
          <w:bCs/>
          <w:sz w:val="32"/>
          <w:szCs w:val="32"/>
        </w:rPr>
        <w:t>，对工业旅游发展具有一定示范引领作用的企业或企业集聚区（包括工业企业、工业园区、工业遗产旅游区、工业展览馆或博物馆等）。申报四川省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工业旅游示范基地</w:t>
      </w:r>
      <w:r>
        <w:rPr>
          <w:rFonts w:hint="eastAsia" w:eastAsia="仿宋_GB2312"/>
          <w:b w:val="0"/>
          <w:bCs/>
          <w:sz w:val="32"/>
          <w:szCs w:val="32"/>
        </w:rPr>
        <w:t>必须具备如下基本条件：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249" w:hanging="115" w:hangingChars="36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</w:rPr>
        <w:t>资质条件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具有良好的企业形象和较高的社会知名度。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设有专门的旅游经营管理机构和专职旅游从业人员。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近三年内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（开业不足三年从开业以来）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未发生重、特大环境污染事故和重、特大安全责任事故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.正式开业从事经营活动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年以上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249" w:hanging="115" w:hangingChars="36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</w:rPr>
        <w:t>旅游条件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具有较高的历史文化价值、观赏价值、科普价值。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旅游产品应主题鲜明，内容丰富，特色明显，具有一定的独创性，宜有吸引力较强的体验性、参与性项目。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基地游览线路对工业生产、工艺流程、建筑景观、科技成果、工业遗产等内容进行充分展示，具有独特魅力。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249" w:hanging="115" w:hangingChars="36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（三）环境条件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环境空气质量符合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 xml:space="preserve">GB 3095-2012 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二类区的规定。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环境噪声符合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GB 12348-2008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工业企业厂界环境噪声排放限值的规定。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地表水环境质量符合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GB/T 3838-2002Ⅳ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类的规定。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污水综合排放符合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GB 8978-2002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三级标准的规定。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502" w:firstLineChars="157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（四）依据标准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，省级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工业旅游示范基地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自评得分在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75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分以上（含）。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二、工作程序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8" w:firstLineChars="165"/>
        <w:jc w:val="both"/>
        <w:textAlignment w:val="auto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ascii="仿宋_GB2312" w:hAnsi="仿宋" w:eastAsia="仿宋_GB2312"/>
          <w:b w:val="0"/>
          <w:bCs/>
          <w:sz w:val="32"/>
          <w:szCs w:val="32"/>
        </w:rPr>
        <w:t>（一）遵循自愿申报原则，满足申报基本条件的单位，向市（州）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经济和信息化局、文化和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旅游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部门</w:t>
      </w:r>
      <w:r>
        <w:rPr>
          <w:rFonts w:ascii="仿宋_GB2312" w:hAnsi="仿宋" w:eastAsia="仿宋_GB2312"/>
          <w:b w:val="0"/>
          <w:bCs/>
          <w:sz w:val="32"/>
          <w:szCs w:val="32"/>
        </w:rPr>
        <w:t>提出申请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并提供</w:t>
      </w:r>
      <w:r>
        <w:rPr>
          <w:rFonts w:ascii="仿宋_GB2312" w:hAnsi="仿宋" w:eastAsia="仿宋_GB2312"/>
          <w:b w:val="0"/>
          <w:bCs/>
          <w:sz w:val="32"/>
          <w:szCs w:val="32"/>
        </w:rPr>
        <w:t>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8" w:firstLineChars="165"/>
        <w:jc w:val="both"/>
        <w:textAlignment w:val="auto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ascii="仿宋_GB2312" w:hAnsi="仿宋" w:eastAsia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二</w:t>
      </w:r>
      <w:r>
        <w:rPr>
          <w:rFonts w:ascii="仿宋_GB2312" w:hAnsi="仿宋" w:eastAsia="仿宋_GB2312"/>
          <w:b w:val="0"/>
          <w:bCs/>
          <w:sz w:val="32"/>
          <w:szCs w:val="32"/>
        </w:rPr>
        <w:t>）市（州）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经济和信息化局、文化和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旅游</w:t>
      </w:r>
      <w:r>
        <w:rPr>
          <w:rFonts w:ascii="仿宋_GB2312" w:hAnsi="仿宋" w:eastAsia="仿宋_GB2312"/>
          <w:b w:val="0"/>
          <w:bCs/>
          <w:sz w:val="32"/>
          <w:szCs w:val="32"/>
        </w:rPr>
        <w:t>部门收到申报材料后，依据标准，组织开展资料审查与技术评估，对符合申报条件的单位，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地人民政府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审批同意后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由</w:t>
      </w:r>
      <w:r>
        <w:rPr>
          <w:rFonts w:ascii="仿宋_GB2312" w:hAnsi="仿宋" w:eastAsia="仿宋_GB2312"/>
          <w:b w:val="0"/>
          <w:bCs/>
          <w:sz w:val="32"/>
          <w:szCs w:val="32"/>
        </w:rPr>
        <w:t>市（州）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经信局、文旅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部门</w:t>
      </w:r>
      <w:r>
        <w:rPr>
          <w:rFonts w:ascii="仿宋_GB2312" w:hAnsi="仿宋" w:eastAsia="仿宋_GB2312"/>
          <w:b w:val="0"/>
          <w:bCs/>
          <w:sz w:val="32"/>
          <w:szCs w:val="32"/>
        </w:rPr>
        <w:t>联合向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经济和信息化厅、文化和旅游厅</w:t>
      </w:r>
      <w:r>
        <w:rPr>
          <w:rFonts w:ascii="仿宋_GB2312" w:hAnsi="仿宋" w:eastAsia="仿宋_GB2312"/>
          <w:b w:val="0"/>
          <w:bCs/>
          <w:sz w:val="32"/>
          <w:szCs w:val="32"/>
        </w:rPr>
        <w:t>推荐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8" w:firstLineChars="165"/>
        <w:jc w:val="both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（三）经济和信息化厅、文化和旅游厅组织相关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专家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对申报资料进行评审。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8" w:firstLineChars="165"/>
        <w:jc w:val="both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（四）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经济和信息化厅、文化和旅游厅组织相关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专家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对通过资料评审的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创建单位进行现场评估考核。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8" w:firstLineChars="165"/>
        <w:jc w:val="both"/>
        <w:textAlignment w:val="auto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（五）根据资料评审和现场评估考核情况，综合确定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年四川省工业旅游示范基地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</w:pPr>
      <w:bookmarkStart w:id="0" w:name="_Toc315549972"/>
      <w: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  <w:t>复核管理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8" w:firstLineChars="165"/>
        <w:jc w:val="both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eastAsia="仿宋_GB2312"/>
          <w:b w:val="0"/>
          <w:bCs/>
          <w:sz w:val="32"/>
          <w:szCs w:val="32"/>
        </w:rPr>
        <w:t>对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示范</w:t>
      </w:r>
      <w:r>
        <w:rPr>
          <w:rFonts w:hint="eastAsia" w:eastAsia="仿宋_GB2312"/>
          <w:b w:val="0"/>
          <w:bCs/>
          <w:sz w:val="32"/>
          <w:szCs w:val="32"/>
        </w:rPr>
        <w:t>基地实行“动态管理、能进能退”的复核管理机制。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8" w:firstLineChars="165"/>
        <w:jc w:val="both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（二）</w:t>
      </w:r>
      <w:r>
        <w:rPr>
          <w:rFonts w:hint="eastAsia" w:eastAsia="仿宋_GB2312"/>
          <w:b w:val="0"/>
          <w:bCs/>
          <w:sz w:val="32"/>
          <w:szCs w:val="32"/>
        </w:rPr>
        <w:t>已认定的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示范</w:t>
      </w:r>
      <w:r>
        <w:rPr>
          <w:rFonts w:hint="eastAsia" w:eastAsia="仿宋_GB2312"/>
          <w:b w:val="0"/>
          <w:bCs/>
          <w:sz w:val="32"/>
          <w:szCs w:val="32"/>
        </w:rPr>
        <w:t>基地每年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eastAsia="仿宋_GB2312"/>
          <w:b w:val="0"/>
          <w:bCs/>
          <w:sz w:val="32"/>
          <w:szCs w:val="32"/>
        </w:rPr>
        <w:t>月底前将本年度工作总结和下年度工作计划报省、市（州）相关评定机构备案。工作总结应着重分析基地在工业旅游发展、规划建设、运营管理、带动效应等方面的具体实践。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8" w:firstLineChars="165"/>
        <w:jc w:val="both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（三）</w:t>
      </w:r>
      <w:r>
        <w:rPr>
          <w:rFonts w:hint="eastAsia" w:eastAsia="仿宋_GB2312"/>
          <w:b w:val="0"/>
          <w:bCs/>
          <w:sz w:val="32"/>
          <w:szCs w:val="32"/>
        </w:rPr>
        <w:t>对已认定的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示范</w:t>
      </w:r>
      <w:r>
        <w:rPr>
          <w:rFonts w:hint="eastAsia" w:eastAsia="仿宋_GB2312"/>
          <w:b w:val="0"/>
          <w:bCs/>
          <w:sz w:val="32"/>
          <w:szCs w:val="32"/>
        </w:rPr>
        <w:t>基地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原则上</w:t>
      </w:r>
      <w:r>
        <w:rPr>
          <w:rFonts w:hint="eastAsia" w:eastAsia="仿宋_GB2312"/>
          <w:b w:val="0"/>
          <w:bCs/>
          <w:sz w:val="32"/>
          <w:szCs w:val="32"/>
        </w:rPr>
        <w:t>每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 w:val="0"/>
          <w:bCs/>
          <w:sz w:val="32"/>
          <w:szCs w:val="32"/>
        </w:rPr>
        <w:t>年组织一次全面复核。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8" w:firstLineChars="165"/>
        <w:jc w:val="both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（四）</w:t>
      </w:r>
      <w:r>
        <w:rPr>
          <w:rFonts w:hint="eastAsia" w:eastAsia="仿宋_GB2312"/>
          <w:b w:val="0"/>
          <w:bCs/>
          <w:sz w:val="32"/>
          <w:szCs w:val="32"/>
        </w:rPr>
        <w:t>对复核结果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低于（附件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75</w:t>
      </w:r>
      <w:r>
        <w:rPr>
          <w:rFonts w:hint="eastAsia" w:eastAsia="仿宋_GB2312"/>
          <w:b w:val="0"/>
          <w:bCs/>
          <w:sz w:val="32"/>
          <w:szCs w:val="32"/>
        </w:rPr>
        <w:t>分的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示范</w:t>
      </w:r>
      <w:r>
        <w:rPr>
          <w:rFonts w:hint="eastAsia" w:eastAsia="仿宋_GB2312"/>
          <w:b w:val="0"/>
          <w:bCs/>
          <w:sz w:val="32"/>
          <w:szCs w:val="32"/>
        </w:rPr>
        <w:t>基地，取消其“四川省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工业旅游示范基地</w:t>
      </w:r>
      <w:r>
        <w:rPr>
          <w:rFonts w:hint="eastAsia" w:eastAsia="仿宋_GB2312"/>
          <w:b w:val="0"/>
          <w:bCs/>
          <w:sz w:val="32"/>
          <w:szCs w:val="32"/>
        </w:rPr>
        <w:t>”资格。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8" w:firstLineChars="165"/>
        <w:jc w:val="both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（五）</w:t>
      </w:r>
      <w:r>
        <w:rPr>
          <w:rFonts w:hint="eastAsia" w:eastAsia="仿宋_GB2312"/>
          <w:b w:val="0"/>
          <w:bCs/>
          <w:sz w:val="32"/>
          <w:szCs w:val="32"/>
        </w:rPr>
        <w:t>对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示范</w:t>
      </w:r>
      <w:r>
        <w:rPr>
          <w:rFonts w:hint="eastAsia" w:eastAsia="仿宋_GB2312"/>
          <w:b w:val="0"/>
          <w:bCs/>
          <w:sz w:val="32"/>
          <w:szCs w:val="32"/>
        </w:rPr>
        <w:t>基地有下列情形之一的，可不经复核程序，直接取消其“四川省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工业旅游示范基地</w:t>
      </w:r>
      <w:r>
        <w:rPr>
          <w:rFonts w:hint="eastAsia" w:eastAsia="仿宋_GB2312"/>
          <w:b w:val="0"/>
          <w:bCs/>
          <w:sz w:val="32"/>
          <w:szCs w:val="32"/>
        </w:rPr>
        <w:t>”资格。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eastAsia="仿宋_GB2312"/>
          <w:b w:val="0"/>
          <w:bCs/>
          <w:sz w:val="32"/>
          <w:szCs w:val="32"/>
        </w:rPr>
        <w:t>严重违背工业旅游发展理念，已基本丧失示范及推广价值；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eastAsia="仿宋_GB2312"/>
          <w:b w:val="0"/>
          <w:bCs/>
          <w:sz w:val="32"/>
          <w:szCs w:val="32"/>
        </w:rPr>
        <w:t>发生重、特大环境污染事故和重、特大安全责任事故的；</w:t>
      </w:r>
      <w:r>
        <w:rPr>
          <w:rFonts w:eastAsia="仿宋_GB2312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eastAsia="仿宋_GB2312"/>
          <w:b w:val="0"/>
          <w:bCs/>
          <w:sz w:val="32"/>
          <w:szCs w:val="32"/>
        </w:rPr>
        <w:t>在经营过程中有造成重大负面影响的消费者投诉，经查实后未按期整改落实；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eastAsia="仿宋_GB2312"/>
          <w:b w:val="0"/>
          <w:bCs/>
          <w:sz w:val="32"/>
          <w:szCs w:val="32"/>
        </w:rPr>
        <w:t>有其他严重违规违法行为。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528" w:firstLineChars="165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  <w:lang w:eastAsia="zh-CN"/>
        </w:rPr>
        <w:t>（六）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经济和信息化厅、文化和旅游厅</w:t>
      </w:r>
      <w:r>
        <w:rPr>
          <w:rFonts w:hint="eastAsia" w:eastAsia="仿宋_GB2312"/>
          <w:b w:val="0"/>
          <w:bCs/>
          <w:sz w:val="32"/>
          <w:szCs w:val="32"/>
        </w:rPr>
        <w:t>共同对复核情况予以公开通报。被取消资格的基地，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仿宋_GB2312"/>
          <w:b w:val="0"/>
          <w:bCs/>
          <w:sz w:val="32"/>
          <w:szCs w:val="32"/>
        </w:rPr>
        <w:t>年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内不得</w:t>
      </w:r>
      <w:r>
        <w:rPr>
          <w:rFonts w:hint="eastAsia" w:eastAsia="仿宋_GB2312"/>
          <w:b w:val="0"/>
          <w:bCs/>
          <w:sz w:val="32"/>
          <w:szCs w:val="32"/>
        </w:rPr>
        <w:t>申报。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587B"/>
    <w:rsid w:val="07CF587B"/>
    <w:rsid w:val="1D52627C"/>
    <w:rsid w:val="2F4D3069"/>
    <w:rsid w:val="4EFF69F3"/>
    <w:rsid w:val="5F7CB80F"/>
    <w:rsid w:val="65FBA3B1"/>
    <w:rsid w:val="663F8984"/>
    <w:rsid w:val="6FA6ECA3"/>
    <w:rsid w:val="70DD2F9D"/>
    <w:rsid w:val="79DFCE9C"/>
    <w:rsid w:val="7E7FB473"/>
    <w:rsid w:val="7EFFBEF0"/>
    <w:rsid w:val="7F7F7F60"/>
    <w:rsid w:val="7FFE3016"/>
    <w:rsid w:val="7FFF2C33"/>
    <w:rsid w:val="B2FB05FF"/>
    <w:rsid w:val="DDFFFD55"/>
    <w:rsid w:val="DFBE2E18"/>
    <w:rsid w:val="E6FF5DB5"/>
    <w:rsid w:val="EDBF8E2B"/>
    <w:rsid w:val="EEED815F"/>
    <w:rsid w:val="F3779597"/>
    <w:rsid w:val="F79FEE4A"/>
    <w:rsid w:val="F7FF57F6"/>
    <w:rsid w:val="FAFF4C09"/>
    <w:rsid w:val="FB666901"/>
    <w:rsid w:val="FFAFC7EE"/>
    <w:rsid w:val="FFDF97B4"/>
    <w:rsid w:val="FFF20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Lines="0" w:afterLines="0" w:line="600" w:lineRule="exact"/>
      <w:jc w:val="center"/>
      <w:outlineLvl w:val="0"/>
    </w:pPr>
    <w:rPr>
      <w:rFonts w:ascii="Cambria" w:hAnsi="Cambria" w:eastAsia="宋体"/>
      <w:bCs/>
      <w:sz w:val="7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2018-03-30T15:41:00Z</dcterms:created>
  <dc:creator>~美汐~</dc:creator>
  <cp:lastModifiedBy>user</cp:lastModifiedBy>
  <cp:lastPrinted>2022-03-12T09:01:00Z</cp:lastPrinted>
  <dcterms:modified xsi:type="dcterms:W3CDTF">2023-08-24T11:01:19Z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