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D2" w:rsidRDefault="003F3AD2" w:rsidP="003F3AD2">
      <w:pPr>
        <w:autoSpaceDE w:val="0"/>
        <w:rPr>
          <w:rFonts w:ascii="Times New Roman" w:eastAsia="黑体" w:hAnsi="Times New Roman"/>
        </w:rPr>
      </w:pPr>
      <w:r>
        <w:rPr>
          <w:rFonts w:ascii="黑体" w:eastAsia="黑体" w:hAnsi="黑体" w:hint="eastAsia"/>
        </w:rPr>
        <w:t>附件</w:t>
      </w:r>
      <w:r>
        <w:rPr>
          <w:rFonts w:ascii="Times New Roman" w:eastAsia="黑体" w:hAnsi="Times New Roman" w:hint="eastAsia"/>
        </w:rPr>
        <w:t>1</w:t>
      </w:r>
    </w:p>
    <w:p w:rsidR="003F3AD2" w:rsidRDefault="003F3AD2" w:rsidP="003F3AD2">
      <w:pPr>
        <w:pStyle w:val="a0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</w:t>
      </w:r>
    </w:p>
    <w:p w:rsidR="003F3AD2" w:rsidRDefault="003F3AD2" w:rsidP="003F3AD2">
      <w:pPr>
        <w:pStyle w:val="a0"/>
        <w:autoSpaceDE w:val="0"/>
        <w:spacing w:afterLines="50" w:after="219"/>
        <w:ind w:left="113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规范条件企业审核情况一览表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0"/>
        <w:gridCol w:w="1137"/>
        <w:gridCol w:w="6359"/>
      </w:tblGrid>
      <w:tr w:rsidR="003F3AD2" w:rsidTr="003F3AD2">
        <w:trPr>
          <w:trHeight w:val="659"/>
        </w:trPr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黑体" w:eastAsia="黑体" w:hAnsi="黑体"/>
                <w:sz w:val="32"/>
                <w:szCs w:val="32"/>
              </w:rPr>
              <w:t>新申报规范条件企业情况</w:t>
            </w:r>
          </w:p>
        </w:tc>
      </w:tr>
      <w:tr w:rsidR="003F3AD2" w:rsidTr="003F3AD2">
        <w:trPr>
          <w:trHeight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企业名称</w:t>
            </w: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废钢铁加工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废铜铝加工利用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废纸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hint="eastAsia"/>
              </w:rPr>
              <w:t>加工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废塑料综合利用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废旧轮胎综合利用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机电产品再制造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  <w:tr w:rsidR="003F3AD2" w:rsidTr="003F3AD2">
        <w:trPr>
          <w:trHeight w:val="454"/>
        </w:trPr>
        <w:tc>
          <w:tcPr>
            <w:tcW w:w="8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autoSpaceDE w:val="0"/>
              <w:spacing w:after="0"/>
              <w:ind w:left="640"/>
              <w:jc w:val="center"/>
            </w:pPr>
          </w:p>
        </w:tc>
      </w:tr>
    </w:tbl>
    <w:p w:rsidR="003F3AD2" w:rsidRDefault="003F3AD2" w:rsidP="003F3AD2">
      <w:pPr>
        <w:pStyle w:val="2"/>
        <w:ind w:leftChars="0" w:left="0" w:firstLineChars="0" w:firstLine="0"/>
      </w:pPr>
      <w:r>
        <w:t xml:space="preserve"> </w:t>
      </w:r>
    </w:p>
    <w:p w:rsidR="003F3AD2" w:rsidRDefault="003F3AD2" w:rsidP="003F3AD2">
      <w:pPr>
        <w:pStyle w:val="2"/>
        <w:ind w:leftChars="0" w:left="0" w:firstLineChars="0" w:firstLine="0"/>
      </w:pPr>
      <w:r>
        <w:lastRenderedPageBreak/>
        <w:t xml:space="preserve">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30"/>
        <w:gridCol w:w="1137"/>
        <w:gridCol w:w="2328"/>
        <w:gridCol w:w="2119"/>
        <w:gridCol w:w="2081"/>
      </w:tblGrid>
      <w:tr w:rsidR="003F3AD2" w:rsidTr="003F3AD2">
        <w:trPr>
          <w:trHeight w:val="567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黑体" w:eastAsia="黑体" w:hAnsi="黑体"/>
                <w:sz w:val="32"/>
                <w:szCs w:val="32"/>
              </w:rPr>
              <w:t>已公告企业申请变更产能情况</w:t>
            </w:r>
          </w:p>
        </w:tc>
      </w:tr>
      <w:tr w:rsidR="003F3AD2" w:rsidTr="003F3AD2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变更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原公告批次</w:t>
            </w:r>
          </w:p>
        </w:tc>
      </w:tr>
      <w:tr w:rsidR="003F3AD2" w:rsidTr="003F3AD2">
        <w:trPr>
          <w:trHeight w:val="567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废钢铁加工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废铜铝加工利用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</w:tbl>
    <w:p w:rsidR="003F3AD2" w:rsidRDefault="003F3AD2" w:rsidP="003F3AD2">
      <w:pPr>
        <w:pStyle w:val="2"/>
        <w:ind w:leftChars="0" w:left="0" w:firstLineChars="0" w:firstLine="0"/>
      </w:pPr>
      <w:r>
        <w:t xml:space="preserve"> </w:t>
      </w:r>
    </w:p>
    <w:tbl>
      <w:tblPr>
        <w:tblStyle w:val="a5"/>
        <w:tblW w:w="89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5"/>
        <w:gridCol w:w="1137"/>
        <w:gridCol w:w="2343"/>
        <w:gridCol w:w="2119"/>
        <w:gridCol w:w="2051"/>
      </w:tblGrid>
      <w:tr w:rsidR="003F3AD2" w:rsidTr="003F3AD2">
        <w:trPr>
          <w:trHeight w:val="567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黑体" w:eastAsia="黑体" w:hAnsi="黑体"/>
                <w:sz w:val="32"/>
                <w:szCs w:val="32"/>
              </w:rPr>
              <w:t>已公告企业申请变更名称情况</w:t>
            </w:r>
          </w:p>
        </w:tc>
      </w:tr>
      <w:tr w:rsidR="003F3AD2" w:rsidTr="003F3AD2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变更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原公告批次</w:t>
            </w:r>
          </w:p>
        </w:tc>
      </w:tr>
      <w:tr w:rsidR="003F3AD2" w:rsidTr="003F3AD2">
        <w:trPr>
          <w:trHeight w:val="567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废钢铁加工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废铜铝加工利用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</w:tbl>
    <w:p w:rsidR="003F3AD2" w:rsidRDefault="003F3AD2" w:rsidP="003F3AD2">
      <w:pPr>
        <w:pStyle w:val="2"/>
        <w:ind w:leftChars="0" w:left="0" w:firstLineChars="0" w:firstLine="0"/>
      </w:pPr>
      <w:r>
        <w:t xml:space="preserve">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1137"/>
        <w:gridCol w:w="2119"/>
        <w:gridCol w:w="2119"/>
        <w:gridCol w:w="2121"/>
      </w:tblGrid>
      <w:tr w:rsidR="003F3AD2" w:rsidTr="003F3AD2">
        <w:trPr>
          <w:trHeight w:val="567"/>
        </w:trPr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after="0"/>
              <w:ind w:leftChars="0" w:left="0" w:firstLineChars="0" w:firstLine="0"/>
              <w:jc w:val="center"/>
            </w:pPr>
            <w:r>
              <w:rPr>
                <w:rFonts w:ascii="黑体" w:eastAsia="黑体" w:hAnsi="黑体"/>
                <w:sz w:val="32"/>
                <w:szCs w:val="32"/>
              </w:rPr>
              <w:t>建议撤销的已公告企业情况</w:t>
            </w:r>
          </w:p>
        </w:tc>
      </w:tr>
      <w:tr w:rsidR="003F3AD2" w:rsidTr="003F3AD2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行业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变更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autoSpaceDE w:val="0"/>
              <w:spacing w:line="280" w:lineRule="exact"/>
              <w:ind w:leftChars="0" w:left="0" w:firstLineChars="0" w:firstLine="0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原公告批次</w:t>
            </w:r>
          </w:p>
        </w:tc>
      </w:tr>
      <w:tr w:rsidR="003F3AD2" w:rsidTr="003F3AD2">
        <w:trPr>
          <w:trHeight w:val="567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废钢铁加工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废铜铝加工利用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  <w:tr w:rsidR="003F3AD2" w:rsidTr="003F3AD2">
        <w:trPr>
          <w:trHeight w:val="567"/>
        </w:trPr>
        <w:tc>
          <w:tcPr>
            <w:tcW w:w="8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pStyle w:val="2"/>
              <w:ind w:leftChars="0" w:left="0" w:firstLineChars="0" w:firstLine="0"/>
              <w:jc w:val="center"/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pStyle w:val="2"/>
              <w:ind w:left="640"/>
              <w:jc w:val="center"/>
            </w:pPr>
          </w:p>
        </w:tc>
      </w:tr>
    </w:tbl>
    <w:p w:rsidR="003F3AD2" w:rsidRDefault="003F3AD2" w:rsidP="003F3AD2">
      <w:pPr>
        <w:pStyle w:val="2"/>
        <w:ind w:leftChars="0" w:left="0" w:firstLineChars="0" w:firstLine="0"/>
      </w:pPr>
      <w:r>
        <w:t xml:space="preserve"> </w:t>
      </w:r>
    </w:p>
    <w:p w:rsidR="003F3AD2" w:rsidRDefault="003F3AD2" w:rsidP="003F3AD2">
      <w:pPr>
        <w:pStyle w:val="2"/>
        <w:ind w:left="640"/>
      </w:pPr>
      <w:r>
        <w:t xml:space="preserve"> </w:t>
      </w:r>
    </w:p>
    <w:p w:rsidR="003F3AD2" w:rsidRDefault="003F3AD2" w:rsidP="003F3AD2">
      <w:pPr>
        <w:widowControl/>
        <w:spacing w:beforeAutospacing="1" w:afterAutospacing="1" w:line="240" w:lineRule="auto"/>
        <w:jc w:val="left"/>
        <w:rPr>
          <w:rFonts w:ascii="Times New Roman" w:eastAsia="宋体" w:hAnsi="Times New Roman"/>
          <w:sz w:val="21"/>
          <w:szCs w:val="21"/>
        </w:rPr>
        <w:sectPr w:rsidR="003F3AD2">
          <w:pgSz w:w="11906" w:h="16838"/>
          <w:pgMar w:top="1701" w:right="1531" w:bottom="1531" w:left="1531" w:header="851" w:footer="1361" w:gutter="0"/>
          <w:cols w:space="720"/>
          <w:titlePg/>
          <w:docGrid w:type="lines" w:linePitch="438"/>
        </w:sectPr>
      </w:pPr>
    </w:p>
    <w:p w:rsidR="003F3AD2" w:rsidRDefault="003F3AD2" w:rsidP="003F3AD2">
      <w:pPr>
        <w:wordWrap w:val="0"/>
        <w:autoSpaceDE w:val="0"/>
        <w:spacing w:line="600" w:lineRule="exact"/>
        <w:rPr>
          <w:rFonts w:ascii="Times New Roman" w:eastAsia="黑体" w:hAnsi="Times New Roman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Times New Roman" w:eastAsia="黑体" w:hAnsi="Times New Roman" w:hint="eastAsia"/>
        </w:rPr>
        <w:t>2</w:t>
      </w:r>
    </w:p>
    <w:p w:rsidR="003F3AD2" w:rsidRDefault="003F3AD2" w:rsidP="003F3AD2">
      <w:pPr>
        <w:pStyle w:val="a0"/>
        <w:autoSpaceDE w:val="0"/>
        <w:spacing w:line="20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AD2" w:rsidRDefault="003F3AD2" w:rsidP="003F3AD2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我省已公告再生资源综合利用规范企业名单</w:t>
      </w:r>
    </w:p>
    <w:p w:rsidR="003F3AD2" w:rsidRDefault="003F3AD2" w:rsidP="003F3AD2">
      <w:pPr>
        <w:autoSpaceDE w:val="0"/>
        <w:spacing w:line="520" w:lineRule="exact"/>
        <w:jc w:val="center"/>
        <w:rPr>
          <w:rFonts w:ascii="Times New Roman" w:eastAsia="楷体_GB2312" w:hAnsi="Times New Roman"/>
        </w:rPr>
      </w:pPr>
      <w:r>
        <w:rPr>
          <w:rFonts w:ascii="楷体_GB2312" w:eastAsia="楷体_GB2312" w:hAnsi="Times New Roman"/>
        </w:rPr>
        <w:t>（截止</w:t>
      </w:r>
      <w:r>
        <w:rPr>
          <w:rFonts w:ascii="Times New Roman" w:eastAsia="楷体_GB2312" w:hAnsi="Times New Roman"/>
        </w:rPr>
        <w:t>202</w:t>
      </w:r>
      <w:r>
        <w:rPr>
          <w:rFonts w:ascii="Times New Roman" w:eastAsia="楷体_GB2312" w:hAnsi="Times New Roman" w:hint="eastAsia"/>
        </w:rPr>
        <w:t>3</w:t>
      </w:r>
      <w:r>
        <w:rPr>
          <w:rFonts w:ascii="楷体_GB2312" w:eastAsia="楷体_GB2312" w:hAnsi="Times New Roman"/>
        </w:rPr>
        <w:t>年</w:t>
      </w:r>
      <w:r>
        <w:rPr>
          <w:rFonts w:ascii="Times New Roman" w:eastAsia="楷体_GB2312" w:hAnsi="Times New Roman"/>
        </w:rPr>
        <w:t>12</w:t>
      </w:r>
      <w:r>
        <w:rPr>
          <w:rFonts w:ascii="楷体_GB2312" w:eastAsia="楷体_GB2312" w:hAnsi="Times New Roman"/>
        </w:rPr>
        <w:t>月）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748"/>
        <w:gridCol w:w="2756"/>
        <w:gridCol w:w="1100"/>
        <w:gridCol w:w="3912"/>
        <w:gridCol w:w="2000"/>
        <w:gridCol w:w="1550"/>
        <w:gridCol w:w="1891"/>
      </w:tblGrid>
      <w:tr w:rsidR="003F3AD2" w:rsidTr="003F3AD2">
        <w:trPr>
          <w:trHeight w:val="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规范条件名称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批次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所在市（州）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公告文号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废轮胎综合利用行业</w:t>
            </w:r>
          </w:p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规范条件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第四批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雅安和鑫橡塑有限责任公司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再生橡胶、橡胶粉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2016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55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德昌金锋橡胶有限公司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再生橡胶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绵阳锐洋新材料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技术开发有限公司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胶粉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四川省新都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三益翻胎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轮胎翻新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rPr>
          <w:trHeight w:val="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废钢铁加工行业</w:t>
            </w:r>
          </w:p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准入条件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第十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一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批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四川中</w:t>
            </w:r>
            <w:proofErr w:type="gramStart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荥</w:t>
            </w:r>
            <w:proofErr w:type="gramEnd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再生资源回收有限公司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欧</w:t>
            </w:r>
            <w:proofErr w:type="gramStart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冶链金</w:t>
            </w:r>
            <w:proofErr w:type="gramEnd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（四川）再生资源有限公司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宜宾市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眉山</w:t>
            </w:r>
            <w:proofErr w:type="gramStart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川越再生资源回收有限公司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眉山市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乐山</w:t>
            </w:r>
            <w:proofErr w:type="gramStart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沙湾保武再生资源</w:t>
            </w:r>
            <w:proofErr w:type="gramEnd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四川</w:t>
            </w:r>
            <w:proofErr w:type="gramStart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中盛南废旧物资</w:t>
            </w:r>
            <w:proofErr w:type="gramEnd"/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四川兴益辰再生资源回收有限公司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成都尚德再生资源利用有限公司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第十批</w:t>
            </w:r>
          </w:p>
        </w:tc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成都兴原再生资源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第九批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都江堰都钢废旧金属回收有限公司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40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泸州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城金属回收有限公司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泸州市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攀枝花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市高晶钒钛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汽车板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簧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攀枝花市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宣汉县永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达再生资源利用有限责任公司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第七批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四川省绵竹圣泉废旧金属收购有限公司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 xml:space="preserve">号 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四川中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再生资源回收有限公司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（变更产能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2023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43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号）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第六批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泸州市益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金属回收有限公司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（变更产能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2023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43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号）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泸州市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43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第五批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都江堰市兴达废旧物资回收有限公司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2017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第五批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广汉市福兴再生物资回收有限公司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2017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lastRenderedPageBreak/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废钢铁加工行业准入条件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射洪川中建材金属回收有限公司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遂宁市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成都汇流废旧金属回收有限公司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废塑料综合利用行业</w:t>
            </w:r>
          </w:p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规范条件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第四批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广元市供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联致顺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再生资源有限公司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广元市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新能源汽车废旧动力蓄电池综合利用行业规范条件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第五批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成都雅骏新能源汽车科技股份有限公司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梯次利用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7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第二批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四川长虹润天能源科技有限公司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梯次利用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</w:tbl>
    <w:p w:rsidR="003F3AD2" w:rsidRDefault="003F3AD2" w:rsidP="003F3AD2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3F3AD2" w:rsidRDefault="003F3AD2" w:rsidP="003F3AD2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 </w:t>
      </w:r>
    </w:p>
    <w:p w:rsidR="003F3AD2" w:rsidRDefault="003F3AD2" w:rsidP="003F3AD2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我省已公告环保装备制造业规范条件企业名单</w:t>
      </w:r>
    </w:p>
    <w:p w:rsidR="003F3AD2" w:rsidRDefault="003F3AD2" w:rsidP="003F3AD2">
      <w:pPr>
        <w:spacing w:line="520" w:lineRule="exact"/>
        <w:jc w:val="center"/>
        <w:rPr>
          <w:rFonts w:ascii="Times New Roman" w:eastAsia="楷体_GB2312" w:hAnsi="Times New Roman"/>
        </w:rPr>
      </w:pPr>
      <w:r>
        <w:rPr>
          <w:rFonts w:ascii="楷体_GB2312" w:eastAsia="楷体_GB2312" w:hAnsi="Times New Roman" w:hint="eastAsia"/>
        </w:rPr>
        <w:t>（截止</w:t>
      </w:r>
      <w:r>
        <w:rPr>
          <w:rFonts w:ascii="Times New Roman" w:eastAsia="楷体_GB2312" w:hAnsi="Times New Roman" w:hint="eastAsia"/>
        </w:rPr>
        <w:t>2023</w:t>
      </w:r>
      <w:r>
        <w:rPr>
          <w:rFonts w:ascii="楷体_GB2312" w:eastAsia="楷体_GB2312" w:hAnsi="Times New Roman" w:hint="eastAsia"/>
        </w:rPr>
        <w:t>年</w:t>
      </w:r>
      <w:r>
        <w:rPr>
          <w:rFonts w:ascii="Times New Roman" w:eastAsia="楷体_GB2312" w:hAnsi="Times New Roman" w:hint="eastAsia"/>
        </w:rPr>
        <w:t>12</w:t>
      </w:r>
      <w:r>
        <w:rPr>
          <w:rFonts w:ascii="楷体_GB2312" w:eastAsia="楷体_GB2312" w:hAnsi="Times New Roman" w:hint="eastAsia"/>
        </w:rPr>
        <w:t>月）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"/>
        <w:gridCol w:w="4895"/>
        <w:gridCol w:w="1265"/>
        <w:gridCol w:w="3608"/>
        <w:gridCol w:w="1550"/>
        <w:gridCol w:w="1891"/>
      </w:tblGrid>
      <w:tr w:rsidR="003F3AD2" w:rsidTr="003F3AD2">
        <w:trPr>
          <w:trHeight w:val="4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规范条件名称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批次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所在市（州）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公告文号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环保装备制造行业（大气治理）规范条件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第二批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东方电气集团东方锅炉股份有限公司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自贡市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2017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 xml:space="preserve">号 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三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成都易态科技有限公司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44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第四批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四川恒泰环境技术有限责任公司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环保装备制造行业（污水治理）规范条件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第四批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中建</w:t>
            </w:r>
            <w:proofErr w:type="gramStart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环能科技</w:t>
            </w:r>
            <w:proofErr w:type="gramEnd"/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第四批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四川恒泰环境技术有限责任公司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3F3AD2" w:rsidTr="003F3AD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第五批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成都硕特科技股份有限公司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成都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2023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年第</w:t>
            </w:r>
            <w:r>
              <w:rPr>
                <w:rFonts w:ascii="Times New Roman" w:eastAsia="宋体" w:hAnsi="Times New Roman"/>
                <w:color w:val="000000"/>
                <w:kern w:val="0"/>
                <w:sz w:val="21"/>
                <w:szCs w:val="21"/>
              </w:rPr>
              <w:t>18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</w:tbl>
    <w:p w:rsidR="003F3AD2" w:rsidRDefault="003F3AD2" w:rsidP="003F3AD2">
      <w:pPr>
        <w:spacing w:line="520" w:lineRule="exact"/>
        <w:jc w:val="left"/>
        <w:rPr>
          <w:rFonts w:ascii="Times New Roman" w:eastAsia="黑体" w:hAnsi="Times New Roman"/>
        </w:rPr>
      </w:pPr>
      <w:r>
        <w:rPr>
          <w:rFonts w:ascii="Times New Roman" w:eastAsia="宋体" w:hAnsi="Times New Roman"/>
          <w:sz w:val="29"/>
          <w:szCs w:val="29"/>
        </w:rPr>
        <w:br w:type="page"/>
      </w:r>
      <w:r>
        <w:rPr>
          <w:rFonts w:ascii="黑体" w:eastAsia="黑体" w:hAnsi="黑体"/>
        </w:rPr>
        <w:lastRenderedPageBreak/>
        <w:t>附件</w:t>
      </w:r>
      <w:r>
        <w:rPr>
          <w:rFonts w:ascii="Times New Roman" w:eastAsia="黑体" w:hAnsi="Times New Roman" w:hint="eastAsia"/>
        </w:rPr>
        <w:t>3</w:t>
      </w:r>
    </w:p>
    <w:p w:rsidR="003F3AD2" w:rsidRDefault="003F3AD2" w:rsidP="003F3AD2">
      <w:pPr>
        <w:autoSpaceDE w:val="0"/>
        <w:spacing w:line="300" w:lineRule="exact"/>
        <w:rPr>
          <w:rFonts w:ascii="Times New Roman" w:eastAsia="宋体" w:hAnsi="Times New Roman" w:hint="eastAsia"/>
          <w:sz w:val="29"/>
          <w:szCs w:val="29"/>
        </w:rPr>
      </w:pPr>
      <w:r>
        <w:rPr>
          <w:rFonts w:ascii="Times New Roman" w:eastAsia="宋体" w:hAnsi="Times New Roman"/>
          <w:sz w:val="29"/>
          <w:szCs w:val="29"/>
        </w:rPr>
        <w:t xml:space="preserve"> </w:t>
      </w:r>
    </w:p>
    <w:p w:rsidR="003F3AD2" w:rsidRDefault="003F3AD2" w:rsidP="003F3AD2">
      <w:pPr>
        <w:autoSpaceDE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XX</w:t>
      </w:r>
      <w:r>
        <w:rPr>
          <w:rFonts w:ascii="方正小标宋简体" w:eastAsia="方正小标宋简体" w:hAnsi="Times New Roman"/>
          <w:sz w:val="44"/>
          <w:szCs w:val="44"/>
        </w:rPr>
        <w:t>市（州）已公告企业生产运行情况表（</w:t>
      </w:r>
      <w:r>
        <w:rPr>
          <w:rFonts w:ascii="Times New Roman" w:eastAsia="方正小标宋简体" w:hAnsi="Times New Roman"/>
          <w:sz w:val="44"/>
          <w:szCs w:val="44"/>
        </w:rPr>
        <w:t>XXXX</w:t>
      </w:r>
      <w:proofErr w:type="gramStart"/>
      <w:r>
        <w:rPr>
          <w:rFonts w:ascii="方正小标宋简体" w:eastAsia="方正小标宋简体" w:hAnsi="Times New Roman"/>
          <w:sz w:val="44"/>
          <w:szCs w:val="44"/>
        </w:rPr>
        <w:t>年度第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X</w:t>
      </w:r>
      <w:r>
        <w:rPr>
          <w:rFonts w:ascii="方正小标宋简体" w:eastAsia="方正小标宋简体" w:hAnsi="Times New Roman"/>
          <w:sz w:val="44"/>
          <w:szCs w:val="44"/>
        </w:rPr>
        <w:t>季度）</w:t>
      </w:r>
    </w:p>
    <w:p w:rsidR="003F3AD2" w:rsidRDefault="003F3AD2" w:rsidP="003F3AD2">
      <w:pPr>
        <w:autoSpaceDE w:val="0"/>
        <w:spacing w:line="300" w:lineRule="exact"/>
        <w:rPr>
          <w:rFonts w:ascii="Times New Roman" w:eastAsia="宋体" w:hAnsi="Times New Roman"/>
          <w:sz w:val="29"/>
          <w:szCs w:val="29"/>
        </w:rPr>
      </w:pPr>
      <w:r>
        <w:rPr>
          <w:rFonts w:ascii="Times New Roman" w:eastAsia="宋体" w:hAnsi="Times New Roman"/>
          <w:sz w:val="29"/>
          <w:szCs w:val="29"/>
        </w:rPr>
        <w:t xml:space="preserve"> </w:t>
      </w: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243"/>
        <w:gridCol w:w="1112"/>
        <w:gridCol w:w="1119"/>
        <w:gridCol w:w="1179"/>
        <w:gridCol w:w="741"/>
        <w:gridCol w:w="964"/>
        <w:gridCol w:w="708"/>
        <w:gridCol w:w="741"/>
        <w:gridCol w:w="834"/>
        <w:gridCol w:w="851"/>
        <w:gridCol w:w="992"/>
        <w:gridCol w:w="1418"/>
        <w:gridCol w:w="1620"/>
      </w:tblGrid>
      <w:tr w:rsidR="003F3AD2" w:rsidTr="003F3AD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序号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企业名称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企业运行情况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存在的问题及政策措施建议</w:t>
            </w:r>
          </w:p>
        </w:tc>
      </w:tr>
      <w:tr w:rsidR="003F3AD2" w:rsidTr="003F3AD2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产品类型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年生产处理能力（万吨）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季度生产处理量（吨）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同比（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%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平均开工负荷（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%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产值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同比（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%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利润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autoSpaceDE w:val="0"/>
              <w:jc w:val="center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同比（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%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D2" w:rsidRDefault="003F3AD2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3F3AD2" w:rsidTr="003F3AD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D2" w:rsidRDefault="003F3AD2">
            <w:pPr>
              <w:autoSpaceDE w:val="0"/>
              <w:spacing w:beforeLines="10" w:before="32" w:afterLines="10" w:after="32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</w:tbl>
    <w:p w:rsidR="003F3AD2" w:rsidRDefault="003F3AD2" w:rsidP="003F3AD2">
      <w:pPr>
        <w:autoSpaceDE w:val="0"/>
        <w:rPr>
          <w:rFonts w:ascii="Times New Roman" w:eastAsia="宋体" w:hAnsi="Times New Roman"/>
          <w:sz w:val="21"/>
          <w:szCs w:val="21"/>
        </w:rPr>
      </w:pPr>
      <w:r>
        <w:rPr>
          <w:rFonts w:ascii="宋体" w:eastAsia="宋体"/>
          <w:sz w:val="21"/>
          <w:szCs w:val="21"/>
        </w:rPr>
        <w:t>填表说明：</w:t>
      </w:r>
      <w:r>
        <w:rPr>
          <w:rFonts w:ascii="Times New Roman" w:eastAsia="宋体" w:hAnsi="Times New Roman"/>
          <w:sz w:val="21"/>
          <w:szCs w:val="21"/>
        </w:rPr>
        <w:t>1.</w:t>
      </w:r>
      <w:r>
        <w:rPr>
          <w:rFonts w:ascii="宋体" w:eastAsia="宋体"/>
          <w:sz w:val="21"/>
          <w:szCs w:val="21"/>
        </w:rPr>
        <w:t>联系人应是熟悉本企业生产运行总体情况的公司管理层人员。</w:t>
      </w:r>
    </w:p>
    <w:p w:rsidR="003F3AD2" w:rsidRDefault="003F3AD2" w:rsidP="003F3AD2">
      <w:pPr>
        <w:autoSpaceDE w:val="0"/>
        <w:ind w:firstLineChars="500" w:firstLine="105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lastRenderedPageBreak/>
        <w:t>2.</w:t>
      </w:r>
      <w:r>
        <w:rPr>
          <w:rFonts w:ascii="宋体" w:eastAsia="宋体"/>
          <w:sz w:val="21"/>
          <w:szCs w:val="21"/>
        </w:rPr>
        <w:t>按处理工艺分别填写年生产处理能力、季度生产处理量、平均开工负荷、产值、利润等，如废塑料企业按</w:t>
      </w:r>
      <w:r>
        <w:rPr>
          <w:rFonts w:ascii="Times New Roman" w:eastAsia="宋体" w:hAnsi="Times New Roman"/>
          <w:sz w:val="21"/>
          <w:szCs w:val="21"/>
        </w:rPr>
        <w:t>PET</w:t>
      </w:r>
      <w:proofErr w:type="gramStart"/>
      <w:r>
        <w:rPr>
          <w:rFonts w:ascii="宋体" w:eastAsia="宋体"/>
          <w:sz w:val="21"/>
          <w:szCs w:val="21"/>
        </w:rPr>
        <w:t>再生瓶片类</w:t>
      </w:r>
      <w:proofErr w:type="gramEnd"/>
      <w:r>
        <w:rPr>
          <w:rFonts w:ascii="宋体" w:eastAsia="宋体"/>
          <w:sz w:val="21"/>
          <w:szCs w:val="21"/>
        </w:rPr>
        <w:t>、破碎分选清洗类、塑料再生造粒类分类填写；废旧轮胎企业按轮胎翻新</w:t>
      </w:r>
      <w:r>
        <w:rPr>
          <w:rFonts w:ascii="Times New Roman" w:eastAsia="宋体" w:hAnsi="Times New Roman"/>
          <w:sz w:val="21"/>
          <w:szCs w:val="21"/>
        </w:rPr>
        <w:t>(</w:t>
      </w:r>
      <w:proofErr w:type="gramStart"/>
      <w:r>
        <w:rPr>
          <w:rFonts w:ascii="宋体" w:eastAsia="宋体"/>
          <w:sz w:val="21"/>
          <w:szCs w:val="21"/>
        </w:rPr>
        <w:t>折标准胎</w:t>
      </w:r>
      <w:proofErr w:type="gramEnd"/>
      <w:r>
        <w:rPr>
          <w:rFonts w:ascii="Times New Roman" w:eastAsia="宋体" w:hAnsi="Times New Roman"/>
          <w:sz w:val="21"/>
          <w:szCs w:val="21"/>
        </w:rPr>
        <w:t>)</w:t>
      </w:r>
      <w:r>
        <w:rPr>
          <w:rFonts w:ascii="宋体" w:eastAsia="宋体"/>
          <w:sz w:val="21"/>
          <w:szCs w:val="21"/>
        </w:rPr>
        <w:t>、再生橡胶、橡胶粉、热裂解分类填写；新能源汽车动力电池回收利用企业按梯次利用、再生利用分类填写。</w:t>
      </w:r>
    </w:p>
    <w:p w:rsidR="003F3AD2" w:rsidRDefault="003F3AD2" w:rsidP="003F3AD2">
      <w:pPr>
        <w:widowControl/>
        <w:spacing w:line="240" w:lineRule="auto"/>
        <w:jc w:val="left"/>
        <w:rPr>
          <w:rFonts w:ascii="Times New Roman" w:hAnsi="Times New Roman"/>
          <w:color w:val="000000"/>
        </w:rPr>
        <w:sectPr w:rsidR="003F3AD2">
          <w:pgSz w:w="16838" w:h="11906" w:orient="landscape"/>
          <w:pgMar w:top="1531" w:right="1440" w:bottom="1531" w:left="1440" w:header="851" w:footer="1304" w:gutter="0"/>
          <w:cols w:space="720"/>
          <w:docGrid w:type="lines" w:linePitch="327"/>
        </w:sectPr>
      </w:pPr>
    </w:p>
    <w:p w:rsidR="003F3AD2" w:rsidRDefault="003F3AD2" w:rsidP="003F3AD2">
      <w:pPr>
        <w:autoSpaceDE w:val="0"/>
        <w:rPr>
          <w:rFonts w:ascii="Times New Roman" w:eastAsia="黑体" w:hAnsi="Times New Roman"/>
        </w:rPr>
      </w:pPr>
      <w:r>
        <w:rPr>
          <w:rFonts w:ascii="黑体" w:eastAsia="黑体" w:hAnsi="黑体"/>
        </w:rPr>
        <w:lastRenderedPageBreak/>
        <w:t>附件</w:t>
      </w:r>
      <w:r>
        <w:rPr>
          <w:rFonts w:ascii="Times New Roman" w:eastAsia="黑体" w:hAnsi="Times New Roman"/>
        </w:rPr>
        <w:t>4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 xml:space="preserve"> </w:t>
      </w:r>
    </w:p>
    <w:p w:rsidR="003F3AD2" w:rsidRDefault="003F3AD2" w:rsidP="003F3AD2">
      <w:pPr>
        <w:autoSpaceDE w:val="0"/>
        <w:spacing w:line="600" w:lineRule="exact"/>
        <w:ind w:left="1627" w:hanging="1627"/>
        <w:jc w:val="center"/>
        <w:outlineLvl w:val="0"/>
        <w:rPr>
          <w:rFonts w:ascii="Times New Roman" w:eastAsia="方正小标宋简体" w:hAnsi="Times New Roman"/>
          <w:spacing w:val="-1"/>
          <w:kern w:val="44"/>
          <w:sz w:val="44"/>
          <w:szCs w:val="44"/>
        </w:rPr>
      </w:pPr>
      <w:r>
        <w:rPr>
          <w:rFonts w:ascii="Times New Roman" w:eastAsia="方正小标宋简体" w:hAnsi="Times New Roman"/>
          <w:kern w:val="44"/>
          <w:sz w:val="44"/>
          <w:szCs w:val="44"/>
        </w:rPr>
        <w:t>XXX</w:t>
      </w:r>
      <w:r>
        <w:rPr>
          <w:rFonts w:ascii="方正小标宋简体" w:eastAsia="方正小标宋简体" w:hAnsi="Times New Roman"/>
          <w:kern w:val="44"/>
          <w:sz w:val="44"/>
          <w:szCs w:val="44"/>
        </w:rPr>
        <w:t>行业规范（准入）条件</w:t>
      </w:r>
    </w:p>
    <w:p w:rsidR="003F3AD2" w:rsidRDefault="003F3AD2" w:rsidP="003F3AD2">
      <w:pPr>
        <w:autoSpaceDE w:val="0"/>
        <w:spacing w:line="600" w:lineRule="exact"/>
        <w:ind w:left="1627" w:hanging="1627"/>
        <w:jc w:val="center"/>
        <w:outlineLvl w:val="0"/>
        <w:rPr>
          <w:rFonts w:ascii="Times New Roman" w:eastAsia="方正小标宋简体" w:hAnsi="Times New Roman"/>
          <w:kern w:val="44"/>
          <w:sz w:val="44"/>
          <w:szCs w:val="44"/>
        </w:rPr>
      </w:pPr>
      <w:r>
        <w:rPr>
          <w:rFonts w:ascii="方正小标宋简体" w:eastAsia="方正小标宋简体" w:hAnsi="Times New Roman"/>
          <w:kern w:val="44"/>
          <w:sz w:val="44"/>
          <w:szCs w:val="44"/>
        </w:rPr>
        <w:t>执行情况和企业发展年度报告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/>
          <w:b/>
          <w:sz w:val="36"/>
          <w:szCs w:val="36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/>
          <w:b/>
        </w:rPr>
        <w:t xml:space="preserve"> </w:t>
      </w:r>
    </w:p>
    <w:p w:rsidR="003F3AD2" w:rsidRDefault="003F3AD2" w:rsidP="003F3AD2">
      <w:pPr>
        <w:autoSpaceDE w:val="0"/>
        <w:spacing w:before="239" w:line="600" w:lineRule="exact"/>
        <w:rPr>
          <w:rFonts w:ascii="Times New Roman" w:hAnsi="Times New Roman"/>
          <w:spacing w:val="-13"/>
        </w:rPr>
      </w:pPr>
      <w:r>
        <w:rPr>
          <w:rFonts w:ascii="Times New Roman" w:eastAsia="仿宋" w:hAnsi="Times New Roman"/>
        </w:rPr>
        <w:t xml:space="preserve">      </w:t>
      </w:r>
      <w:r>
        <w:rPr>
          <w:rFonts w:hAnsi="Times New Roman"/>
        </w:rPr>
        <w:t>企</w:t>
      </w:r>
      <w:r>
        <w:rPr>
          <w:rFonts w:hAnsi="Times New Roman"/>
          <w:spacing w:val="-6"/>
        </w:rPr>
        <w:t>业</w:t>
      </w:r>
      <w:r>
        <w:rPr>
          <w:rFonts w:hAnsi="Times New Roman"/>
        </w:rPr>
        <w:t>名称</w:t>
      </w:r>
      <w:r>
        <w:rPr>
          <w:rFonts w:hAnsi="Times New Roman"/>
          <w:spacing w:val="-6"/>
        </w:rPr>
        <w:t>：</w:t>
      </w:r>
      <w:r>
        <w:rPr>
          <w:rFonts w:ascii="Times New Roman" w:hAnsi="Times New Roman"/>
          <w:spacing w:val="-6"/>
          <w:u w:val="single" w:color="000007"/>
        </w:rPr>
        <w:t xml:space="preserve">                 </w:t>
      </w:r>
      <w:r>
        <w:rPr>
          <w:rFonts w:ascii="Times New Roman" w:hAnsi="Times New Roman" w:hint="eastAsia"/>
          <w:spacing w:val="-6"/>
          <w:u w:val="single" w:color="000007"/>
        </w:rPr>
        <w:t xml:space="preserve">       </w:t>
      </w:r>
      <w:r>
        <w:rPr>
          <w:rFonts w:hAnsi="Times New Roman"/>
        </w:rPr>
        <w:t>（</w:t>
      </w:r>
      <w:r>
        <w:rPr>
          <w:rFonts w:hAnsi="Times New Roman"/>
          <w:spacing w:val="-6"/>
        </w:rPr>
        <w:t>单</w:t>
      </w:r>
      <w:r>
        <w:rPr>
          <w:rFonts w:hAnsi="Times New Roman"/>
        </w:rPr>
        <w:t>位公</w:t>
      </w:r>
      <w:r>
        <w:rPr>
          <w:rFonts w:hAnsi="Times New Roman"/>
          <w:spacing w:val="-6"/>
        </w:rPr>
        <w:t>章</w:t>
      </w:r>
      <w:r>
        <w:rPr>
          <w:rFonts w:hAnsi="Times New Roman"/>
          <w:spacing w:val="-13"/>
        </w:rPr>
        <w:t>）</w:t>
      </w:r>
      <w:r>
        <w:rPr>
          <w:rFonts w:ascii="Times New Roman" w:hAnsi="Times New Roman"/>
          <w:spacing w:val="-13"/>
        </w:rPr>
        <w:t xml:space="preserve">     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pacing w:val="-13"/>
        </w:rPr>
        <w:t xml:space="preserve">       </w:t>
      </w:r>
      <w:r>
        <w:rPr>
          <w:rFonts w:hAnsi="Times New Roman"/>
          <w:spacing w:val="-1"/>
        </w:rPr>
        <w:t>联</w:t>
      </w:r>
      <w:r>
        <w:rPr>
          <w:rFonts w:hAnsi="Times New Roman"/>
          <w:spacing w:val="-6"/>
        </w:rPr>
        <w:t>系</w:t>
      </w:r>
      <w:r>
        <w:rPr>
          <w:rFonts w:hAnsi="Times New Roman"/>
          <w:spacing w:val="-1"/>
        </w:rPr>
        <w:t>地址：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                    </w:t>
      </w:r>
    </w:p>
    <w:p w:rsidR="003F3AD2" w:rsidRDefault="003F3AD2" w:rsidP="003F3AD2">
      <w:pPr>
        <w:autoSpaceDE w:val="0"/>
        <w:spacing w:before="67" w:line="600" w:lineRule="exact"/>
        <w:ind w:firstLineChars="300" w:firstLine="960"/>
        <w:rPr>
          <w:rFonts w:ascii="Times New Roman" w:hAnsi="Times New Roman"/>
        </w:rPr>
      </w:pPr>
      <w:r>
        <w:rPr>
          <w:rFonts w:hAnsi="Times New Roman"/>
        </w:rPr>
        <w:t>联</w:t>
      </w:r>
      <w:r>
        <w:rPr>
          <w:rFonts w:hAnsi="Times New Roman"/>
          <w:spacing w:val="-6"/>
        </w:rPr>
        <w:t>系</w:t>
      </w:r>
      <w:r>
        <w:rPr>
          <w:rFonts w:hAnsi="Times New Roman"/>
        </w:rPr>
        <w:t>人：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  </w:t>
      </w:r>
      <w:r>
        <w:rPr>
          <w:rFonts w:hAnsi="Times New Roman"/>
          <w:spacing w:val="-1"/>
        </w:rPr>
        <w:t>职</w:t>
      </w:r>
      <w:r>
        <w:rPr>
          <w:rFonts w:hAnsi="Times New Roman"/>
          <w:spacing w:val="-6"/>
        </w:rPr>
        <w:t>务</w:t>
      </w:r>
      <w:r>
        <w:rPr>
          <w:rFonts w:hAnsi="Times New Roman"/>
          <w:spacing w:val="-1"/>
        </w:rPr>
        <w:t>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 </w:t>
      </w:r>
    </w:p>
    <w:p w:rsidR="003F3AD2" w:rsidRDefault="003F3AD2" w:rsidP="003F3AD2">
      <w:pPr>
        <w:autoSpaceDE w:val="0"/>
        <w:spacing w:before="67" w:line="600" w:lineRule="exact"/>
        <w:ind w:firstLineChars="300" w:firstLine="960"/>
        <w:rPr>
          <w:rFonts w:ascii="Times New Roman" w:hAnsi="Times New Roman" w:hint="eastAsia"/>
        </w:rPr>
      </w:pPr>
      <w:r>
        <w:rPr>
          <w:rFonts w:hAnsi="Times New Roman"/>
        </w:rPr>
        <w:t>手</w:t>
      </w:r>
      <w:r>
        <w:rPr>
          <w:rFonts w:ascii="Times New Roman" w:hAnsi="Times New Roman" w:hint="eastAsia"/>
        </w:rPr>
        <w:t xml:space="preserve">  </w:t>
      </w:r>
      <w:r>
        <w:rPr>
          <w:rFonts w:hAnsi="Times New Roman"/>
        </w:rPr>
        <w:t>机</w:t>
      </w:r>
      <w:r>
        <w:rPr>
          <w:rFonts w:hAnsi="Times New Roman"/>
          <w:spacing w:val="-6"/>
        </w:rPr>
        <w:t>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  </w:t>
      </w:r>
      <w:r>
        <w:rPr>
          <w:rFonts w:hAnsi="Times New Roman"/>
          <w:spacing w:val="-1"/>
        </w:rPr>
        <w:t>传</w:t>
      </w:r>
      <w:r>
        <w:rPr>
          <w:rFonts w:hAnsi="Times New Roman"/>
          <w:spacing w:val="-6"/>
        </w:rPr>
        <w:t>真</w:t>
      </w:r>
      <w:r>
        <w:rPr>
          <w:rFonts w:hAnsi="Times New Roman"/>
          <w:spacing w:val="-1"/>
        </w:rPr>
        <w:t>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 </w:t>
      </w:r>
    </w:p>
    <w:p w:rsidR="003F3AD2" w:rsidRDefault="003F3AD2" w:rsidP="003F3AD2">
      <w:pPr>
        <w:autoSpaceDE w:val="0"/>
        <w:spacing w:before="67" w:line="600" w:lineRule="exact"/>
        <w:ind w:firstLineChars="300" w:firstLine="960"/>
        <w:rPr>
          <w:rFonts w:ascii="Times New Roman" w:hAnsi="Times New Roman" w:hint="eastAsia"/>
        </w:rPr>
      </w:pPr>
      <w:r>
        <w:rPr>
          <w:rFonts w:hAnsi="Times New Roman"/>
        </w:rPr>
        <w:t>办</w:t>
      </w:r>
      <w:r>
        <w:rPr>
          <w:rFonts w:hAnsi="Times New Roman"/>
          <w:spacing w:val="-6"/>
        </w:rPr>
        <w:t>公</w:t>
      </w:r>
      <w:r>
        <w:rPr>
          <w:rFonts w:hAnsi="Times New Roman"/>
        </w:rPr>
        <w:t>电话：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   </w:t>
      </w:r>
      <w:r>
        <w:rPr>
          <w:rFonts w:hAnsi="Times New Roman"/>
          <w:spacing w:val="-1"/>
        </w:rPr>
        <w:t>电</w:t>
      </w:r>
      <w:r>
        <w:rPr>
          <w:rFonts w:hAnsi="Times New Roman"/>
          <w:spacing w:val="-6"/>
        </w:rPr>
        <w:t>子</w:t>
      </w:r>
      <w:r>
        <w:rPr>
          <w:rFonts w:hAnsi="Times New Roman"/>
          <w:spacing w:val="-1"/>
        </w:rPr>
        <w:t>信箱</w:t>
      </w:r>
      <w:r>
        <w:rPr>
          <w:rFonts w:hAnsi="Times New Roman"/>
          <w:spacing w:val="-6"/>
        </w:rPr>
        <w:t>：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 w:hint="eastAsia"/>
          <w:u w:val="single" w:color="000007"/>
        </w:rPr>
        <w:t xml:space="preserve">         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3AD2" w:rsidRDefault="003F3AD2" w:rsidP="003F3AD2">
      <w:pPr>
        <w:autoSpaceDE w:val="0"/>
        <w:spacing w:line="600" w:lineRule="exact"/>
        <w:jc w:val="center"/>
        <w:rPr>
          <w:rFonts w:ascii="Times New Roman" w:hAnsi="Times New Roman"/>
        </w:rPr>
      </w:pPr>
      <w:r>
        <w:rPr>
          <w:rFonts w:hAnsi="Times New Roman"/>
        </w:rPr>
        <w:t>编</w:t>
      </w:r>
      <w:r>
        <w:rPr>
          <w:rFonts w:hAnsi="Times New Roman"/>
          <w:spacing w:val="-6"/>
        </w:rPr>
        <w:t>制</w:t>
      </w:r>
      <w:r>
        <w:rPr>
          <w:rFonts w:hAnsi="Times New Roman"/>
        </w:rPr>
        <w:t>日期</w:t>
      </w:r>
      <w:r>
        <w:rPr>
          <w:rFonts w:hAnsi="Times New Roman"/>
          <w:spacing w:val="-6"/>
        </w:rPr>
        <w:t>：</w:t>
      </w:r>
      <w:r>
        <w:rPr>
          <w:rFonts w:ascii="Times New Roman" w:hAnsi="Times New Roman"/>
          <w:spacing w:val="-6"/>
          <w:u w:val="single" w:color="000007"/>
        </w:rPr>
        <w:t xml:space="preserve"> </w:t>
      </w:r>
      <w:r>
        <w:rPr>
          <w:rFonts w:ascii="Times New Roman" w:hAnsi="Times New Roman"/>
          <w:spacing w:val="-6"/>
          <w:u w:val="single" w:color="000007"/>
        </w:rPr>
        <w:tab/>
      </w:r>
      <w:r>
        <w:rPr>
          <w:rFonts w:hAnsi="Times New Roman"/>
        </w:rPr>
        <w:t>年</w:t>
      </w:r>
      <w:r>
        <w:rPr>
          <w:rFonts w:ascii="Times New Roman" w:hAnsi="Times New Roman"/>
          <w:u w:val="single" w:color="000007"/>
        </w:rPr>
        <w:t xml:space="preserve"> </w:t>
      </w:r>
      <w:r>
        <w:rPr>
          <w:rFonts w:ascii="Times New Roman" w:hAnsi="Times New Roman"/>
          <w:u w:val="single" w:color="000007"/>
        </w:rPr>
        <w:tab/>
      </w:r>
      <w:r>
        <w:rPr>
          <w:rFonts w:hAnsi="Times New Roman"/>
          <w:spacing w:val="-6"/>
        </w:rPr>
        <w:t>月</w:t>
      </w:r>
      <w:r>
        <w:rPr>
          <w:rFonts w:ascii="Times New Roman" w:hAnsi="Times New Roman"/>
          <w:spacing w:val="-6"/>
          <w:u w:val="single" w:color="000007"/>
        </w:rPr>
        <w:t xml:space="preserve"> </w:t>
      </w:r>
      <w:r>
        <w:rPr>
          <w:rFonts w:ascii="Times New Roman" w:hAnsi="Times New Roman"/>
          <w:spacing w:val="-6"/>
          <w:u w:val="single" w:color="000007"/>
        </w:rPr>
        <w:tab/>
      </w:r>
      <w:r>
        <w:rPr>
          <w:rFonts w:hAnsi="Times New Roman"/>
        </w:rPr>
        <w:t>日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:rsidR="003F3AD2" w:rsidRDefault="003F3AD2" w:rsidP="003F3AD2">
      <w:pPr>
        <w:autoSpaceDE w:val="0"/>
        <w:spacing w:line="600" w:lineRule="exact"/>
        <w:jc w:val="center"/>
        <w:outlineLvl w:val="0"/>
        <w:rPr>
          <w:rFonts w:ascii="Times New Roman" w:eastAsia="方正小标宋简体" w:hAnsi="Times New Roman"/>
          <w:kern w:val="44"/>
          <w:sz w:val="44"/>
          <w:szCs w:val="44"/>
        </w:rPr>
      </w:pPr>
      <w:r>
        <w:rPr>
          <w:rFonts w:ascii="方正小标宋简体" w:eastAsia="方正小标宋简体" w:hAnsi="Times New Roman"/>
          <w:kern w:val="44"/>
          <w:sz w:val="44"/>
          <w:szCs w:val="44"/>
        </w:rPr>
        <w:lastRenderedPageBreak/>
        <w:t>编</w:t>
      </w:r>
      <w:r>
        <w:rPr>
          <w:rFonts w:ascii="Times New Roman" w:eastAsia="方正小标宋简体" w:hAnsi="Times New Roman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kern w:val="44"/>
          <w:sz w:val="44"/>
          <w:szCs w:val="44"/>
        </w:rPr>
        <w:t>报</w:t>
      </w:r>
      <w:r>
        <w:rPr>
          <w:rFonts w:ascii="Times New Roman" w:eastAsia="方正小标宋简体" w:hAnsi="Times New Roman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kern w:val="44"/>
          <w:sz w:val="44"/>
          <w:szCs w:val="44"/>
        </w:rPr>
        <w:t>要</w:t>
      </w:r>
      <w:r>
        <w:rPr>
          <w:rFonts w:ascii="Times New Roman" w:eastAsia="方正小标宋简体" w:hAnsi="Times New Roman"/>
          <w:kern w:val="44"/>
          <w:sz w:val="44"/>
          <w:szCs w:val="44"/>
        </w:rPr>
        <w:t xml:space="preserve"> </w:t>
      </w:r>
      <w:r>
        <w:rPr>
          <w:rFonts w:ascii="方正小标宋简体" w:eastAsia="方正小标宋简体" w:hAnsi="Times New Roman"/>
          <w:kern w:val="44"/>
          <w:sz w:val="44"/>
          <w:szCs w:val="44"/>
        </w:rPr>
        <w:t>求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 xml:space="preserve"> 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/>
        </w:rPr>
        <w:t>一、内容说明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/>
        </w:rPr>
        <w:t>本报告是为了解和掌握公告内企业《</w:t>
      </w:r>
      <w:r>
        <w:rPr>
          <w:rFonts w:ascii="Times New Roman" w:hAnsi="Times New Roman" w:hint="eastAsia"/>
        </w:rPr>
        <w:t>XX</w:t>
      </w:r>
      <w:r>
        <w:rPr>
          <w:rFonts w:hAnsi="Times New Roman"/>
        </w:rPr>
        <w:t>行业规范</w:t>
      </w:r>
      <w:r>
        <w:rPr>
          <w:rFonts w:hAnsi="Times New Roman" w:hint="eastAsia"/>
        </w:rPr>
        <w:t>（准入）</w:t>
      </w:r>
      <w:r>
        <w:rPr>
          <w:rFonts w:hAnsi="Times New Roman"/>
        </w:rPr>
        <w:t>条件》的执行情况和在</w:t>
      </w:r>
      <w:r>
        <w:rPr>
          <w:rFonts w:ascii="Times New Roman" w:hAnsi="Times New Roman" w:hint="eastAsia"/>
        </w:rPr>
        <w:t>XX</w:t>
      </w:r>
      <w:r>
        <w:rPr>
          <w:rFonts w:hAnsi="Times New Roman" w:hint="eastAsia"/>
        </w:rPr>
        <w:t>加工</w:t>
      </w:r>
      <w:r>
        <w:rPr>
          <w:rFonts w:ascii="Times New Roman" w:hAnsi="Times New Roman" w:hint="eastAsia"/>
        </w:rPr>
        <w:t>/</w:t>
      </w:r>
      <w:r>
        <w:rPr>
          <w:rFonts w:hAnsi="Times New Roman" w:hint="eastAsia"/>
        </w:rPr>
        <w:t>综合利用</w:t>
      </w:r>
      <w:r>
        <w:rPr>
          <w:rFonts w:hAnsi="Times New Roman"/>
        </w:rPr>
        <w:t>方面的年度发展变化情况，是对公告内企业实施年度监督检查的主要依据，也是制定和完善相关政策的支撑材料。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/>
        </w:rPr>
        <w:t>报告内容包括企业对照《</w:t>
      </w:r>
      <w:r>
        <w:rPr>
          <w:rFonts w:ascii="Times New Roman" w:hAnsi="Times New Roman" w:hint="eastAsia"/>
        </w:rPr>
        <w:t>XX</w:t>
      </w:r>
      <w:r>
        <w:rPr>
          <w:rFonts w:hAnsi="Times New Roman"/>
        </w:rPr>
        <w:t>行业规范</w:t>
      </w:r>
      <w:r>
        <w:rPr>
          <w:rFonts w:hAnsi="Times New Roman" w:hint="eastAsia"/>
        </w:rPr>
        <w:t>（准入）</w:t>
      </w:r>
      <w:r>
        <w:rPr>
          <w:rFonts w:hAnsi="Times New Roman"/>
        </w:rPr>
        <w:t>条件》相关要求的符合性情况及年度规划目标，以及</w:t>
      </w:r>
      <w:r>
        <w:rPr>
          <w:rFonts w:ascii="Times New Roman" w:hAnsi="Times New Roman" w:hint="eastAsia"/>
        </w:rPr>
        <w:t>XX</w:t>
      </w:r>
      <w:r>
        <w:rPr>
          <w:rFonts w:hAnsi="Times New Roman" w:hint="eastAsia"/>
        </w:rPr>
        <w:t>加工</w:t>
      </w:r>
      <w:r>
        <w:rPr>
          <w:rFonts w:ascii="Times New Roman" w:hAnsi="Times New Roman" w:hint="eastAsia"/>
        </w:rPr>
        <w:t>/</w:t>
      </w:r>
      <w:r>
        <w:rPr>
          <w:rFonts w:hAnsi="Times New Roman"/>
        </w:rPr>
        <w:t>综合利用能力、</w:t>
      </w:r>
      <w:r>
        <w:rPr>
          <w:rFonts w:hAnsi="Times New Roman" w:hint="eastAsia"/>
        </w:rPr>
        <w:t>生产能力、</w:t>
      </w:r>
      <w:r>
        <w:rPr>
          <w:rFonts w:hAnsi="Times New Roman"/>
        </w:rPr>
        <w:t>质量保证能力、</w:t>
      </w:r>
      <w:r>
        <w:rPr>
          <w:rFonts w:hAnsi="Times New Roman" w:hint="eastAsia"/>
        </w:rPr>
        <w:t>实际产能、</w:t>
      </w:r>
      <w:r>
        <w:rPr>
          <w:rFonts w:hAnsi="Times New Roman"/>
        </w:rPr>
        <w:t>产品销售应用等方面的发展变化情况，要求客观真实、准确完整。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/>
        </w:rPr>
        <w:t>二、时间要求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/>
        </w:rPr>
        <w:t>每年第一季度结束前，由公告名单内的企业完成年度报告，经企业法定代表人审核确认后，打印装订并签章，通过省级工业和信息化主管部门报送</w:t>
      </w:r>
      <w:proofErr w:type="gramStart"/>
      <w:r>
        <w:rPr>
          <w:rFonts w:hAnsi="Times New Roman"/>
        </w:rPr>
        <w:t>至工业</w:t>
      </w:r>
      <w:proofErr w:type="gramEnd"/>
      <w:r>
        <w:rPr>
          <w:rFonts w:hAnsi="Times New Roman"/>
        </w:rPr>
        <w:t>和信息化部。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/>
        </w:rPr>
        <w:t>三、其他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  <w:color w:val="000000"/>
        </w:rPr>
      </w:pPr>
      <w:r>
        <w:rPr>
          <w:rFonts w:hAnsi="Times New Roman"/>
        </w:rPr>
        <w:t>填报单位对材料的真实性负责。工业和信息化部将对相关情况进行核查，必要时进行现场审查。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3F3AD2" w:rsidRDefault="003F3AD2" w:rsidP="003F3AD2">
      <w:pPr>
        <w:autoSpaceDE w:val="0"/>
        <w:spacing w:line="600" w:lineRule="exact"/>
        <w:jc w:val="center"/>
        <w:outlineLvl w:val="0"/>
        <w:rPr>
          <w:rFonts w:ascii="Times New Roman" w:eastAsia="方正小标宋简体" w:hAnsi="Times New Roman"/>
          <w:kern w:val="44"/>
          <w:sz w:val="44"/>
          <w:szCs w:val="44"/>
        </w:rPr>
      </w:pPr>
      <w:r>
        <w:rPr>
          <w:rFonts w:ascii="方正小标宋简体" w:eastAsia="方正小标宋简体" w:hAnsi="Times New Roman"/>
          <w:kern w:val="44"/>
          <w:sz w:val="44"/>
          <w:szCs w:val="44"/>
        </w:rPr>
        <w:lastRenderedPageBreak/>
        <w:t>年度报告编写提纲</w:t>
      </w:r>
    </w:p>
    <w:p w:rsidR="003F3AD2" w:rsidRDefault="003F3AD2" w:rsidP="003F3AD2">
      <w:pPr>
        <w:autoSpaceDE w:val="0"/>
        <w:spacing w:line="600" w:lineRule="exact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sz w:val="21"/>
          <w:szCs w:val="21"/>
        </w:rPr>
        <w:t xml:space="preserve"> 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/>
        </w:rPr>
        <w:t>一、《</w:t>
      </w:r>
      <w:r>
        <w:rPr>
          <w:rFonts w:ascii="Times New Roman" w:hAnsi="Times New Roman" w:hint="eastAsia"/>
        </w:rPr>
        <w:t>XX</w:t>
      </w:r>
      <w:r>
        <w:rPr>
          <w:rFonts w:ascii="黑体" w:eastAsia="黑体" w:hAnsi="黑体"/>
        </w:rPr>
        <w:t>行业规范</w:t>
      </w:r>
      <w:r>
        <w:rPr>
          <w:rFonts w:hAnsi="Times New Roman" w:hint="eastAsia"/>
        </w:rPr>
        <w:t>（准入）</w:t>
      </w:r>
      <w:r>
        <w:rPr>
          <w:rFonts w:ascii="黑体" w:eastAsia="黑体" w:hAnsi="黑体"/>
        </w:rPr>
        <w:t>条件》执行情况说明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/>
        </w:rPr>
        <w:t>包括</w:t>
      </w:r>
      <w:r>
        <w:rPr>
          <w:rFonts w:hAnsi="Times New Roman" w:hint="eastAsia"/>
        </w:rPr>
        <w:t>对照</w:t>
      </w:r>
      <w:r>
        <w:rPr>
          <w:rFonts w:hAnsi="Times New Roman"/>
        </w:rPr>
        <w:t>《</w:t>
      </w:r>
      <w:r>
        <w:rPr>
          <w:rFonts w:ascii="Times New Roman" w:hAnsi="Times New Roman" w:hint="eastAsia"/>
        </w:rPr>
        <w:t>XX</w:t>
      </w:r>
      <w:r>
        <w:rPr>
          <w:rFonts w:hAnsi="Times New Roman"/>
        </w:rPr>
        <w:t>行业规范</w:t>
      </w:r>
      <w:r>
        <w:rPr>
          <w:rFonts w:hAnsi="Times New Roman" w:hint="eastAsia"/>
        </w:rPr>
        <w:t>（准入）</w:t>
      </w:r>
      <w:r>
        <w:rPr>
          <w:rFonts w:hAnsi="Times New Roman"/>
        </w:rPr>
        <w:t>条件》中提及的相关要求符合性</w:t>
      </w:r>
      <w:r>
        <w:rPr>
          <w:rFonts w:hAnsi="Times New Roman" w:hint="eastAsia"/>
        </w:rPr>
        <w:t>自查</w:t>
      </w:r>
      <w:r>
        <w:rPr>
          <w:rFonts w:hAnsi="Times New Roman"/>
        </w:rPr>
        <w:t>情况说明</w:t>
      </w:r>
      <w:r>
        <w:rPr>
          <w:rFonts w:hAnsi="Times New Roman" w:hint="eastAsia"/>
        </w:rPr>
        <w:t>、年度规划目标完成情况</w:t>
      </w:r>
      <w:r>
        <w:rPr>
          <w:rFonts w:hAnsi="Times New Roman"/>
        </w:rPr>
        <w:t>，同时概述说明下一年度规划目标。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ascii="黑体" w:eastAsia="黑体" w:hAnsi="黑体"/>
        </w:rPr>
        <w:t>二、</w:t>
      </w:r>
      <w:r>
        <w:rPr>
          <w:rFonts w:ascii="Times New Roman" w:eastAsia="黑体" w:hAnsi="Times New Roman" w:hint="eastAsia"/>
        </w:rPr>
        <w:t>XX</w:t>
      </w:r>
      <w:r>
        <w:rPr>
          <w:rFonts w:ascii="黑体" w:eastAsia="黑体" w:hAnsi="黑体" w:hint="eastAsia"/>
        </w:rPr>
        <w:t>行业</w:t>
      </w:r>
      <w:r>
        <w:rPr>
          <w:rFonts w:ascii="黑体" w:eastAsia="黑体" w:hAnsi="黑体"/>
        </w:rPr>
        <w:t>科技创新、研发能力变化情况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 w:hint="eastAsia"/>
        </w:rPr>
      </w:pPr>
      <w:r>
        <w:rPr>
          <w:rFonts w:hAnsi="Times New Roman" w:hint="eastAsia"/>
        </w:rPr>
        <w:t>包括本年度研发重点、方向，研发设备及人员的投入，以及技术进步和取得的研发成果。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</w:t>
      </w:r>
      <w:r>
        <w:rPr>
          <w:rFonts w:ascii="Times New Roman" w:eastAsia="黑体" w:hAnsi="Times New Roman" w:hint="eastAsia"/>
        </w:rPr>
        <w:t>XX</w:t>
      </w:r>
      <w:r>
        <w:rPr>
          <w:rFonts w:ascii="黑体" w:eastAsia="黑体" w:hAnsi="黑体" w:hint="eastAsia"/>
        </w:rPr>
        <w:t>行业</w:t>
      </w:r>
      <w:r>
        <w:rPr>
          <w:rFonts w:ascii="黑体" w:eastAsia="黑体" w:hAnsi="黑体"/>
        </w:rPr>
        <w:t>加工</w:t>
      </w:r>
      <w:r>
        <w:rPr>
          <w:rFonts w:ascii="Times New Roman" w:eastAsia="黑体" w:hAnsi="Times New Roman"/>
        </w:rPr>
        <w:t>/</w:t>
      </w:r>
      <w:r>
        <w:rPr>
          <w:rFonts w:ascii="黑体" w:eastAsia="黑体" w:hAnsi="黑体"/>
        </w:rPr>
        <w:t>综合利用能力和条件变化情况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 w:hint="eastAsia"/>
        </w:rPr>
        <w:t>加工</w:t>
      </w:r>
      <w:r>
        <w:rPr>
          <w:rFonts w:ascii="Times New Roman" w:hAnsi="Times New Roman" w:hint="eastAsia"/>
        </w:rPr>
        <w:t>/</w:t>
      </w:r>
      <w:r>
        <w:rPr>
          <w:rFonts w:hAnsi="Times New Roman" w:hint="eastAsia"/>
        </w:rPr>
        <w:t>综合利用能力</w:t>
      </w:r>
      <w:r>
        <w:rPr>
          <w:rFonts w:hAnsi="Times New Roman"/>
        </w:rPr>
        <w:t>条件、工艺改进和质量保证能力情况，包括本年度新增</w:t>
      </w:r>
      <w:r>
        <w:rPr>
          <w:rFonts w:hAnsi="Times New Roman" w:hint="eastAsia"/>
        </w:rPr>
        <w:t>加工</w:t>
      </w:r>
      <w:r>
        <w:rPr>
          <w:rFonts w:ascii="Times New Roman" w:hAnsi="Times New Roman" w:hint="eastAsia"/>
        </w:rPr>
        <w:t>/</w:t>
      </w:r>
      <w:r>
        <w:rPr>
          <w:rFonts w:hAnsi="Times New Roman" w:hint="eastAsia"/>
        </w:rPr>
        <w:t>综合利用</w:t>
      </w:r>
      <w:r>
        <w:rPr>
          <w:rFonts w:hAnsi="Times New Roman"/>
        </w:rPr>
        <w:t>设备和检验设备情况，企业的产能变化，以及相关投入等。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eastAsia="黑体" w:hAnsi="Times New Roman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</w:t>
      </w:r>
      <w:r>
        <w:rPr>
          <w:rFonts w:ascii="Times New Roman" w:hAnsi="Times New Roman" w:hint="eastAsia"/>
        </w:rPr>
        <w:t>XX</w:t>
      </w:r>
      <w:r>
        <w:rPr>
          <w:rFonts w:ascii="黑体" w:eastAsia="黑体" w:hAnsi="黑体" w:hint="eastAsia"/>
        </w:rPr>
        <w:t>加工</w:t>
      </w:r>
      <w:r>
        <w:rPr>
          <w:rFonts w:ascii="黑体" w:eastAsia="黑体" w:hAnsi="黑体"/>
        </w:rPr>
        <w:t>及资源综合利用情况报表</w:t>
      </w:r>
    </w:p>
    <w:p w:rsidR="003F3AD2" w:rsidRDefault="003F3AD2" w:rsidP="003F3AD2">
      <w:pPr>
        <w:autoSpaceDE w:val="0"/>
        <w:spacing w:line="600" w:lineRule="exact"/>
        <w:ind w:firstLineChars="200" w:firstLine="640"/>
        <w:rPr>
          <w:rFonts w:ascii="Times New Roman" w:hAnsi="Times New Roman"/>
        </w:rPr>
      </w:pPr>
      <w:r>
        <w:rPr>
          <w:rFonts w:hAnsi="Times New Roman"/>
        </w:rPr>
        <w:t>包括本年度</w:t>
      </w:r>
      <w:r>
        <w:rPr>
          <w:rFonts w:ascii="Times New Roman" w:hAnsi="Times New Roman" w:hint="eastAsia"/>
        </w:rPr>
        <w:t>XX</w:t>
      </w:r>
      <w:r>
        <w:rPr>
          <w:rFonts w:hAnsi="Times New Roman"/>
        </w:rPr>
        <w:t>回收情况、</w:t>
      </w:r>
      <w:r>
        <w:rPr>
          <w:rFonts w:hAnsi="Times New Roman" w:hint="eastAsia"/>
        </w:rPr>
        <w:t>加工</w:t>
      </w:r>
      <w:r>
        <w:rPr>
          <w:rFonts w:hAnsi="Times New Roman"/>
        </w:rPr>
        <w:t>情况、总能耗、最终产品销售及资源综合利用情况等。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</w:rPr>
      </w:pPr>
      <w:r>
        <w:rPr>
          <w:rFonts w:ascii="Times New Roman" w:eastAsia="宋体" w:hAnsi="Times New Roman"/>
          <w:sz w:val="29"/>
          <w:szCs w:val="29"/>
        </w:rPr>
        <w:br w:type="page"/>
      </w:r>
      <w:r>
        <w:rPr>
          <w:rFonts w:hAnsi="Times New Roman"/>
        </w:rPr>
        <w:lastRenderedPageBreak/>
        <w:t>表</w:t>
      </w:r>
      <w:r>
        <w:rPr>
          <w:rFonts w:ascii="Times New Roman" w:hAnsi="Times New Roman"/>
        </w:rPr>
        <w:t>1</w:t>
      </w:r>
    </w:p>
    <w:p w:rsidR="003F3AD2" w:rsidRDefault="003F3AD2" w:rsidP="003F3AD2">
      <w:pPr>
        <w:autoSpaceDE w:val="0"/>
        <w:spacing w:line="20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 </w:t>
      </w:r>
    </w:p>
    <w:p w:rsidR="003F3AD2" w:rsidRDefault="003F3AD2" w:rsidP="003F3AD2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/>
          <w:sz w:val="36"/>
          <w:szCs w:val="36"/>
        </w:rPr>
        <w:t>《</w:t>
      </w:r>
      <w:r>
        <w:rPr>
          <w:rFonts w:ascii="Times New Roman" w:eastAsia="方正小标宋简体" w:hAnsi="Times New Roman"/>
          <w:sz w:val="36"/>
          <w:szCs w:val="36"/>
        </w:rPr>
        <w:t>XX</w:t>
      </w:r>
      <w:r>
        <w:rPr>
          <w:rFonts w:ascii="方正小标宋简体" w:eastAsia="方正小标宋简体" w:hAnsi="Times New Roman"/>
          <w:sz w:val="36"/>
          <w:szCs w:val="36"/>
        </w:rPr>
        <w:t>加工</w:t>
      </w:r>
      <w:r>
        <w:rPr>
          <w:rFonts w:ascii="Times New Roman" w:eastAsia="方正小标宋简体" w:hAnsi="Times New Roman"/>
          <w:sz w:val="36"/>
          <w:szCs w:val="36"/>
        </w:rPr>
        <w:t>/</w:t>
      </w:r>
      <w:r>
        <w:rPr>
          <w:rFonts w:ascii="方正小标宋简体" w:eastAsia="方正小标宋简体" w:hAnsi="Times New Roman"/>
          <w:sz w:val="36"/>
          <w:szCs w:val="36"/>
        </w:rPr>
        <w:t>综合利用行业规范（准入）条件》</w:t>
      </w:r>
    </w:p>
    <w:p w:rsidR="003F3AD2" w:rsidRDefault="003F3AD2" w:rsidP="003F3AD2">
      <w:pPr>
        <w:autoSpaceDE w:val="0"/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/>
          <w:sz w:val="36"/>
          <w:szCs w:val="36"/>
        </w:rPr>
        <w:t>执行情况说明</w:t>
      </w:r>
    </w:p>
    <w:p w:rsidR="003F3AD2" w:rsidRDefault="003F3AD2" w:rsidP="003F3AD2">
      <w:pPr>
        <w:autoSpaceDE w:val="0"/>
        <w:spacing w:line="200" w:lineRule="exact"/>
        <w:rPr>
          <w:rFonts w:ascii="Times New Roman" w:eastAsia="宋体" w:hAnsi="Times New Roman"/>
          <w:sz w:val="22"/>
          <w:szCs w:val="22"/>
        </w:rPr>
      </w:pPr>
      <w:r>
        <w:rPr>
          <w:rFonts w:ascii="Times New Roman" w:eastAsia="宋体" w:hAnsi="Times New Roman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6"/>
      </w:tblGrid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3F3AD2" w:rsidRDefault="003F3AD2">
            <w:pPr>
              <w:spacing w:line="363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1.</w:t>
            </w:r>
            <w:r>
              <w:rPr>
                <w:rFonts w:hAnsi="Times New Roman"/>
                <w:bCs/>
                <w:sz w:val="24"/>
                <w:szCs w:val="24"/>
              </w:rPr>
              <w:t>企业规模、装备和工艺变化情况说明。</w:t>
            </w:r>
          </w:p>
          <w:p w:rsidR="003F3AD2" w:rsidRDefault="003F3AD2">
            <w:pPr>
              <w:spacing w:line="363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3F3AD2" w:rsidRDefault="003F3AD2">
            <w:pPr>
              <w:spacing w:line="363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2.</w:t>
            </w:r>
            <w:r>
              <w:rPr>
                <w:rFonts w:hAnsi="Times New Roman"/>
                <w:bCs/>
                <w:sz w:val="24"/>
                <w:szCs w:val="24"/>
              </w:rPr>
              <w:t>资源回收利用和能耗情况说明。</w:t>
            </w:r>
          </w:p>
        </w:tc>
      </w:tr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3F3AD2" w:rsidRDefault="003F3AD2">
            <w:pPr>
              <w:spacing w:line="364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3.</w:t>
            </w:r>
            <w:r>
              <w:rPr>
                <w:rFonts w:hAnsi="Times New Roman"/>
                <w:bCs/>
                <w:sz w:val="24"/>
                <w:szCs w:val="24"/>
              </w:rPr>
              <w:t>环境保护要求的执行情况说明。</w:t>
            </w:r>
          </w:p>
        </w:tc>
      </w:tr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3F3AD2" w:rsidRDefault="003F3AD2">
            <w:pPr>
              <w:spacing w:line="365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4.</w:t>
            </w:r>
            <w:r>
              <w:rPr>
                <w:rFonts w:hAnsi="Times New Roman"/>
                <w:bCs/>
                <w:sz w:val="24"/>
                <w:szCs w:val="24"/>
              </w:rPr>
              <w:t>产品质量要求的执行情况说明。</w:t>
            </w:r>
          </w:p>
        </w:tc>
      </w:tr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3F3AD2" w:rsidRDefault="003F3AD2">
            <w:pPr>
              <w:spacing w:line="365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5.</w:t>
            </w:r>
            <w:r>
              <w:rPr>
                <w:rFonts w:hAnsi="Times New Roman"/>
                <w:bCs/>
                <w:sz w:val="24"/>
                <w:szCs w:val="24"/>
              </w:rPr>
              <w:t>职业教育要求的执行情况说明。</w:t>
            </w:r>
          </w:p>
        </w:tc>
      </w:tr>
      <w:tr w:rsidR="003F3AD2" w:rsidTr="003F3AD2">
        <w:trPr>
          <w:trHeight w:val="1582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3F3AD2" w:rsidRDefault="003F3AD2">
            <w:pPr>
              <w:spacing w:line="366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6.</w:t>
            </w:r>
            <w:r>
              <w:rPr>
                <w:rFonts w:hAnsi="Times New Roman"/>
                <w:bCs/>
                <w:sz w:val="24"/>
                <w:szCs w:val="24"/>
              </w:rPr>
              <w:t>安全生产要求的执行情况说明。</w:t>
            </w:r>
          </w:p>
        </w:tc>
      </w:tr>
      <w:tr w:rsidR="003F3AD2" w:rsidTr="003F3AD2">
        <w:trPr>
          <w:trHeight w:val="1355"/>
          <w:jc w:val="center"/>
        </w:trPr>
        <w:tc>
          <w:tcPr>
            <w:tcW w:w="884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D2" w:rsidRDefault="003F3AD2">
            <w:pPr>
              <w:spacing w:line="366" w:lineRule="exact"/>
              <w:ind w:left="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7.</w:t>
            </w:r>
            <w:r>
              <w:rPr>
                <w:rFonts w:hAnsi="Times New Roman"/>
                <w:bCs/>
                <w:sz w:val="24"/>
                <w:szCs w:val="24"/>
              </w:rPr>
              <w:t>职业健康管理要求的执行情况说明。</w:t>
            </w:r>
          </w:p>
          <w:p w:rsidR="003F3AD2" w:rsidRDefault="003F3AD2">
            <w:pPr>
              <w:spacing w:line="366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3AD2" w:rsidRDefault="003F3AD2" w:rsidP="003F3AD2">
      <w:pPr>
        <w:autoSpaceDE w:val="0"/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注：纸面不敷、可另附页。</w:t>
      </w:r>
    </w:p>
    <w:p w:rsidR="003F3AD2" w:rsidRDefault="003F3AD2" w:rsidP="003F3AD2">
      <w:pPr>
        <w:autoSpaceDE w:val="0"/>
        <w:spacing w:line="60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Ansi="Times New Roman"/>
        </w:rPr>
        <w:lastRenderedPageBreak/>
        <w:t>表</w:t>
      </w:r>
      <w:r>
        <w:rPr>
          <w:rFonts w:ascii="Times New Roman" w:hAnsi="Times New Roman"/>
        </w:rPr>
        <w:t>2</w:t>
      </w:r>
    </w:p>
    <w:p w:rsidR="003F3AD2" w:rsidRDefault="003F3AD2" w:rsidP="003F3AD2">
      <w:pPr>
        <w:autoSpaceDE w:val="0"/>
        <w:spacing w:line="200" w:lineRule="exact"/>
        <w:rPr>
          <w:rFonts w:ascii="Times New Roman" w:eastAsia="宋体" w:hAnsi="Times New Roman"/>
          <w:sz w:val="29"/>
          <w:szCs w:val="29"/>
        </w:rPr>
      </w:pPr>
      <w:r>
        <w:rPr>
          <w:rFonts w:ascii="Times New Roman" w:eastAsia="宋体" w:hAnsi="Times New Roman"/>
          <w:sz w:val="29"/>
          <w:szCs w:val="29"/>
        </w:rPr>
        <w:t xml:space="preserve"> </w:t>
      </w:r>
    </w:p>
    <w:p w:rsidR="003F3AD2" w:rsidRDefault="003F3AD2" w:rsidP="003F3AD2">
      <w:pPr>
        <w:autoSpaceDE w:val="0"/>
        <w:spacing w:line="600" w:lineRule="exact"/>
        <w:jc w:val="center"/>
        <w:outlineLvl w:val="0"/>
        <w:rPr>
          <w:rFonts w:ascii="Times New Roman" w:eastAsia="方正小标宋简体" w:hAnsi="Times New Roman"/>
          <w:kern w:val="44"/>
          <w:sz w:val="36"/>
          <w:szCs w:val="36"/>
        </w:rPr>
      </w:pPr>
      <w:r>
        <w:rPr>
          <w:rFonts w:ascii="Times New Roman" w:eastAsia="方正小标宋简体" w:hAnsi="Times New Roman"/>
          <w:b/>
          <w:kern w:val="44"/>
          <w:sz w:val="36"/>
          <w:szCs w:val="36"/>
        </w:rPr>
        <w:t>XX</w:t>
      </w:r>
      <w:r>
        <w:rPr>
          <w:rFonts w:ascii="方正小标宋简体" w:eastAsia="方正小标宋简体" w:hAnsi="Times New Roman"/>
          <w:kern w:val="44"/>
          <w:sz w:val="36"/>
          <w:szCs w:val="36"/>
        </w:rPr>
        <w:t>加工</w:t>
      </w:r>
      <w:r>
        <w:rPr>
          <w:rFonts w:ascii="Times New Roman" w:eastAsia="方正小标宋简体" w:hAnsi="Times New Roman"/>
          <w:kern w:val="44"/>
          <w:sz w:val="36"/>
          <w:szCs w:val="36"/>
        </w:rPr>
        <w:t>/</w:t>
      </w:r>
      <w:r>
        <w:rPr>
          <w:rFonts w:ascii="方正小标宋简体" w:eastAsia="方正小标宋简体" w:hAnsi="Times New Roman"/>
          <w:kern w:val="44"/>
          <w:sz w:val="36"/>
          <w:szCs w:val="36"/>
        </w:rPr>
        <w:t>综合利用能力和条件变化情况</w:t>
      </w:r>
    </w:p>
    <w:p w:rsidR="003F3AD2" w:rsidRDefault="003F3AD2" w:rsidP="003F3AD2">
      <w:pPr>
        <w:autoSpaceDE w:val="0"/>
        <w:spacing w:line="200" w:lineRule="exact"/>
        <w:rPr>
          <w:rFonts w:ascii="Times New Roman" w:eastAsia="宋体" w:hAnsi="Times New Roman"/>
          <w:sz w:val="29"/>
          <w:szCs w:val="29"/>
        </w:rPr>
      </w:pPr>
      <w:r>
        <w:rPr>
          <w:rFonts w:ascii="Times New Roman" w:eastAsia="宋体" w:hAnsi="Times New Roman"/>
          <w:sz w:val="29"/>
          <w:szCs w:val="29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518"/>
        <w:gridCol w:w="1381"/>
        <w:gridCol w:w="690"/>
        <w:gridCol w:w="2485"/>
        <w:gridCol w:w="1801"/>
      </w:tblGrid>
      <w:tr w:rsidR="003F3AD2" w:rsidTr="003F3AD2">
        <w:trPr>
          <w:trHeight w:val="453"/>
          <w:jc w:val="center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line="434" w:lineRule="exact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先进工艺说明（</w:t>
            </w:r>
            <w:proofErr w:type="gramStart"/>
            <w:r>
              <w:rPr>
                <w:rFonts w:hAnsi="Times New Roman"/>
                <w:b/>
                <w:sz w:val="24"/>
                <w:szCs w:val="24"/>
              </w:rPr>
              <w:t>当引进</w:t>
            </w:r>
            <w:proofErr w:type="gramEnd"/>
            <w:r>
              <w:rPr>
                <w:rFonts w:hAnsi="Times New Roman"/>
                <w:b/>
                <w:sz w:val="24"/>
                <w:szCs w:val="24"/>
              </w:rPr>
              <w:t>新工艺或优化原工艺时填写）</w:t>
            </w:r>
          </w:p>
        </w:tc>
      </w:tr>
      <w:tr w:rsidR="003F3AD2" w:rsidTr="003F3AD2">
        <w:trPr>
          <w:trHeight w:val="3836"/>
          <w:jc w:val="center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2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注：对目前采用的新工艺或优化工艺与原工艺路线进行对比说明</w:t>
            </w:r>
          </w:p>
        </w:tc>
      </w:tr>
      <w:tr w:rsidR="003F3AD2" w:rsidTr="003F3AD2">
        <w:trPr>
          <w:trHeight w:val="444"/>
          <w:jc w:val="center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line="433" w:lineRule="exact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新增主要</w:t>
            </w:r>
            <w:r>
              <w:rPr>
                <w:rFonts w:hAnsi="Times New Roman" w:hint="eastAsia"/>
                <w:b/>
                <w:sz w:val="24"/>
                <w:szCs w:val="24"/>
              </w:rPr>
              <w:t>加工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hAnsi="Times New Roman" w:hint="eastAsia"/>
                <w:b/>
                <w:sz w:val="24"/>
                <w:szCs w:val="24"/>
              </w:rPr>
              <w:t>综合利用</w:t>
            </w:r>
            <w:r>
              <w:rPr>
                <w:rFonts w:hAnsi="Times New Roman"/>
                <w:b/>
                <w:sz w:val="24"/>
                <w:szCs w:val="24"/>
              </w:rPr>
              <w:t>设备清单</w:t>
            </w: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设备名称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型号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数量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用途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价值（万元）</w:t>
            </w: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8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line="434" w:lineRule="exact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新增主要检验测量设备清单</w:t>
            </w: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序号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设备名称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型号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数量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用途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AD2" w:rsidRDefault="003F3AD2">
            <w:pPr>
              <w:spacing w:befor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价值（万元）</w:t>
            </w: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D2" w:rsidTr="003F3AD2">
        <w:trPr>
          <w:trHeight w:val="444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D2" w:rsidRDefault="003F3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3AD2" w:rsidRDefault="003F3AD2" w:rsidP="003F3AD2">
      <w:r>
        <w:rPr>
          <w:rFonts w:hAnsi="Times New Roman"/>
          <w:sz w:val="24"/>
          <w:szCs w:val="24"/>
        </w:rPr>
        <w:t>注：相关项目可根据实际情况调整填写表格</w:t>
      </w:r>
      <w:r>
        <w:rPr>
          <w:rFonts w:ascii="宋体" w:eastAsia="宋体"/>
          <w:sz w:val="24"/>
          <w:szCs w:val="24"/>
        </w:rPr>
        <w:t>。</w:t>
      </w:r>
      <w:bookmarkStart w:id="0" w:name="_GoBack"/>
      <w:bookmarkEnd w:id="0"/>
    </w:p>
    <w:sectPr w:rsidR="003F3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2"/>
    <w:rsid w:val="000B4A9E"/>
    <w:rsid w:val="003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AD2"/>
    <w:pPr>
      <w:widowControl w:val="0"/>
      <w:spacing w:line="560" w:lineRule="exact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uiPriority w:val="99"/>
    <w:unhideWhenUsed/>
    <w:rsid w:val="003F3AD2"/>
    <w:pPr>
      <w:ind w:left="114"/>
    </w:pPr>
    <w:rPr>
      <w:rFonts w:ascii="宋体" w:eastAsia="宋体"/>
      <w:sz w:val="29"/>
      <w:szCs w:val="29"/>
    </w:rPr>
  </w:style>
  <w:style w:type="character" w:customStyle="1" w:styleId="Char">
    <w:name w:val="正文文本 Char"/>
    <w:basedOn w:val="a1"/>
    <w:link w:val="a0"/>
    <w:uiPriority w:val="99"/>
    <w:rsid w:val="003F3AD2"/>
    <w:rPr>
      <w:rFonts w:ascii="宋体" w:eastAsia="宋体" w:hAnsi="宋体" w:cs="Times New Roman"/>
      <w:sz w:val="29"/>
      <w:szCs w:val="29"/>
    </w:rPr>
  </w:style>
  <w:style w:type="paragraph" w:styleId="a4">
    <w:name w:val="Body Text Indent"/>
    <w:basedOn w:val="a"/>
    <w:link w:val="Char0"/>
    <w:uiPriority w:val="99"/>
    <w:semiHidden/>
    <w:unhideWhenUsed/>
    <w:rsid w:val="003F3AD2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3F3AD2"/>
    <w:rPr>
      <w:rFonts w:ascii="仿宋_GB2312" w:eastAsia="仿宋_GB2312" w:hAnsi="宋体" w:cs="Times New Roman"/>
      <w:sz w:val="32"/>
      <w:szCs w:val="32"/>
    </w:rPr>
  </w:style>
  <w:style w:type="paragraph" w:styleId="2">
    <w:name w:val="Body Text First Indent 2"/>
    <w:basedOn w:val="a"/>
    <w:link w:val="2Char"/>
    <w:uiPriority w:val="99"/>
    <w:unhideWhenUsed/>
    <w:rsid w:val="003F3AD2"/>
    <w:pPr>
      <w:spacing w:before="100" w:beforeAutospacing="1" w:after="120" w:line="240" w:lineRule="auto"/>
      <w:ind w:leftChars="200" w:left="420" w:firstLineChars="200" w:firstLine="420"/>
    </w:pPr>
    <w:rPr>
      <w:rFonts w:ascii="Times New Roman" w:eastAsia="宋体" w:hAnsi="Times New Roman"/>
      <w:sz w:val="21"/>
      <w:szCs w:val="21"/>
    </w:rPr>
  </w:style>
  <w:style w:type="character" w:customStyle="1" w:styleId="2Char">
    <w:name w:val="正文首行缩进 2 Char"/>
    <w:basedOn w:val="Char0"/>
    <w:link w:val="2"/>
    <w:uiPriority w:val="99"/>
    <w:rsid w:val="003F3AD2"/>
    <w:rPr>
      <w:rFonts w:ascii="Times New Roman" w:eastAsia="宋体" w:hAnsi="Times New Roman" w:cs="Times New Roman"/>
      <w:sz w:val="32"/>
      <w:szCs w:val="21"/>
    </w:rPr>
  </w:style>
  <w:style w:type="table" w:styleId="a5">
    <w:name w:val="Table Grid"/>
    <w:basedOn w:val="a2"/>
    <w:uiPriority w:val="99"/>
    <w:unhideWhenUsed/>
    <w:rsid w:val="003F3AD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3AD2"/>
    <w:pPr>
      <w:widowControl w:val="0"/>
      <w:spacing w:line="560" w:lineRule="exact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link w:val="Char"/>
    <w:uiPriority w:val="99"/>
    <w:unhideWhenUsed/>
    <w:rsid w:val="003F3AD2"/>
    <w:pPr>
      <w:ind w:left="114"/>
    </w:pPr>
    <w:rPr>
      <w:rFonts w:ascii="宋体" w:eastAsia="宋体"/>
      <w:sz w:val="29"/>
      <w:szCs w:val="29"/>
    </w:rPr>
  </w:style>
  <w:style w:type="character" w:customStyle="1" w:styleId="Char">
    <w:name w:val="正文文本 Char"/>
    <w:basedOn w:val="a1"/>
    <w:link w:val="a0"/>
    <w:uiPriority w:val="99"/>
    <w:rsid w:val="003F3AD2"/>
    <w:rPr>
      <w:rFonts w:ascii="宋体" w:eastAsia="宋体" w:hAnsi="宋体" w:cs="Times New Roman"/>
      <w:sz w:val="29"/>
      <w:szCs w:val="29"/>
    </w:rPr>
  </w:style>
  <w:style w:type="paragraph" w:styleId="a4">
    <w:name w:val="Body Text Indent"/>
    <w:basedOn w:val="a"/>
    <w:link w:val="Char0"/>
    <w:uiPriority w:val="99"/>
    <w:semiHidden/>
    <w:unhideWhenUsed/>
    <w:rsid w:val="003F3AD2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3F3AD2"/>
    <w:rPr>
      <w:rFonts w:ascii="仿宋_GB2312" w:eastAsia="仿宋_GB2312" w:hAnsi="宋体" w:cs="Times New Roman"/>
      <w:sz w:val="32"/>
      <w:szCs w:val="32"/>
    </w:rPr>
  </w:style>
  <w:style w:type="paragraph" w:styleId="2">
    <w:name w:val="Body Text First Indent 2"/>
    <w:basedOn w:val="a"/>
    <w:link w:val="2Char"/>
    <w:uiPriority w:val="99"/>
    <w:unhideWhenUsed/>
    <w:rsid w:val="003F3AD2"/>
    <w:pPr>
      <w:spacing w:before="100" w:beforeAutospacing="1" w:after="120" w:line="240" w:lineRule="auto"/>
      <w:ind w:leftChars="200" w:left="420" w:firstLineChars="200" w:firstLine="420"/>
    </w:pPr>
    <w:rPr>
      <w:rFonts w:ascii="Times New Roman" w:eastAsia="宋体" w:hAnsi="Times New Roman"/>
      <w:sz w:val="21"/>
      <w:szCs w:val="21"/>
    </w:rPr>
  </w:style>
  <w:style w:type="character" w:customStyle="1" w:styleId="2Char">
    <w:name w:val="正文首行缩进 2 Char"/>
    <w:basedOn w:val="Char0"/>
    <w:link w:val="2"/>
    <w:uiPriority w:val="99"/>
    <w:rsid w:val="003F3AD2"/>
    <w:rPr>
      <w:rFonts w:ascii="Times New Roman" w:eastAsia="宋体" w:hAnsi="Times New Roman" w:cs="Times New Roman"/>
      <w:sz w:val="32"/>
      <w:szCs w:val="21"/>
    </w:rPr>
  </w:style>
  <w:style w:type="table" w:styleId="a5">
    <w:name w:val="Table Grid"/>
    <w:basedOn w:val="a2"/>
    <w:uiPriority w:val="99"/>
    <w:unhideWhenUsed/>
    <w:rsid w:val="003F3AD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丁江</dc:creator>
  <cp:lastModifiedBy>丁江</cp:lastModifiedBy>
  <cp:revision>1</cp:revision>
  <dcterms:created xsi:type="dcterms:W3CDTF">2024-03-22T10:03:00Z</dcterms:created>
  <dcterms:modified xsi:type="dcterms:W3CDTF">2024-03-22T10:04:00Z</dcterms:modified>
</cp:coreProperties>
</file>